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5ee89120985346d3be992ba0c9a0d72efc6ae5"/>
    <w:p>
      <w:pPr>
        <w:pStyle w:val="Heading1"/>
        <w:jc w:val="center"/>
      </w:pPr>
      <w:r>
        <w:rPr>
          <w:b/>
          <w:sz w:val="28"/>
        </w:rPr>
        <w:t xml:space="preserve">Do tabuleiro ao grafo: um tabuleiro de RPG híbrido humano-IA para o letramento crítico em mídia e em IA</w:t>
      </w:r>
    </w:p>
    <w:p>
      <w:pPr>
        <w:pStyle w:val="FirstParagraph"/>
        <w:spacing w:line="360" w:lineRule="auto" w:after="120"/>
        <w:jc w:val="both"/>
      </w:pPr>
      <w:r>
        <w:rPr>
          <w:b/>
          <w:bCs/>
        </w:rPr>
        <w:t xml:space="preserve">Tema.</w:t>
      </w:r>
      <w:r>
        <w:t xml:space="preserve"> </w:t>
      </w:r>
      <w:r>
        <w:t xml:space="preserve">Como uma comunidade passa a compartilhar uma única versão dos fatos, e como um jogo de tabuleiro pode tornar esse processo visível para estudantes, com ou sem personagens de inteligência artificial.</w:t>
      </w:r>
    </w:p>
    <w:p>
      <w:pPr>
        <w:pStyle w:val="BodyText"/>
        <w:spacing w:line="360" w:lineRule="auto" w:after="120"/>
        <w:jc w:val="both"/>
      </w:pPr>
      <w:r>
        <w:rPr>
          <w:b/>
          <w:bCs/>
        </w:rPr>
        <w:t xml:space="preserve">Problema.</w:t>
      </w:r>
      <w:r>
        <w:t xml:space="preserve"> </w:t>
      </w:r>
      <w:r>
        <w:t xml:space="preserve">Quem está onde, quem sabe o quê e quem controla os lugares centrais decide quais relatos sobrevivem. Esse processo costuma ser invisível para quem participa dele. Em simulações anteriores, personagens de IA que veem tudo ligaram todos os eventos e fundiram as histórias em uma só em poucos dias. Como transformar essa dinâmica em algo que uma turma possa experimentar, inspecionar e modificar?</w:t>
      </w:r>
    </w:p>
    <w:p>
      <w:pPr>
        <w:pStyle w:val="BodyText"/>
        <w:spacing w:line="360" w:lineRule="auto" w:after="120"/>
        <w:jc w:val="both"/>
      </w:pPr>
      <w:r>
        <w:rPr>
          <w:b/>
          <w:bCs/>
        </w:rPr>
        <w:t xml:space="preserve">Justificativa.</w:t>
      </w:r>
      <w:r>
        <w:t xml:space="preserve"> </w:t>
      </w:r>
      <w:r>
        <w:t xml:space="preserve">A educação para a mídia e o enfrentamento da desordem informacional exigem compreender processos de rede, e não apenas conteúdos falsos isolados. Jogos já se mostraram eficazes para isso, e o RPG acrescenta a co-criação da história pelo próprio grupo. A entrada da IA generativa torna urgente mostrar como esses sistemas conectam tudo o que recebem.</w:t>
      </w:r>
    </w:p>
    <w:p>
      <w:pPr>
        <w:pStyle w:val="BodyText"/>
        <w:spacing w:line="360" w:lineRule="auto" w:after="120"/>
        <w:jc w:val="both"/>
      </w:pPr>
      <w:r>
        <w:rPr>
          <w:b/>
          <w:bCs/>
        </w:rPr>
        <w:t xml:space="preserve">Objetivos.</w:t>
      </w:r>
      <w:r>
        <w:t xml:space="preserve"> </w:t>
      </w:r>
      <w:r>
        <w:rPr>
          <w:i/>
          <w:iCs/>
        </w:rPr>
        <w:t xml:space="preserve">Geral:</w:t>
      </w:r>
      <w:r>
        <w:t xml:space="preserve"> </w:t>
      </w:r>
      <w:r>
        <w:t xml:space="preserve">propor e fundamentar um modelo de mundo em tabuleiro para RPG híbrido humano-IA voltado ao letramento crítico em mídia e em IA.</w:t>
      </w:r>
      <w:r>
        <w:t xml:space="preserve"> </w:t>
      </w:r>
      <w:r>
        <w:rPr>
          <w:i/>
          <w:iCs/>
        </w:rPr>
        <w:t xml:space="preserve">Específicos:</w:t>
      </w:r>
      <w:r>
        <w:t xml:space="preserve"> </w:t>
      </w:r>
      <w:r>
        <w:t xml:space="preserve">(a) formalizar o tabuleiro como matriz e ligá-lo aos grafos de encontros e de causalidade; (b) identificar, por simulação, quais mecânicas mudam a convergência das histórias; (c) desenhar o kit físico e o protocolo de aula, inclusive uma versão sem tecnologia; (d) propor um plano de avaliação.</w:t>
      </w:r>
    </w:p>
    <w:p>
      <w:pPr>
        <w:pStyle w:val="BodyText"/>
        <w:spacing w:line="360" w:lineRule="auto" w:after="120"/>
        <w:jc w:val="both"/>
      </w:pPr>
      <w:r>
        <w:rPr>
          <w:b/>
          <w:bCs/>
        </w:rPr>
        <w:t xml:space="preserve">Metodologia.</w:t>
      </w:r>
      <w:r>
        <w:t xml:space="preserve"> </w:t>
      </w:r>
      <w:r>
        <w:t xml:space="preserve">O tabuleiro é uma grade descrita por uma matriz de adjacência. Potências dessa matriz definem deslocamento e percepção, e produtos de matrizes de encontro definem por onde a informação pode circular. Uma regra liga os três grafos: um personagem só pode partir de eventos que viu ou de que ouviu falar. Uma prova de conceito com agentes sintéticos (500 rodadas por condição) comparou o regime onisciente com variações de raio de percepção, boatos, lugares atratores, cartas de acontecimento e uma regra de foco. O kit usa cartas de evento ligadas por barbante, de modo que a história termina como um grafo físico sobre a mesa.</w:t>
      </w:r>
    </w:p>
    <w:p>
      <w:pPr>
        <w:pStyle w:val="BodyText"/>
        <w:spacing w:line="360" w:lineRule="auto" w:after="120"/>
        <w:jc w:val="both"/>
      </w:pPr>
      <w:r>
        <w:rPr>
          <w:b/>
          <w:bCs/>
        </w:rPr>
        <w:t xml:space="preserve">Resultados esperados.</w:t>
      </w:r>
      <w:r>
        <w:t xml:space="preserve"> </w:t>
      </w:r>
      <w:r>
        <w:t xml:space="preserve">A simulação indica que limitar a informação apenas atrasa a convergência para uma história única. Os lugares centrais definem onde os relatos se fundem. Cartas de acontecimento combinadas com a regra de foco mantêm cerca de cinco histórias vivas. Com estudantes, espera-se que eles passem a explicar a formação de um relato dominante por acesso e estrutura, e não só por intenções individuais. Espera-se também que mesas humanas mantenham mais histórias separadas que mesas de IA.</w:t>
      </w:r>
    </w:p>
    <w:p>
      <w:pPr>
        <w:pStyle w:val="BodyText"/>
        <w:spacing w:line="360" w:lineRule="auto" w:after="120"/>
        <w:jc w:val="both"/>
      </w:pPr>
      <w:r>
        <w:rPr>
          <w:b/>
          <w:bCs/>
        </w:rPr>
        <w:t xml:space="preserve">Considerações.</w:t>
      </w:r>
      <w:r>
        <w:t xml:space="preserve"> </w:t>
      </w:r>
      <w:r>
        <w:t xml:space="preserve">O trabalho é uma proposta de desenho com prova de conceito. O kit e o protocolo de aula ainda precisam ser testados com estudantes. A versão sem IA amplia o acesso a escolas sem equipamento, e a versão híbrida permite discutir, na prática, o comportamento da IA generativa.</w:t>
      </w:r>
    </w:p>
    <w:p>
      <w:pPr>
        <w:pStyle w:val="BodyText"/>
        <w:spacing w:before="240"/>
      </w:pPr>
      <w:r>
        <w:rPr>
          <w:b/>
          <w:bCs/>
        </w:rPr>
        <w:t xml:space="preserve">Referências bibliográficas</w:t>
      </w:r>
    </w:p>
    <w:p>
      <w:pPr>
        <w:pStyle w:val="BodyText"/>
        <w:spacing w:line="240" w:lineRule="auto" w:after="120"/>
        <w:jc w:val="left"/>
      </w:pPr>
      <w:r>
        <w:t xml:space="preserve">FLANAGAN, M.</w:t>
      </w:r>
      <w:r>
        <w:t xml:space="preserve"> </w:t>
      </w:r>
      <w:r>
        <w:rPr>
          <w:i/>
          <w:iCs/>
        </w:rPr>
        <w:t xml:space="preserve">Critical play</w:t>
      </w:r>
      <w:r>
        <w:t xml:space="preserve">: radical game design. Cambridge: MIT Press, 2009.</w:t>
      </w:r>
    </w:p>
    <w:p>
      <w:pPr>
        <w:pStyle w:val="BodyText"/>
        <w:spacing w:line="240" w:lineRule="auto" w:after="120"/>
        <w:jc w:val="left"/>
      </w:pPr>
      <w:r>
        <w:t xml:space="preserve">HOBBS, R.</w:t>
      </w:r>
      <w:r>
        <w:t xml:space="preserve"> </w:t>
      </w:r>
      <w:r>
        <w:rPr>
          <w:i/>
          <w:iCs/>
        </w:rPr>
        <w:t xml:space="preserve">Digital and media literacy</w:t>
      </w:r>
      <w:r>
        <w:t xml:space="preserve">: a plan of action. Washington, DC: The Aspen Institute, 2010.</w:t>
      </w:r>
    </w:p>
    <w:p>
      <w:pPr>
        <w:pStyle w:val="BodyText"/>
        <w:spacing w:line="240" w:lineRule="auto" w:after="120"/>
        <w:jc w:val="left"/>
      </w:pPr>
      <w:r>
        <w:t xml:space="preserve">HOLME, P.; SARAMÄKI, J. Temporal networks.</w:t>
      </w:r>
      <w:r>
        <w:t xml:space="preserve"> </w:t>
      </w:r>
      <w:r>
        <w:rPr>
          <w:i/>
          <w:iCs/>
        </w:rPr>
        <w:t xml:space="preserve">Physics Reports</w:t>
      </w:r>
      <w:r>
        <w:t xml:space="preserve">, v. 519, n. 3, p. 97-125, 2012.</w:t>
      </w:r>
    </w:p>
    <w:p>
      <w:pPr>
        <w:pStyle w:val="BodyText"/>
        <w:spacing w:line="240" w:lineRule="auto" w:after="120"/>
        <w:jc w:val="left"/>
      </w:pPr>
      <w:r>
        <w:t xml:space="preserve">JENKINS, H. Game design as narrative architecture. In: WARDRIP-FRUIN, N.; HARRIGAN, P. (org.).</w:t>
      </w:r>
      <w:r>
        <w:t xml:space="preserve"> </w:t>
      </w:r>
      <w:r>
        <w:rPr>
          <w:i/>
          <w:iCs/>
        </w:rPr>
        <w:t xml:space="preserve">First person</w:t>
      </w:r>
      <w:r>
        <w:t xml:space="preserve">: new media as story, performance, and game. Cambridge: MIT Press, 2004. p. 118-130.</w:t>
      </w:r>
    </w:p>
    <w:p>
      <w:pPr>
        <w:pStyle w:val="BodyText"/>
        <w:spacing w:line="240" w:lineRule="auto" w:after="120"/>
        <w:jc w:val="left"/>
      </w:pPr>
      <w:r>
        <w:t xml:space="preserve">ROOZENBEEK, J.; VAN DER LINDEN, S. Fake news game confers psychological resistance against online misinformation.</w:t>
      </w:r>
      <w:r>
        <w:t xml:space="preserve"> </w:t>
      </w:r>
      <w:r>
        <w:rPr>
          <w:i/>
          <w:iCs/>
        </w:rPr>
        <w:t xml:space="preserve">Palgrave Communications</w:t>
      </w:r>
      <w:r>
        <w:t xml:space="preserve">, v. 5, n. 1, 65, 2019.</w:t>
      </w:r>
    </w:p>
    <w:p>
      <w:pPr>
        <w:pStyle w:val="BodyText"/>
        <w:spacing w:line="240" w:lineRule="auto" w:after="120"/>
        <w:jc w:val="left"/>
      </w:pPr>
      <w:r>
        <w:t xml:space="preserve">WARDLE, C.; DERAKHSHAN, H.</w:t>
      </w:r>
      <w:r>
        <w:t xml:space="preserve"> </w:t>
      </w:r>
      <w:r>
        <w:rPr>
          <w:i/>
          <w:iCs/>
        </w:rPr>
        <w:t xml:space="preserve">Information disorder</w:t>
      </w:r>
      <w:r>
        <w:t xml:space="preserve">: toward an interdisciplinary framework for research and policy making. Strasbourg: Council of Europe, 2017.</w:t>
      </w:r>
    </w:p>
    <w:bookmarkEnd w:id="20"/>
    <w:sectPr>
      <w:pgMar w:top="1417" w:bottom="1417" w:left="1417" w:right="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24"/>
      <w:szCs w:val="36"/>
    </w:rPr>
  </w:style>
  <w:style w:styleId="Subtitle" w:type="paragraph">
    <w:name w:val="Subtitle"/>
    <w:basedOn w:val="Title"/>
    <w:next w:val="BodyText"/>
    <w:qFormat/>
    <w:pPr>
      <w:keepNext/>
      <w:keepLines/>
      <w:spacing w:after="240" w:before="240"/>
      <w:jc w:val="center"/>
    </w:pPr>
    <w:rPr>
      <w:rFonts w:ascii="Times New Roman" w:hAnsi="Times New Roman"/>
      <w:sz w:val="24"/>
      <w:szCs w:val="30"/>
    </w:rPr>
  </w:style>
  <w:style w:customStyle="1" w:styleId="Author" w:type="paragraph">
    <w:name w:val="Author"/>
    <w:next w:val="BodyText"/>
    <w:qFormat/>
    <w:pPr>
      <w:keepNext/>
      <w:keepLines/>
      <w:jc w:val="center"/>
    </w:pPr>
    <w:rPr>
      <w:rFonts w:ascii="Times New Roman" w:hAnsi="Times New Roman"/>
      <w:sz w:val="24"/>
    </w:rPr>
  </w:style>
  <w:style w:styleId="Date" w:type="paragraph">
    <w:name w:val="Date"/>
    <w:next w:val="BodyText"/>
    <w:qFormat/>
    <w:pPr>
      <w:keepNext/>
      <w:keepLines/>
      <w:jc w:val="center"/>
    </w:pPr>
    <w:rPr>
      <w:rFonts w:ascii="Times New Roman" w:hAnsi="Times New Roman"/>
      <w:sz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sz w:val="24"/>
      <w:szCs w:val="20"/>
    </w:rPr>
  </w:style>
  <w:style w:styleId="Bibliography" w:type="paragraph">
    <w:name w:val="Bibliography"/>
    <w:basedOn w:val="Normal"/>
    <w:next w:val="Bibliography"/>
    <w:qFormat/>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bCs/>
      <w:i/>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4"/>
    </w:rPr>
  </w:style>
  <w:style w:styleId="FootnoteText" w:type="paragraph">
    <w:name w:val="Footnote Text"/>
    <w:basedOn w:val="Normal"/>
    <w:next w:val="FootnoteText"/>
    <w:uiPriority w:val="9"/>
    <w:unhideWhenUsed/>
    <w:qFormat/>
    <w:rPr>
      <w:rFonts w:ascii="Times New Roman" w:hAnsi="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sz w:val="24"/>
    </w:rPr>
  </w:style>
  <w:style w:customStyle="1" w:styleId="Definition" w:type="paragraph">
    <w:name w:val="Definition"/>
    <w:basedOn w:val="Normal"/>
    <w:rPr>
      <w:rFonts w:ascii="Times New Roman" w:hAnsi="Times New Roman"/>
      <w:sz w:val="24"/>
    </w:rPr>
  </w:style>
  <w:style w:styleId="Caption" w:type="paragraph">
    <w:name w:val="Caption"/>
    <w:basedOn w:val="Normal"/>
    <w:link w:val="BodyTextChar"/>
    <w:pPr>
      <w:spacing w:after="120" w:before="0"/>
    </w:pPr>
    <w:rPr>
      <w:rFonts w:ascii="Times New Roman" w:hAnsi="Times New Roman"/>
      <w:i/>
      <w:sz w:val="24"/>
    </w:rPr>
  </w:style>
  <w:style w:customStyle="1" w:styleId="TableCaption" w:type="paragraph">
    <w:name w:val="Table Caption"/>
    <w:basedOn w:val="Caption"/>
    <w:pPr>
      <w:keepNext/>
    </w:pPr>
    <w:rPr>
      <w:rFonts w:ascii="Times New Roman" w:hAnsi="Times New Roman"/>
      <w:sz w:val="24"/>
    </w:rPr>
  </w:style>
  <w:style w:customStyle="1" w:styleId="ImageCaption" w:type="paragraph">
    <w:name w:val="Image Caption"/>
    <w:basedOn w:val="Caption"/>
    <w:rPr>
      <w:rFonts w:ascii="Times New Roman" w:hAnsi="Times New Roman"/>
      <w:sz w:val="24"/>
    </w:rPr>
  </w:style>
  <w:style w:customStyle="1" w:styleId="Figure" w:type="paragraph">
    <w:name w:val="Figure"/>
    <w:basedOn w:val="Normal"/>
    <w:rPr>
      <w:rFonts w:ascii="Times New Roman" w:hAnsi="Times New Roman"/>
      <w:sz w:val="24"/>
    </w:rPr>
  </w:style>
  <w:style w:customStyle="1" w:styleId="CaptionedFigure" w:type="paragraph">
    <w:name w:val="Captioned Figure"/>
    <w:basedOn w:val="Figure"/>
    <w:pPr>
      <w:keepNext/>
    </w:pPr>
    <w:rPr>
      <w:rFonts w:ascii="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sz w:val="24"/>
    </w:rPr>
  </w:style>
  <w:style w:type="paragraph" w:customStyle="1" w:styleId="SourceCode">
    <w:name w:val="Source Code"/>
    <w:basedOn w:val="Normal"/>
    <w:link w:val="VerbatimChar"/>
    <w:pPr>
      <w:wordWrap w:val="off"/>
    </w:pPr>
    <w:rPr>
      <w:rFonts w:ascii="Times New Roman" w:hAnsi="Times New Roman"/>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2026-10-13T18:52:28Z</dcterms:created>
  <dcterms:modified xsi:type="dcterms:W3CDTF">2026-10-13T18:52:28Z</dcterms:modified>
  <cp:lastModifiedBy/>
</cp:coreProperties>
</file>

<file path=docProps/custom.xml><?xml version="1.0" encoding="utf-8"?>
<Properties xmlns="http://schemas.openxmlformats.org/officeDocument/2006/custom-properties" xmlns:vt="http://schemas.openxmlformats.org/officeDocument/2006/docPropsVTypes"/>
</file>