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termo-de-referência"/>
    <w:p>
      <w:pPr>
        <w:pStyle w:val="Heading1"/>
      </w:pPr>
      <w:r>
        <w:t xml:space="preserve">TERMO DE REFERÊNCIA</w:t>
      </w:r>
    </w:p>
    <w:bookmarkStart w:id="9" w:name="Xb23e43e7324299376004e43051c801f8d27d16a"/>
    <w:p>
      <w:pPr>
        <w:pStyle w:val="Heading2"/>
      </w:pPr>
      <w:r>
        <w:t xml:space="preserve">Termo de Colaboração entre a Secretaria Municipal de Saúde de Extrema/MG e o CRIE — Centro de Integração Especial</w:t>
      </w:r>
    </w:p>
    <w:p>
      <w:pPr>
        <w:pStyle w:val="FirstParagraph"/>
      </w:pPr>
      <w:r>
        <w:rPr>
          <w:b/>
          <w:bCs/>
        </w:rPr>
        <w:t xml:space="preserve">Modalidade:</w:t>
      </w:r>
      <w:r>
        <w:t xml:space="preserve"> </w:t>
      </w:r>
      <w:r>
        <w:t xml:space="preserve">Termo de Colaboração (Art. 2.º, VII, Lei Federal n.º 13.019/2014)</w:t>
      </w:r>
      <w:r>
        <w:t xml:space="preserve"> </w:t>
      </w:r>
      <w:r>
        <w:rPr>
          <w:b/>
          <w:bCs/>
        </w:rPr>
        <w:t xml:space="preserve">Fundamentação da Dispensa:</w:t>
      </w:r>
      <w:r>
        <w:t xml:space="preserve"> </w:t>
      </w:r>
      <w:r>
        <w:t xml:space="preserve">Inexigibilidade de chamamento público (Art. 31, Lei Federal n.º 13.019/2014)</w:t>
      </w:r>
      <w:r>
        <w:t xml:space="preserve"> </w:t>
      </w:r>
      <w:r>
        <w:rPr>
          <w:b/>
          <w:bCs/>
        </w:rPr>
        <w:t xml:space="preserve">Versão:</w:t>
      </w:r>
      <w:r>
        <w:t xml:space="preserve"> </w:t>
      </w:r>
      <w:r>
        <w:t xml:space="preserve">1.0</w:t>
      </w:r>
      <w:r>
        <w:t xml:space="preserve"> </w:t>
      </w:r>
      <w:r>
        <w:rPr>
          <w:b/>
          <w:bCs/>
        </w:rPr>
        <w:t xml:space="preserve">Data:</w:t>
      </w:r>
      <w:r>
        <w:t xml:space="preserve"> </w:t>
      </w:r>
      <w:r>
        <w:t xml:space="preserve">Fevereiro de 2026</w:t>
      </w:r>
      <w:r>
        <w:t xml:space="preserve"> </w:t>
      </w:r>
      <w:r>
        <w:rPr>
          <w:b/>
          <w:bCs/>
        </w:rPr>
        <w:t xml:space="preserve">Elaboração:</w:t>
      </w:r>
      <w:r>
        <w:t xml:space="preserve"> </w:t>
      </w:r>
      <w:r>
        <w:t xml:space="preserve">Coordenação de Saúde Mental e Reabilitação — SMS Extrema/MG</w:t>
      </w:r>
    </w:p>
    <w:p>
      <w:r>
        <w:pict>
          <v:rect style="width:0;height:1.5pt" o:hralign="center" o:hrstd="t" o:hr="t"/>
        </w:pict>
      </w:r>
    </w:p>
    <w:bookmarkEnd w:id="9"/>
    <w:bookmarkStart w:id="10" w:name="identificação-das-partes"/>
    <w:p>
      <w:pPr>
        <w:pStyle w:val="Heading2"/>
      </w:pPr>
      <w:r>
        <w:t xml:space="preserve">IDENTIFICAÇÃO DAS PARTES</w:t>
      </w:r>
    </w:p>
    <w:p>
      <w:pPr>
        <w:pStyle w:val="FirstParagraph"/>
      </w:pPr>
      <w:r>
        <w:rPr>
          <w:b/>
          <w:bCs/>
        </w:rPr>
        <w:t xml:space="preserve">ADMINISTRAÇÃO PÚBLICA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Dado</w:t>
            </w:r>
          </w:p>
        </w:tc>
        <w:tc>
          <w:tcPr/>
          <w:p>
            <w:pPr>
              <w:pStyle w:val="Compact"/>
            </w:pPr>
            <w:r>
              <w:t xml:space="preserve">Informação</w:t>
            </w:r>
          </w:p>
        </w:tc>
      </w:tr>
      <w:tr>
        <w:tc>
          <w:tcPr/>
          <w:p>
            <w:pPr>
              <w:pStyle w:val="Compact"/>
            </w:pPr>
            <w:r>
              <w:t xml:space="preserve">Órgão</w:t>
            </w:r>
          </w:p>
        </w:tc>
        <w:tc>
          <w:tcPr/>
          <w:p>
            <w:pPr>
              <w:pStyle w:val="Compact"/>
            </w:pPr>
            <w:r>
              <w:t xml:space="preserve">Secretaria Municipal de Saúde de Extrema</w:t>
            </w:r>
          </w:p>
        </w:tc>
      </w:tr>
      <w:tr>
        <w:tc>
          <w:tcPr/>
          <w:p>
            <w:pPr>
              <w:pStyle w:val="Compact"/>
            </w:pPr>
            <w:r>
              <w:t xml:space="preserve">Município/UF</w:t>
            </w:r>
          </w:p>
        </w:tc>
        <w:tc>
          <w:tcPr/>
          <w:p>
            <w:pPr>
              <w:pStyle w:val="Compact"/>
            </w:pPr>
            <w:r>
              <w:t xml:space="preserve">Extrema/MG</w:t>
            </w:r>
          </w:p>
        </w:tc>
      </w:tr>
      <w:tr>
        <w:tc>
          <w:tcPr/>
          <w:p>
            <w:pPr>
              <w:pStyle w:val="Compact"/>
            </w:pPr>
            <w:r>
              <w:t xml:space="preserve">CNPJ</w:t>
            </w:r>
          </w:p>
        </w:tc>
        <w:tc>
          <w:tcPr/>
          <w:p>
            <w:pPr>
              <w:pStyle w:val="Compact"/>
            </w:pPr>
            <w:r>
              <w:t xml:space="preserve">[A PREENCHER]</w:t>
            </w:r>
          </w:p>
        </w:tc>
      </w:tr>
      <w:tr>
        <w:tc>
          <w:tcPr/>
          <w:p>
            <w:pPr>
              <w:pStyle w:val="Compact"/>
            </w:pPr>
            <w:r>
              <w:t xml:space="preserve">Endereço</w:t>
            </w:r>
          </w:p>
        </w:tc>
        <w:tc>
          <w:tcPr/>
          <w:p>
            <w:pPr>
              <w:pStyle w:val="Compact"/>
            </w:pPr>
            <w:r>
              <w:t xml:space="preserve">[A PREENCHER]</w:t>
            </w:r>
          </w:p>
        </w:tc>
      </w:tr>
      <w:tr>
        <w:tc>
          <w:tcPr/>
          <w:p>
            <w:pPr>
              <w:pStyle w:val="Compact"/>
            </w:pPr>
            <w:r>
              <w:t xml:space="preserve">Responsável</w:t>
            </w:r>
          </w:p>
        </w:tc>
        <w:tc>
          <w:tcPr/>
          <w:p>
            <w:pPr>
              <w:pStyle w:val="Compact"/>
            </w:pPr>
            <w:r>
              <w:t xml:space="preserve">[A PREENCHER — Secretário(a) Municipal de Saúde]</w:t>
            </w:r>
          </w:p>
        </w:tc>
      </w:tr>
      <w:tr>
        <w:tc>
          <w:tcPr/>
          <w:p>
            <w:pPr>
              <w:pStyle w:val="Compact"/>
            </w:pPr>
            <w:r>
              <w:t xml:space="preserve">Telefone/E-mail</w:t>
            </w:r>
          </w:p>
        </w:tc>
        <w:tc>
          <w:tcPr/>
          <w:p>
            <w:pPr>
              <w:pStyle w:val="Compact"/>
            </w:pPr>
            <w:r>
              <w:t xml:space="preserve">[A PREENCHER]</w:t>
            </w:r>
          </w:p>
        </w:tc>
      </w:tr>
    </w:tbl>
    <w:p>
      <w:pPr>
        <w:pStyle w:val="BodyText"/>
      </w:pPr>
      <w:r>
        <w:rPr>
          <w:b/>
          <w:bCs/>
        </w:rPr>
        <w:t xml:space="preserve">ORGANIZAÇÃO DA SOCIEDADE CIVIL (OSC)</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Dado</w:t>
            </w:r>
          </w:p>
        </w:tc>
        <w:tc>
          <w:tcPr/>
          <w:p>
            <w:pPr>
              <w:pStyle w:val="Compact"/>
            </w:pPr>
            <w:r>
              <w:t xml:space="preserve">Informação</w:t>
            </w:r>
          </w:p>
        </w:tc>
      </w:tr>
      <w:tr>
        <w:tc>
          <w:tcPr/>
          <w:p>
            <w:pPr>
              <w:pStyle w:val="Compact"/>
            </w:pPr>
            <w:r>
              <w:t xml:space="preserve">Instituição</w:t>
            </w:r>
          </w:p>
        </w:tc>
        <w:tc>
          <w:tcPr/>
          <w:p>
            <w:pPr>
              <w:pStyle w:val="Compact"/>
            </w:pPr>
            <w:r>
              <w:t xml:space="preserve">CRIE — Centro de Integração Especial</w:t>
            </w:r>
          </w:p>
        </w:tc>
      </w:tr>
      <w:tr>
        <w:tc>
          <w:tcPr/>
          <w:p>
            <w:pPr>
              <w:pStyle w:val="Compact"/>
            </w:pPr>
            <w:r>
              <w:t xml:space="preserve">CNPJ</w:t>
            </w:r>
          </w:p>
        </w:tc>
        <w:tc>
          <w:tcPr/>
          <w:p>
            <w:pPr>
              <w:pStyle w:val="Compact"/>
            </w:pPr>
            <w:r>
              <w:t xml:space="preserve">25.651.282/0001-18</w:t>
            </w:r>
          </w:p>
        </w:tc>
      </w:tr>
      <w:tr>
        <w:tc>
          <w:tcPr/>
          <w:p>
            <w:pPr>
              <w:pStyle w:val="Compact"/>
            </w:pPr>
            <w:r>
              <w:t xml:space="preserve">CNES</w:t>
            </w:r>
          </w:p>
        </w:tc>
        <w:tc>
          <w:tcPr/>
          <w:p>
            <w:pPr>
              <w:pStyle w:val="Compact"/>
            </w:pPr>
            <w:r>
              <w:t xml:space="preserve">4364295</w:t>
            </w:r>
          </w:p>
        </w:tc>
      </w:tr>
      <w:tr>
        <w:tc>
          <w:tcPr/>
          <w:p>
            <w:pPr>
              <w:pStyle w:val="Compact"/>
            </w:pPr>
            <w:r>
              <w:t xml:space="preserve">Endereço</w:t>
            </w:r>
          </w:p>
        </w:tc>
        <w:tc>
          <w:tcPr/>
          <w:p>
            <w:pPr>
              <w:pStyle w:val="Compact"/>
            </w:pPr>
            <w:r>
              <w:t xml:space="preserve">Rua Véu da Noiva, n.º 62, Bairro Ponte Nova, Extrema/MG, CEP 37642-434</w:t>
            </w:r>
          </w:p>
        </w:tc>
      </w:tr>
      <w:tr>
        <w:tc>
          <w:tcPr/>
          <w:p>
            <w:pPr>
              <w:pStyle w:val="Compact"/>
            </w:pPr>
            <w:r>
              <w:t xml:space="preserve">Filiação</w:t>
            </w:r>
          </w:p>
        </w:tc>
        <w:tc>
          <w:tcPr/>
          <w:p>
            <w:pPr>
              <w:pStyle w:val="Compact"/>
            </w:pPr>
            <w:r>
              <w:t xml:space="preserve">Federação Nacional das APAEs (desde maio/2005)</w:t>
            </w:r>
          </w:p>
        </w:tc>
      </w:tr>
      <w:tr>
        <w:tc>
          <w:tcPr/>
          <w:p>
            <w:pPr>
              <w:pStyle w:val="Compact"/>
            </w:pPr>
            <w:r>
              <w:t xml:space="preserve">Telefone</w:t>
            </w:r>
          </w:p>
        </w:tc>
        <w:tc>
          <w:tcPr/>
          <w:p>
            <w:pPr>
              <w:pStyle w:val="Compact"/>
            </w:pPr>
            <w:r>
              <w:t xml:space="preserve">(35) 98423-5789</w:t>
            </w:r>
          </w:p>
        </w:tc>
      </w:tr>
      <w:tr>
        <w:tc>
          <w:tcPr/>
          <w:p>
            <w:pPr>
              <w:pStyle w:val="Compact"/>
            </w:pPr>
            <w:r>
              <w:t xml:space="preserve">E-mail</w:t>
            </w:r>
          </w:p>
        </w:tc>
        <w:tc>
          <w:tcPr/>
          <w:p>
            <w:pPr>
              <w:pStyle w:val="Compact"/>
            </w:pPr>
            <w:r>
              <w:t xml:space="preserve">crieespecial@yahoo.com.br</w:t>
            </w:r>
          </w:p>
        </w:tc>
      </w:tr>
    </w:tbl>
    <w:p>
      <w:r>
        <w:pict>
          <v:rect style="width:0;height:1.5pt" o:hralign="center" o:hrstd="t" o:hr="t"/>
        </w:pict>
      </w:r>
    </w:p>
    <w:bookmarkEnd w:id="10"/>
    <w:bookmarkStart w:id="11" w:name="X6c4fec3658cce225cc1157a470826f6b7db86b0"/>
    <w:p>
      <w:pPr>
        <w:pStyle w:val="Heading2"/>
      </w:pPr>
      <w:r>
        <w:t xml:space="preserve">ETAPA 1 — JUSTIFICATIVA TÉCNICA DA INEXIGIBILIDADE</w:t>
      </w:r>
    </w:p>
    <w:bookmarkEnd w:id="11"/>
    <w:bookmarkStart w:id="19" w:name="fundamentação-legal"/>
    <w:p>
      <w:pPr>
        <w:pStyle w:val="Heading2"/>
      </w:pPr>
      <w:r>
        <w:t xml:space="preserve">1. Fundamentação Legal</w:t>
      </w:r>
    </w:p>
    <w:p>
      <w:pPr>
        <w:pStyle w:val="FirstParagraph"/>
      </w:pPr>
      <w:r>
        <w:t xml:space="preserve">A presente parceria será celebrada com inexigibilidade de chamamento público, nos termos do Art. 31 da Lei Federal n.º 13.019/2014 c/c Art. 18 do Decreto Estadual de Minas Gerais n.º 47.132/2017, que autoriza a dispensa de chamamento público quando a natureza singular do objeto ou as condições específicas da atividade tornam inviável a competição entre organizações da sociedade civil.</w:t>
      </w:r>
    </w:p>
    <w:p>
      <w:pPr>
        <w:pStyle w:val="BodyText"/>
      </w:pPr>
      <w:r>
        <w:t xml:space="preserve">A inexigibilidade fundamenta-se nos seguintes elementos cumulativos:</w:t>
      </w:r>
    </w:p>
    <w:bookmarkStart w:id="12" w:name="X4b2daef090dd0f1b5194b7bb6439211ee2d7832"/>
    <w:p>
      <w:pPr>
        <w:pStyle w:val="Heading3"/>
      </w:pPr>
      <w:r>
        <w:t xml:space="preserve">1.1. Singularidade da OSC no Território Municipal</w:t>
      </w:r>
    </w:p>
    <w:p>
      <w:pPr>
        <w:pStyle w:val="FirstParagraph"/>
      </w:pPr>
      <w:r>
        <w:t xml:space="preserve">O CRIE — Centro de Integração Especial constitui a única organização da sociedade civil em Extrema/MG com capacidade técnica, infraestrutura especializada e histórico institucional comprovado para a prestação de serviços de reabilitação intelectual e do neurodesenvolvimento em regime de cuidado integral. Esta singularidade configura inviabilidade de competição, uma vez que não há outra entidade no município apta a executar o objeto da parceria com equivalente nível de qualificação e integralidade.</w:t>
      </w:r>
    </w:p>
    <w:p>
      <w:pPr>
        <w:pStyle w:val="BodyText"/>
      </w:pPr>
      <w:r>
        <w:rPr>
          <w:b/>
          <w:bCs/>
        </w:rPr>
        <w:t xml:space="preserve">Elementos diferenciadores da singularidade:</w:t>
      </w:r>
    </w:p>
    <w:p>
      <w:pPr>
        <w:numPr>
          <w:ilvl w:val="0"/>
          <w:numId w:val="1001"/>
        </w:numPr>
      </w:pPr>
      <w:r>
        <w:rPr>
          <w:b/>
          <w:bCs/>
        </w:rPr>
        <w:t xml:space="preserve">Infraestrutura especializada exclusiva:</w:t>
      </w:r>
      <w:r>
        <w:t xml:space="preserve"> </w:t>
      </w:r>
      <w:r>
        <w:t xml:space="preserve">O CRIE dispõe de sede própria com salas de atendimento individual e grupal, equipamentos terapêuticos especializados e piscina adaptada para atividades aquáticas terapêuticas — infraestrutura inexistente em qualquer outro estabelecimento de saúde do município, público ou privado;</w:t>
      </w:r>
    </w:p>
    <w:p>
      <w:pPr>
        <w:numPr>
          <w:ilvl w:val="0"/>
          <w:numId w:val="1001"/>
        </w:numPr>
      </w:pPr>
      <w:r>
        <w:rPr>
          <w:b/>
          <w:bCs/>
        </w:rPr>
        <w:t xml:space="preserve">Equipe multiprofissional consolidada:</w:t>
      </w:r>
      <w:r>
        <w:t xml:space="preserve"> </w:t>
      </w:r>
      <w:r>
        <w:t xml:space="preserve">A instituição mantém corpo técnico qualificado nas áreas de Fisioterapia, Fonoaudiologia, Psicologia, Terapia Ocupacional, Serviço Social e Educação Física, com experiência acumulada no atendimento a pessoas com Deficiência Intelectual (DI) e Transtorno do Espectro Autista (TEA);</w:t>
      </w:r>
    </w:p>
    <w:p>
      <w:pPr>
        <w:numPr>
          <w:ilvl w:val="0"/>
          <w:numId w:val="1001"/>
        </w:numPr>
      </w:pPr>
      <w:r>
        <w:rPr>
          <w:b/>
          <w:bCs/>
        </w:rPr>
        <w:t xml:space="preserve">Modelo de cuidado integral vs. atendimento fragmentado:</w:t>
      </w:r>
      <w:r>
        <w:t xml:space="preserve"> </w:t>
      </w:r>
      <w:r>
        <w:t xml:space="preserve">Diferentemente de clínicas privadas que ofertam atendimentos isolados por especialidade (modelo fragmentado), o CRIE opera com modelo de cuidado integral — Projeto Terapêutico Singular (PTS) construído por equipe multiprofissional, intervenções coordenadas, orientação familiar vinculada ao plano terapêutico e acompanhamento longitudinal. Este modelo é o preconizado pela Linha de Cuidado para Pessoas com TEA do Ministério da Saúde (2025) e pela Lei Brasileira de Inclusão (Lei n.º 13.146/2015, Art. 14);</w:t>
      </w:r>
    </w:p>
    <w:p>
      <w:pPr>
        <w:numPr>
          <w:ilvl w:val="0"/>
          <w:numId w:val="1001"/>
        </w:numPr>
      </w:pPr>
      <w:r>
        <w:rPr>
          <w:b/>
          <w:bCs/>
        </w:rPr>
        <w:t xml:space="preserve">Capacidade de atendimento em todas as faixas etárias:</w:t>
      </w:r>
      <w:r>
        <w:t xml:space="preserve"> </w:t>
      </w:r>
      <w:r>
        <w:t xml:space="preserve">O CRIE atende desde neonatos de risco (estimulação precoce, 0-3 anos) até adultos com DI/TEA, garantindo continuidade assistencial ao longo do ciclo de vida — requisito específico do Serviço Especializado de Reabilitação em Deficiência Intelectual (SERDI), conforme Art. 6.º da Deliberação CIB-SUS/MG n.º 1.403/2013.</w:t>
      </w:r>
    </w:p>
    <w:bookmarkEnd w:id="12"/>
    <w:bookmarkStart w:id="13" w:name="X28237541e55f08a374744eec703afdd05542891"/>
    <w:p>
      <w:pPr>
        <w:pStyle w:val="Heading3"/>
      </w:pPr>
      <w:r>
        <w:t xml:space="preserve">1.2. Histórico Institucional e Reconhecimento Público</w:t>
      </w:r>
    </w:p>
    <w:p>
      <w:pPr>
        <w:pStyle w:val="FirstParagraph"/>
      </w:pPr>
      <w:r>
        <w:t xml:space="preserve">O CRIE possui mais de 34 anos de atuação ininterrupta em Extrema (fundado em 1991), constituindo referência consolidada no atendimento a pessoas com deficiência no município e região.</w:t>
      </w:r>
    </w:p>
    <w:p>
      <w:pPr>
        <w:pStyle w:val="BodyText"/>
      </w:pPr>
      <w:r>
        <w:rPr>
          <w:b/>
          <w:bCs/>
        </w:rPr>
        <w:t xml:space="preserve">Trajetória institucional:</w:t>
      </w:r>
    </w:p>
    <w:tbl>
      <w:tblPr>
        <w:tblStyle w:val="Table"/>
        <w:tblW w:type="pct" w:w="5000"/>
        <w:tblLayout w:type="fixed"/>
        <w:tblLook w:firstRow="1" w:lastRow="0" w:firstColumn="0" w:lastColumn="0" w:noHBand="0" w:noVBand="0" w:val="0020"/>
      </w:tblPr>
      <w:tblGrid>
        <w:gridCol w:w="2410"/>
        <w:gridCol w:w="1721"/>
        <w:gridCol w:w="3787"/>
      </w:tblGrid>
      <w:tr>
        <w:trPr>
          <w:tblHeader w:val="on"/>
        </w:trPr>
        <w:tc>
          <w:tcPr/>
          <w:p>
            <w:pPr>
              <w:pStyle w:val="Compact"/>
            </w:pPr>
            <w:r>
              <w:t xml:space="preserve">Marco</w:t>
            </w:r>
          </w:p>
        </w:tc>
        <w:tc>
          <w:tcPr/>
          <w:p>
            <w:pPr>
              <w:pStyle w:val="Compact"/>
            </w:pPr>
            <w:r>
              <w:t xml:space="preserve">Ano</w:t>
            </w:r>
          </w:p>
        </w:tc>
        <w:tc>
          <w:tcPr/>
          <w:p>
            <w:pPr>
              <w:pStyle w:val="Compact"/>
            </w:pPr>
            <w:r>
              <w:t xml:space="preserve">Descrição</w:t>
            </w:r>
          </w:p>
        </w:tc>
      </w:tr>
      <w:tr>
        <w:tc>
          <w:tcPr/>
          <w:p>
            <w:pPr>
              <w:pStyle w:val="Compact"/>
            </w:pPr>
            <w:r>
              <w:t xml:space="preserve">Fundação</w:t>
            </w:r>
          </w:p>
        </w:tc>
        <w:tc>
          <w:tcPr/>
          <w:p>
            <w:pPr>
              <w:pStyle w:val="Compact"/>
            </w:pPr>
            <w:r>
              <w:t xml:space="preserve">1991</w:t>
            </w:r>
          </w:p>
        </w:tc>
        <w:tc>
          <w:tcPr/>
          <w:p>
            <w:pPr>
              <w:pStyle w:val="Compact"/>
            </w:pPr>
            <w:r>
              <w:t xml:space="preserve">Início das atividades em Extrema/MG</w:t>
            </w:r>
          </w:p>
        </w:tc>
      </w:tr>
      <w:tr>
        <w:tc>
          <w:tcPr/>
          <w:p>
            <w:pPr>
              <w:pStyle w:val="Compact"/>
            </w:pPr>
            <w:r>
              <w:t xml:space="preserve">Filiação FENAPAES</w:t>
            </w:r>
          </w:p>
        </w:tc>
        <w:tc>
          <w:tcPr/>
          <w:p>
            <w:pPr>
              <w:pStyle w:val="Compact"/>
            </w:pPr>
            <w:r>
              <w:t xml:space="preserve">2005</w:t>
            </w:r>
          </w:p>
        </w:tc>
        <w:tc>
          <w:tcPr/>
          <w:p>
            <w:pPr>
              <w:pStyle w:val="Compact"/>
            </w:pPr>
            <w:r>
              <w:t xml:space="preserve">Adesão à Federação Nacional das APAEs</w:t>
            </w:r>
          </w:p>
        </w:tc>
      </w:tr>
      <w:tr>
        <w:tc>
          <w:tcPr/>
          <w:p>
            <w:pPr>
              <w:pStyle w:val="Compact"/>
            </w:pPr>
            <w:r>
              <w:t xml:space="preserve">Utilidade Pública Estadual</w:t>
            </w:r>
          </w:p>
        </w:tc>
        <w:tc>
          <w:tcPr/>
          <w:p>
            <w:pPr>
              <w:pStyle w:val="Compact"/>
            </w:pPr>
            <w:r>
              <w:t xml:space="preserve">2006</w:t>
            </w:r>
          </w:p>
        </w:tc>
        <w:tc>
          <w:tcPr/>
          <w:p>
            <w:pPr>
              <w:pStyle w:val="Compact"/>
            </w:pPr>
            <w:r>
              <w:t xml:space="preserve">Reconhecimento pelo Estado de Minas Gerais</w:t>
            </w:r>
          </w:p>
        </w:tc>
      </w:tr>
      <w:tr>
        <w:tc>
          <w:tcPr/>
          <w:p>
            <w:pPr>
              <w:pStyle w:val="Compact"/>
            </w:pPr>
            <w:r>
              <w:t xml:space="preserve">Cidadão Honorário Extremense</w:t>
            </w:r>
          </w:p>
        </w:tc>
        <w:tc>
          <w:tcPr/>
          <w:p>
            <w:pPr>
              <w:pStyle w:val="Compact"/>
            </w:pPr>
            <w:r>
              <w:t xml:space="preserve">2007</w:t>
            </w:r>
          </w:p>
        </w:tc>
        <w:tc>
          <w:tcPr/>
          <w:p>
            <w:pPr>
              <w:pStyle w:val="Compact"/>
            </w:pPr>
            <w:r>
              <w:t xml:space="preserve">Honraria municipal aos dirigentes</w:t>
            </w:r>
          </w:p>
        </w:tc>
      </w:tr>
      <w:tr>
        <w:tc>
          <w:tcPr/>
          <w:p>
            <w:pPr>
              <w:pStyle w:val="Compact"/>
            </w:pPr>
            <w:r>
              <w:t xml:space="preserve">Utilidade Pública Federal</w:t>
            </w:r>
          </w:p>
        </w:tc>
        <w:tc>
          <w:tcPr/>
          <w:p>
            <w:pPr>
              <w:pStyle w:val="Compact"/>
            </w:pPr>
            <w:r>
              <w:t xml:space="preserve">2010</w:t>
            </w:r>
          </w:p>
        </w:tc>
        <w:tc>
          <w:tcPr/>
          <w:p>
            <w:pPr>
              <w:pStyle w:val="Compact"/>
            </w:pPr>
            <w:r>
              <w:t xml:space="preserve">Reconhecimento pela União</w:t>
            </w:r>
          </w:p>
        </w:tc>
      </w:tr>
      <w:tr>
        <w:tc>
          <w:tcPr/>
          <w:p>
            <w:pPr>
              <w:pStyle w:val="Compact"/>
            </w:pPr>
            <w:r>
              <w:t xml:space="preserve">CEBAS</w:t>
            </w:r>
          </w:p>
        </w:tc>
        <w:tc>
          <w:tcPr/>
          <w:p>
            <w:pPr>
              <w:pStyle w:val="Compact"/>
            </w:pPr>
            <w:r>
              <w:t xml:space="preserve">2016</w:t>
            </w:r>
          </w:p>
        </w:tc>
        <w:tc>
          <w:tcPr/>
          <w:p>
            <w:pPr>
              <w:pStyle w:val="Compact"/>
            </w:pPr>
            <w:r>
              <w:t xml:space="preserve">Certificado de Entidade Beneficente de Assistência Social</w:t>
            </w:r>
          </w:p>
        </w:tc>
      </w:tr>
      <w:tr>
        <w:tc>
          <w:tcPr/>
          <w:p>
            <w:pPr>
              <w:pStyle w:val="Compact"/>
            </w:pPr>
            <w:r>
              <w:t xml:space="preserve">CAEE</w:t>
            </w:r>
          </w:p>
        </w:tc>
        <w:tc>
          <w:tcPr/>
          <w:p>
            <w:pPr>
              <w:pStyle w:val="Compact"/>
            </w:pPr>
            <w:r>
              <w:t xml:space="preserve">2016</w:t>
            </w:r>
          </w:p>
        </w:tc>
        <w:tc>
          <w:tcPr/>
          <w:p>
            <w:pPr>
              <w:pStyle w:val="Compact"/>
            </w:pPr>
            <w:r>
              <w:t xml:space="preserve">Autorização de funcionamento como Centro de Atendimento Educacional Especializado</w:t>
            </w:r>
          </w:p>
        </w:tc>
      </w:tr>
    </w:tbl>
    <w:p>
      <w:pPr>
        <w:pStyle w:val="BodyText"/>
      </w:pPr>
      <w:r>
        <w:rPr>
          <w:b/>
          <w:bCs/>
        </w:rPr>
        <w:t xml:space="preserve">Participação em órgãos colegiados:</w:t>
      </w:r>
      <w:r>
        <w:t xml:space="preserve"> </w:t>
      </w:r>
      <w:r>
        <w:t xml:space="preserve">- Conselho Municipal dos Direitos da Criança e do Adolescente</w:t>
      </w:r>
      <w:r>
        <w:t xml:space="preserve"> </w:t>
      </w:r>
      <w:r>
        <w:t xml:space="preserve">- Conselho Municipal de Assistência Social</w:t>
      </w:r>
      <w:r>
        <w:t xml:space="preserve"> </w:t>
      </w:r>
      <w:r>
        <w:t xml:space="preserve">- Conselho Municipal de Educação</w:t>
      </w:r>
    </w:p>
    <w:bookmarkEnd w:id="13"/>
    <w:bookmarkStart w:id="14" w:name="X9070bc7baa79da2cd49bf2716530a5b33a882a8"/>
    <w:p>
      <w:pPr>
        <w:pStyle w:val="Heading3"/>
      </w:pPr>
      <w:r>
        <w:t xml:space="preserve">1.3. Ampliação de Escopo e Alinhamento Normativo</w:t>
      </w:r>
    </w:p>
    <w:p>
      <w:pPr>
        <w:pStyle w:val="FirstParagraph"/>
      </w:pPr>
      <w:r>
        <w:t xml:space="preserve">A presente parceria representa ampliação significativa em relação a parcerias anteriores, incorporando:</w:t>
      </w:r>
    </w:p>
    <w:p>
      <w:pPr>
        <w:numPr>
          <w:ilvl w:val="0"/>
          <w:numId w:val="1002"/>
        </w:numPr>
      </w:pPr>
      <w:r>
        <w:rPr>
          <w:b/>
          <w:bCs/>
        </w:rPr>
        <w:t xml:space="preserve">Serviços novos:</w:t>
      </w:r>
      <w:r>
        <w:t xml:space="preserve"> </w:t>
      </w:r>
      <w:r>
        <w:t xml:space="preserve">Atividades aquáticas terapêuticas (natação adaptada e hidroginástica) para todas as faixas etárias; atendimento de Terapia Ocupacional, Fonoaudiologia e Serviço Social (anteriormente não contratados); grupos de apoio psicossocial a familiares e cuidadores;</w:t>
      </w:r>
    </w:p>
    <w:p>
      <w:pPr>
        <w:numPr>
          <w:ilvl w:val="0"/>
          <w:numId w:val="1002"/>
        </w:numPr>
      </w:pPr>
      <w:r>
        <w:rPr>
          <w:b/>
          <w:bCs/>
        </w:rPr>
        <w:t xml:space="preserve">Ampliação de público:</w:t>
      </w:r>
      <w:r>
        <w:t xml:space="preserve"> </w:t>
      </w:r>
      <w:r>
        <w:t xml:space="preserve">Extensão do atendimento a adultos com DI (anteriormente restrito a crianças e adolescentes) e a neonatos de risco para estimulação precoce avançada (Programa PIPA — Deliberação CIB-SUS/MG n.º 1.404/2013);</w:t>
      </w:r>
    </w:p>
    <w:p>
      <w:pPr>
        <w:numPr>
          <w:ilvl w:val="0"/>
          <w:numId w:val="1002"/>
        </w:numPr>
      </w:pPr>
      <w:r>
        <w:rPr>
          <w:b/>
          <w:bCs/>
        </w:rPr>
        <w:t xml:space="preserve">Habilitação SERDI:</w:t>
      </w:r>
      <w:r>
        <w:t xml:space="preserve"> </w:t>
      </w:r>
      <w:r>
        <w:t xml:space="preserve">Estruturação do serviço para atender aos requisitos da Deliberação CIB-SUS/MG n.º 1.403/2013 e da Resolução SES/MG n.º 10.687/2025, viabilizando captação de cofinanciamento estadual e federal;</w:t>
      </w:r>
    </w:p>
    <w:p>
      <w:pPr>
        <w:numPr>
          <w:ilvl w:val="0"/>
          <w:numId w:val="1002"/>
        </w:numPr>
      </w:pPr>
      <w:r>
        <w:rPr>
          <w:b/>
          <w:bCs/>
        </w:rPr>
        <w:t xml:space="preserve">Educação permanente:</w:t>
      </w:r>
      <w:r>
        <w:t xml:space="preserve"> </w:t>
      </w:r>
      <w:r>
        <w:t xml:space="preserve">Inclusão de programa de capacitação continuada da equipe, conforme Art. 7.º da Deliberação CIB-SUS/MG n.º 1.403/2013 (3 capacitações quadrimestrais) e Resolução SES/MG n.º 10.701/2025 (financiamento excepcional para capacitação).</w:t>
      </w:r>
    </w:p>
    <w:bookmarkEnd w:id="14"/>
    <w:bookmarkStart w:id="15" w:name="alinhamento-com-políticas-públicas"/>
    <w:p>
      <w:pPr>
        <w:pStyle w:val="Heading3"/>
      </w:pPr>
      <w:r>
        <w:t xml:space="preserve">1.4. Alinhamento com Políticas Públicas</w:t>
      </w:r>
    </w:p>
    <w:p>
      <w:pPr>
        <w:pStyle w:val="FirstParagraph"/>
      </w:pPr>
      <w:r>
        <w:t xml:space="preserve">A parceria atende diretamente:</w:t>
      </w:r>
    </w:p>
    <w:p>
      <w:pPr>
        <w:pStyle w:val="Compact"/>
        <w:numPr>
          <w:ilvl w:val="0"/>
          <w:numId w:val="1003"/>
        </w:numPr>
      </w:pPr>
      <w:r>
        <w:rPr>
          <w:b/>
          <w:bCs/>
        </w:rPr>
        <w:t xml:space="preserve">Lei Federal n.º 13.146/2015</w:t>
      </w:r>
      <w:r>
        <w:t xml:space="preserve"> </w:t>
      </w:r>
      <w:r>
        <w:t xml:space="preserve">(Estatuto da Pessoa com Deficiência — LBI): direito à habilitação e reabilitação em todas as fases da vida (Art. 14);</w:t>
      </w:r>
    </w:p>
    <w:p>
      <w:pPr>
        <w:pStyle w:val="Compact"/>
        <w:numPr>
          <w:ilvl w:val="0"/>
          <w:numId w:val="1003"/>
        </w:numPr>
      </w:pPr>
      <w:r>
        <w:rPr>
          <w:b/>
          <w:bCs/>
        </w:rPr>
        <w:t xml:space="preserve">Lei Federal n.º 10.216/2001</w:t>
      </w:r>
      <w:r>
        <w:t xml:space="preserve">: proteção e direitos das pessoas com transtornos mentais;</w:t>
      </w:r>
    </w:p>
    <w:p>
      <w:pPr>
        <w:pStyle w:val="Compact"/>
        <w:numPr>
          <w:ilvl w:val="0"/>
          <w:numId w:val="1003"/>
        </w:numPr>
      </w:pPr>
      <w:r>
        <w:rPr>
          <w:b/>
          <w:bCs/>
        </w:rPr>
        <w:t xml:space="preserve">Lei Federal n.º 12.764/2012</w:t>
      </w:r>
      <w:r>
        <w:t xml:space="preserve"> </w:t>
      </w:r>
      <w:r>
        <w:t xml:space="preserve">(Lei Berenice Piana): direitos da pessoa com TEA;</w:t>
      </w:r>
    </w:p>
    <w:p>
      <w:pPr>
        <w:pStyle w:val="Compact"/>
        <w:numPr>
          <w:ilvl w:val="0"/>
          <w:numId w:val="1003"/>
        </w:numPr>
      </w:pPr>
      <w:r>
        <w:rPr>
          <w:b/>
          <w:bCs/>
        </w:rPr>
        <w:t xml:space="preserve">Portaria GM/MS n.º 1.526/2023</w:t>
      </w:r>
      <w:r>
        <w:t xml:space="preserve">: Política Nacional de Saúde da Pessoa com Deficiência e Rede de Cuidados à Pessoa com Deficiência (RCPD) no âmbito do SUS;</w:t>
      </w:r>
    </w:p>
    <w:p>
      <w:pPr>
        <w:pStyle w:val="Compact"/>
        <w:numPr>
          <w:ilvl w:val="0"/>
          <w:numId w:val="1003"/>
        </w:numPr>
      </w:pPr>
      <w:r>
        <w:rPr>
          <w:b/>
          <w:bCs/>
        </w:rPr>
        <w:t xml:space="preserve">Linha de Cuidado TEA/MS 2025</w:t>
      </w:r>
      <w:r>
        <w:t xml:space="preserve">: modelo de atenção integral baseado em evidências;</w:t>
      </w:r>
    </w:p>
    <w:p>
      <w:pPr>
        <w:pStyle w:val="Compact"/>
        <w:numPr>
          <w:ilvl w:val="0"/>
          <w:numId w:val="1003"/>
        </w:numPr>
      </w:pPr>
      <w:r>
        <w:rPr>
          <w:b/>
          <w:bCs/>
        </w:rPr>
        <w:t xml:space="preserve">Deliberação CIB-SUS/MG n.º 1.403/2013</w:t>
      </w:r>
      <w:r>
        <w:t xml:space="preserve">: instituição do SERDI no âmbito SUS/MG;</w:t>
      </w:r>
    </w:p>
    <w:p>
      <w:pPr>
        <w:pStyle w:val="Compact"/>
        <w:numPr>
          <w:ilvl w:val="0"/>
          <w:numId w:val="1003"/>
        </w:numPr>
      </w:pPr>
      <w:r>
        <w:rPr>
          <w:b/>
          <w:bCs/>
        </w:rPr>
        <w:t xml:space="preserve">Resolução SES/MG n.º 10.687/2025</w:t>
      </w:r>
      <w:r>
        <w:t xml:space="preserve">: atualização operacional e financeira dos SERDI;</w:t>
      </w:r>
    </w:p>
    <w:p>
      <w:pPr>
        <w:pStyle w:val="Compact"/>
        <w:numPr>
          <w:ilvl w:val="0"/>
          <w:numId w:val="1003"/>
        </w:numPr>
      </w:pPr>
      <w:r>
        <w:rPr>
          <w:b/>
          <w:bCs/>
        </w:rPr>
        <w:t xml:space="preserve">Deliberação CIB-SUS/MG n.º 1.404/2013</w:t>
      </w:r>
      <w:r>
        <w:t xml:space="preserve">: Programa de Intervenção Precoce Avançado (PIPA).</w:t>
      </w:r>
    </w:p>
    <w:bookmarkEnd w:id="15"/>
    <w:bookmarkStart w:id="16" w:name="dois-escopos-contratualizados-distintos"/>
    <w:p>
      <w:pPr>
        <w:pStyle w:val="Heading3"/>
      </w:pPr>
      <w:r>
        <w:t xml:space="preserve">1.5. Dois Escopos Contratualizados Distintos</w:t>
      </w:r>
    </w:p>
    <w:p>
      <w:pPr>
        <w:pStyle w:val="FirstParagraph"/>
      </w:pPr>
      <w:r>
        <w:t xml:space="preserve">Para garantir conformidade normativa, transparência na prestação de contas e rastreabilidade financeira, a parceria contempla dois escopos estruturalmente separados:</w:t>
      </w:r>
    </w:p>
    <w:p>
      <w:pPr>
        <w:numPr>
          <w:ilvl w:val="0"/>
          <w:numId w:val="1004"/>
        </w:numPr>
      </w:pPr>
      <w:r>
        <w:rPr>
          <w:b/>
          <w:bCs/>
        </w:rPr>
        <w:t xml:space="preserve">Escopo 1 — SERDI:</w:t>
      </w:r>
      <w:r>
        <w:t xml:space="preserve"> </w:t>
      </w:r>
      <w:r>
        <w:t xml:space="preserve">Serviço Especializado de Reabilitação em Deficiência Intelectual, nos termos da Deliberação CIB-SUS/MG n.º 1.403/2013 e Resolução SES/MG n.º 10.687/2025, com equipe multiprofissional dedicada (Fisioterapia, Fonoaudiologia, Psicologia, Terapia Ocupacional, Serviço Social) e metas vinculadas ao cofinanciamento estadual;</w:t>
      </w:r>
    </w:p>
    <w:p>
      <w:pPr>
        <w:numPr>
          <w:ilvl w:val="0"/>
          <w:numId w:val="1004"/>
        </w:numPr>
      </w:pPr>
      <w:r>
        <w:rPr>
          <w:b/>
          <w:bCs/>
        </w:rPr>
        <w:t xml:space="preserve">Escopo 2 — Serviços Suplementares de Saúde:</w:t>
      </w:r>
      <w:r>
        <w:t xml:space="preserve"> </w:t>
      </w:r>
      <w:r>
        <w:t xml:space="preserve">Atividades complementares que, embora legítimas e relevantes para a integralidade do cuidado, extrapolam o escopo técnico estrito do SERDI — compreendendo atividades aquáticas terapêuticas e grupos de apoio psicossocial a familiares.</w:t>
      </w:r>
    </w:p>
    <w:p>
      <w:pPr>
        <w:pStyle w:val="FirstParagraph"/>
      </w:pPr>
      <w:r>
        <w:t xml:space="preserve">A segregação dos escopos impede contabilização cruzada de procedimentos, facilita auditorias e garante que cada fonte de recurso custeia exclusivamente as atividades a ela vinculadas.</w:t>
      </w:r>
    </w:p>
    <w:bookmarkEnd w:id="16"/>
    <w:bookmarkStart w:id="17" w:name="X14e115e03e3d30991d85e2a778be8b8737b4875"/>
    <w:p>
      <w:pPr>
        <w:pStyle w:val="Heading3"/>
      </w:pPr>
      <w:r>
        <w:t xml:space="preserve">1.6. Requisitos Procedimentais da Inexigibilidade</w:t>
      </w:r>
    </w:p>
    <w:p>
      <w:pPr>
        <w:pStyle w:val="FirstParagraph"/>
      </w:pPr>
      <w:r>
        <w:t xml:space="preserve">A celebração da parceria por inexigibilidade de chamamento público exige o cumprimento sequencial dos seguintes requisitos legais, sob pena de nulidade:</w:t>
      </w:r>
    </w:p>
    <w:tbl>
      <w:tblPr>
        <w:tblStyle w:val="Table"/>
        <w:tblW w:type="pct" w:w="5000"/>
        <w:tblLayout w:type="fixed"/>
        <w:tblLook w:firstRow="1" w:lastRow="0" w:firstColumn="0" w:lastColumn="0" w:noHBand="0" w:noVBand="0" w:val="0020"/>
      </w:tblPr>
      <w:tblGrid>
        <w:gridCol w:w="1087"/>
        <w:gridCol w:w="2484"/>
        <w:gridCol w:w="2329"/>
        <w:gridCol w:w="2018"/>
      </w:tblGrid>
      <w:tr>
        <w:trPr>
          <w:tblHeader w:val="on"/>
        </w:trPr>
        <w:tc>
          <w:tcPr/>
          <w:p>
            <w:pPr>
              <w:pStyle w:val="Compact"/>
            </w:pPr>
            <w:r>
              <w:t xml:space="preserve">Etapa</w:t>
            </w:r>
          </w:p>
        </w:tc>
        <w:tc>
          <w:tcPr/>
          <w:p>
            <w:pPr>
              <w:pStyle w:val="Compact"/>
            </w:pPr>
            <w:r>
              <w:t xml:space="preserve">Requisito Legal</w:t>
            </w:r>
          </w:p>
        </w:tc>
        <w:tc>
          <w:tcPr/>
          <w:p>
            <w:pPr>
              <w:pStyle w:val="Compact"/>
            </w:pPr>
            <w:r>
              <w:t xml:space="preserve">Fundamentação</w:t>
            </w:r>
          </w:p>
        </w:tc>
        <w:tc>
          <w:tcPr/>
          <w:p>
            <w:pPr>
              <w:pStyle w:val="Compact"/>
            </w:pPr>
            <w:r>
              <w:t xml:space="preserve">Responsável</w:t>
            </w:r>
          </w:p>
        </w:tc>
      </w:tr>
      <w:tr>
        <w:tc>
          <w:tcPr/>
          <w:p>
            <w:pPr>
              <w:pStyle w:val="Compact"/>
            </w:pPr>
            <w:r>
              <w:t xml:space="preserve">1</w:t>
            </w:r>
          </w:p>
        </w:tc>
        <w:tc>
          <w:tcPr/>
          <w:p>
            <w:pPr>
              <w:pStyle w:val="Compact"/>
            </w:pPr>
            <w:r>
              <w:rPr>
                <w:b/>
                <w:bCs/>
              </w:rPr>
              <w:t xml:space="preserve">Despacho Fundamentado</w:t>
            </w:r>
            <w:r>
              <w:t xml:space="preserve"> </w:t>
            </w:r>
            <w:r>
              <w:t xml:space="preserve">do(a) Secretário(a) Municipal de Saúde, demonstrando a inviabilidade de competição</w:t>
            </w:r>
          </w:p>
        </w:tc>
        <w:tc>
          <w:tcPr/>
          <w:p>
            <w:pPr>
              <w:pStyle w:val="Compact"/>
            </w:pPr>
            <w:r>
              <w:t xml:space="preserve">Art. 32, caput, Lei n.º 13.019/2014</w:t>
            </w:r>
          </w:p>
        </w:tc>
        <w:tc>
          <w:tcPr/>
          <w:p>
            <w:pPr>
              <w:pStyle w:val="Compact"/>
            </w:pPr>
            <w:r>
              <w:t xml:space="preserve">SMS</w:t>
            </w:r>
          </w:p>
        </w:tc>
      </w:tr>
      <w:tr>
        <w:tc>
          <w:tcPr/>
          <w:p>
            <w:pPr>
              <w:pStyle w:val="Compact"/>
            </w:pPr>
            <w:r>
              <w:t xml:space="preserve">2</w:t>
            </w:r>
          </w:p>
        </w:tc>
        <w:tc>
          <w:tcPr/>
          <w:p>
            <w:pPr>
              <w:pStyle w:val="Compact"/>
            </w:pPr>
            <w:r>
              <w:rPr>
                <w:b/>
                <w:bCs/>
              </w:rPr>
              <w:t xml:space="preserve">Parecer jurídico</w:t>
            </w:r>
            <w:r>
              <w:t xml:space="preserve"> </w:t>
            </w:r>
            <w:r>
              <w:t xml:space="preserve">da Procuradoria Municipal ou assessoria jurídica, opinando sobre a legalidade da inexigibilidade e sobre a minuta do Termo de Colaboração</w:t>
            </w:r>
          </w:p>
        </w:tc>
        <w:tc>
          <w:tcPr/>
          <w:p>
            <w:pPr>
              <w:pStyle w:val="Compact"/>
            </w:pPr>
            <w:r>
              <w:t xml:space="preserve">Art. 35, VI, Lei n.º 13.019/2014 c/c Art. 20, Decreto MG n.º 47.132/2017</w:t>
            </w:r>
          </w:p>
        </w:tc>
        <w:tc>
          <w:tcPr/>
          <w:p>
            <w:pPr>
              <w:pStyle w:val="Compact"/>
            </w:pPr>
            <w:r>
              <w:t xml:space="preserve">Procuradoria</w:t>
            </w:r>
          </w:p>
        </w:tc>
      </w:tr>
      <w:tr>
        <w:tc>
          <w:tcPr/>
          <w:p>
            <w:pPr>
              <w:pStyle w:val="Compact"/>
            </w:pPr>
            <w:r>
              <w:t xml:space="preserve">3</w:t>
            </w:r>
          </w:p>
        </w:tc>
        <w:tc>
          <w:tcPr/>
          <w:p>
            <w:pPr>
              <w:pStyle w:val="Compact"/>
            </w:pPr>
            <w:r>
              <w:rPr>
                <w:b/>
                <w:bCs/>
              </w:rPr>
              <w:t xml:space="preserve">Publicação prévia</w:t>
            </w:r>
            <w:r>
              <w:t xml:space="preserve"> </w:t>
            </w:r>
            <w:r>
              <w:t xml:space="preserve">do extrato da justificativa da inexigibilidade, na página oficial da Administração na internet, com antecedência mínima de</w:t>
            </w:r>
            <w:r>
              <w:t xml:space="preserve"> </w:t>
            </w:r>
            <w:r>
              <w:rPr>
                <w:b/>
                <w:bCs/>
              </w:rPr>
              <w:t xml:space="preserve">5 (cinco) dias</w:t>
            </w:r>
            <w:r>
              <w:t xml:space="preserve"> </w:t>
            </w:r>
            <w:r>
              <w:t xml:space="preserve">antes da formalização</w:t>
            </w:r>
          </w:p>
        </w:tc>
        <w:tc>
          <w:tcPr/>
          <w:p>
            <w:pPr>
              <w:pStyle w:val="Compact"/>
            </w:pPr>
            <w:r>
              <w:t xml:space="preserve">Art. 32, § 1.º, Lei n.º 13.019/2014</w:t>
            </w:r>
          </w:p>
        </w:tc>
        <w:tc>
          <w:tcPr/>
          <w:p>
            <w:pPr>
              <w:pStyle w:val="Compact"/>
            </w:pPr>
            <w:r>
              <w:t xml:space="preserve">SMS</w:t>
            </w:r>
          </w:p>
        </w:tc>
      </w:tr>
      <w:tr>
        <w:tc>
          <w:tcPr/>
          <w:p>
            <w:pPr>
              <w:pStyle w:val="Compact"/>
            </w:pPr>
            <w:r>
              <w:t xml:space="preserve">4</w:t>
            </w:r>
          </w:p>
        </w:tc>
        <w:tc>
          <w:tcPr/>
          <w:p>
            <w:pPr>
              <w:pStyle w:val="Compact"/>
            </w:pPr>
            <w:r>
              <w:rPr>
                <w:b/>
                <w:bCs/>
              </w:rPr>
              <w:t xml:space="preserve">Prazo para impugnação</w:t>
            </w:r>
            <w:r>
              <w:t xml:space="preserve">: qualquer cidadão poderá impugnar a justificativa antes da celebração; havendo mérito, a inexigibilidade será revogada e aberto chamamento público</w:t>
            </w:r>
          </w:p>
        </w:tc>
        <w:tc>
          <w:tcPr/>
          <w:p>
            <w:pPr>
              <w:pStyle w:val="Compact"/>
            </w:pPr>
            <w:r>
              <w:t xml:space="preserve">Art. 32, § 2.º, Lei n.º 13.019/2014</w:t>
            </w:r>
          </w:p>
        </w:tc>
        <w:tc>
          <w:tcPr/>
          <w:p>
            <w:pPr>
              <w:pStyle w:val="Compact"/>
            </w:pPr>
            <w:r>
              <w:t xml:space="preserve">SMS</w:t>
            </w:r>
          </w:p>
        </w:tc>
      </w:tr>
    </w:tbl>
    <w:p>
      <w:pPr>
        <w:pStyle w:val="BlockText"/>
      </w:pPr>
      <w:r>
        <w:rPr>
          <w:b/>
          <w:bCs/>
        </w:rPr>
        <w:t xml:space="preserve">Nota:</w:t>
      </w:r>
      <w:r>
        <w:t xml:space="preserve"> </w:t>
      </w:r>
      <w:r>
        <w:t xml:space="preserve">O presente Termo de Referência instrui a decisão pela inexigibilidade, mas</w:t>
      </w:r>
      <w:r>
        <w:t xml:space="preserve"> </w:t>
      </w:r>
      <w:r>
        <w:rPr>
          <w:b/>
          <w:bCs/>
        </w:rPr>
        <w:t xml:space="preserve">não substitui</w:t>
      </w:r>
      <w:r>
        <w:t xml:space="preserve"> </w:t>
      </w:r>
      <w:r>
        <w:t xml:space="preserve">o Despacho Fundamentado do(a) Secretário(a) de Saúde nem o parecer jurídico prévio, documentos obrigatórios para compor o processo administrativo.</w:t>
      </w:r>
    </w:p>
    <w:bookmarkEnd w:id="17"/>
    <w:bookmarkStart w:id="18" w:name="conclusão-da-justificativa"/>
    <w:p>
      <w:pPr>
        <w:pStyle w:val="Heading3"/>
      </w:pPr>
      <w:r>
        <w:t xml:space="preserve">1.7. Conclusão da Justificativa</w:t>
      </w:r>
    </w:p>
    <w:p>
      <w:pPr>
        <w:pStyle w:val="FirstParagraph"/>
      </w:pPr>
      <w:r>
        <w:t xml:space="preserve">Diante da singularidade da OSC no território municipal, do histórico institucional de mais de 34 anos, da infraestrutura especializada exclusiva, do modelo de cuidado integral alinhado às diretrizes nacionais e estaduais, e da ampliação significativa de escopo, resta configurada a inviabilidade de competição que fundamenta a inexigibilidade de chamamento público, nos termos do Art. 31 da Lei Federal n.º 13.019/2014.</w:t>
      </w:r>
    </w:p>
    <w:p>
      <w:pPr>
        <w:pStyle w:val="BlockText"/>
      </w:pPr>
      <w:r>
        <w:rPr>
          <w:b/>
          <w:bCs/>
        </w:rPr>
        <w:t xml:space="preserve">VALIDAÇÃO HUMANA (V1):</w:t>
      </w:r>
      <w:r>
        <w:t xml:space="preserve"> </w:t>
      </w:r>
      <w:r>
        <w:t xml:space="preserve">O(a) coordenador(a) deve confirmar que os argumentos de singularidade estão corretos e acrescentar dados específicos da instituição (número exato de profissionais, certificações adicionais, premiações, volume histórico de atendimentos).</w:t>
      </w:r>
      <w:r>
        <w:t xml:space="preserve"> </w:t>
      </w:r>
      <w:r>
        <w:rPr>
          <w:b/>
          <w:bCs/>
        </w:rPr>
        <w:t xml:space="preserve">Verificar também:</w:t>
      </w:r>
      <w:r>
        <w:t xml:space="preserve"> </w:t>
      </w:r>
      <w:r>
        <w:t xml:space="preserve">(i) tipo do CEBAS — se Saúde ou Assistência Social (Lei n.º 12.101/2009); (ii) regularidade no CAGEC (Cadastro Geral de Convenentes de MG); (iii) se a Resolução SES/MG n.º 10.687/2025 foi efetivamente publicada e está vigente.</w:t>
      </w:r>
    </w:p>
    <w:p>
      <w:r>
        <w:pict>
          <v:rect style="width:0;height:1.5pt" o:hralign="center" o:hrstd="t" o:hr="t"/>
        </w:pict>
      </w:r>
    </w:p>
    <w:bookmarkEnd w:id="18"/>
    <w:bookmarkEnd w:id="19"/>
    <w:bookmarkStart w:id="20" w:name="etapa-2-objeto-e-escopo-do-termo"/>
    <w:p>
      <w:pPr>
        <w:pStyle w:val="Heading2"/>
      </w:pPr>
      <w:r>
        <w:t xml:space="preserve">ETAPA 2 — OBJETO E ESCOPO DO TERMO</w:t>
      </w:r>
    </w:p>
    <w:bookmarkEnd w:id="20"/>
    <w:bookmarkStart w:id="30" w:name="definição-do-objeto"/>
    <w:p>
      <w:pPr>
        <w:pStyle w:val="Heading2"/>
      </w:pPr>
      <w:r>
        <w:t xml:space="preserve">2. Definição do Objeto</w:t>
      </w:r>
    </w:p>
    <w:bookmarkStart w:id="21" w:name="objeto"/>
    <w:p>
      <w:pPr>
        <w:pStyle w:val="Heading3"/>
      </w:pPr>
      <w:r>
        <w:t xml:space="preserve">2.1. Objeto</w:t>
      </w:r>
    </w:p>
    <w:p>
      <w:pPr>
        <w:pStyle w:val="FirstParagraph"/>
      </w:pPr>
      <w:r>
        <w:t xml:space="preserve">Execução de serviço especializado de reabilitação intelectual e do neurodesenvolvimento, abrangendo atenção terapêutica multiprofissional a pessoas com Deficiência Intelectual (DI) e Transtorno do Espectro Autista (TEA) em todas as faixas etárias, em regime de complementaridade ao SUS, nos termos do Art. 199, § 1.º, da Constituição Federal de 1988 c/c Arts. 24 a 26 da Lei n.º 8.080/1990.</w:t>
      </w:r>
    </w:p>
    <w:bookmarkEnd w:id="21"/>
    <w:bookmarkStart w:id="22" w:name="instrumento-jurídico-e-enquadramento"/>
    <w:p>
      <w:pPr>
        <w:pStyle w:val="Heading3"/>
      </w:pPr>
      <w:r>
        <w:t xml:space="preserve">2.2. Instrumento Jurídico e Enquadramento</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Item</w:t>
            </w:r>
          </w:p>
        </w:tc>
        <w:tc>
          <w:tcPr/>
          <w:p>
            <w:pPr>
              <w:pStyle w:val="Compact"/>
            </w:pPr>
            <w:r>
              <w:t xml:space="preserve">Especificação</w:t>
            </w:r>
          </w:p>
        </w:tc>
      </w:tr>
      <w:tr>
        <w:tc>
          <w:tcPr/>
          <w:p>
            <w:pPr>
              <w:pStyle w:val="Compact"/>
            </w:pPr>
            <w:r>
              <w:t xml:space="preserve">Instrumento</w:t>
            </w:r>
          </w:p>
        </w:tc>
        <w:tc>
          <w:tcPr/>
          <w:p>
            <w:pPr>
              <w:pStyle w:val="Compact"/>
            </w:pPr>
            <w:r>
              <w:t xml:space="preserve">Termo de Colaboração (Art. 2.º, VII, c/c Art. 16, Lei n.º 13.019/2014)</w:t>
            </w:r>
          </w:p>
        </w:tc>
      </w:tr>
      <w:tr>
        <w:tc>
          <w:tcPr/>
          <w:p>
            <w:pPr>
              <w:pStyle w:val="Compact"/>
            </w:pPr>
            <w:r>
              <w:t xml:space="preserve">Natureza</w:t>
            </w:r>
          </w:p>
        </w:tc>
        <w:tc>
          <w:tcPr/>
          <w:p>
            <w:pPr>
              <w:pStyle w:val="Compact"/>
            </w:pPr>
            <w:r>
              <w:t xml:space="preserve">Mútua cooperação (Art. 2.º, VI, Lei n.º 13.019/2014)</w:t>
            </w:r>
          </w:p>
        </w:tc>
      </w:tr>
      <w:tr>
        <w:tc>
          <w:tcPr/>
          <w:p>
            <w:pPr>
              <w:pStyle w:val="Compact"/>
            </w:pPr>
            <w:r>
              <w:t xml:space="preserve">Dispensa</w:t>
            </w:r>
          </w:p>
        </w:tc>
        <w:tc>
          <w:tcPr/>
          <w:p>
            <w:pPr>
              <w:pStyle w:val="Compact"/>
            </w:pPr>
            <w:r>
              <w:t xml:space="preserve">Inexigibilidade de chamamento público (Art. 31, Lei n.º 13.019/2014)</w:t>
            </w:r>
          </w:p>
        </w:tc>
      </w:tr>
      <w:tr>
        <w:tc>
          <w:tcPr/>
          <w:p>
            <w:pPr>
              <w:pStyle w:val="Compact"/>
            </w:pPr>
            <w:r>
              <w:t xml:space="preserve">Regime aplicável</w:t>
            </w:r>
          </w:p>
        </w:tc>
        <w:tc>
          <w:tcPr/>
          <w:p>
            <w:pPr>
              <w:pStyle w:val="Compact"/>
            </w:pPr>
            <w:r>
              <w:t xml:space="preserve">Lei n.º 13.019/2014 (MROSC) — não se aplica Lei n.º 14.133/2021 (Art. 184)</w:t>
            </w:r>
          </w:p>
        </w:tc>
      </w:tr>
      <w:tr>
        <w:tc>
          <w:tcPr/>
          <w:p>
            <w:pPr>
              <w:pStyle w:val="Compact"/>
            </w:pPr>
            <w:r>
              <w:t xml:space="preserve">Regulamentação estadual</w:t>
            </w:r>
          </w:p>
        </w:tc>
        <w:tc>
          <w:tcPr/>
          <w:p>
            <w:pPr>
              <w:pStyle w:val="Compact"/>
            </w:pPr>
            <w:r>
              <w:t xml:space="preserve">Decreto Estadual de MG n.º 47.132/2017</w:t>
            </w:r>
          </w:p>
        </w:tc>
      </w:tr>
      <w:tr>
        <w:tc>
          <w:tcPr/>
          <w:p>
            <w:pPr>
              <w:pStyle w:val="Compact"/>
            </w:pPr>
            <w:r>
              <w:t xml:space="preserve">Regulamentação municipal</w:t>
            </w:r>
          </w:p>
        </w:tc>
        <w:tc>
          <w:tcPr/>
          <w:p>
            <w:pPr>
              <w:pStyle w:val="Compact"/>
            </w:pPr>
            <w:r>
              <w:t xml:space="preserve">[A PREENCHER — verificar se há regulamentação local da Lei 13.019]</w:t>
            </w:r>
          </w:p>
        </w:tc>
      </w:tr>
    </w:tbl>
    <w:bookmarkEnd w:id="22"/>
    <w:bookmarkStart w:id="23" w:name="X8d522ebb25751903583987339cd3733a1f359a7"/>
    <w:p>
      <w:pPr>
        <w:pStyle w:val="Heading3"/>
      </w:pPr>
      <w:r>
        <w:t xml:space="preserve">2.3. Público-Alvo e Critérios de Elegibilidade</w:t>
      </w:r>
    </w:p>
    <w:p>
      <w:pPr>
        <w:pStyle w:val="FirstParagraph"/>
      </w:pPr>
      <w:r>
        <w:rPr>
          <w:b/>
          <w:bCs/>
        </w:rPr>
        <w:t xml:space="preserve">Beneficiários diretos:</w:t>
      </w:r>
    </w:p>
    <w:p>
      <w:pPr>
        <w:pStyle w:val="BodyText"/>
      </w:pPr>
      <w:r>
        <w:t xml:space="preserve">Pessoas com Deficiência Intelectual (DI) e/ou Transtorno do Espectro Autista (TEA), em todas as faixas etárias (0 a 59+ anos), residentes no município de Extrema/MG.</w:t>
      </w:r>
    </w:p>
    <w:p>
      <w:pPr>
        <w:pStyle w:val="BodyText"/>
      </w:pPr>
      <w:r>
        <w:rPr>
          <w:b/>
          <w:bCs/>
        </w:rPr>
        <w:t xml:space="preserve">Critérios de inclusão:</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Critério</w:t>
            </w:r>
          </w:p>
        </w:tc>
        <w:tc>
          <w:tcPr/>
          <w:p>
            <w:pPr>
              <w:pStyle w:val="Compact"/>
            </w:pPr>
            <w:r>
              <w:t xml:space="preserve">Especificação</w:t>
            </w:r>
          </w:p>
        </w:tc>
      </w:tr>
      <w:tr>
        <w:tc>
          <w:tcPr/>
          <w:p>
            <w:pPr>
              <w:pStyle w:val="Compact"/>
            </w:pPr>
            <w:r>
              <w:t xml:space="preserve">Diagnóstico</w:t>
            </w:r>
          </w:p>
        </w:tc>
        <w:tc>
          <w:tcPr/>
          <w:p>
            <w:pPr>
              <w:pStyle w:val="Compact"/>
            </w:pPr>
            <w:r>
              <w:t xml:space="preserve">CID-10: F70-F79 (DI), F84.0 (TEA), F84.1-F84.9 (outros TGD) e/ou DSM-5-TR equivalente</w:t>
            </w:r>
          </w:p>
        </w:tc>
      </w:tr>
      <w:tr>
        <w:tc>
          <w:tcPr/>
          <w:p>
            <w:pPr>
              <w:pStyle w:val="Compact"/>
            </w:pPr>
            <w:r>
              <w:t xml:space="preserve">Situação diagnóstica</w:t>
            </w:r>
          </w:p>
        </w:tc>
        <w:tc>
          <w:tcPr/>
          <w:p>
            <w:pPr>
              <w:pStyle w:val="Compact"/>
            </w:pPr>
            <w:r>
              <w:t xml:space="preserve">Casos confirmados, em investigação diagnóstica ou com suspeita clínica fundamentada</w:t>
            </w:r>
          </w:p>
        </w:tc>
      </w:tr>
      <w:tr>
        <w:tc>
          <w:tcPr/>
          <w:p>
            <w:pPr>
              <w:pStyle w:val="Compact"/>
            </w:pPr>
            <w:r>
              <w:t xml:space="preserve">Residência</w:t>
            </w:r>
          </w:p>
        </w:tc>
        <w:tc>
          <w:tcPr/>
          <w:p>
            <w:pPr>
              <w:pStyle w:val="Compact"/>
            </w:pPr>
            <w:r>
              <w:t xml:space="preserve">Comprovada no município de Extrema/MG</w:t>
            </w:r>
          </w:p>
        </w:tc>
      </w:tr>
      <w:tr>
        <w:tc>
          <w:tcPr/>
          <w:p>
            <w:pPr>
              <w:pStyle w:val="Compact"/>
            </w:pPr>
            <w:r>
              <w:t xml:space="preserve">Referenciamento</w:t>
            </w:r>
          </w:p>
        </w:tc>
        <w:tc>
          <w:tcPr/>
          <w:p>
            <w:pPr>
              <w:pStyle w:val="Compact"/>
            </w:pPr>
            <w:r>
              <w:t xml:space="preserve">Obrigatório via rede municipal (APS, CAPS, rede intersetorial) ou via triagem da própria OSC com autorização prévia da SMS</w:t>
            </w:r>
          </w:p>
        </w:tc>
      </w:tr>
      <w:tr>
        <w:tc>
          <w:tcPr/>
          <w:p>
            <w:pPr>
              <w:pStyle w:val="Compact"/>
            </w:pPr>
            <w:r>
              <w:t xml:space="preserve">Faixa etária</w:t>
            </w:r>
          </w:p>
        </w:tc>
        <w:tc>
          <w:tcPr/>
          <w:p>
            <w:pPr>
              <w:pStyle w:val="Compact"/>
            </w:pPr>
            <w:r>
              <w:t xml:space="preserve">Sem restrição — inclui neonatos de risco (PIPA), crianças, adolescentes e adultos</w:t>
            </w:r>
          </w:p>
        </w:tc>
      </w:tr>
      <w:tr>
        <w:tc>
          <w:tcPr/>
          <w:p>
            <w:pPr>
              <w:pStyle w:val="Compact"/>
            </w:pPr>
            <w:r>
              <w:t xml:space="preserve">PTS</w:t>
            </w:r>
          </w:p>
        </w:tc>
        <w:tc>
          <w:tcPr/>
          <w:p>
            <w:pPr>
              <w:pStyle w:val="Compact"/>
            </w:pPr>
            <w:r>
              <w:t xml:space="preserve">Obrigatório para todos os admitidos, elaborado pela equipe multiprofissional</w:t>
            </w:r>
          </w:p>
        </w:tc>
      </w:tr>
    </w:tbl>
    <w:p>
      <w:pPr>
        <w:pStyle w:val="BodyText"/>
      </w:pPr>
      <w:r>
        <w:rPr>
          <w:b/>
          <w:bCs/>
        </w:rPr>
        <w:t xml:space="preserve">Critérios de exclusão:</w:t>
      </w:r>
    </w:p>
    <w:p>
      <w:pPr>
        <w:pStyle w:val="Compact"/>
        <w:numPr>
          <w:ilvl w:val="0"/>
          <w:numId w:val="1005"/>
        </w:numPr>
      </w:pPr>
      <w:r>
        <w:t xml:space="preserve">Pessoas sem vínculo de residência com o município de Extrema/MG;</w:t>
      </w:r>
    </w:p>
    <w:p>
      <w:pPr>
        <w:pStyle w:val="Compact"/>
        <w:numPr>
          <w:ilvl w:val="0"/>
          <w:numId w:val="1005"/>
        </w:numPr>
      </w:pPr>
      <w:r>
        <w:t xml:space="preserve">Demanda espontânea não referenciada pela rede municipal — deverá ser direcionada à UBS do território para avaliação e encaminhamento adequado.</w:t>
      </w:r>
    </w:p>
    <w:bookmarkEnd w:id="23"/>
    <w:bookmarkStart w:id="26" w:name="escopos-contratuais"/>
    <w:p>
      <w:pPr>
        <w:pStyle w:val="Heading3"/>
      </w:pPr>
      <w:r>
        <w:t xml:space="preserve">2.4. Escopos Contratuais</w:t>
      </w:r>
    </w:p>
    <w:bookmarkStart w:id="24" w:name="Xaa7a37484b0af8b608d6ae99b73cc13ff169479"/>
    <w:p>
      <w:pPr>
        <w:pStyle w:val="Heading4"/>
      </w:pPr>
      <w:r>
        <w:t xml:space="preserve">Escopo 1 — SERDI (Serviço Especializado de Reabilitação em Deficiência Intelectual)</w:t>
      </w:r>
    </w:p>
    <w:p>
      <w:pPr>
        <w:pStyle w:val="FirstParagraph"/>
      </w:pPr>
      <w:r>
        <w:t xml:space="preserve">Serviço nos termos da Deliberação CIB-SUS/MG n.º 1.403/2013 (norma fundacional) e Resolução SES/MG n.º 10.687/2025 (atualização operacional), com finalidade exclusiva de atenção a pessoas com DI e TEA em todas as faixas etárias, incluindo:</w:t>
      </w:r>
    </w:p>
    <w:p>
      <w:pPr>
        <w:pStyle w:val="BodyText"/>
      </w:pPr>
      <w:r>
        <w:rPr>
          <w:b/>
          <w:bCs/>
        </w:rPr>
        <w:t xml:space="preserve">Serviços incluídos no Escopo 1:</w:t>
      </w:r>
    </w:p>
    <w:tbl>
      <w:tblPr>
        <w:tblStyle w:val="Table"/>
        <w:tblW w:type="pct" w:w="5000"/>
        <w:tblLayout w:type="fixed"/>
        <w:tblLook w:firstRow="1" w:lastRow="0" w:firstColumn="0" w:lastColumn="0" w:noHBand="0" w:noVBand="0" w:val="0020"/>
      </w:tblPr>
      <w:tblGrid>
        <w:gridCol w:w="990"/>
        <w:gridCol w:w="2178"/>
        <w:gridCol w:w="2574"/>
        <w:gridCol w:w="2178"/>
      </w:tblGrid>
      <w:tr>
        <w:trPr>
          <w:tblHeader w:val="on"/>
        </w:trPr>
        <w:tc>
          <w:tcPr/>
          <w:p>
            <w:pPr>
              <w:pStyle w:val="Compact"/>
            </w:pPr>
            <w:r>
              <w:t xml:space="preserve">N.º</w:t>
            </w:r>
          </w:p>
        </w:tc>
        <w:tc>
          <w:tcPr/>
          <w:p>
            <w:pPr>
              <w:pStyle w:val="Compact"/>
            </w:pPr>
            <w:r>
              <w:t xml:space="preserve">Modalidade</w:t>
            </w:r>
          </w:p>
        </w:tc>
        <w:tc>
          <w:tcPr/>
          <w:p>
            <w:pPr>
              <w:pStyle w:val="Compact"/>
            </w:pPr>
            <w:r>
              <w:t xml:space="preserve">Profissional</w:t>
            </w:r>
          </w:p>
        </w:tc>
        <w:tc>
          <w:tcPr/>
          <w:p>
            <w:pPr>
              <w:pStyle w:val="Compact"/>
            </w:pPr>
            <w:r>
              <w:t xml:space="preserve">Descrição</w:t>
            </w:r>
          </w:p>
        </w:tc>
      </w:tr>
      <w:tr>
        <w:tc>
          <w:tcPr/>
          <w:p>
            <w:pPr>
              <w:pStyle w:val="Compact"/>
            </w:pPr>
            <w:r>
              <w:t xml:space="preserve">1</w:t>
            </w:r>
          </w:p>
        </w:tc>
        <w:tc>
          <w:tcPr/>
          <w:p>
            <w:pPr>
              <w:pStyle w:val="Compact"/>
            </w:pPr>
            <w:r>
              <w:t xml:space="preserve">Avaliação e terapia neuromotora</w:t>
            </w:r>
          </w:p>
        </w:tc>
        <w:tc>
          <w:tcPr/>
          <w:p>
            <w:pPr>
              <w:pStyle w:val="Compact"/>
            </w:pPr>
            <w:r>
              <w:t xml:space="preserve">Fisioterapeuta</w:t>
            </w:r>
          </w:p>
        </w:tc>
        <w:tc>
          <w:tcPr/>
          <w:p>
            <w:pPr>
              <w:pStyle w:val="Compact"/>
            </w:pPr>
            <w:r>
              <w:t xml:space="preserve">Reabilitação neuromotora e do neurodesenvolvimento; estimulação precoce motora (0-3 anos); grupos terapêuticos; orientação de cuidadores</w:t>
            </w:r>
          </w:p>
        </w:tc>
      </w:tr>
      <w:tr>
        <w:tc>
          <w:tcPr/>
          <w:p>
            <w:pPr>
              <w:pStyle w:val="Compact"/>
            </w:pPr>
            <w:r>
              <w:t xml:space="preserve">2</w:t>
            </w:r>
          </w:p>
        </w:tc>
        <w:tc>
          <w:tcPr/>
          <w:p>
            <w:pPr>
              <w:pStyle w:val="Compact"/>
            </w:pPr>
            <w:r>
              <w:t xml:space="preserve">Avaliação e terapia de linguagem</w:t>
            </w:r>
          </w:p>
        </w:tc>
        <w:tc>
          <w:tcPr/>
          <w:p>
            <w:pPr>
              <w:pStyle w:val="Compact"/>
            </w:pPr>
            <w:r>
              <w:t xml:space="preserve">Fonoaudiólogo(a)</w:t>
            </w:r>
          </w:p>
        </w:tc>
        <w:tc>
          <w:tcPr/>
          <w:p>
            <w:pPr>
              <w:pStyle w:val="Compact"/>
            </w:pPr>
            <w:r>
              <w:t xml:space="preserve">Linguagem oral e escrita, fala, motricidade orofacial, funções auditivas; estimulação precoce da comunicação (0-3 anos); Comunicação Suplementar e Alternativa (CSA); orientação familiar</w:t>
            </w:r>
          </w:p>
        </w:tc>
      </w:tr>
      <w:tr>
        <w:tc>
          <w:tcPr/>
          <w:p>
            <w:pPr>
              <w:pStyle w:val="Compact"/>
            </w:pPr>
            <w:r>
              <w:t xml:space="preserve">3</w:t>
            </w:r>
          </w:p>
        </w:tc>
        <w:tc>
          <w:tcPr/>
          <w:p>
            <w:pPr>
              <w:pStyle w:val="Compact"/>
            </w:pPr>
            <w:r>
              <w:t xml:space="preserve">Avaliação neuropsicológica e intervenção</w:t>
            </w:r>
          </w:p>
        </w:tc>
        <w:tc>
          <w:tcPr/>
          <w:p>
            <w:pPr>
              <w:pStyle w:val="Compact"/>
            </w:pPr>
            <w:r>
              <w:t xml:space="preserve">Psicólogo(a)</w:t>
            </w:r>
          </w:p>
        </w:tc>
        <w:tc>
          <w:tcPr/>
          <w:p>
            <w:pPr>
              <w:pStyle w:val="Compact"/>
            </w:pPr>
            <w:r>
              <w:t xml:space="preserve">Avaliação neuropsicológica e comportamental; intervenção com base em evidências (ABA, TEACCH, modelos naturalistas — NDBI); elaboração e revisão de PTS; orientação familiar vinculada ao PTS</w:t>
            </w:r>
          </w:p>
        </w:tc>
      </w:tr>
      <w:tr>
        <w:tc>
          <w:tcPr/>
          <w:p>
            <w:pPr>
              <w:pStyle w:val="Compact"/>
            </w:pPr>
            <w:r>
              <w:t xml:space="preserve">4</w:t>
            </w:r>
          </w:p>
        </w:tc>
        <w:tc>
          <w:tcPr/>
          <w:p>
            <w:pPr>
              <w:pStyle w:val="Compact"/>
            </w:pPr>
            <w:r>
              <w:t xml:space="preserve">Avaliação funcional e treino ocupacional</w:t>
            </w:r>
          </w:p>
        </w:tc>
        <w:tc>
          <w:tcPr/>
          <w:p>
            <w:pPr>
              <w:pStyle w:val="Compact"/>
            </w:pPr>
            <w:r>
              <w:t xml:space="preserve">Terapeuta Ocupacional</w:t>
            </w:r>
          </w:p>
        </w:tc>
        <w:tc>
          <w:tcPr/>
          <w:p>
            <w:pPr>
              <w:pStyle w:val="Compact"/>
            </w:pPr>
            <w:r>
              <w:t xml:space="preserve">Avaliação do desempenho ocupacional; treino de AVD e AIVD; terapia de integração sensorial; adaptação de ambientes e tecnologia assistiva</w:t>
            </w:r>
          </w:p>
        </w:tc>
      </w:tr>
      <w:tr>
        <w:tc>
          <w:tcPr/>
          <w:p>
            <w:pPr>
              <w:pStyle w:val="Compact"/>
            </w:pPr>
            <w:r>
              <w:t xml:space="preserve">5</w:t>
            </w:r>
          </w:p>
        </w:tc>
        <w:tc>
          <w:tcPr/>
          <w:p>
            <w:pPr>
              <w:pStyle w:val="Compact"/>
            </w:pPr>
            <w:r>
              <w:t xml:space="preserve">Articulação intersetorial e socioassistencial</w:t>
            </w:r>
          </w:p>
        </w:tc>
        <w:tc>
          <w:tcPr/>
          <w:p>
            <w:pPr>
              <w:pStyle w:val="Compact"/>
            </w:pPr>
            <w:r>
              <w:t xml:space="preserve">Assistente Social</w:t>
            </w:r>
          </w:p>
        </w:tc>
        <w:tc>
          <w:tcPr/>
          <w:p>
            <w:pPr>
              <w:pStyle w:val="Compact"/>
            </w:pPr>
            <w:r>
              <w:t xml:space="preserve">Articulação saúde-assistência social-educação; interface SUAS-SUS; orientação sobre direitos e benefícios (BPC/LOAS); acompanhamento socioassistencial; relatórios sociais; participação na construção do PTS</w:t>
            </w:r>
          </w:p>
        </w:tc>
      </w:tr>
      <w:tr>
        <w:tc>
          <w:tcPr/>
          <w:p>
            <w:pPr>
              <w:pStyle w:val="Compact"/>
            </w:pPr>
            <w:r>
              <w:t xml:space="preserve">6</w:t>
            </w:r>
          </w:p>
        </w:tc>
        <w:tc>
          <w:tcPr/>
          <w:p>
            <w:pPr>
              <w:pStyle w:val="Compact"/>
            </w:pPr>
            <w:r>
              <w:t xml:space="preserve">Orientação familiar vinculada ao PTS</w:t>
            </w:r>
          </w:p>
        </w:tc>
        <w:tc>
          <w:tcPr/>
          <w:p>
            <w:pPr>
              <w:pStyle w:val="Compact"/>
            </w:pPr>
            <w:r>
              <w:t xml:space="preserve">Equipe multiprofissional</w:t>
            </w:r>
          </w:p>
        </w:tc>
        <w:tc>
          <w:tcPr/>
          <w:p>
            <w:pPr>
              <w:pStyle w:val="Compact"/>
            </w:pPr>
            <w:r>
              <w:t xml:space="preserve">Orientação individual conforme PTS + roda de conversa mensal (código SIGTAP 0301070300)</w:t>
            </w:r>
          </w:p>
        </w:tc>
      </w:tr>
      <w:tr>
        <w:tc>
          <w:tcPr/>
          <w:p>
            <w:pPr>
              <w:pStyle w:val="Compact"/>
            </w:pPr>
            <w:r>
              <w:t xml:space="preserve">7</w:t>
            </w:r>
          </w:p>
        </w:tc>
        <w:tc>
          <w:tcPr/>
          <w:p>
            <w:pPr>
              <w:pStyle w:val="Compact"/>
            </w:pPr>
            <w:r>
              <w:t xml:space="preserve">Captação e acompanhamento de neonatos de risco</w:t>
            </w:r>
          </w:p>
        </w:tc>
        <w:tc>
          <w:tcPr/>
          <w:p>
            <w:pPr>
              <w:pStyle w:val="Compact"/>
            </w:pPr>
            <w:r>
              <w:t xml:space="preserve">Equipe multiprofissional</w:t>
            </w:r>
          </w:p>
        </w:tc>
        <w:tc>
          <w:tcPr/>
          <w:p>
            <w:pPr>
              <w:pStyle w:val="Compact"/>
            </w:pPr>
            <w:r>
              <w:t xml:space="preserve">PIPA — 10 momentos ao longo de 24 meses, fluxo paralelo com teto próprio</w:t>
            </w:r>
          </w:p>
        </w:tc>
      </w:tr>
    </w:tbl>
    <w:p>
      <w:pPr>
        <w:pStyle w:val="BodyText"/>
      </w:pPr>
      <w:r>
        <w:rPr>
          <w:b/>
          <w:bCs/>
        </w:rPr>
        <w:t xml:space="preserve">Meta física SERDI:</w:t>
      </w:r>
      <w:r>
        <w:t xml:space="preserve"> </w:t>
      </w:r>
      <w:r>
        <w:t xml:space="preserve">1.300 procedimentos/mês (5.200/quadrimestre), conforme Anexo IV da Resolução SES/MG n.º 10.687/2025.</w:t>
      </w:r>
    </w:p>
    <w:p>
      <w:pPr>
        <w:pStyle w:val="BodyText"/>
      </w:pPr>
      <w:r>
        <w:rPr>
          <w:b/>
          <w:bCs/>
        </w:rPr>
        <w:t xml:space="preserve">Carteira de usuários:</w:t>
      </w:r>
      <w:r>
        <w:t xml:space="preserve"> </w:t>
      </w:r>
      <w:r>
        <w:t xml:space="preserve">100 a 150 pessoas com DI e/ou TEA acompanhadas mensalmente.</w:t>
      </w:r>
    </w:p>
    <w:bookmarkEnd w:id="24"/>
    <w:bookmarkStart w:id="25" w:name="escopo-2-serviços-suplementares-de-saúde"/>
    <w:p>
      <w:pPr>
        <w:pStyle w:val="Heading4"/>
      </w:pPr>
      <w:r>
        <w:t xml:space="preserve">Escopo 2 — Serviços Suplementares de Saúde</w:t>
      </w:r>
    </w:p>
    <w:p>
      <w:pPr>
        <w:pStyle w:val="FirstParagraph"/>
      </w:pPr>
      <w:r>
        <w:t xml:space="preserve">Atividades complementares que extrapolam o escopo técnico estrito do SERDI (Art. 4.º, § 1.º, Deliberação CIB-SUS/MG n.º 1.403/2013), custeadas exclusivamente por recursos próprios municipais:</w:t>
      </w:r>
    </w:p>
    <w:tbl>
      <w:tblPr>
        <w:tblStyle w:val="Table"/>
        <w:tblW w:type="pct" w:w="5000"/>
        <w:tblLayout w:type="fixed"/>
        <w:tblLook w:firstRow="1" w:lastRow="0" w:firstColumn="0" w:lastColumn="0" w:noHBand="0" w:noVBand="0" w:val="0020"/>
      </w:tblPr>
      <w:tblGrid>
        <w:gridCol w:w="990"/>
        <w:gridCol w:w="2178"/>
        <w:gridCol w:w="2574"/>
        <w:gridCol w:w="2178"/>
      </w:tblGrid>
      <w:tr>
        <w:trPr>
          <w:tblHeader w:val="on"/>
        </w:trPr>
        <w:tc>
          <w:tcPr/>
          <w:p>
            <w:pPr>
              <w:pStyle w:val="Compact"/>
            </w:pPr>
            <w:r>
              <w:t xml:space="preserve">N.º</w:t>
            </w:r>
          </w:p>
        </w:tc>
        <w:tc>
          <w:tcPr/>
          <w:p>
            <w:pPr>
              <w:pStyle w:val="Compact"/>
            </w:pPr>
            <w:r>
              <w:t xml:space="preserve">Modalidade</w:t>
            </w:r>
          </w:p>
        </w:tc>
        <w:tc>
          <w:tcPr/>
          <w:p>
            <w:pPr>
              <w:pStyle w:val="Compact"/>
            </w:pPr>
            <w:r>
              <w:t xml:space="preserve">Profissional</w:t>
            </w:r>
          </w:p>
        </w:tc>
        <w:tc>
          <w:tcPr/>
          <w:p>
            <w:pPr>
              <w:pStyle w:val="Compact"/>
            </w:pPr>
            <w:r>
              <w:t xml:space="preserve">Descrição</w:t>
            </w:r>
          </w:p>
        </w:tc>
      </w:tr>
      <w:tr>
        <w:tc>
          <w:tcPr/>
          <w:p>
            <w:pPr>
              <w:pStyle w:val="Compact"/>
            </w:pPr>
            <w:r>
              <w:t xml:space="preserve">1</w:t>
            </w:r>
          </w:p>
        </w:tc>
        <w:tc>
          <w:tcPr/>
          <w:p>
            <w:pPr>
              <w:pStyle w:val="Compact"/>
            </w:pPr>
            <w:r>
              <w:t xml:space="preserve">Hidroginástica terapêutica</w:t>
            </w:r>
          </w:p>
        </w:tc>
        <w:tc>
          <w:tcPr/>
          <w:p>
            <w:pPr>
              <w:pStyle w:val="Compact"/>
            </w:pPr>
            <w:r>
              <w:t xml:space="preserve">Profissional de Educação Física</w:t>
            </w:r>
          </w:p>
        </w:tc>
        <w:tc>
          <w:tcPr/>
          <w:p>
            <w:pPr>
              <w:pStyle w:val="Compact"/>
            </w:pPr>
            <w:r>
              <w:t xml:space="preserve">10h/sem — fortalecimento muscular, equilíbrio, coordenação motora</w:t>
            </w:r>
          </w:p>
        </w:tc>
      </w:tr>
      <w:tr>
        <w:tc>
          <w:tcPr/>
          <w:p>
            <w:pPr>
              <w:pStyle w:val="Compact"/>
            </w:pPr>
            <w:r>
              <w:t xml:space="preserve">2</w:t>
            </w:r>
          </w:p>
        </w:tc>
        <w:tc>
          <w:tcPr/>
          <w:p>
            <w:pPr>
              <w:pStyle w:val="Compact"/>
            </w:pPr>
            <w:r>
              <w:t xml:space="preserve">Natação adaptada</w:t>
            </w:r>
          </w:p>
        </w:tc>
        <w:tc>
          <w:tcPr/>
          <w:p>
            <w:pPr>
              <w:pStyle w:val="Compact"/>
            </w:pPr>
            <w:r>
              <w:t xml:space="preserve">Profissional de Educação Física</w:t>
            </w:r>
          </w:p>
        </w:tc>
        <w:tc>
          <w:tcPr/>
          <w:p>
            <w:pPr>
              <w:pStyle w:val="Compact"/>
            </w:pPr>
            <w:r>
              <w:t xml:space="preserve">10h/sem — habilidades aquáticas, condicionamento</w:t>
            </w:r>
          </w:p>
        </w:tc>
      </w:tr>
      <w:tr>
        <w:tc>
          <w:tcPr/>
          <w:p>
            <w:pPr>
              <w:pStyle w:val="Compact"/>
            </w:pPr>
            <w:r>
              <w:t xml:space="preserve">3</w:t>
            </w:r>
          </w:p>
        </w:tc>
        <w:tc>
          <w:tcPr/>
          <w:p>
            <w:pPr>
              <w:pStyle w:val="Compact"/>
            </w:pPr>
            <w:r>
              <w:t xml:space="preserve">Grupo de apoio familiar TEA</w:t>
            </w:r>
          </w:p>
        </w:tc>
        <w:tc>
          <w:tcPr/>
          <w:p>
            <w:pPr>
              <w:pStyle w:val="Compact"/>
            </w:pPr>
            <w:r>
              <w:t xml:space="preserve">Psicólogo(a) + Assistente Social</w:t>
            </w:r>
          </w:p>
        </w:tc>
        <w:tc>
          <w:tcPr/>
          <w:p>
            <w:pPr>
              <w:pStyle w:val="Compact"/>
            </w:pPr>
            <w:r>
              <w:t xml:space="preserve">Quinzenal — suporte emocional e escuta</w:t>
            </w:r>
          </w:p>
        </w:tc>
      </w:tr>
      <w:tr>
        <w:tc>
          <w:tcPr/>
          <w:p>
            <w:pPr>
              <w:pStyle w:val="Compact"/>
            </w:pPr>
            <w:r>
              <w:t xml:space="preserve">4</w:t>
            </w:r>
          </w:p>
        </w:tc>
        <w:tc>
          <w:tcPr/>
          <w:p>
            <w:pPr>
              <w:pStyle w:val="Compact"/>
            </w:pPr>
            <w:r>
              <w:t xml:space="preserve">Grupo de apoio familiar DI</w:t>
            </w:r>
          </w:p>
        </w:tc>
        <w:tc>
          <w:tcPr/>
          <w:p>
            <w:pPr>
              <w:pStyle w:val="Compact"/>
            </w:pPr>
            <w:r>
              <w:t xml:space="preserve">Psicólogo(a) + Assistente Social</w:t>
            </w:r>
          </w:p>
        </w:tc>
        <w:tc>
          <w:tcPr/>
          <w:p>
            <w:pPr>
              <w:pStyle w:val="Compact"/>
            </w:pPr>
            <w:r>
              <w:t xml:space="preserve">Quinzenal — suporte emocional e escuta</w:t>
            </w:r>
          </w:p>
        </w:tc>
      </w:tr>
      <w:tr>
        <w:tc>
          <w:tcPr/>
          <w:p>
            <w:pPr>
              <w:pStyle w:val="Compact"/>
            </w:pPr>
            <w:r>
              <w:t xml:space="preserve">5</w:t>
            </w:r>
          </w:p>
        </w:tc>
        <w:tc>
          <w:tcPr/>
          <w:p>
            <w:pPr>
              <w:pStyle w:val="Compact"/>
            </w:pPr>
            <w:r>
              <w:t xml:space="preserve">Grupo de escuta para cuidadores primários</w:t>
            </w:r>
          </w:p>
        </w:tc>
        <w:tc>
          <w:tcPr/>
          <w:p>
            <w:pPr>
              <w:pStyle w:val="Compact"/>
            </w:pPr>
            <w:r>
              <w:t xml:space="preserve">Psicólogo(a)</w:t>
            </w:r>
          </w:p>
        </w:tc>
        <w:tc>
          <w:tcPr/>
          <w:p>
            <w:pPr>
              <w:pStyle w:val="Compact"/>
            </w:pPr>
            <w:r>
              <w:t xml:space="preserve">Mensal — acolhimento e orientação</w:t>
            </w:r>
          </w:p>
        </w:tc>
      </w:tr>
    </w:tbl>
    <w:p>
      <w:pPr>
        <w:pStyle w:val="BodyText"/>
      </w:pPr>
      <w:r>
        <w:rPr>
          <w:b/>
          <w:bCs/>
        </w:rPr>
        <w:t xml:space="preserve">Meta Escopo 2:</w:t>
      </w:r>
      <w:r>
        <w:t xml:space="preserve"> </w:t>
      </w:r>
      <w:r>
        <w:t xml:space="preserve">16 sessões grupais/mês (8 hidroginástica + 8 natação) + 5 grupos psicossociais/mês.</w:t>
      </w:r>
    </w:p>
    <w:bookmarkEnd w:id="25"/>
    <w:bookmarkEnd w:id="26"/>
    <w:bookmarkStart w:id="27" w:name="capacidade-operacional"/>
    <w:p>
      <w:pPr>
        <w:pStyle w:val="Heading3"/>
      </w:pPr>
      <w:r>
        <w:t xml:space="preserve">2.5. Capacidade Operacional</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Indicador</w:t>
            </w:r>
          </w:p>
        </w:tc>
        <w:tc>
          <w:tcPr/>
          <w:p>
            <w:pPr>
              <w:pStyle w:val="Compact"/>
            </w:pPr>
            <w:r>
              <w:t xml:space="preserve">Valor</w:t>
            </w:r>
          </w:p>
        </w:tc>
      </w:tr>
      <w:tr>
        <w:tc>
          <w:tcPr/>
          <w:p>
            <w:pPr>
              <w:pStyle w:val="Compact"/>
            </w:pPr>
            <w:r>
              <w:t xml:space="preserve">Atendimentos mínimos/mês</w:t>
            </w:r>
          </w:p>
        </w:tc>
        <w:tc>
          <w:tcPr/>
          <w:p>
            <w:pPr>
              <w:pStyle w:val="Compact"/>
            </w:pPr>
            <w:r>
              <w:t xml:space="preserve">150</w:t>
            </w:r>
          </w:p>
        </w:tc>
      </w:tr>
      <w:tr>
        <w:tc>
          <w:tcPr/>
          <w:p>
            <w:pPr>
              <w:pStyle w:val="Compact"/>
            </w:pPr>
            <w:r>
              <w:t xml:space="preserve">Atendimentos máximos/mês</w:t>
            </w:r>
          </w:p>
        </w:tc>
        <w:tc>
          <w:tcPr/>
          <w:p>
            <w:pPr>
              <w:pStyle w:val="Compact"/>
            </w:pPr>
            <w:r>
              <w:t xml:space="preserve">200</w:t>
            </w:r>
          </w:p>
        </w:tc>
      </w:tr>
      <w:tr>
        <w:tc>
          <w:tcPr/>
          <w:p>
            <w:pPr>
              <w:pStyle w:val="Compact"/>
            </w:pPr>
            <w:r>
              <w:t xml:space="preserve">Meta de procedimentos SERDI</w:t>
            </w:r>
          </w:p>
        </w:tc>
        <w:tc>
          <w:tcPr/>
          <w:p>
            <w:pPr>
              <w:pStyle w:val="Compact"/>
            </w:pPr>
            <w:r>
              <w:t xml:space="preserve">1.300/mês (meta SES/MG)</w:t>
            </w:r>
          </w:p>
        </w:tc>
      </w:tr>
      <w:tr>
        <w:tc>
          <w:tcPr/>
          <w:p>
            <w:pPr>
              <w:pStyle w:val="Compact"/>
            </w:pPr>
            <w:r>
              <w:t xml:space="preserve">Meta interna Ano 1</w:t>
            </w:r>
          </w:p>
        </w:tc>
        <w:tc>
          <w:tcPr/>
          <w:p>
            <w:pPr>
              <w:pStyle w:val="Compact"/>
            </w:pPr>
            <w:r>
              <w:t xml:space="preserve">≥ 900 proc/mês (faixa 60-89% — 90% do incentivo)</w:t>
            </w:r>
          </w:p>
        </w:tc>
      </w:tr>
      <w:tr>
        <w:tc>
          <w:tcPr/>
          <w:p>
            <w:pPr>
              <w:pStyle w:val="Compact"/>
            </w:pPr>
            <w:r>
              <w:t xml:space="preserve">Carteira de usuários</w:t>
            </w:r>
          </w:p>
        </w:tc>
        <w:tc>
          <w:tcPr/>
          <w:p>
            <w:pPr>
              <w:pStyle w:val="Compact"/>
            </w:pPr>
            <w:r>
              <w:t xml:space="preserve">100 a 150 pessoas com DI/TEA</w:t>
            </w:r>
          </w:p>
        </w:tc>
      </w:tr>
      <w:tr>
        <w:tc>
          <w:tcPr/>
          <w:p>
            <w:pPr>
              <w:pStyle w:val="Compact"/>
            </w:pPr>
            <w:r>
              <w:t xml:space="preserve">Regime de funcionamento</w:t>
            </w:r>
          </w:p>
        </w:tc>
        <w:tc>
          <w:tcPr/>
          <w:p>
            <w:pPr>
              <w:pStyle w:val="Compact"/>
            </w:pPr>
            <w:r>
              <w:t xml:space="preserve">8h diárias, segunda a sexta-feira, 12 meses/ano</w:t>
            </w:r>
          </w:p>
        </w:tc>
      </w:tr>
    </w:tbl>
    <w:bookmarkEnd w:id="27"/>
    <w:bookmarkStart w:id="28" w:name="valores"/>
    <w:p>
      <w:pPr>
        <w:pStyle w:val="Heading3"/>
      </w:pPr>
      <w:r>
        <w:t xml:space="preserve">2.6. Valores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Escopo</w:t>
            </w:r>
          </w:p>
        </w:tc>
        <w:tc>
          <w:tcPr/>
          <w:p>
            <w:pPr>
              <w:pStyle w:val="Compact"/>
            </w:pPr>
            <w:r>
              <w:t xml:space="preserve">Valor Mensal</w:t>
            </w:r>
          </w:p>
        </w:tc>
        <w:tc>
          <w:tcPr/>
          <w:p>
            <w:pPr>
              <w:pStyle w:val="Compact"/>
            </w:pPr>
            <w:r>
              <w:t xml:space="preserve">Valor Anual (12 meses)</w:t>
            </w:r>
          </w:p>
        </w:tc>
      </w:tr>
      <w:tr>
        <w:tc>
          <w:tcPr/>
          <w:p>
            <w:pPr>
              <w:pStyle w:val="Compact"/>
            </w:pPr>
            <w:r>
              <w:t xml:space="preserve">Escopo 1 — SERDI</w:t>
            </w:r>
          </w:p>
        </w:tc>
        <w:tc>
          <w:tcPr/>
          <w:p>
            <w:pPr>
              <w:pStyle w:val="Compact"/>
            </w:pPr>
            <w:r>
              <w:t xml:space="preserve">R$ 35.247,57</w:t>
            </w:r>
          </w:p>
        </w:tc>
        <w:tc>
          <w:tcPr/>
          <w:p>
            <w:pPr>
              <w:pStyle w:val="Compact"/>
            </w:pPr>
            <w:r>
              <w:t xml:space="preserve">R$ 422.970,84</w:t>
            </w:r>
          </w:p>
        </w:tc>
      </w:tr>
      <w:tr>
        <w:tc>
          <w:tcPr/>
          <w:p>
            <w:pPr>
              <w:pStyle w:val="Compact"/>
            </w:pPr>
            <w:r>
              <w:t xml:space="preserve">Escopo 2 — Suplementar</w:t>
            </w:r>
          </w:p>
        </w:tc>
        <w:tc>
          <w:tcPr/>
          <w:p>
            <w:pPr>
              <w:pStyle w:val="Compact"/>
            </w:pPr>
            <w:r>
              <w:t xml:space="preserve">R$ 3.612,84</w:t>
            </w:r>
          </w:p>
        </w:tc>
        <w:tc>
          <w:tcPr/>
          <w:p>
            <w:pPr>
              <w:pStyle w:val="Compact"/>
            </w:pPr>
            <w:r>
              <w:t xml:space="preserve">R$ 43.354,08</w:t>
            </w:r>
          </w:p>
        </w:tc>
      </w:tr>
      <w:tr>
        <w:tc>
          <w:tcPr/>
          <w:p>
            <w:pPr>
              <w:pStyle w:val="Compact"/>
            </w:pPr>
            <w:r>
              <w:rPr>
                <w:b/>
                <w:bCs/>
              </w:rPr>
              <w:t xml:space="preserve">TOTAL</w:t>
            </w:r>
          </w:p>
        </w:tc>
        <w:tc>
          <w:tcPr/>
          <w:p>
            <w:pPr>
              <w:pStyle w:val="Compact"/>
            </w:pPr>
            <w:r>
              <w:rPr>
                <w:b/>
                <w:bCs/>
              </w:rPr>
              <w:t xml:space="preserve">R$ 38.860,41</w:t>
            </w:r>
          </w:p>
        </w:tc>
        <w:tc>
          <w:tcPr/>
          <w:p>
            <w:pPr>
              <w:pStyle w:val="Compact"/>
            </w:pPr>
            <w:r>
              <w:rPr>
                <w:b/>
                <w:bCs/>
              </w:rPr>
              <w:t xml:space="preserve">R$ 466.324,92</w:t>
            </w:r>
          </w:p>
        </w:tc>
      </w:tr>
    </w:tbl>
    <w:p>
      <w:pPr>
        <w:pStyle w:val="BodyText"/>
      </w:pPr>
      <w:r>
        <w:rPr>
          <w:b/>
          <w:bCs/>
        </w:rPr>
        <w:t xml:space="preserve">Fontes de custeio:</w:t>
      </w:r>
    </w:p>
    <w:p>
      <w:pPr>
        <w:numPr>
          <w:ilvl w:val="0"/>
          <w:numId w:val="1006"/>
        </w:numPr>
      </w:pPr>
      <w:r>
        <w:t xml:space="preserve">Recursos próprios municipais (Fonte 1), vinculados à dotação orçamentária da SMS, observado o piso constitucional de aplicação em saúde (Art. 7.º, LC n.º 141/2012);</w:t>
      </w:r>
    </w:p>
    <w:p>
      <w:pPr>
        <w:numPr>
          <w:ilvl w:val="0"/>
          <w:numId w:val="1006"/>
        </w:numPr>
      </w:pPr>
      <w:r>
        <w:t xml:space="preserve">Cofinanciamento estadual, condicionado à habilitação do serviço como SERDI junto à SES/MG, nos termos da Resolução SES/MG n.º 10.687/2025.</w:t>
      </w:r>
    </w:p>
    <w:p>
      <w:pPr>
        <w:pStyle w:val="FirstParagraph"/>
      </w:pPr>
      <w:r>
        <w:rPr>
          <w:b/>
          <w:bCs/>
        </w:rPr>
        <w:t xml:space="preserve">Vigência:</w:t>
      </w:r>
      <w:r>
        <w:t xml:space="preserve"> </w:t>
      </w:r>
      <w:r>
        <w:t xml:space="preserve">12 (doze) meses a partir da assinatura, renovável por períodos sucessivos até o limite de 10 (dez) anos, nos termos do Art. 21 do Decreto n.º 8.726/2016, com redação dada pelo Decreto n.º 11.948/2024.</w:t>
      </w:r>
    </w:p>
    <w:p>
      <w:pPr>
        <w:pStyle w:val="BodyText"/>
      </w:pPr>
      <w:r>
        <w:rPr>
          <w:b/>
          <w:bCs/>
        </w:rPr>
        <w:t xml:space="preserve">Reajuste:</w:t>
      </w:r>
      <w:r>
        <w:t xml:space="preserve"> </w:t>
      </w:r>
      <w:r>
        <w:t xml:space="preserve">Anualmente pelo INPC/IBGE, conforme instrumento juridico cabivel definido pela Procuradoria (Art. 57, Lei n.? 13.019/2014). 57, Lei n.º 13.019/2014).</w:t>
      </w:r>
    </w:p>
    <w:bookmarkEnd w:id="28"/>
    <w:bookmarkStart w:id="29" w:name="exclusões"/>
    <w:p>
      <w:pPr>
        <w:pStyle w:val="Heading3"/>
      </w:pPr>
      <w:r>
        <w:t xml:space="preserve">2.7. Exclusões</w:t>
      </w:r>
    </w:p>
    <w:p>
      <w:pPr>
        <w:pStyle w:val="FirstParagraph"/>
      </w:pPr>
      <w:r>
        <w:rPr>
          <w:b/>
          <w:bCs/>
        </w:rPr>
        <w:t xml:space="preserve">NÃO fazem parte do objeto desta parceria:</w:t>
      </w:r>
    </w:p>
    <w:p>
      <w:pPr>
        <w:numPr>
          <w:ilvl w:val="0"/>
          <w:numId w:val="1007"/>
        </w:numPr>
      </w:pPr>
      <w:r>
        <w:t xml:space="preserve">Decisões clínicas individuais — diagnóstico, prescrição, prognóstico e alta são de responsabilidade exclusiva dos profissionais de saúde, no exercício de sua autonomia técnica;</w:t>
      </w:r>
    </w:p>
    <w:p>
      <w:pPr>
        <w:numPr>
          <w:ilvl w:val="0"/>
          <w:numId w:val="1007"/>
        </w:numPr>
      </w:pPr>
      <w:r>
        <w:t xml:space="preserve">Serviços de Convivência e Fortalecimento de Vínculos (SCFV) — pertencem ao âmbito da Assistência Social (SUAS) e, se necessários, devem ser objeto de parceria separada com recursos do Fundo Municipal de Assistência Social (FMAS);</w:t>
      </w:r>
    </w:p>
    <w:p>
      <w:pPr>
        <w:numPr>
          <w:ilvl w:val="0"/>
          <w:numId w:val="1007"/>
        </w:numPr>
      </w:pPr>
      <w:r>
        <w:t xml:space="preserve">Internação psiquiátrica ou acolhimento institucional;</w:t>
      </w:r>
    </w:p>
    <w:p>
      <w:pPr>
        <w:numPr>
          <w:ilvl w:val="0"/>
          <w:numId w:val="1007"/>
        </w:numPr>
      </w:pPr>
      <w:r>
        <w:t xml:space="preserve">Dispensação de medicamentos ou materiais ortopédicos;</w:t>
      </w:r>
    </w:p>
    <w:p>
      <w:pPr>
        <w:numPr>
          <w:ilvl w:val="0"/>
          <w:numId w:val="1007"/>
        </w:numPr>
      </w:pPr>
      <w:r>
        <w:t xml:space="preserve">Transporte de usuários — será objeto de cláusula específica ou apostilamento posterior, conforme pactuação entre as partes.</w:t>
      </w:r>
    </w:p>
    <w:p>
      <w:pPr>
        <w:pStyle w:val="BlockText"/>
      </w:pPr>
      <w:r>
        <w:rPr>
          <w:b/>
          <w:bCs/>
        </w:rPr>
        <w:t xml:space="preserve">VALIDAÇÃO HUMANA (V2):</w:t>
      </w:r>
      <w:r>
        <w:t xml:space="preserve"> </w:t>
      </w:r>
      <w:r>
        <w:t xml:space="preserve">Confirmar critérios de elegibilidade (CIDs aceitos, faixas etárias) e capacidade operacional real do CRIE com a configuração de equipe proposta.</w:t>
      </w:r>
    </w:p>
    <w:p>
      <w:r>
        <w:pict>
          <v:rect style="width:0;height:1.5pt" o:hralign="center" o:hrstd="t" o:hr="t"/>
        </w:pict>
      </w:r>
    </w:p>
    <w:bookmarkEnd w:id="29"/>
    <w:bookmarkEnd w:id="30"/>
    <w:bookmarkStart w:id="31" w:name="etapa-3-obrigações-do-município"/>
    <w:p>
      <w:pPr>
        <w:pStyle w:val="Heading2"/>
      </w:pPr>
      <w:r>
        <w:t xml:space="preserve">ETAPA 3 — OBRIGAÇÕES DO MUNICÍPIO</w:t>
      </w:r>
    </w:p>
    <w:bookmarkEnd w:id="31"/>
    <w:bookmarkStart w:id="39" w:name="X1fa5d2242f8b97af6c10d1bda4393b08d08b951"/>
    <w:p>
      <w:pPr>
        <w:pStyle w:val="Heading2"/>
      </w:pPr>
      <w:r>
        <w:t xml:space="preserve">3. Obrigações da Administração Pública (Secretaria Municipal de Saúde de Extrema)</w:t>
      </w:r>
    </w:p>
    <w:bookmarkStart w:id="32" w:name="obrigações-financeiras"/>
    <w:p>
      <w:pPr>
        <w:pStyle w:val="Heading3"/>
      </w:pPr>
      <w:r>
        <w:t xml:space="preserve">3.1. Obrigações Financeiras</w:t>
      </w:r>
    </w:p>
    <w:p>
      <w:pPr>
        <w:numPr>
          <w:ilvl w:val="0"/>
          <w:numId w:val="1008"/>
        </w:numPr>
      </w:pPr>
      <w:r>
        <w:t xml:space="preserve">Transferir à OSC o valor mensal de R$ 38.860,41 (trinta e oito mil, oitocentos e sessenta reais e quarenta e um centavos), totalizando R$ 466.324,92 (quatrocentos e sessenta e seis mil, trezentos e vinte e quatro reais e noventa e dois centavos) em 12 (doze) parcelas iguais, mediante depósito em conta bancária específica e exclusiva da parceria, conforme cronograma de desembolso pactuado no Plano de Trabalho;</w:t>
      </w:r>
    </w:p>
    <w:p>
      <w:pPr>
        <w:numPr>
          <w:ilvl w:val="0"/>
          <w:numId w:val="1008"/>
        </w:numPr>
      </w:pPr>
      <w:r>
        <w:t xml:space="preserve">Indicar a fonte orçamentária vinculada à dotação da SMS, observado o piso constitucional de aplicação em saúde (Art. 7.º, LC n.º 141/2012), assegurando disponibilidade orçamentária e financeira para a integralidade da vigência;</w:t>
      </w:r>
    </w:p>
    <w:p>
      <w:pPr>
        <w:numPr>
          <w:ilvl w:val="0"/>
          <w:numId w:val="1008"/>
        </w:numPr>
      </w:pPr>
      <w:r>
        <w:t xml:space="preserve">Promover reajuste anual pelo INPC/IBGE ou índice que vier a substituí-lo, aplicado sobre o valor vigente, na forma do Art. 57 da Lei n.º 13.019/2014, conforme instrumento juridico cabivel definido pela Procuradoria.</w:t>
      </w:r>
    </w:p>
    <w:bookmarkEnd w:id="32"/>
    <w:bookmarkStart w:id="33" w:name="cessão-de-profissional-médico"/>
    <w:p>
      <w:pPr>
        <w:pStyle w:val="Heading3"/>
      </w:pPr>
      <w:r>
        <w:t xml:space="preserve">3.2. Cessão de Profissional Médico</w:t>
      </w:r>
    </w:p>
    <w:p>
      <w:pPr>
        <w:numPr>
          <w:ilvl w:val="0"/>
          <w:numId w:val="1009"/>
        </w:numPr>
      </w:pPr>
      <w:r>
        <w:t xml:space="preserve">Disponibilizar profissional médico (Clínico Geral e/ou Pediatra e/ou Neurologista e/ou Psiquiatra) com carga horária de 8 (oito) horas semanais, a partir da equipe existente do Centro Integrar, mediante Portaria de Cessão Funcional expedida pelo Chefe do Executivo Municipal ou autoridade delegada. O Termo de Colaboração contemplará cláusula prevendo a integração deste profissional à equipe da OSC, e a cessão será formalizada em instrumento administrativo próprio, independente do apostilamento;</w:t>
      </w:r>
    </w:p>
    <w:p>
      <w:pPr>
        <w:numPr>
          <w:ilvl w:val="0"/>
          <w:numId w:val="1009"/>
        </w:numPr>
      </w:pPr>
      <w:r>
        <w:t xml:space="preserve">A cessão visa completar a equipe mínima obrigatória para fins de habilitação como SERDI, conforme Art. 9.º da Deliberação CIB-SUS/MG n.º 1.403/2013 (médico com carga horária mínima de 8h semanais) e Resolução SES/MG n.º 10.687/2025 (Anexo I, item 2), quando aplicável;</w:t>
      </w:r>
    </w:p>
    <w:p>
      <w:pPr>
        <w:numPr>
          <w:ilvl w:val="0"/>
          <w:numId w:val="1009"/>
        </w:numPr>
      </w:pPr>
      <w:r>
        <w:t xml:space="preserve">As atribuições do médico cedido compreendem: avaliação clínica e do neurodesenvolvimento, prescrição terapêutica, supervisão de protocolos medicamentosos, elaboração de laudos e pareceres técnicos, e participação nas reuniões de equipe multiprofissional para construção e revisão de PTS.</w:t>
      </w:r>
    </w:p>
    <w:bookmarkEnd w:id="33"/>
    <w:bookmarkStart w:id="34" w:name="acesso-a-sistemas-e-faturamento"/>
    <w:p>
      <w:pPr>
        <w:pStyle w:val="Heading3"/>
      </w:pPr>
      <w:r>
        <w:t xml:space="preserve">3.3. Acesso a Sistemas e Faturamento</w:t>
      </w:r>
    </w:p>
    <w:p>
      <w:pPr>
        <w:numPr>
          <w:ilvl w:val="0"/>
          <w:numId w:val="1010"/>
        </w:numPr>
      </w:pPr>
      <w:r>
        <w:t xml:space="preserve">Garantir acesso ao sistema Vector (ou equivalente) para registro de atendimentos e faturamento de procedimentos via Boletim de Produção Ambulatorial (BPA), quando o CRIE estiver habilitado como SERDI junto à SES/MG;</w:t>
      </w:r>
    </w:p>
    <w:p>
      <w:pPr>
        <w:numPr>
          <w:ilvl w:val="0"/>
          <w:numId w:val="1010"/>
        </w:numPr>
      </w:pPr>
      <w:r>
        <w:t xml:space="preserve">O acesso ao sistema Vector será formalizado mediante Termo de Responsabilidade específico, com cláusulas de proteção de dados pessoais de saúde, em conformidade com a Lei Federal n.º 13.709/2018 (LGPD), incluindo: finalidade restrita ao registro de procedimentos e faturamento SUS, minimização de dados, restrição de acesso por perfil profissional, e vedação de compartilhamento não autorizado;</w:t>
      </w:r>
    </w:p>
    <w:p>
      <w:pPr>
        <w:numPr>
          <w:ilvl w:val="0"/>
          <w:numId w:val="1010"/>
        </w:numPr>
      </w:pPr>
      <w:r>
        <w:t xml:space="preserve">Fornecer orientação técnica à OSC sobre os procedimentos de faturamento BPA e sobre o rol de procedimentos da carteira de reabilitação intelectual (Anexo IV, Resolução SES/MG n.º 10.687/2025).</w:t>
      </w:r>
    </w:p>
    <w:bookmarkEnd w:id="34"/>
    <w:bookmarkStart w:id="35" w:name="referenciamento-e-articulação-em-rede"/>
    <w:p>
      <w:pPr>
        <w:pStyle w:val="Heading3"/>
      </w:pPr>
      <w:r>
        <w:t xml:space="preserve">3.4. Referenciamento e Articulação em Rede</w:t>
      </w:r>
    </w:p>
    <w:p>
      <w:pPr>
        <w:numPr>
          <w:ilvl w:val="0"/>
          <w:numId w:val="1011"/>
        </w:numPr>
      </w:pPr>
      <w:r>
        <w:t xml:space="preserve">Garantir o referenciamento formal de usuários à OSC por meio da rede municipal de saúde (Atenção Primária à Saúde — APS, CAPS, rede intersetorial), assegurando fluxo regulado e critérios de elegibilidade padronizados;</w:t>
      </w:r>
    </w:p>
    <w:p>
      <w:pPr>
        <w:numPr>
          <w:ilvl w:val="0"/>
          <w:numId w:val="1011"/>
        </w:numPr>
      </w:pPr>
      <w:r>
        <w:t xml:space="preserve">Articular o encaminhamento de neonatos de risco ao serviço de estimulação precoce avançada, em conformidade com o Programa PIPA (Deliberação CIB-SUS/MG n.º 1.404/2013);</w:t>
      </w:r>
    </w:p>
    <w:p>
      <w:pPr>
        <w:numPr>
          <w:ilvl w:val="0"/>
          <w:numId w:val="1011"/>
        </w:numPr>
      </w:pPr>
      <w:r>
        <w:t xml:space="preserve">Promover articulação intersetorial com Educação (PSE, AEE), Assistência Social (CRAS/CREAS) e demais pontos da rede para garantia da integralidade do cuidado.</w:t>
      </w:r>
    </w:p>
    <w:bookmarkEnd w:id="35"/>
    <w:bookmarkStart w:id="36" w:name="habilitação-serdi"/>
    <w:p>
      <w:pPr>
        <w:pStyle w:val="Heading3"/>
      </w:pPr>
      <w:r>
        <w:t xml:space="preserve">3.5. Habilitação SERDI</w:t>
      </w:r>
    </w:p>
    <w:p>
      <w:pPr>
        <w:numPr>
          <w:ilvl w:val="0"/>
          <w:numId w:val="1012"/>
        </w:numPr>
      </w:pPr>
      <w:r>
        <w:t xml:space="preserve">Conduzir o processo de habilitação do serviço como SERDI junto à Secretaria de Estado de Saúde de Minas Gerais (SES/MG), incluindo instrução do processo, assinatura do Termo de Adesão (Art. 14, Resolução SES/MG n.º 10.687/2025) e acompanhamento junto às instâncias estaduais e federais;</w:t>
      </w:r>
    </w:p>
    <w:p>
      <w:pPr>
        <w:numPr>
          <w:ilvl w:val="0"/>
          <w:numId w:val="1012"/>
        </w:numPr>
      </w:pPr>
      <w:r>
        <w:t xml:space="preserve">Articular a inclusão de Extrema no Anexo III de beneficiários, conforme Art. 10, § 3.º, da Resolução SES/MG n.º 10.687/2025, mediante publicação de resolução complementar pela SES/MG;</w:t>
      </w:r>
    </w:p>
    <w:p>
      <w:pPr>
        <w:numPr>
          <w:ilvl w:val="0"/>
          <w:numId w:val="1012"/>
        </w:numPr>
      </w:pPr>
      <w:r>
        <w:t xml:space="preserve">Instruir processo de adesão ao PIPA (Deliberação CIB-SUS/MG n.º 1.404/2013), para captação de incentivo financeiro estadual vinculado à intervenção precoce.</w:t>
      </w:r>
    </w:p>
    <w:bookmarkEnd w:id="36"/>
    <w:bookmarkStart w:id="37" w:name="monitoramento-e-avaliação"/>
    <w:p>
      <w:pPr>
        <w:pStyle w:val="Heading3"/>
      </w:pPr>
      <w:r>
        <w:t xml:space="preserve">3.6. Monitoramento e Avaliação</w:t>
      </w:r>
    </w:p>
    <w:p>
      <w:pPr>
        <w:numPr>
          <w:ilvl w:val="0"/>
          <w:numId w:val="1013"/>
        </w:numPr>
      </w:pPr>
      <w:r>
        <w:t xml:space="preserve">Designar Gestor da Parceria (titular e suplente), nos termos do Art. 61 da Lei n.º 13.019/2014, com atribuições de acompanhamento, fiscalização e emissão de parecer conclusivo sobre a prestação de contas;</w:t>
      </w:r>
    </w:p>
    <w:p>
      <w:pPr>
        <w:numPr>
          <w:ilvl w:val="0"/>
          <w:numId w:val="1013"/>
        </w:numPr>
      </w:pPr>
      <w:r>
        <w:t xml:space="preserve">Manter Comissão de Monitoramento e Avaliação (CMA), designada pelo Decreto Municipal n.º 4.819/2025, para homologação do relatório técnico de monitoramento e avaliação;</w:t>
      </w:r>
    </w:p>
    <w:p>
      <w:pPr>
        <w:numPr>
          <w:ilvl w:val="0"/>
          <w:numId w:val="1013"/>
        </w:numPr>
      </w:pPr>
      <w:r>
        <w:t xml:space="preserve">Realizar visitas técnicas bimestrais às instalações da OSC para verificação in loco da execução do objeto;</w:t>
      </w:r>
    </w:p>
    <w:p>
      <w:pPr>
        <w:numPr>
          <w:ilvl w:val="0"/>
          <w:numId w:val="1013"/>
        </w:numPr>
      </w:pPr>
      <w:r>
        <w:t xml:space="preserve">Analisar relatórios de execução e prestação de contas nos prazos legais;</w:t>
      </w:r>
    </w:p>
    <w:p>
      <w:pPr>
        <w:numPr>
          <w:ilvl w:val="0"/>
          <w:numId w:val="1013"/>
        </w:numPr>
      </w:pPr>
      <w:r>
        <w:t xml:space="preserve">Comunicar à OSC eventuais irregularidades verificadas, concedendo prazo para regularização antes de aplicação de sanções.</w:t>
      </w:r>
    </w:p>
    <w:bookmarkEnd w:id="37"/>
    <w:bookmarkStart w:id="38" w:name="autonomia-da-osc"/>
    <w:p>
      <w:pPr>
        <w:pStyle w:val="Heading3"/>
      </w:pPr>
      <w:r>
        <w:t xml:space="preserve">3.7. Autonomia da OSC</w:t>
      </w:r>
    </w:p>
    <w:p>
      <w:pPr>
        <w:numPr>
          <w:ilvl w:val="0"/>
          <w:numId w:val="1014"/>
        </w:numPr>
      </w:pPr>
      <w:r>
        <w:t xml:space="preserve">Não interferir na gestão operacional da OSC, respeitando sua autonomia administrativa, financeira e técnica, nos termos do Art. 5.º da Lei n.º 13.019/2014;</w:t>
      </w:r>
    </w:p>
    <w:p>
      <w:pPr>
        <w:numPr>
          <w:ilvl w:val="0"/>
          <w:numId w:val="1014"/>
        </w:numPr>
      </w:pPr>
      <w:r>
        <w:t xml:space="preserve">A supervisão da Administração Pública restringe-se ao acompanhamento da execução do objeto, ao cumprimento das metas pactuadas e à regularidade da prestação de contas, sem configurar vínculo empregatício, subordinação hierárquica ou ingerência na gestão interna da entidade.</w:t>
      </w:r>
    </w:p>
    <w:p>
      <w:r>
        <w:pict>
          <v:rect style="width:0;height:1.5pt" o:hralign="center" o:hrstd="t" o:hr="t"/>
        </w:pict>
      </w:r>
    </w:p>
    <w:bookmarkEnd w:id="38"/>
    <w:bookmarkEnd w:id="39"/>
    <w:bookmarkStart w:id="40" w:name="etapa-4-obrigações-da-instituição-osc"/>
    <w:p>
      <w:pPr>
        <w:pStyle w:val="Heading2"/>
      </w:pPr>
      <w:r>
        <w:t xml:space="preserve">ETAPA 4 — OBRIGAÇÕES DA INSTITUIÇÃO (OSC)</w:t>
      </w:r>
    </w:p>
    <w:bookmarkEnd w:id="40"/>
    <w:bookmarkStart w:id="50" w:name="X1a3fde763f41329b6211813ff4ba4ef2ca4fa7a"/>
    <w:p>
      <w:pPr>
        <w:pStyle w:val="Heading2"/>
      </w:pPr>
      <w:r>
        <w:t xml:space="preserve">4. Obrigações do CRIE — Centro de Integração Especial</w:t>
      </w:r>
    </w:p>
    <w:bookmarkStart w:id="41" w:name="equipe-e-recursos-humanos"/>
    <w:p>
      <w:pPr>
        <w:pStyle w:val="Heading3"/>
      </w:pPr>
      <w:r>
        <w:t xml:space="preserve">4.1. Equipe e Recursos Humanos</w:t>
      </w:r>
    </w:p>
    <w:p>
      <w:pPr>
        <w:numPr>
          <w:ilvl w:val="0"/>
          <w:numId w:val="1015"/>
        </w:numPr>
      </w:pPr>
      <w:r>
        <w:t xml:space="preserve">Manter equipe multiprofissional conforme Plano de Trabalho aprovado, com profissionais habilitados e registros ativos nos respectivos conselhos profissionais (CREFITO, CRFa, CRP, CRESS, CREF);</w:t>
      </w:r>
    </w:p>
    <w:p>
      <w:pPr>
        <w:numPr>
          <w:ilvl w:val="0"/>
          <w:numId w:val="1015"/>
        </w:numPr>
      </w:pPr>
      <w:r>
        <w:t xml:space="preserve">Em caso de vacância ou afastamento de profissional, providenciar substituição por profissional com qualificação equivalente no prazo máximo de 30 (trinta) dias, comunicando formalmente à SMS;</w:t>
      </w:r>
    </w:p>
    <w:p>
      <w:pPr>
        <w:numPr>
          <w:ilvl w:val="0"/>
          <w:numId w:val="1015"/>
        </w:numPr>
      </w:pPr>
      <w:r>
        <w:t xml:space="preserve">Designar Coordenador(a) Técnico(a) com carga horária de 20 (vinte) horas semanais, responsável pela supervisão clínica, articulação intersetorial, produção de relatórios técnicos mensais e participação em reuniões de equipe e de monitoramento;</w:t>
      </w:r>
    </w:p>
    <w:p>
      <w:pPr>
        <w:numPr>
          <w:ilvl w:val="0"/>
          <w:numId w:val="1015"/>
        </w:numPr>
      </w:pPr>
      <w:r>
        <w:t xml:space="preserve">Garantir que nenhum profissional tenha carga horária sobreposta entre o centro de custo Saúde (presente Termo) e o centro de custo Assistência Social (se houver parceria paralela). Caso o mesmo profissional atue nos dois escopos, os horários devem ser distintos, documentados em instrumentos separados e comprovados mediante registro de ponto segregado;</w:t>
      </w:r>
    </w:p>
    <w:p>
      <w:pPr>
        <w:numPr>
          <w:ilvl w:val="0"/>
          <w:numId w:val="1015"/>
        </w:numPr>
      </w:pPr>
      <w:r>
        <w:t xml:space="preserve">Observar a Cláusula de Blindagem das Horas SERDI: os profissionais alocados ao Escopo 1 (SERDI) não poderão, sob qualquer hipótese, ter sua carga horária mínima redirecionada para atividades não previstas na Deliberação CIB-SUS/MG n.º 1.403/2013 e na Resolução SES/MG n.º 10.687/2025.</w:t>
      </w:r>
    </w:p>
    <w:bookmarkEnd w:id="41"/>
    <w:bookmarkStart w:id="42" w:name="atendimento-e-plano-terapêutico"/>
    <w:p>
      <w:pPr>
        <w:pStyle w:val="Heading3"/>
      </w:pPr>
      <w:r>
        <w:t xml:space="preserve">4.2. Atendimento e Plano Terapêutico</w:t>
      </w:r>
    </w:p>
    <w:p>
      <w:pPr>
        <w:numPr>
          <w:ilvl w:val="0"/>
          <w:numId w:val="1016"/>
        </w:numPr>
      </w:pPr>
      <w:r>
        <w:t xml:space="preserve">Elaborar Projeto Terapêutico Singular (PTS) para 100% dos usuários admitidos, construído pela equipe multiprofissional, com revisão semestral obrigatória, contendo: avaliação diagnóstica multidisciplinar, objetivos terapêuticos de curto, médio e longo prazo, atividades e intervenções programadas, periodicidade dos atendimentos e critérios de alta ou transição;</w:t>
      </w:r>
    </w:p>
    <w:p>
      <w:pPr>
        <w:numPr>
          <w:ilvl w:val="0"/>
          <w:numId w:val="1016"/>
        </w:numPr>
      </w:pPr>
      <w:r>
        <w:t xml:space="preserve">Prestar atendimentos em regime de cuidado integral, com intervenções coordenadas entre as especialidades, orientação familiar vinculada ao PTS e acompanhamento longitudinal;</w:t>
      </w:r>
    </w:p>
    <w:p>
      <w:pPr>
        <w:numPr>
          <w:ilvl w:val="0"/>
          <w:numId w:val="1016"/>
        </w:numPr>
      </w:pPr>
      <w:r>
        <w:t xml:space="preserve">Garantir capacidade operacional mínima de 150 atendimentos/mês e meta de procedimentos SERDI conforme pactuado (≥ 900 procedimentos/mês no Ano 1);</w:t>
      </w:r>
    </w:p>
    <w:p>
      <w:pPr>
        <w:numPr>
          <w:ilvl w:val="0"/>
          <w:numId w:val="1016"/>
        </w:numPr>
      </w:pPr>
      <w:r>
        <w:t xml:space="preserve">Aplicar pesquisa de satisfação semestral com as famílias dos usuários atendidos, com meta mínima de 70% de avaliações positivas;</w:t>
      </w:r>
    </w:p>
    <w:p>
      <w:pPr>
        <w:numPr>
          <w:ilvl w:val="0"/>
          <w:numId w:val="1016"/>
        </w:numPr>
      </w:pPr>
      <w:r>
        <w:t xml:space="preserve">Funcionar em regime de 8 (oito) horas diárias, de segunda a sexta-feira, nos 12 (doze) meses do ano, sem interrupção por férias coletivas, garantindo continuidade assistencial mediante escala de cobertura.</w:t>
      </w:r>
    </w:p>
    <w:bookmarkEnd w:id="42"/>
    <w:bookmarkStart w:id="43" w:name="educação-permanente"/>
    <w:p>
      <w:pPr>
        <w:pStyle w:val="Heading3"/>
      </w:pPr>
      <w:r>
        <w:t xml:space="preserve">4.3. Educação Permanente</w:t>
      </w:r>
    </w:p>
    <w:p>
      <w:pPr>
        <w:numPr>
          <w:ilvl w:val="0"/>
          <w:numId w:val="1017"/>
        </w:numPr>
      </w:pPr>
      <w:r>
        <w:t xml:space="preserve">Realizar no mínimo 1 (uma) ação de educação permanente por mês para a equipe técnica;</w:t>
      </w:r>
    </w:p>
    <w:p>
      <w:pPr>
        <w:numPr>
          <w:ilvl w:val="0"/>
          <w:numId w:val="1017"/>
        </w:numPr>
      </w:pPr>
      <w:r>
        <w:t xml:space="preserve">Cumprir meta de 3 (três) capacitações quadrimestrais, conforme Art. 7.º da Deliberação CIB-SUS/MG n.º 1.403/2013;</w:t>
      </w:r>
    </w:p>
    <w:p>
      <w:pPr>
        <w:numPr>
          <w:ilvl w:val="0"/>
          <w:numId w:val="1017"/>
        </w:numPr>
      </w:pPr>
      <w:r>
        <w:t xml:space="preserve">Manter registros documentais das capacitações (lista de presença, conteúdo programático, certificados), disponíveis para verificação pela CMA.</w:t>
      </w:r>
    </w:p>
    <w:bookmarkEnd w:id="43"/>
    <w:bookmarkStart w:id="44" w:name="gestão-financeira-e-prestação-de-contas"/>
    <w:p>
      <w:pPr>
        <w:pStyle w:val="Heading3"/>
      </w:pPr>
      <w:r>
        <w:t xml:space="preserve">4.4. Gestão Financeira e Prestação de Contas</w:t>
      </w:r>
    </w:p>
    <w:p>
      <w:pPr>
        <w:numPr>
          <w:ilvl w:val="0"/>
          <w:numId w:val="1018"/>
        </w:numPr>
      </w:pPr>
      <w:r>
        <w:t xml:space="preserve">Manter conta bancária específica e exclusiva para movimentação dos recursos da parceria (Art. 51, Lei n.º 13.019/2014);</w:t>
      </w:r>
    </w:p>
    <w:p>
      <w:pPr>
        <w:numPr>
          <w:ilvl w:val="0"/>
          <w:numId w:val="1018"/>
        </w:numPr>
      </w:pPr>
      <w:r>
        <w:t xml:space="preserve">Manter escrituração contábil específica para os recursos recebidos, com segregação entre Escopo 1 (SERDI) e Escopo 2 (Suplementar), em conformidade com o Art. 51 da Lei n.º 13.019/2014;</w:t>
      </w:r>
    </w:p>
    <w:p>
      <w:pPr>
        <w:numPr>
          <w:ilvl w:val="0"/>
          <w:numId w:val="1018"/>
        </w:numPr>
      </w:pPr>
      <w:r>
        <w:t xml:space="preserve">Aplicar os recursos exclusivamente nas finalidades da parceria, observadas as vedações orçamentárias do Art. 45 da Lei n.º 13.019/2014;</w:t>
      </w:r>
    </w:p>
    <w:p>
      <w:pPr>
        <w:numPr>
          <w:ilvl w:val="0"/>
          <w:numId w:val="1018"/>
        </w:numPr>
      </w:pPr>
      <w:r>
        <w:t xml:space="preserve">Apresentar prestação de contas conforme periodicidade e modelo definidos pela CMA e pelo MIROSC, incluindo documentação comprobatória de todas as despesas, extratos bancários conciliados, relatórios de execução do objeto e execução financeira;</w:t>
      </w:r>
    </w:p>
    <w:p>
      <w:pPr>
        <w:numPr>
          <w:ilvl w:val="0"/>
          <w:numId w:val="1018"/>
        </w:numPr>
      </w:pPr>
      <w:r>
        <w:t xml:space="preserve">Restituir recursos em caso de inexecução, execução parcial ou má aplicação, atualizados monetariamente, nos termos do Art. 72 da Lei n.º 13.019/2014.</w:t>
      </w:r>
    </w:p>
    <w:bookmarkEnd w:id="44"/>
    <w:bookmarkStart w:id="45" w:name="faturamento-e-registros"/>
    <w:p>
      <w:pPr>
        <w:pStyle w:val="Heading3"/>
      </w:pPr>
      <w:r>
        <w:t xml:space="preserve">4.5. Faturamento e Registros</w:t>
      </w:r>
    </w:p>
    <w:p>
      <w:pPr>
        <w:numPr>
          <w:ilvl w:val="0"/>
          <w:numId w:val="1019"/>
        </w:numPr>
      </w:pPr>
      <w:r>
        <w:t xml:space="preserve">Faturar procedimentos via Boletim de Produção Ambulatorial (BPA) quando habilitado como SERDI, observando o rol de procedimentos da carteira de reabilitação intelectual (Anexo IV, Resolução SES/MG n.º 10.687/2025);</w:t>
      </w:r>
    </w:p>
    <w:p>
      <w:pPr>
        <w:numPr>
          <w:ilvl w:val="0"/>
          <w:numId w:val="1019"/>
        </w:numPr>
      </w:pPr>
      <w:r>
        <w:t xml:space="preserve">Manter meta de faturamento de ≥ 80% dos procedimentos realizados vs. faturados;</w:t>
      </w:r>
    </w:p>
    <w:p>
      <w:pPr>
        <w:numPr>
          <w:ilvl w:val="0"/>
          <w:numId w:val="1019"/>
        </w:numPr>
      </w:pPr>
      <w:r>
        <w:t xml:space="preserve">Manter o Cadastro Nacional de Estabelecimentos de Saúde (CNES) atualizado, com verificação trimestral, incluindo vínculo de todos os profissionais da equipe;</w:t>
      </w:r>
    </w:p>
    <w:p>
      <w:pPr>
        <w:numPr>
          <w:ilvl w:val="0"/>
          <w:numId w:val="1019"/>
        </w:numPr>
      </w:pPr>
      <w:r>
        <w:t xml:space="preserve">Manter registro individualizado dos usuários atendidos em prontuário próprio, observando sigilo e proteção de dados pessoais de saúde em conformidade com a Lei Federal n.º 13.709/2018 (LGPD).</w:t>
      </w:r>
    </w:p>
    <w:bookmarkEnd w:id="45"/>
    <w:bookmarkStart w:id="46" w:name="proteção-de-dados-lgpd"/>
    <w:p>
      <w:pPr>
        <w:pStyle w:val="Heading3"/>
      </w:pPr>
      <w:r>
        <w:t xml:space="preserve">4.6. Proteção de Dados (LGPD)</w:t>
      </w:r>
    </w:p>
    <w:p>
      <w:pPr>
        <w:numPr>
          <w:ilvl w:val="0"/>
          <w:numId w:val="1020"/>
        </w:numPr>
      </w:pPr>
      <w:r>
        <w:t xml:space="preserve">Cumprir integralmente a Lei Federal n.º 13.709/2018 (LGPD) no manejo de dados pessoais e dados pessoais sensíveis (dados de saúde) dos usuários, familiares e profissionais;</w:t>
      </w:r>
    </w:p>
    <w:p>
      <w:pPr>
        <w:numPr>
          <w:ilvl w:val="0"/>
          <w:numId w:val="1020"/>
        </w:numPr>
      </w:pPr>
      <w:r>
        <w:t xml:space="preserve">Garantir que o acesso ao sistema Vector e aos prontuários seja restrito aos profissionais diretamente envolvidos no atendimento, mediante credenciais individuais e registro de acesso;</w:t>
      </w:r>
    </w:p>
    <w:p>
      <w:pPr>
        <w:numPr>
          <w:ilvl w:val="0"/>
          <w:numId w:val="1020"/>
        </w:numPr>
      </w:pPr>
      <w:r>
        <w:t xml:space="preserve">Adotar medidas técnicas e administrativas de segurança da informação para proteger dados pessoais contra acessos não autorizados, destruição, perda, alteração ou vazamento;</w:t>
      </w:r>
    </w:p>
    <w:p>
      <w:pPr>
        <w:numPr>
          <w:ilvl w:val="0"/>
          <w:numId w:val="1020"/>
        </w:numPr>
      </w:pPr>
      <w:r>
        <w:t xml:space="preserve">Observar as bases legais para tratamento de dados pessoais sensíveis de saúde: (i) tutela da saúde, exclusivamente em procedimento realizado por profissional de saúde, serviço de saúde ou autoridade sanitária (Art. 11, II,</w:t>
      </w:r>
      <w:r>
        <w:t xml:space="preserve"> </w:t>
      </w:r>
      <w:r>
        <w:t xml:space="preserve">“f”</w:t>
      </w:r>
      <w:r>
        <w:t xml:space="preserve">, LGPD) — base primária para atendimentos clínicos e registros assistenciais; (ii) consentimento informado do titular ou responsável legal (Art. 11, I, LGPD) — base complementar para finalidades secundárias, como pesquisa de satisfação e uso de imagem institucional;</w:t>
      </w:r>
    </w:p>
    <w:p>
      <w:pPr>
        <w:numPr>
          <w:ilvl w:val="0"/>
          <w:numId w:val="1020"/>
        </w:numPr>
      </w:pPr>
      <w:r>
        <w:t xml:space="preserve">Comunicar à SMS, no prazo de 48 (quarenta e oito) horas, qualquer incidente de segurança que possa acarretar risco ou dano relevante aos titulares de dados pessoais.</w:t>
      </w:r>
    </w:p>
    <w:bookmarkEnd w:id="46"/>
    <w:bookmarkStart w:id="47" w:name="transparência-e-controle-social"/>
    <w:p>
      <w:pPr>
        <w:pStyle w:val="Heading3"/>
      </w:pPr>
      <w:r>
        <w:t xml:space="preserve">4.7. Transparência e Controle Social</w:t>
      </w:r>
    </w:p>
    <w:p>
      <w:pPr>
        <w:numPr>
          <w:ilvl w:val="0"/>
          <w:numId w:val="1021"/>
        </w:numPr>
      </w:pPr>
      <w:r>
        <w:t xml:space="preserve">Divulgar na internet e em locais visíveis da sede a relação das parcerias celebradas com o Poder Público, nos termos do Art. 11 da Lei n.º 13.019/2014;</w:t>
      </w:r>
    </w:p>
    <w:p>
      <w:pPr>
        <w:numPr>
          <w:ilvl w:val="0"/>
          <w:numId w:val="1021"/>
        </w:numPr>
      </w:pPr>
      <w:r>
        <w:t xml:space="preserve">Permitir o acesso dos agentes da Administração Pública, do Controle Interno e do Tribunal de Contas do Estado de Minas Gerais (TCE-MG) aos processos, documentos e informações relacionados à parceria;</w:t>
      </w:r>
    </w:p>
    <w:p>
      <w:pPr>
        <w:numPr>
          <w:ilvl w:val="0"/>
          <w:numId w:val="1021"/>
        </w:numPr>
      </w:pPr>
      <w:r>
        <w:t xml:space="preserve">Submeter-se a visitas de monitoramento e fiscalização pela CMA, fornecendo acesso irrestrito às instalações, prontuários (observado sigilo LGPD), registros de frequência e demais documentos;</w:t>
      </w:r>
    </w:p>
    <w:p>
      <w:pPr>
        <w:numPr>
          <w:ilvl w:val="0"/>
          <w:numId w:val="1021"/>
        </w:numPr>
      </w:pPr>
      <w:r>
        <w:t xml:space="preserve">Apresentar semestralmente à SMS os resultados alcançados, com indicadores parametrizados conforme Seção 7 deste Termo de Referência;</w:t>
      </w:r>
    </w:p>
    <w:p>
      <w:pPr>
        <w:numPr>
          <w:ilvl w:val="0"/>
          <w:numId w:val="1021"/>
        </w:numPr>
      </w:pPr>
      <w:r>
        <w:t xml:space="preserve">Comunicar formalmente qualquer impossibilidade de cumprimento de meta, com antecedência mínima de 30 (trinta) dias.</w:t>
      </w:r>
    </w:p>
    <w:bookmarkEnd w:id="47"/>
    <w:bookmarkStart w:id="48" w:name="transporte-se-aplicável"/>
    <w:p>
      <w:pPr>
        <w:pStyle w:val="Heading3"/>
      </w:pPr>
      <w:r>
        <w:t xml:space="preserve">4.8. Transporte (se aplicável)</w:t>
      </w:r>
    </w:p>
    <w:p>
      <w:pPr>
        <w:numPr>
          <w:ilvl w:val="0"/>
          <w:numId w:val="1022"/>
        </w:numPr>
      </w:pPr>
      <w:r>
        <w:t xml:space="preserve">Garantir transporte dos usuários mediante disponibilização de veículo adaptado (van) com motorista, se assim pactuado no Plano de Trabalho;</w:t>
      </w:r>
    </w:p>
    <w:p>
      <w:pPr>
        <w:numPr>
          <w:ilvl w:val="0"/>
          <w:numId w:val="1022"/>
        </w:numPr>
      </w:pPr>
      <w:r>
        <w:t xml:space="preserve">Caso o transporte não seja incluído neste Termo, poderá ser objeto de apostilamento posterior ou instrumento complementar.</w:t>
      </w:r>
    </w:p>
    <w:bookmarkEnd w:id="48"/>
    <w:bookmarkStart w:id="49" w:name="vedações-orçamentárias"/>
    <w:p>
      <w:pPr>
        <w:pStyle w:val="Heading3"/>
      </w:pPr>
      <w:r>
        <w:t xml:space="preserve">4.9. Vedações Orçamentárias</w:t>
      </w:r>
    </w:p>
    <w:p>
      <w:pPr>
        <w:pStyle w:val="FirstParagraph"/>
      </w:pPr>
      <w:r>
        <w:t xml:space="preserve">É vedada a utilização dos recursos da parceria para:</w:t>
      </w:r>
    </w:p>
    <w:p>
      <w:pPr>
        <w:pStyle w:val="Compact"/>
        <w:numPr>
          <w:ilvl w:val="0"/>
          <w:numId w:val="1023"/>
        </w:numPr>
      </w:pPr>
      <w:r>
        <w:t xml:space="preserve">Taxa de administração, gestão, gerência ou similar (Art. 47, Decreto MG n.º 47.132/2017);</w:t>
      </w:r>
    </w:p>
    <w:p>
      <w:pPr>
        <w:pStyle w:val="Compact"/>
        <w:numPr>
          <w:ilvl w:val="0"/>
          <w:numId w:val="1023"/>
        </w:numPr>
      </w:pPr>
      <w:r>
        <w:t xml:space="preserve">Finalidades diferentes das previstas no Plano de Trabalho aprovado;</w:t>
      </w:r>
    </w:p>
    <w:p>
      <w:pPr>
        <w:pStyle w:val="Compact"/>
        <w:numPr>
          <w:ilvl w:val="0"/>
          <w:numId w:val="1023"/>
        </w:numPr>
      </w:pPr>
      <w:r>
        <w:t xml:space="preserve">Pagamento de servidor ou empregado público ativo, exceto nas hipóteses legais (Art. 45, caput, Lei n.º 13.019/2014);</w:t>
      </w:r>
    </w:p>
    <w:p>
      <w:pPr>
        <w:pStyle w:val="Compact"/>
        <w:numPr>
          <w:ilvl w:val="0"/>
          <w:numId w:val="1023"/>
        </w:numPr>
      </w:pPr>
      <w:r>
        <w:t xml:space="preserve">Aquisição de bens imóveis (Art. 45, I, Lei n.º 13.019/2014);</w:t>
      </w:r>
    </w:p>
    <w:p>
      <w:pPr>
        <w:pStyle w:val="Compact"/>
        <w:numPr>
          <w:ilvl w:val="0"/>
          <w:numId w:val="1023"/>
        </w:numPr>
      </w:pPr>
      <w:r>
        <w:t xml:space="preserve">Pagamento de despesas anteriores à vigência da parceria (Art. 45, III, Lei n.º 13.019/2014);</w:t>
      </w:r>
    </w:p>
    <w:p>
      <w:pPr>
        <w:pStyle w:val="Compact"/>
        <w:numPr>
          <w:ilvl w:val="0"/>
          <w:numId w:val="1023"/>
        </w:numPr>
      </w:pPr>
      <w:r>
        <w:t xml:space="preserve">Pagamento a cônjuge, companheiro ou parente, em linha reta, colateral ou por afinidade, até 2.º (segundo) grau de dirigente da OSC ou agente público da Administração celebrante (Art. 39, § 5.º c/c Art. 45, Lei n.º 13.019/2014);</w:t>
      </w:r>
    </w:p>
    <w:p>
      <w:pPr>
        <w:pStyle w:val="Compact"/>
        <w:numPr>
          <w:ilvl w:val="0"/>
          <w:numId w:val="1023"/>
        </w:numPr>
      </w:pPr>
      <w:r>
        <w:t xml:space="preserve">Multas, juros ou correção monetária por atraso (Art. 45, IV, Lei n.º 13.019/2014);</w:t>
      </w:r>
    </w:p>
    <w:p>
      <w:pPr>
        <w:pStyle w:val="Compact"/>
        <w:numPr>
          <w:ilvl w:val="0"/>
          <w:numId w:val="1023"/>
        </w:numPr>
      </w:pPr>
      <w:r>
        <w:t xml:space="preserve">Publicidade não prevista no Plano de Trabalho (Art. 45, V, Lei n.º 13.019/2014);</w:t>
      </w:r>
    </w:p>
    <w:p>
      <w:pPr>
        <w:pStyle w:val="Compact"/>
        <w:numPr>
          <w:ilvl w:val="0"/>
          <w:numId w:val="1023"/>
        </w:numPr>
      </w:pPr>
      <w:r>
        <w:t xml:space="preserve">Gratificação, consultoria ou remuneração a dirigente pela prestação de serviços (Art. 45, § 1.º, Lei n.º 13.019/2014).</w:t>
      </w:r>
    </w:p>
    <w:p>
      <w:r>
        <w:pict>
          <v:rect style="width:0;height:1.5pt" o:hralign="center" o:hrstd="t" o:hr="t"/>
        </w:pict>
      </w:r>
    </w:p>
    <w:bookmarkEnd w:id="49"/>
    <w:bookmarkEnd w:id="50"/>
    <w:bookmarkStart w:id="51" w:name="Xd2348b57c46d2dbfc63faab8df79fe72ea02d3c"/>
    <w:p>
      <w:pPr>
        <w:pStyle w:val="Heading2"/>
      </w:pPr>
      <w:r>
        <w:t xml:space="preserve">ETAPA 5 — PLANO DE TRABALHO (Art. 22, Lei n.º 13.019/2014)</w:t>
      </w:r>
    </w:p>
    <w:bookmarkEnd w:id="51"/>
    <w:bookmarkStart w:id="59" w:name="X0d8143cb5b653c11258a698ddb80660326bed52"/>
    <w:p>
      <w:pPr>
        <w:pStyle w:val="Heading2"/>
      </w:pPr>
      <w:r>
        <w:t xml:space="preserve">5. Elementos Obrigatórios do Plano de Trabalho</w:t>
      </w:r>
    </w:p>
    <w:p>
      <w:pPr>
        <w:pStyle w:val="FirstParagraph"/>
      </w:pPr>
      <w:r>
        <w:t xml:space="preserve">O Plano de Trabalho é parte integrante do Termo de Colaboração e deve conter os elementos previstos no Art. 22 da Lei n.º 13.019/2014. A presente seção orienta a sua elaboração.</w:t>
      </w:r>
    </w:p>
    <w:bookmarkStart w:id="52" w:name="diagnóstico-da-realidade"/>
    <w:p>
      <w:pPr>
        <w:pStyle w:val="Heading3"/>
      </w:pPr>
      <w:r>
        <w:t xml:space="preserve">5.1. Diagnóstico da Realidade</w:t>
      </w:r>
    </w:p>
    <w:p>
      <w:pPr>
        <w:pStyle w:val="FirstParagraph"/>
      </w:pPr>
      <w:r>
        <w:rPr>
          <w:b/>
          <w:bCs/>
        </w:rPr>
        <w:t xml:space="preserve">Contexto local:</w:t>
      </w:r>
    </w:p>
    <w:p>
      <w:pPr>
        <w:pStyle w:val="BodyText"/>
      </w:pPr>
      <w:r>
        <w:t xml:space="preserve">Extrema/MG (população estimada: [A PREENCHER — IBGE 2025]) apresenta demanda crescente por serviços especializados de reabilitação em deficiência intelectual e neurodesenvolvimento. Os dados disponíveis indicam:</w:t>
      </w:r>
    </w:p>
    <w:tbl>
      <w:tblPr>
        <w:tblStyle w:val="Table"/>
        <w:tblW w:type="pct" w:w="5000"/>
        <w:tblLayout w:type="fixed"/>
        <w:tblLook w:firstRow="1" w:lastRow="0" w:firstColumn="0" w:lastColumn="0" w:noHBand="0" w:noVBand="0" w:val="0020"/>
      </w:tblPr>
      <w:tblGrid>
        <w:gridCol w:w="3484"/>
        <w:gridCol w:w="2217"/>
        <w:gridCol w:w="2217"/>
      </w:tblGrid>
      <w:tr>
        <w:trPr>
          <w:tblHeader w:val="on"/>
        </w:trPr>
        <w:tc>
          <w:tcPr/>
          <w:p>
            <w:pPr>
              <w:pStyle w:val="Compact"/>
            </w:pPr>
            <w:r>
              <w:t xml:space="preserve">Indicador</w:t>
            </w:r>
          </w:p>
        </w:tc>
        <w:tc>
          <w:tcPr/>
          <w:p>
            <w:pPr>
              <w:pStyle w:val="Compact"/>
            </w:pPr>
            <w:r>
              <w:t xml:space="preserve">Valor</w:t>
            </w:r>
          </w:p>
        </w:tc>
        <w:tc>
          <w:tcPr/>
          <w:p>
            <w:pPr>
              <w:pStyle w:val="Compact"/>
            </w:pPr>
            <w:r>
              <w:t xml:space="preserve">Fonte</w:t>
            </w:r>
          </w:p>
        </w:tc>
      </w:tr>
      <w:tr>
        <w:tc>
          <w:tcPr/>
          <w:p>
            <w:pPr>
              <w:pStyle w:val="Compact"/>
            </w:pPr>
            <w:r>
              <w:t xml:space="preserve">Prevalência estimada TEA (nacional)</w:t>
            </w:r>
          </w:p>
        </w:tc>
        <w:tc>
          <w:tcPr/>
          <w:p>
            <w:pPr>
              <w:pStyle w:val="Compact"/>
            </w:pPr>
            <w:r>
              <w:t xml:space="preserve">1 a cada 36 crianças</w:t>
            </w:r>
          </w:p>
        </w:tc>
        <w:tc>
          <w:tcPr/>
          <w:p>
            <w:pPr>
              <w:pStyle w:val="Compact"/>
            </w:pPr>
            <w:r>
              <w:t xml:space="preserve">CDC MMWR, 2023</w:t>
            </w:r>
          </w:p>
        </w:tc>
      </w:tr>
      <w:tr>
        <w:tc>
          <w:tcPr/>
          <w:p>
            <w:pPr>
              <w:pStyle w:val="Compact"/>
            </w:pPr>
            <w:r>
              <w:t xml:space="preserve">Pessoas com DI/TEA em acompanhamento (CRIE)</w:t>
            </w:r>
          </w:p>
        </w:tc>
        <w:tc>
          <w:tcPr/>
          <w:p>
            <w:pPr>
              <w:pStyle w:val="Compact"/>
            </w:pPr>
            <w:r>
              <w:t xml:space="preserve">[A PREENCHER]</w:t>
            </w:r>
          </w:p>
        </w:tc>
        <w:tc>
          <w:tcPr/>
          <w:p>
            <w:pPr>
              <w:pStyle w:val="Compact"/>
            </w:pPr>
            <w:r>
              <w:t xml:space="preserve">Registro institucional</w:t>
            </w:r>
          </w:p>
        </w:tc>
      </w:tr>
      <w:tr>
        <w:tc>
          <w:tcPr/>
          <w:p>
            <w:pPr>
              <w:pStyle w:val="Compact"/>
            </w:pPr>
            <w:r>
              <w:t xml:space="preserve">Fila de espera para reabilitação</w:t>
            </w:r>
          </w:p>
        </w:tc>
        <w:tc>
          <w:tcPr/>
          <w:p>
            <w:pPr>
              <w:pStyle w:val="Compact"/>
            </w:pPr>
            <w:r>
              <w:t xml:space="preserve">[A PREENCHER]</w:t>
            </w:r>
          </w:p>
        </w:tc>
        <w:tc>
          <w:tcPr/>
          <w:p>
            <w:pPr>
              <w:pStyle w:val="Compact"/>
            </w:pPr>
            <w:r>
              <w:t xml:space="preserve">SMS Extrema</w:t>
            </w:r>
          </w:p>
        </w:tc>
      </w:tr>
      <w:tr>
        <w:tc>
          <w:tcPr/>
          <w:p>
            <w:pPr>
              <w:pStyle w:val="Compact"/>
            </w:pPr>
            <w:r>
              <w:t xml:space="preserve">Neonatos de risco identificados (maternidade/APS)</w:t>
            </w:r>
          </w:p>
        </w:tc>
        <w:tc>
          <w:tcPr/>
          <w:p>
            <w:pPr>
              <w:pStyle w:val="Compact"/>
            </w:pPr>
            <w:r>
              <w:t xml:space="preserve">[A PREENCHER]</w:t>
            </w:r>
          </w:p>
        </w:tc>
        <w:tc>
          <w:tcPr/>
          <w:p>
            <w:pPr>
              <w:pStyle w:val="Compact"/>
            </w:pPr>
            <w:r>
              <w:t xml:space="preserve">e-SUS APS</w:t>
            </w:r>
          </w:p>
        </w:tc>
      </w:tr>
      <w:tr>
        <w:tc>
          <w:tcPr/>
          <w:p>
            <w:pPr>
              <w:pStyle w:val="Compact"/>
            </w:pPr>
            <w:r>
              <w:t xml:space="preserve">Escolas com alunos incluídos (DI/TEA)</w:t>
            </w:r>
          </w:p>
        </w:tc>
        <w:tc>
          <w:tcPr/>
          <w:p>
            <w:pPr>
              <w:pStyle w:val="Compact"/>
            </w:pPr>
            <w:r>
              <w:t xml:space="preserve">[A PREENCHER]</w:t>
            </w:r>
          </w:p>
        </w:tc>
        <w:tc>
          <w:tcPr/>
          <w:p>
            <w:pPr>
              <w:pStyle w:val="Compact"/>
            </w:pPr>
            <w:r>
              <w:t xml:space="preserve">Secretaria Municipal de Educação</w:t>
            </w:r>
          </w:p>
        </w:tc>
      </w:tr>
    </w:tbl>
    <w:p>
      <w:pPr>
        <w:pStyle w:val="BodyText"/>
      </w:pPr>
      <w:r>
        <w:rPr>
          <w:b/>
          <w:bCs/>
        </w:rPr>
        <w:t xml:space="preserve">Lacuna assistencial:</w:t>
      </w:r>
      <w:r>
        <w:t xml:space="preserve"> </w:t>
      </w:r>
      <w:r>
        <w:t xml:space="preserve">O município não dispõe de outro serviço de reabilitação intelectual com modelo de cuidado integral (equipe multiprofissional, PTS, acompanhamento longitudinal). Os atendimentos fragmentados em clínicas privadas não atendem aos requisitos da Deliberação CIB-SUS/MG n.º 1.403/2013 nem aos parâmetros de integralidade preconizados pela Linha de Cuidado para Pessoas com TEA (MS, 2025).</w:t>
      </w:r>
    </w:p>
    <w:bookmarkEnd w:id="52"/>
    <w:bookmarkStart w:id="55" w:name="descrição-de-metas"/>
    <w:p>
      <w:pPr>
        <w:pStyle w:val="Heading3"/>
      </w:pPr>
      <w:r>
        <w:t xml:space="preserve">5.2. Descrição de Metas</w:t>
      </w:r>
    </w:p>
    <w:bookmarkStart w:id="53" w:name="metas-quantitativas"/>
    <w:p>
      <w:pPr>
        <w:pStyle w:val="Heading4"/>
      </w:pPr>
      <w:r>
        <w:t xml:space="preserve">Metas Quantitativas</w:t>
      </w:r>
    </w:p>
    <w:tbl>
      <w:tblPr>
        <w:tblStyle w:val="Table"/>
        <w:tblW w:type="pct" w:w="5000"/>
        <w:tblLayout w:type="fixed"/>
        <w:tblLook w:firstRow="1" w:lastRow="0" w:firstColumn="0" w:lastColumn="0" w:noHBand="0" w:noVBand="0" w:val="0020"/>
      </w:tblPr>
      <w:tblGrid>
        <w:gridCol w:w="535"/>
        <w:gridCol w:w="642"/>
        <w:gridCol w:w="1177"/>
        <w:gridCol w:w="963"/>
        <w:gridCol w:w="1712"/>
        <w:gridCol w:w="1605"/>
        <w:gridCol w:w="1284"/>
      </w:tblGrid>
      <w:tr>
        <w:trPr>
          <w:tblHeader w:val="on"/>
        </w:trPr>
        <w:tc>
          <w:tcPr/>
          <w:p>
            <w:pPr>
              <w:pStyle w:val="Compact"/>
            </w:pPr>
            <w:r>
              <w:t xml:space="preserve">N.º</w:t>
            </w:r>
          </w:p>
        </w:tc>
        <w:tc>
          <w:tcPr/>
          <w:p>
            <w:pPr>
              <w:pStyle w:val="Compact"/>
            </w:pPr>
            <w:r>
              <w:t xml:space="preserve">Meta</w:t>
            </w:r>
          </w:p>
        </w:tc>
        <w:tc>
          <w:tcPr/>
          <w:p>
            <w:pPr>
              <w:pStyle w:val="Compact"/>
            </w:pPr>
            <w:r>
              <w:t xml:space="preserve">Indicador</w:t>
            </w:r>
          </w:p>
        </w:tc>
        <w:tc>
          <w:tcPr/>
          <w:p>
            <w:pPr>
              <w:pStyle w:val="Compact"/>
            </w:pPr>
            <w:r>
              <w:t xml:space="preserve">Fórmula</w:t>
            </w:r>
          </w:p>
        </w:tc>
        <w:tc>
          <w:tcPr/>
          <w:p>
            <w:pPr>
              <w:pStyle w:val="Compact"/>
            </w:pPr>
            <w:r>
              <w:t xml:space="preserve">Fonte de Dados</w:t>
            </w:r>
          </w:p>
        </w:tc>
        <w:tc>
          <w:tcPr/>
          <w:p>
            <w:pPr>
              <w:pStyle w:val="Compact"/>
            </w:pPr>
            <w:r>
              <w:t xml:space="preserve">Periodicidade</w:t>
            </w:r>
          </w:p>
        </w:tc>
        <w:tc>
          <w:tcPr/>
          <w:p>
            <w:pPr>
              <w:pStyle w:val="Compact"/>
            </w:pPr>
            <w:r>
              <w:t xml:space="preserve">Meta Ano 1</w:t>
            </w:r>
          </w:p>
        </w:tc>
      </w:tr>
      <w:tr>
        <w:tc>
          <w:tcPr/>
          <w:p>
            <w:pPr>
              <w:pStyle w:val="Compact"/>
            </w:pPr>
            <w:r>
              <w:t xml:space="preserve">M1</w:t>
            </w:r>
          </w:p>
        </w:tc>
        <w:tc>
          <w:tcPr/>
          <w:p>
            <w:pPr>
              <w:pStyle w:val="Compact"/>
            </w:pPr>
            <w:r>
              <w:t xml:space="preserve">Vagas preenchidas</w:t>
            </w:r>
          </w:p>
        </w:tc>
        <w:tc>
          <w:tcPr/>
          <w:p>
            <w:pPr>
              <w:pStyle w:val="Compact"/>
            </w:pPr>
            <w:r>
              <w:t xml:space="preserve">Taxa de ocupação</w:t>
            </w:r>
          </w:p>
        </w:tc>
        <w:tc>
          <w:tcPr/>
          <w:p>
            <w:pPr>
              <w:pStyle w:val="Compact"/>
            </w:pPr>
            <w:r>
              <w:t xml:space="preserve">(Usuários ativos / Capacidade contratada) × 100</w:t>
            </w:r>
          </w:p>
        </w:tc>
        <w:tc>
          <w:tcPr/>
          <w:p>
            <w:pPr>
              <w:pStyle w:val="Compact"/>
            </w:pPr>
            <w:r>
              <w:t xml:space="preserve">Registro institucional</w:t>
            </w:r>
          </w:p>
        </w:tc>
        <w:tc>
          <w:tcPr/>
          <w:p>
            <w:pPr>
              <w:pStyle w:val="Compact"/>
            </w:pPr>
            <w:r>
              <w:t xml:space="preserve">Mensal</w:t>
            </w:r>
          </w:p>
        </w:tc>
        <w:tc>
          <w:tcPr/>
          <w:p>
            <w:pPr>
              <w:pStyle w:val="Compact"/>
            </w:pPr>
            <w:r>
              <w:t xml:space="preserve">≥ 90%</w:t>
            </w:r>
          </w:p>
        </w:tc>
      </w:tr>
      <w:tr>
        <w:tc>
          <w:tcPr/>
          <w:p>
            <w:pPr>
              <w:pStyle w:val="Compact"/>
            </w:pPr>
            <w:r>
              <w:t xml:space="preserve">M2</w:t>
            </w:r>
          </w:p>
        </w:tc>
        <w:tc>
          <w:tcPr/>
          <w:p>
            <w:pPr>
              <w:pStyle w:val="Compact"/>
            </w:pPr>
            <w:r>
              <w:t xml:space="preserve">PTS elaborados</w:t>
            </w:r>
          </w:p>
        </w:tc>
        <w:tc>
          <w:tcPr/>
          <w:p>
            <w:pPr>
              <w:pStyle w:val="Compact"/>
            </w:pPr>
            <w:r>
              <w:t xml:space="preserve">Cobertura de PTS</w:t>
            </w:r>
          </w:p>
        </w:tc>
        <w:tc>
          <w:tcPr/>
          <w:p>
            <w:pPr>
              <w:pStyle w:val="Compact"/>
            </w:pPr>
            <w:r>
              <w:t xml:space="preserve">(Usuários com PTS / Total de usuários admitidos) × 100</w:t>
            </w:r>
          </w:p>
        </w:tc>
        <w:tc>
          <w:tcPr/>
          <w:p>
            <w:pPr>
              <w:pStyle w:val="Compact"/>
            </w:pPr>
            <w:r>
              <w:t xml:space="preserve">Prontuário</w:t>
            </w:r>
          </w:p>
        </w:tc>
        <w:tc>
          <w:tcPr/>
          <w:p>
            <w:pPr>
              <w:pStyle w:val="Compact"/>
            </w:pPr>
            <w:r>
              <w:t xml:space="preserve">Mensal</w:t>
            </w:r>
          </w:p>
        </w:tc>
        <w:tc>
          <w:tcPr/>
          <w:p>
            <w:pPr>
              <w:pStyle w:val="Compact"/>
            </w:pPr>
            <w:r>
              <w:t xml:space="preserve">100%</w:t>
            </w:r>
          </w:p>
        </w:tc>
      </w:tr>
      <w:tr>
        <w:tc>
          <w:tcPr/>
          <w:p>
            <w:pPr>
              <w:pStyle w:val="Compact"/>
            </w:pPr>
            <w:r>
              <w:t xml:space="preserve">M3</w:t>
            </w:r>
          </w:p>
        </w:tc>
        <w:tc>
          <w:tcPr/>
          <w:p>
            <w:pPr>
              <w:pStyle w:val="Compact"/>
            </w:pPr>
            <w:r>
              <w:t xml:space="preserve">Procedimentos SERDI faturados</w:t>
            </w:r>
          </w:p>
        </w:tc>
        <w:tc>
          <w:tcPr/>
          <w:p>
            <w:pPr>
              <w:pStyle w:val="Compact"/>
            </w:pPr>
            <w:r>
              <w:t xml:space="preserve">Volume de produção</w:t>
            </w:r>
          </w:p>
        </w:tc>
        <w:tc>
          <w:tcPr/>
          <w:p>
            <w:pPr>
              <w:pStyle w:val="Compact"/>
            </w:pPr>
            <w:r>
              <w:t xml:space="preserve">Procedimentos faturados BPA / mês</w:t>
            </w:r>
          </w:p>
        </w:tc>
        <w:tc>
          <w:tcPr/>
          <w:p>
            <w:pPr>
              <w:pStyle w:val="Compact"/>
            </w:pPr>
            <w:r>
              <w:t xml:space="preserve">Vector/BPA-I</w:t>
            </w:r>
          </w:p>
        </w:tc>
        <w:tc>
          <w:tcPr/>
          <w:p>
            <w:pPr>
              <w:pStyle w:val="Compact"/>
            </w:pPr>
            <w:r>
              <w:t xml:space="preserve">Mensal</w:t>
            </w:r>
          </w:p>
        </w:tc>
        <w:tc>
          <w:tcPr/>
          <w:p>
            <w:pPr>
              <w:pStyle w:val="Compact"/>
            </w:pPr>
            <w:r>
              <w:t xml:space="preserve">≥ 900 proc/mês</w:t>
            </w:r>
          </w:p>
        </w:tc>
      </w:tr>
      <w:tr>
        <w:tc>
          <w:tcPr/>
          <w:p>
            <w:pPr>
              <w:pStyle w:val="Compact"/>
            </w:pPr>
            <w:r>
              <w:t xml:space="preserve">M4</w:t>
            </w:r>
          </w:p>
        </w:tc>
        <w:tc>
          <w:tcPr/>
          <w:p>
            <w:pPr>
              <w:pStyle w:val="Compact"/>
            </w:pPr>
            <w:r>
              <w:t xml:space="preserve">Frequência dos usuários</w:t>
            </w:r>
          </w:p>
        </w:tc>
        <w:tc>
          <w:tcPr/>
          <w:p>
            <w:pPr>
              <w:pStyle w:val="Compact"/>
            </w:pPr>
            <w:r>
              <w:t xml:space="preserve">Taxa de adesão</w:t>
            </w:r>
          </w:p>
        </w:tc>
        <w:tc>
          <w:tcPr/>
          <w:p>
            <w:pPr>
              <w:pStyle w:val="Compact"/>
            </w:pPr>
            <w:r>
              <w:t xml:space="preserve">(Presenças / Sessões agendadas) × 100</w:t>
            </w:r>
          </w:p>
        </w:tc>
        <w:tc>
          <w:tcPr/>
          <w:p>
            <w:pPr>
              <w:pStyle w:val="Compact"/>
            </w:pPr>
            <w:r>
              <w:t xml:space="preserve">Registro de frequência</w:t>
            </w:r>
          </w:p>
        </w:tc>
        <w:tc>
          <w:tcPr/>
          <w:p>
            <w:pPr>
              <w:pStyle w:val="Compact"/>
            </w:pPr>
            <w:r>
              <w:t xml:space="preserve">Bimestral</w:t>
            </w:r>
          </w:p>
        </w:tc>
        <w:tc>
          <w:tcPr/>
          <w:p>
            <w:pPr>
              <w:pStyle w:val="Compact"/>
            </w:pPr>
            <w:r>
              <w:t xml:space="preserve">≥ 75%</w:t>
            </w:r>
          </w:p>
        </w:tc>
      </w:tr>
      <w:tr>
        <w:tc>
          <w:tcPr/>
          <w:p>
            <w:pPr>
              <w:pStyle w:val="Compact"/>
            </w:pPr>
            <w:r>
              <w:t xml:space="preserve">M5</w:t>
            </w:r>
          </w:p>
        </w:tc>
        <w:tc>
          <w:tcPr/>
          <w:p>
            <w:pPr>
              <w:pStyle w:val="Compact"/>
            </w:pPr>
            <w:r>
              <w:t xml:space="preserve">Faturamento vs. realizados</w:t>
            </w:r>
          </w:p>
        </w:tc>
        <w:tc>
          <w:tcPr/>
          <w:p>
            <w:pPr>
              <w:pStyle w:val="Compact"/>
            </w:pPr>
            <w:r>
              <w:t xml:space="preserve">Eficiência de registro</w:t>
            </w:r>
          </w:p>
        </w:tc>
        <w:tc>
          <w:tcPr/>
          <w:p>
            <w:pPr>
              <w:pStyle w:val="Compact"/>
            </w:pPr>
            <w:r>
              <w:t xml:space="preserve">(Procedimentos faturados / Procedimentos realizados) × 100</w:t>
            </w:r>
          </w:p>
        </w:tc>
        <w:tc>
          <w:tcPr/>
          <w:p>
            <w:pPr>
              <w:pStyle w:val="Compact"/>
            </w:pPr>
            <w:r>
              <w:t xml:space="preserve">BPA vs. registro interno</w:t>
            </w:r>
          </w:p>
        </w:tc>
        <w:tc>
          <w:tcPr/>
          <w:p>
            <w:pPr>
              <w:pStyle w:val="Compact"/>
            </w:pPr>
            <w:r>
              <w:t xml:space="preserve">Quadrimestral</w:t>
            </w:r>
          </w:p>
        </w:tc>
        <w:tc>
          <w:tcPr/>
          <w:p>
            <w:pPr>
              <w:pStyle w:val="Compact"/>
            </w:pPr>
            <w:r>
              <w:t xml:space="preserve">≥ 80%</w:t>
            </w:r>
          </w:p>
        </w:tc>
      </w:tr>
      <w:tr>
        <w:tc>
          <w:tcPr/>
          <w:p>
            <w:pPr>
              <w:pStyle w:val="Compact"/>
            </w:pPr>
            <w:r>
              <w:t xml:space="preserve">M6</w:t>
            </w:r>
          </w:p>
        </w:tc>
        <w:tc>
          <w:tcPr/>
          <w:p>
            <w:pPr>
              <w:pStyle w:val="Compact"/>
            </w:pPr>
            <w:r>
              <w:t xml:space="preserve">Neonatos de risco captados (PIPA)</w:t>
            </w:r>
          </w:p>
        </w:tc>
        <w:tc>
          <w:tcPr/>
          <w:p>
            <w:pPr>
              <w:pStyle w:val="Compact"/>
            </w:pPr>
            <w:r>
              <w:t xml:space="preserve">Captação PIPA</w:t>
            </w:r>
          </w:p>
        </w:tc>
        <w:tc>
          <w:tcPr/>
          <w:p>
            <w:pPr>
              <w:pStyle w:val="Compact"/>
            </w:pPr>
            <w:r>
              <w:t xml:space="preserve">Neonatos em acompanhamento / Neonatos de risco notificados</w:t>
            </w:r>
          </w:p>
        </w:tc>
        <w:tc>
          <w:tcPr/>
          <w:p>
            <w:pPr>
              <w:pStyle w:val="Compact"/>
            </w:pPr>
            <w:r>
              <w:t xml:space="preserve">PIPA / e-SUS</w:t>
            </w:r>
          </w:p>
        </w:tc>
        <w:tc>
          <w:tcPr/>
          <w:p>
            <w:pPr>
              <w:pStyle w:val="Compact"/>
            </w:pPr>
            <w:r>
              <w:t xml:space="preserve">Semestral</w:t>
            </w:r>
          </w:p>
        </w:tc>
        <w:tc>
          <w:tcPr/>
          <w:p>
            <w:pPr>
              <w:pStyle w:val="Compact"/>
            </w:pPr>
            <w:r>
              <w:t xml:space="preserve">[A PREENCHER]</w:t>
            </w:r>
          </w:p>
        </w:tc>
      </w:tr>
    </w:tbl>
    <w:bookmarkEnd w:id="53"/>
    <w:bookmarkStart w:id="54" w:name="metas-qualitativas"/>
    <w:p>
      <w:pPr>
        <w:pStyle w:val="Heading4"/>
      </w:pPr>
      <w:r>
        <w:t xml:space="preserve">Metas Qualitativas</w:t>
      </w:r>
    </w:p>
    <w:tbl>
      <w:tblPr>
        <w:tblStyle w:val="Table"/>
        <w:tblW w:type="pct" w:w="5000"/>
        <w:tblLayout w:type="fixed"/>
        <w:tblLook w:firstRow="1" w:lastRow="0" w:firstColumn="0" w:lastColumn="0" w:noHBand="0" w:noVBand="0" w:val="0020"/>
      </w:tblPr>
      <w:tblGrid>
        <w:gridCol w:w="720"/>
        <w:gridCol w:w="864"/>
        <w:gridCol w:w="1584"/>
        <w:gridCol w:w="3024"/>
        <w:gridCol w:w="1728"/>
      </w:tblGrid>
      <w:tr>
        <w:trPr>
          <w:tblHeader w:val="on"/>
        </w:trPr>
        <w:tc>
          <w:tcPr/>
          <w:p>
            <w:pPr>
              <w:pStyle w:val="Compact"/>
            </w:pPr>
            <w:r>
              <w:t xml:space="preserve">N.º</w:t>
            </w:r>
          </w:p>
        </w:tc>
        <w:tc>
          <w:tcPr/>
          <w:p>
            <w:pPr>
              <w:pStyle w:val="Compact"/>
            </w:pPr>
            <w:r>
              <w:t xml:space="preserve">Meta</w:t>
            </w:r>
          </w:p>
        </w:tc>
        <w:tc>
          <w:tcPr/>
          <w:p>
            <w:pPr>
              <w:pStyle w:val="Compact"/>
            </w:pPr>
            <w:r>
              <w:t xml:space="preserve">Indicador</w:t>
            </w:r>
          </w:p>
        </w:tc>
        <w:tc>
          <w:tcPr/>
          <w:p>
            <w:pPr>
              <w:pStyle w:val="Compact"/>
            </w:pPr>
            <w:r>
              <w:t xml:space="preserve">Meio de Verificação</w:t>
            </w:r>
          </w:p>
        </w:tc>
        <w:tc>
          <w:tcPr/>
          <w:p>
            <w:pPr>
              <w:pStyle w:val="Compact"/>
            </w:pPr>
            <w:r>
              <w:t xml:space="preserve">Meta Ano 1</w:t>
            </w:r>
          </w:p>
        </w:tc>
      </w:tr>
      <w:tr>
        <w:tc>
          <w:tcPr/>
          <w:p>
            <w:pPr>
              <w:pStyle w:val="Compact"/>
            </w:pPr>
            <w:r>
              <w:t xml:space="preserve">Q1</w:t>
            </w:r>
          </w:p>
        </w:tc>
        <w:tc>
          <w:tcPr/>
          <w:p>
            <w:pPr>
              <w:pStyle w:val="Compact"/>
            </w:pPr>
            <w:r>
              <w:t xml:space="preserve">Satisfação das famílias</w:t>
            </w:r>
          </w:p>
        </w:tc>
        <w:tc>
          <w:tcPr/>
          <w:p>
            <w:pPr>
              <w:pStyle w:val="Compact"/>
            </w:pPr>
            <w:r>
              <w:t xml:space="preserve">Pesquisa de satisfação</w:t>
            </w:r>
          </w:p>
        </w:tc>
        <w:tc>
          <w:tcPr/>
          <w:p>
            <w:pPr>
              <w:pStyle w:val="Compact"/>
            </w:pPr>
            <w:r>
              <w:t xml:space="preserve">Questionário padronizado aplicado semestralmente</w:t>
            </w:r>
          </w:p>
        </w:tc>
        <w:tc>
          <w:tcPr/>
          <w:p>
            <w:pPr>
              <w:pStyle w:val="Compact"/>
            </w:pPr>
            <w:r>
              <w:t xml:space="preserve">≥ 70% positivas</w:t>
            </w:r>
          </w:p>
        </w:tc>
      </w:tr>
      <w:tr>
        <w:tc>
          <w:tcPr/>
          <w:p>
            <w:pPr>
              <w:pStyle w:val="Compact"/>
            </w:pPr>
            <w:r>
              <w:t xml:space="preserve">Q2</w:t>
            </w:r>
          </w:p>
        </w:tc>
        <w:tc>
          <w:tcPr/>
          <w:p>
            <w:pPr>
              <w:pStyle w:val="Compact"/>
            </w:pPr>
            <w:r>
              <w:t xml:space="preserve">Educação permanente</w:t>
            </w:r>
          </w:p>
        </w:tc>
        <w:tc>
          <w:tcPr/>
          <w:p>
            <w:pPr>
              <w:pStyle w:val="Compact"/>
            </w:pPr>
            <w:r>
              <w:t xml:space="preserve">Ações realizadas</w:t>
            </w:r>
          </w:p>
        </w:tc>
        <w:tc>
          <w:tcPr/>
          <w:p>
            <w:pPr>
              <w:pStyle w:val="Compact"/>
            </w:pPr>
            <w:r>
              <w:t xml:space="preserve">Lista de presença, conteúdo programático, certificados</w:t>
            </w:r>
          </w:p>
        </w:tc>
        <w:tc>
          <w:tcPr/>
          <w:p>
            <w:pPr>
              <w:pStyle w:val="Compact"/>
            </w:pPr>
            <w:r>
              <w:t xml:space="preserve">≥ 12 ações/ano (1/mês)</w:t>
            </w:r>
          </w:p>
        </w:tc>
      </w:tr>
      <w:tr>
        <w:tc>
          <w:tcPr/>
          <w:p>
            <w:pPr>
              <w:pStyle w:val="Compact"/>
            </w:pPr>
            <w:r>
              <w:t xml:space="preserve">Q3</w:t>
            </w:r>
          </w:p>
        </w:tc>
        <w:tc>
          <w:tcPr/>
          <w:p>
            <w:pPr>
              <w:pStyle w:val="Compact"/>
            </w:pPr>
            <w:r>
              <w:t xml:space="preserve">Capacitações quadrimestrais SERDI</w:t>
            </w:r>
          </w:p>
        </w:tc>
        <w:tc>
          <w:tcPr/>
          <w:p>
            <w:pPr>
              <w:pStyle w:val="Compact"/>
            </w:pPr>
            <w:r>
              <w:t xml:space="preserve">Capacitações entregues</w:t>
            </w:r>
          </w:p>
        </w:tc>
        <w:tc>
          <w:tcPr/>
          <w:p>
            <w:pPr>
              <w:pStyle w:val="Compact"/>
            </w:pPr>
            <w:r>
              <w:t xml:space="preserve">Documento comprobatório à CASPD/SES-MG (Art. 7.º, Delib. 1.403)</w:t>
            </w:r>
          </w:p>
        </w:tc>
        <w:tc>
          <w:tcPr/>
          <w:p>
            <w:pPr>
              <w:pStyle w:val="Compact"/>
            </w:pPr>
            <w:r>
              <w:t xml:space="preserve">3/quadrimestre</w:t>
            </w:r>
          </w:p>
        </w:tc>
      </w:tr>
      <w:tr>
        <w:tc>
          <w:tcPr/>
          <w:p>
            <w:pPr>
              <w:pStyle w:val="Compact"/>
            </w:pPr>
            <w:r>
              <w:t xml:space="preserve">Q4</w:t>
            </w:r>
          </w:p>
        </w:tc>
        <w:tc>
          <w:tcPr/>
          <w:p>
            <w:pPr>
              <w:pStyle w:val="Compact"/>
            </w:pPr>
            <w:r>
              <w:t xml:space="preserve">CNES atualizado</w:t>
            </w:r>
          </w:p>
        </w:tc>
        <w:tc>
          <w:tcPr/>
          <w:p>
            <w:pPr>
              <w:pStyle w:val="Compact"/>
            </w:pPr>
            <w:r>
              <w:t xml:space="preserve">Verificação trimestral</w:t>
            </w:r>
          </w:p>
        </w:tc>
        <w:tc>
          <w:tcPr/>
          <w:p>
            <w:pPr>
              <w:pStyle w:val="Compact"/>
            </w:pPr>
            <w:r>
              <w:t xml:space="preserve">Extrato CNES com vínculos profissionais</w:t>
            </w:r>
          </w:p>
        </w:tc>
        <w:tc>
          <w:tcPr/>
          <w:p>
            <w:pPr>
              <w:pStyle w:val="Compact"/>
            </w:pPr>
            <w:r>
              <w:t xml:space="preserve">100% atualizações</w:t>
            </w:r>
          </w:p>
        </w:tc>
      </w:tr>
      <w:tr>
        <w:tc>
          <w:tcPr/>
          <w:p>
            <w:pPr>
              <w:pStyle w:val="Compact"/>
            </w:pPr>
            <w:r>
              <w:t xml:space="preserve">Q5</w:t>
            </w:r>
          </w:p>
        </w:tc>
        <w:tc>
          <w:tcPr/>
          <w:p>
            <w:pPr>
              <w:pStyle w:val="Compact"/>
            </w:pPr>
            <w:r>
              <w:t xml:space="preserve">PTS revisados no prazo</w:t>
            </w:r>
          </w:p>
        </w:tc>
        <w:tc>
          <w:tcPr/>
          <w:p>
            <w:pPr>
              <w:pStyle w:val="Compact"/>
            </w:pPr>
            <w:r>
              <w:t xml:space="preserve">Revisões semestrais realizadas</w:t>
            </w:r>
          </w:p>
        </w:tc>
        <w:tc>
          <w:tcPr/>
          <w:p>
            <w:pPr>
              <w:pStyle w:val="Compact"/>
            </w:pPr>
            <w:r>
              <w:t xml:space="preserve">Prontuário com registro datado</w:t>
            </w:r>
          </w:p>
        </w:tc>
        <w:tc>
          <w:tcPr/>
          <w:p>
            <w:pPr>
              <w:pStyle w:val="Compact"/>
            </w:pPr>
            <w:r>
              <w:t xml:space="preserve">≥ 90%</w:t>
            </w:r>
          </w:p>
        </w:tc>
      </w:tr>
      <w:tr>
        <w:tc>
          <w:tcPr/>
          <w:p>
            <w:pPr>
              <w:pStyle w:val="Compact"/>
            </w:pPr>
            <w:r>
              <w:t xml:space="preserve">Q6</w:t>
            </w:r>
          </w:p>
        </w:tc>
        <w:tc>
          <w:tcPr/>
          <w:p>
            <w:pPr>
              <w:pStyle w:val="Compact"/>
            </w:pPr>
            <w:r>
              <w:t xml:space="preserve">Reuniões de equipe</w:t>
            </w:r>
          </w:p>
        </w:tc>
        <w:tc>
          <w:tcPr/>
          <w:p>
            <w:pPr>
              <w:pStyle w:val="Compact"/>
            </w:pPr>
            <w:r>
              <w:t xml:space="preserve">Atas realizadas</w:t>
            </w:r>
          </w:p>
        </w:tc>
        <w:tc>
          <w:tcPr/>
          <w:p>
            <w:pPr>
              <w:pStyle w:val="Compact"/>
            </w:pPr>
            <w:r>
              <w:t xml:space="preserve">Atas mensais registradas</w:t>
            </w:r>
          </w:p>
        </w:tc>
        <w:tc>
          <w:tcPr/>
          <w:p>
            <w:pPr>
              <w:pStyle w:val="Compact"/>
            </w:pPr>
            <w:r>
              <w:t xml:space="preserve">12/ano</w:t>
            </w:r>
          </w:p>
        </w:tc>
      </w:tr>
    </w:tbl>
    <w:bookmarkEnd w:id="54"/>
    <w:bookmarkEnd w:id="55"/>
    <w:bookmarkStart w:id="56" w:name="forma-de-execução-das-ações"/>
    <w:p>
      <w:pPr>
        <w:pStyle w:val="Heading3"/>
      </w:pPr>
      <w:r>
        <w:t xml:space="preserve">5.3. Forma de Execução das Ações</w:t>
      </w:r>
    </w:p>
    <w:p>
      <w:pPr>
        <w:pStyle w:val="FirstParagraph"/>
      </w:pPr>
      <w:r>
        <w:rPr>
          <w:b/>
          <w:bCs/>
        </w:rPr>
        <w:t xml:space="preserve">Fluxo de referenciamento:</w:t>
      </w:r>
    </w:p>
    <w:p>
      <w:pPr>
        <w:pStyle w:val="Compact"/>
        <w:numPr>
          <w:ilvl w:val="0"/>
          <w:numId w:val="1024"/>
        </w:numPr>
      </w:pPr>
      <w:r>
        <w:rPr>
          <w:b/>
          <w:bCs/>
        </w:rPr>
        <w:t xml:space="preserve">Porta de entrada:</w:t>
      </w:r>
      <w:r>
        <w:t xml:space="preserve"> </w:t>
      </w:r>
      <w:r>
        <w:t xml:space="preserve">APS (UBS/ESF), CAPS, rede intersetorial (Educação, Assistência Social) ou triagem da própria OSC com autorização prévia da SMS;</w:t>
      </w:r>
    </w:p>
    <w:p>
      <w:pPr>
        <w:pStyle w:val="Compact"/>
        <w:numPr>
          <w:ilvl w:val="0"/>
          <w:numId w:val="1024"/>
        </w:numPr>
      </w:pPr>
      <w:r>
        <w:rPr>
          <w:b/>
          <w:bCs/>
        </w:rPr>
        <w:t xml:space="preserve">Triagem e avaliação:</w:t>
      </w:r>
      <w:r>
        <w:t xml:space="preserve"> </w:t>
      </w:r>
      <w:r>
        <w:t xml:space="preserve">Equipe multiprofissional do CRIE realiza avaliação diagnóstica multidisciplinar;</w:t>
      </w:r>
    </w:p>
    <w:p>
      <w:pPr>
        <w:pStyle w:val="Compact"/>
        <w:numPr>
          <w:ilvl w:val="0"/>
          <w:numId w:val="1024"/>
        </w:numPr>
      </w:pPr>
      <w:r>
        <w:rPr>
          <w:b/>
          <w:bCs/>
        </w:rPr>
        <w:t xml:space="preserve">Elaboração do PTS:</w:t>
      </w:r>
      <w:r>
        <w:t xml:space="preserve"> </w:t>
      </w:r>
      <w:r>
        <w:t xml:space="preserve">Plano construído coletivamente pela equipe, com participação do usuário/família;</w:t>
      </w:r>
    </w:p>
    <w:p>
      <w:pPr>
        <w:pStyle w:val="Compact"/>
        <w:numPr>
          <w:ilvl w:val="0"/>
          <w:numId w:val="1024"/>
        </w:numPr>
      </w:pPr>
      <w:r>
        <w:rPr>
          <w:b/>
          <w:bCs/>
        </w:rPr>
        <w:t xml:space="preserve">Atendimento:</w:t>
      </w:r>
      <w:r>
        <w:t xml:space="preserve"> </w:t>
      </w:r>
      <w:r>
        <w:t xml:space="preserve">Intervenções coordenadas conforme PTS — individuais e grupais;</w:t>
      </w:r>
    </w:p>
    <w:p>
      <w:pPr>
        <w:pStyle w:val="Compact"/>
        <w:numPr>
          <w:ilvl w:val="0"/>
          <w:numId w:val="1024"/>
        </w:numPr>
      </w:pPr>
      <w:r>
        <w:rPr>
          <w:b/>
          <w:bCs/>
        </w:rPr>
        <w:t xml:space="preserve">Reavaliação:</w:t>
      </w:r>
      <w:r>
        <w:t xml:space="preserve"> </w:t>
      </w:r>
      <w:r>
        <w:t xml:space="preserve">Semestral, com atualização do PTS e reclassificação de prioridade;</w:t>
      </w:r>
    </w:p>
    <w:p>
      <w:pPr>
        <w:pStyle w:val="Compact"/>
        <w:numPr>
          <w:ilvl w:val="0"/>
          <w:numId w:val="1024"/>
        </w:numPr>
      </w:pPr>
      <w:r>
        <w:rPr>
          <w:b/>
          <w:bCs/>
        </w:rPr>
        <w:t xml:space="preserve">Alta ou transição:</w:t>
      </w:r>
      <w:r>
        <w:t xml:space="preserve"> </w:t>
      </w:r>
      <w:r>
        <w:t xml:space="preserve">Critérios definidos no PTS, com contrarreferência formal à APS.</w:t>
      </w:r>
    </w:p>
    <w:p>
      <w:pPr>
        <w:pStyle w:val="FirstParagraph"/>
      </w:pPr>
      <w:r>
        <w:rPr>
          <w:b/>
          <w:bCs/>
        </w:rPr>
        <w:t xml:space="preserve">Metodologia de atendimento:</w:t>
      </w:r>
    </w:p>
    <w:p>
      <w:pPr>
        <w:pStyle w:val="Compact"/>
        <w:numPr>
          <w:ilvl w:val="0"/>
          <w:numId w:val="1025"/>
        </w:numPr>
      </w:pPr>
      <w:r>
        <w:t xml:space="preserve">Abordagem baseada em evidências: ABA, TEACCH, modelos naturalistas (NDBI), integração sensorial;</w:t>
      </w:r>
    </w:p>
    <w:p>
      <w:pPr>
        <w:pStyle w:val="Compact"/>
        <w:numPr>
          <w:ilvl w:val="0"/>
          <w:numId w:val="1025"/>
        </w:numPr>
      </w:pPr>
      <w:r>
        <w:t xml:space="preserve">PTS como eixo organizador do cuidado — todas as intervenções vinculadas ao plano;</w:t>
      </w:r>
    </w:p>
    <w:p>
      <w:pPr>
        <w:pStyle w:val="Compact"/>
        <w:numPr>
          <w:ilvl w:val="0"/>
          <w:numId w:val="1025"/>
        </w:numPr>
      </w:pPr>
      <w:r>
        <w:t xml:space="preserve">Orientação familiar integrada: mínimo 1 sessão/mês por família, vinculada aos objetivos do PTS;</w:t>
      </w:r>
    </w:p>
    <w:p>
      <w:pPr>
        <w:pStyle w:val="Compact"/>
        <w:numPr>
          <w:ilvl w:val="0"/>
          <w:numId w:val="1025"/>
        </w:numPr>
      </w:pPr>
      <w:r>
        <w:t xml:space="preserve">Atendimentos grupais para socialização, habilidades sociais e atividades aquáticas (Escopo 2).</w:t>
      </w:r>
    </w:p>
    <w:bookmarkEnd w:id="56"/>
    <w:bookmarkStart w:id="57" w:name="cronograma-de-execução-12-meses"/>
    <w:p>
      <w:pPr>
        <w:pStyle w:val="Heading3"/>
      </w:pPr>
      <w:r>
        <w:t xml:space="preserve">5.4. Cronograma de Execução (12 meses)</w:t>
      </w:r>
    </w:p>
    <w:tbl>
      <w:tblPr>
        <w:tblStyle w:val="Table"/>
        <w:tblW w:type="pct" w:w="5000"/>
        <w:tblLayout w:type="fixed"/>
        <w:tblLook w:firstRow="1" w:lastRow="0" w:firstColumn="0" w:lastColumn="0" w:noHBand="0" w:noVBand="0" w:val="0020"/>
      </w:tblPr>
      <w:tblGrid>
        <w:gridCol w:w="1428"/>
        <w:gridCol w:w="519"/>
        <w:gridCol w:w="519"/>
        <w:gridCol w:w="519"/>
        <w:gridCol w:w="519"/>
        <w:gridCol w:w="519"/>
        <w:gridCol w:w="519"/>
        <w:gridCol w:w="519"/>
        <w:gridCol w:w="519"/>
        <w:gridCol w:w="519"/>
        <w:gridCol w:w="519"/>
        <w:gridCol w:w="649"/>
        <w:gridCol w:w="649"/>
      </w:tblGrid>
      <w:tr>
        <w:trPr>
          <w:tblHeader w:val="on"/>
        </w:trPr>
        <w:tc>
          <w:tcPr/>
          <w:p>
            <w:pPr>
              <w:pStyle w:val="Compact"/>
            </w:pPr>
            <w:r>
              <w:t xml:space="preserve">Atividade</w:t>
            </w:r>
          </w:p>
        </w:tc>
        <w:tc>
          <w:tcPr/>
          <w:p>
            <w:pPr>
              <w:pStyle w:val="Compact"/>
            </w:pPr>
            <w:r>
              <w:t xml:space="preserve">M1</w:t>
            </w:r>
          </w:p>
        </w:tc>
        <w:tc>
          <w:tcPr/>
          <w:p>
            <w:pPr>
              <w:pStyle w:val="Compact"/>
            </w:pPr>
            <w:r>
              <w:t xml:space="preserve">M2</w:t>
            </w:r>
          </w:p>
        </w:tc>
        <w:tc>
          <w:tcPr/>
          <w:p>
            <w:pPr>
              <w:pStyle w:val="Compact"/>
            </w:pPr>
            <w:r>
              <w:t xml:space="preserve">M3</w:t>
            </w:r>
          </w:p>
        </w:tc>
        <w:tc>
          <w:tcPr/>
          <w:p>
            <w:pPr>
              <w:pStyle w:val="Compact"/>
            </w:pPr>
            <w:r>
              <w:t xml:space="preserve">M4</w:t>
            </w:r>
          </w:p>
        </w:tc>
        <w:tc>
          <w:tcPr/>
          <w:p>
            <w:pPr>
              <w:pStyle w:val="Compact"/>
            </w:pPr>
            <w:r>
              <w:t xml:space="preserve">M5</w:t>
            </w:r>
          </w:p>
        </w:tc>
        <w:tc>
          <w:tcPr/>
          <w:p>
            <w:pPr>
              <w:pStyle w:val="Compact"/>
            </w:pPr>
            <w:r>
              <w:t xml:space="preserve">M6</w:t>
            </w:r>
          </w:p>
        </w:tc>
        <w:tc>
          <w:tcPr/>
          <w:p>
            <w:pPr>
              <w:pStyle w:val="Compact"/>
            </w:pPr>
            <w:r>
              <w:t xml:space="preserve">M7</w:t>
            </w:r>
          </w:p>
        </w:tc>
        <w:tc>
          <w:tcPr/>
          <w:p>
            <w:pPr>
              <w:pStyle w:val="Compact"/>
            </w:pPr>
            <w:r>
              <w:t xml:space="preserve">M8</w:t>
            </w:r>
          </w:p>
        </w:tc>
        <w:tc>
          <w:tcPr/>
          <w:p>
            <w:pPr>
              <w:pStyle w:val="Compact"/>
            </w:pPr>
            <w:r>
              <w:t xml:space="preserve">M9</w:t>
            </w:r>
          </w:p>
        </w:tc>
        <w:tc>
          <w:tcPr/>
          <w:p>
            <w:pPr>
              <w:pStyle w:val="Compact"/>
            </w:pPr>
            <w:r>
              <w:t xml:space="preserve">M10</w:t>
            </w:r>
          </w:p>
        </w:tc>
        <w:tc>
          <w:tcPr/>
          <w:p>
            <w:pPr>
              <w:pStyle w:val="Compact"/>
            </w:pPr>
            <w:r>
              <w:t xml:space="preserve">M11</w:t>
            </w:r>
          </w:p>
        </w:tc>
        <w:tc>
          <w:tcPr/>
          <w:p>
            <w:pPr>
              <w:pStyle w:val="Compact"/>
            </w:pPr>
            <w:r>
              <w:t xml:space="preserve">M12</w:t>
            </w:r>
          </w:p>
        </w:tc>
      </w:tr>
      <w:tr>
        <w:tc>
          <w:tcPr/>
          <w:p>
            <w:pPr>
              <w:pStyle w:val="Compact"/>
            </w:pPr>
            <w:r>
              <w:t xml:space="preserve">Inscrição e triagem</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Atendimento clínico (todas as áreas)</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Atividades aquáticas (Escopo 2)</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Reunião de equipe mensal</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Educação permanente</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Reunião com famílias</w:t>
            </w:r>
          </w:p>
        </w:tc>
        <w:tc>
          <w:tcPr/>
          <w:p>
            <w:pPr>
              <w:pStyle w:val="Compact"/>
            </w:pPr>
            <w:r>
              <w:t xml:space="preserve">—</w:t>
            </w:r>
          </w:p>
        </w:tc>
        <w:tc>
          <w:tcPr/>
          <w:p>
            <w:pPr>
              <w:pStyle w:val="Compact"/>
            </w:pPr>
            <w:r>
              <w:t xml:space="preserve">X</w:t>
            </w:r>
          </w:p>
        </w:tc>
        <w:tc>
          <w:tcPr/>
          <w:p>
            <w:pPr>
              <w:pStyle w:val="Compact"/>
            </w:pPr>
            <w:r>
              <w:t xml:space="preserve">—</w:t>
            </w:r>
          </w:p>
        </w:tc>
        <w:tc>
          <w:tcPr/>
          <w:p>
            <w:pPr>
              <w:pStyle w:val="Compact"/>
            </w:pPr>
            <w:r>
              <w:t xml:space="preserve">X</w:t>
            </w:r>
          </w:p>
        </w:tc>
        <w:tc>
          <w:tcPr/>
          <w:p>
            <w:pPr>
              <w:pStyle w:val="Compact"/>
            </w:pPr>
            <w:r>
              <w:t xml:space="preserve">—</w:t>
            </w:r>
          </w:p>
        </w:tc>
        <w:tc>
          <w:tcPr/>
          <w:p>
            <w:pPr>
              <w:pStyle w:val="Compact"/>
            </w:pPr>
            <w:r>
              <w:t xml:space="preserve">X</w:t>
            </w:r>
          </w:p>
        </w:tc>
        <w:tc>
          <w:tcPr/>
          <w:p>
            <w:pPr>
              <w:pStyle w:val="Compact"/>
            </w:pPr>
            <w:r>
              <w:t xml:space="preserve">—</w:t>
            </w:r>
          </w:p>
        </w:tc>
        <w:tc>
          <w:tcPr/>
          <w:p>
            <w:pPr>
              <w:pStyle w:val="Compact"/>
            </w:pPr>
            <w:r>
              <w:t xml:space="preserve">X</w:t>
            </w:r>
          </w:p>
        </w:tc>
        <w:tc>
          <w:tcPr/>
          <w:p>
            <w:pPr>
              <w:pStyle w:val="Compact"/>
            </w:pPr>
            <w:r>
              <w:t xml:space="preserve">—</w:t>
            </w:r>
          </w:p>
        </w:tc>
        <w:tc>
          <w:tcPr/>
          <w:p>
            <w:pPr>
              <w:pStyle w:val="Compact"/>
            </w:pPr>
            <w:r>
              <w:t xml:space="preserve">X</w:t>
            </w:r>
          </w:p>
        </w:tc>
        <w:tc>
          <w:tcPr/>
          <w:p>
            <w:pPr>
              <w:pStyle w:val="Compact"/>
            </w:pPr>
            <w:r>
              <w:t xml:space="preserve">—</w:t>
            </w:r>
          </w:p>
        </w:tc>
        <w:tc>
          <w:tcPr/>
          <w:p>
            <w:pPr>
              <w:pStyle w:val="Compact"/>
            </w:pPr>
            <w:r>
              <w:t xml:space="preserve">X</w:t>
            </w:r>
          </w:p>
        </w:tc>
      </w:tr>
      <w:tr>
        <w:tc>
          <w:tcPr/>
          <w:p>
            <w:pPr>
              <w:pStyle w:val="Compact"/>
            </w:pPr>
            <w:r>
              <w:t xml:space="preserve">Pesquisa de satisfação</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X</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X</w:t>
            </w:r>
          </w:p>
        </w:tc>
      </w:tr>
      <w:tr>
        <w:tc>
          <w:tcPr/>
          <w:p>
            <w:pPr>
              <w:pStyle w:val="Compact"/>
            </w:pPr>
            <w:r>
              <w:t xml:space="preserve">Relatório de execução à SMS</w:t>
            </w:r>
          </w:p>
        </w:tc>
        <w:tc>
          <w:tcPr/>
          <w:p>
            <w:pPr>
              <w:pStyle w:val="Compact"/>
            </w:pPr>
            <w:r>
              <w:t xml:space="preserve">—</w:t>
            </w:r>
          </w:p>
        </w:tc>
        <w:tc>
          <w:tcPr/>
          <w:p>
            <w:pPr>
              <w:pStyle w:val="Compact"/>
            </w:pPr>
            <w:r>
              <w:t xml:space="preserve">—</w:t>
            </w:r>
          </w:p>
        </w:tc>
        <w:tc>
          <w:tcPr/>
          <w:p>
            <w:pPr>
              <w:pStyle w:val="Compact"/>
            </w:pPr>
            <w:r>
              <w:t xml:space="preserve">X</w:t>
            </w:r>
          </w:p>
        </w:tc>
        <w:tc>
          <w:tcPr/>
          <w:p>
            <w:pPr>
              <w:pStyle w:val="Compact"/>
            </w:pPr>
            <w:r>
              <w:t xml:space="preserve">—</w:t>
            </w:r>
          </w:p>
        </w:tc>
        <w:tc>
          <w:tcPr/>
          <w:p>
            <w:pPr>
              <w:pStyle w:val="Compact"/>
            </w:pPr>
            <w:r>
              <w:t xml:space="preserve">—</w:t>
            </w:r>
          </w:p>
        </w:tc>
        <w:tc>
          <w:tcPr/>
          <w:p>
            <w:pPr>
              <w:pStyle w:val="Compact"/>
            </w:pPr>
            <w:r>
              <w:t xml:space="preserve">X</w:t>
            </w:r>
          </w:p>
        </w:tc>
        <w:tc>
          <w:tcPr/>
          <w:p>
            <w:pPr>
              <w:pStyle w:val="Compact"/>
            </w:pPr>
            <w:r>
              <w:t xml:space="preserve">—</w:t>
            </w:r>
          </w:p>
        </w:tc>
        <w:tc>
          <w:tcPr/>
          <w:p>
            <w:pPr>
              <w:pStyle w:val="Compact"/>
            </w:pPr>
            <w:r>
              <w:t xml:space="preserve">—</w:t>
            </w:r>
          </w:p>
        </w:tc>
        <w:tc>
          <w:tcPr/>
          <w:p>
            <w:pPr>
              <w:pStyle w:val="Compact"/>
            </w:pPr>
            <w:r>
              <w:t xml:space="preserve">X</w:t>
            </w:r>
          </w:p>
        </w:tc>
        <w:tc>
          <w:tcPr/>
          <w:p>
            <w:pPr>
              <w:pStyle w:val="Compact"/>
            </w:pPr>
            <w:r>
              <w:t xml:space="preserve">—</w:t>
            </w:r>
          </w:p>
        </w:tc>
        <w:tc>
          <w:tcPr/>
          <w:p>
            <w:pPr>
              <w:pStyle w:val="Compact"/>
            </w:pPr>
            <w:r>
              <w:t xml:space="preserve">—</w:t>
            </w:r>
          </w:p>
        </w:tc>
        <w:tc>
          <w:tcPr/>
          <w:p>
            <w:pPr>
              <w:pStyle w:val="Compact"/>
            </w:pPr>
            <w:r>
              <w:t xml:space="preserve">X</w:t>
            </w:r>
          </w:p>
        </w:tc>
      </w:tr>
      <w:tr>
        <w:tc>
          <w:tcPr/>
          <w:p>
            <w:pPr>
              <w:pStyle w:val="Compact"/>
            </w:pPr>
            <w:r>
              <w:t xml:space="preserve">Prestação de contas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X</w:t>
            </w:r>
          </w:p>
        </w:tc>
      </w:tr>
      <w:tr>
        <w:tc>
          <w:tcPr/>
          <w:p>
            <w:pPr>
              <w:pStyle w:val="Compact"/>
            </w:pPr>
            <w:r>
              <w:t xml:space="preserve">Habilitação SERDI (processo)</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bookmarkEnd w:id="57"/>
    <w:bookmarkStart w:id="58" w:name="previsão-de-receitas-e-despesas"/>
    <w:p>
      <w:pPr>
        <w:pStyle w:val="Heading3"/>
      </w:pPr>
      <w:r>
        <w:t xml:space="preserve">5.5. Previsão de Receitas e Despesas</w:t>
      </w:r>
    </w:p>
    <w:p>
      <w:pPr>
        <w:pStyle w:val="FirstParagraph"/>
      </w:pPr>
      <w:r>
        <w:t xml:space="preserve">Conforme detalhamento na Etapa 6 (Composição de Custos).</w:t>
      </w:r>
    </w:p>
    <w:tbl>
      <w:tblPr>
        <w:tblStyle w:val="Table"/>
        <w:tblW w:type="pct" w:w="5000"/>
        <w:tblLayout w:type="fixed"/>
        <w:tblLook w:firstRow="1" w:lastRow="0" w:firstColumn="0" w:lastColumn="0" w:noHBand="0" w:noVBand="0" w:val="0020"/>
      </w:tblPr>
      <w:tblGrid>
        <w:gridCol w:w="1232"/>
        <w:gridCol w:w="2288"/>
        <w:gridCol w:w="2288"/>
        <w:gridCol w:w="2112"/>
      </w:tblGrid>
      <w:tr>
        <w:trPr>
          <w:tblHeader w:val="on"/>
        </w:trPr>
        <w:tc>
          <w:tcPr/>
          <w:p>
            <w:pPr>
              <w:pStyle w:val="Compact"/>
            </w:pPr>
            <w:r>
              <w:t xml:space="preserve">Fonte</w:t>
            </w:r>
          </w:p>
        </w:tc>
        <w:tc>
          <w:tcPr/>
          <w:p>
            <w:pPr>
              <w:pStyle w:val="Compact"/>
            </w:pPr>
            <w:r>
              <w:t xml:space="preserve">Valor Mensal</w:t>
            </w:r>
          </w:p>
        </w:tc>
        <w:tc>
          <w:tcPr/>
          <w:p>
            <w:pPr>
              <w:pStyle w:val="Compact"/>
            </w:pPr>
            <w:r>
              <w:t xml:space="preserve">Valor Anual</w:t>
            </w:r>
          </w:p>
        </w:tc>
        <w:tc>
          <w:tcPr/>
          <w:p>
            <w:pPr>
              <w:pStyle w:val="Compact"/>
            </w:pPr>
            <w:r>
              <w:t xml:space="preserve">Observação</w:t>
            </w:r>
          </w:p>
        </w:tc>
      </w:tr>
      <w:tr>
        <w:tc>
          <w:tcPr/>
          <w:p>
            <w:pPr>
              <w:pStyle w:val="Compact"/>
            </w:pPr>
            <w:r>
              <w:t xml:space="preserve">Repasse SMS (Escopo 1 + 2)</w:t>
            </w:r>
          </w:p>
        </w:tc>
        <w:tc>
          <w:tcPr/>
          <w:p>
            <w:pPr>
              <w:pStyle w:val="Compact"/>
            </w:pPr>
            <w:r>
              <w:t xml:space="preserve">R$ 38.860,41</w:t>
            </w:r>
          </w:p>
        </w:tc>
        <w:tc>
          <w:tcPr/>
          <w:p>
            <w:pPr>
              <w:pStyle w:val="Compact"/>
            </w:pPr>
            <w:r>
              <w:t xml:space="preserve">R$ 466.324,92</w:t>
            </w:r>
          </w:p>
        </w:tc>
        <w:tc>
          <w:tcPr/>
          <w:p>
            <w:pPr>
              <w:pStyle w:val="Compact"/>
            </w:pPr>
            <w:r>
              <w:t xml:space="preserve">Fonte primária</w:t>
            </w:r>
          </w:p>
        </w:tc>
      </w:tr>
      <w:tr>
        <w:tc>
          <w:tcPr/>
          <w:p>
            <w:pPr>
              <w:pStyle w:val="Compact"/>
            </w:pPr>
            <w:r>
              <w:t xml:space="preserve">Cofinanciamento estadual (SERDI)</w:t>
            </w:r>
          </w:p>
        </w:tc>
        <w:tc>
          <w:tcPr/>
          <w:p>
            <w:pPr>
              <w:pStyle w:val="Compact"/>
            </w:pPr>
            <w:r>
              <w:t xml:space="preserve">[A PREENCHER — condicionado à habilitação]</w:t>
            </w:r>
          </w:p>
        </w:tc>
        <w:tc>
          <w:tcPr/>
          <w:p>
            <w:pPr>
              <w:pStyle w:val="Compact"/>
            </w:pPr>
            <w:r>
              <w:t xml:space="preserve">[A PREENCHER]</w:t>
            </w:r>
          </w:p>
        </w:tc>
        <w:tc>
          <w:tcPr/>
          <w:p>
            <w:pPr>
              <w:pStyle w:val="Compact"/>
            </w:pPr>
            <w:r>
              <w:t xml:space="preserve">Fonte complementar</w:t>
            </w:r>
          </w:p>
        </w:tc>
      </w:tr>
      <w:tr>
        <w:tc>
          <w:tcPr/>
          <w:p>
            <w:pPr>
              <w:pStyle w:val="Compact"/>
            </w:pPr>
            <w:r>
              <w:t xml:space="preserve">Contrapartida OSC (estimada)</w:t>
            </w:r>
          </w:p>
        </w:tc>
        <w:tc>
          <w:tcPr/>
          <w:p>
            <w:pPr>
              <w:pStyle w:val="Compact"/>
            </w:pPr>
            <w:r>
              <w:t xml:space="preserve">[A PREENCHER — infraestrutura, equipe apoio]</w:t>
            </w:r>
          </w:p>
        </w:tc>
        <w:tc>
          <w:tcPr/>
          <w:p>
            <w:pPr>
              <w:pStyle w:val="Compact"/>
            </w:pPr>
            <w:r>
              <w:t xml:space="preserve">[A PREENCHER]</w:t>
            </w:r>
          </w:p>
        </w:tc>
        <w:tc>
          <w:tcPr/>
          <w:p>
            <w:pPr>
              <w:pStyle w:val="Compact"/>
            </w:pPr>
            <w:r>
              <w:t xml:space="preserve">Não obrigatória, mas recomendada</w:t>
            </w:r>
          </w:p>
        </w:tc>
      </w:tr>
    </w:tbl>
    <w:p>
      <w:pPr>
        <w:pStyle w:val="BlockText"/>
      </w:pPr>
      <w:r>
        <w:rPr>
          <w:b/>
          <w:bCs/>
        </w:rPr>
        <w:t xml:space="preserve">VALIDAÇÃO HUMANA (V3):</w:t>
      </w:r>
      <w:r>
        <w:t xml:space="preserve"> </w:t>
      </w:r>
      <w:r>
        <w:t xml:space="preserve">O(a) coordenador(a) deve preencher os dados epidemiológicos locais (população, fila de espera, neonatos de risco, escolas com inclusão) e confirmar os valores de cofinanciamento estadual esperados.</w:t>
      </w:r>
    </w:p>
    <w:p>
      <w:r>
        <w:pict>
          <v:rect style="width:0;height:1.5pt" o:hralign="center" o:hrstd="t" o:hr="t"/>
        </w:pict>
      </w:r>
    </w:p>
    <w:bookmarkEnd w:id="58"/>
    <w:bookmarkEnd w:id="59"/>
    <w:bookmarkStart w:id="60" w:name="etapa-6-composição-de-custos"/>
    <w:p>
      <w:pPr>
        <w:pStyle w:val="Heading2"/>
      </w:pPr>
      <w:r>
        <w:t xml:space="preserve">ETAPA 6 — COMPOSIÇÃO DE CUSTOS</w:t>
      </w:r>
    </w:p>
    <w:bookmarkEnd w:id="60"/>
    <w:bookmarkStart w:id="69" w:name="X2f57e733bab58eb2f7748fa1d2b20a3c2e62f96"/>
    <w:p>
      <w:pPr>
        <w:pStyle w:val="Heading2"/>
      </w:pPr>
      <w:r>
        <w:t xml:space="preserve">6. Planilha de Custos com Memória de Cálculo</w:t>
      </w:r>
    </w:p>
    <w:bookmarkStart w:id="61" w:name="recursos-humanos---escopo-1-serdi"/>
    <w:p>
      <w:pPr>
        <w:pStyle w:val="Heading3"/>
      </w:pPr>
      <w:r>
        <w:t xml:space="preserve">6.1. Recursos Humanos - Escopo 1 (SERDI)</w:t>
      </w:r>
    </w:p>
    <w:p>
      <w:pPr>
        <w:pStyle w:val="FirstParagraph"/>
      </w:pPr>
      <w:r>
        <w:rPr>
          <w:b/>
          <w:bCs/>
        </w:rPr>
        <w:t xml:space="preserve">Base:</w:t>
      </w:r>
      <w:r>
        <w:t xml:space="preserve"> </w:t>
      </w:r>
      <w:r>
        <w:t xml:space="preserve">Equipe minima conforme Art. 4.?, ? 2.?, Deliberacao CIB-SUS/MG n.? 1.403/2013 e Art. 9.? (carga horaria minima).</w:t>
      </w:r>
    </w:p>
    <w:tbl>
      <w:tblPr>
        <w:tblStyle w:val="Table"/>
        <w:tblW w:type="pct" w:w="5000"/>
        <w:tblLayout w:type="fixed"/>
        <w:tblLook w:firstRow="1" w:lastRow="0" w:firstColumn="0" w:lastColumn="0" w:noHBand="0" w:noVBand="0" w:val="0020"/>
      </w:tblPr>
      <w:tblGrid>
        <w:gridCol w:w="444"/>
        <w:gridCol w:w="1156"/>
        <w:gridCol w:w="978"/>
        <w:gridCol w:w="1779"/>
        <w:gridCol w:w="1512"/>
        <w:gridCol w:w="1245"/>
        <w:gridCol w:w="800"/>
      </w:tblGrid>
      <w:tr>
        <w:trPr>
          <w:tblHeader w:val="on"/>
        </w:trPr>
        <w:tc>
          <w:tcPr/>
          <w:p>
            <w:pPr>
              <w:pStyle w:val="Compact"/>
            </w:pPr>
            <w:r>
              <w:t xml:space="preserve">N.?</w:t>
            </w:r>
          </w:p>
        </w:tc>
        <w:tc>
          <w:tcPr/>
          <w:p>
            <w:pPr>
              <w:pStyle w:val="Compact"/>
            </w:pPr>
            <w:r>
              <w:t xml:space="preserve">Profissional</w:t>
            </w:r>
          </w:p>
        </w:tc>
        <w:tc>
          <w:tcPr/>
          <w:p>
            <w:pPr>
              <w:pStyle w:val="Compact"/>
            </w:pPr>
            <w:r>
              <w:t xml:space="preserve">CH Semanal</w:t>
            </w:r>
          </w:p>
        </w:tc>
        <w:tc>
          <w:tcPr/>
          <w:p>
            <w:pPr>
              <w:pStyle w:val="Compact"/>
            </w:pPr>
            <w:r>
              <w:t xml:space="preserve">Salario Base Mensal</w:t>
            </w:r>
          </w:p>
        </w:tc>
        <w:tc>
          <w:tcPr/>
          <w:p>
            <w:pPr>
              <w:pStyle w:val="Compact"/>
            </w:pPr>
            <w:r>
              <w:t xml:space="preserve">Encargos (~38%)</w:t>
            </w:r>
          </w:p>
        </w:tc>
        <w:tc>
          <w:tcPr/>
          <w:p>
            <w:pPr>
              <w:pStyle w:val="Compact"/>
            </w:pPr>
            <w:r>
              <w:t xml:space="preserve">Total Mensal</w:t>
            </w:r>
          </w:p>
        </w:tc>
        <w:tc>
          <w:tcPr/>
          <w:p>
            <w:pPr>
              <w:pStyle w:val="Compact"/>
            </w:pPr>
            <w:r>
              <w:t xml:space="preserve">Vinculo</w:t>
            </w:r>
          </w:p>
        </w:tc>
      </w:tr>
      <w:tr>
        <w:tc>
          <w:tcPr/>
          <w:p>
            <w:pPr>
              <w:pStyle w:val="Compact"/>
            </w:pPr>
            <w:r>
              <w:t xml:space="preserve">1</w:t>
            </w:r>
          </w:p>
        </w:tc>
        <w:tc>
          <w:tcPr/>
          <w:p>
            <w:pPr>
              <w:pStyle w:val="Compact"/>
            </w:pPr>
            <w:r>
              <w:t xml:space="preserve">Fisioterapeuta</w:t>
            </w:r>
          </w:p>
        </w:tc>
        <w:tc>
          <w:tcPr/>
          <w:p>
            <w:pPr>
              <w:pStyle w:val="Compact"/>
            </w:pPr>
            <w:r>
              <w:t xml:space="preserve">20h</w:t>
            </w:r>
          </w:p>
        </w:tc>
        <w:tc>
          <w:tcPr/>
          <w:p>
            <w:pPr>
              <w:pStyle w:val="Compact"/>
            </w:pPr>
            <w:r>
              <w:t xml:space="preserve">R$ 4.492,75</w:t>
            </w:r>
          </w:p>
        </w:tc>
        <w:tc>
          <w:tcPr/>
          <w:p>
            <w:pPr>
              <w:pStyle w:val="Compact"/>
            </w:pPr>
            <w:r>
              <w:t xml:space="preserve">R$ 1.707,25</w:t>
            </w:r>
          </w:p>
        </w:tc>
        <w:tc>
          <w:tcPr/>
          <w:p>
            <w:pPr>
              <w:pStyle w:val="Compact"/>
            </w:pPr>
            <w:r>
              <w:t xml:space="preserve">R$ 6.200,00</w:t>
            </w:r>
          </w:p>
        </w:tc>
        <w:tc>
          <w:tcPr/>
          <w:p>
            <w:pPr>
              <w:pStyle w:val="Compact"/>
            </w:pPr>
            <w:r>
              <w:t xml:space="preserve">CLT/OSC</w:t>
            </w:r>
          </w:p>
        </w:tc>
      </w:tr>
      <w:tr>
        <w:tc>
          <w:tcPr/>
          <w:p>
            <w:pPr>
              <w:pStyle w:val="Compact"/>
            </w:pPr>
            <w:r>
              <w:t xml:space="preserve">2</w:t>
            </w:r>
          </w:p>
        </w:tc>
        <w:tc>
          <w:tcPr/>
          <w:p>
            <w:pPr>
              <w:pStyle w:val="Compact"/>
            </w:pPr>
            <w:r>
              <w:t xml:space="preserve">Fonoaudiologo(a)</w:t>
            </w:r>
          </w:p>
        </w:tc>
        <w:tc>
          <w:tcPr/>
          <w:p>
            <w:pPr>
              <w:pStyle w:val="Compact"/>
            </w:pPr>
            <w:r>
              <w:t xml:space="preserve">20h</w:t>
            </w:r>
          </w:p>
        </w:tc>
        <w:tc>
          <w:tcPr/>
          <w:p>
            <w:pPr>
              <w:pStyle w:val="Compact"/>
            </w:pPr>
            <w:r>
              <w:t xml:space="preserve">R$ 4.347,83</w:t>
            </w:r>
          </w:p>
        </w:tc>
        <w:tc>
          <w:tcPr/>
          <w:p>
            <w:pPr>
              <w:pStyle w:val="Compact"/>
            </w:pPr>
            <w:r>
              <w:t xml:space="preserve">R$ 1.652,17</w:t>
            </w:r>
          </w:p>
        </w:tc>
        <w:tc>
          <w:tcPr/>
          <w:p>
            <w:pPr>
              <w:pStyle w:val="Compact"/>
            </w:pPr>
            <w:r>
              <w:t xml:space="preserve">R$ 6.000,00</w:t>
            </w:r>
          </w:p>
        </w:tc>
        <w:tc>
          <w:tcPr/>
          <w:p>
            <w:pPr>
              <w:pStyle w:val="Compact"/>
            </w:pPr>
            <w:r>
              <w:t xml:space="preserve">CLT/OSC</w:t>
            </w:r>
          </w:p>
        </w:tc>
      </w:tr>
      <w:tr>
        <w:tc>
          <w:tcPr/>
          <w:p>
            <w:pPr>
              <w:pStyle w:val="Compact"/>
            </w:pPr>
            <w:r>
              <w:t xml:space="preserve">3</w:t>
            </w:r>
          </w:p>
        </w:tc>
        <w:tc>
          <w:tcPr/>
          <w:p>
            <w:pPr>
              <w:pStyle w:val="Compact"/>
            </w:pPr>
            <w:r>
              <w:t xml:space="preserve">Psicologo(a)</w:t>
            </w:r>
          </w:p>
        </w:tc>
        <w:tc>
          <w:tcPr/>
          <w:p>
            <w:pPr>
              <w:pStyle w:val="Compact"/>
            </w:pPr>
            <w:r>
              <w:t xml:space="preserve">20h</w:t>
            </w:r>
          </w:p>
        </w:tc>
        <w:tc>
          <w:tcPr/>
          <w:p>
            <w:pPr>
              <w:pStyle w:val="Compact"/>
            </w:pPr>
            <w:r>
              <w:t xml:space="preserve">R$ 4.492,75</w:t>
            </w:r>
          </w:p>
        </w:tc>
        <w:tc>
          <w:tcPr/>
          <w:p>
            <w:pPr>
              <w:pStyle w:val="Compact"/>
            </w:pPr>
            <w:r>
              <w:t xml:space="preserve">R$ 1.707,25</w:t>
            </w:r>
          </w:p>
        </w:tc>
        <w:tc>
          <w:tcPr/>
          <w:p>
            <w:pPr>
              <w:pStyle w:val="Compact"/>
            </w:pPr>
            <w:r>
              <w:t xml:space="preserve">R$ 6.200,00</w:t>
            </w:r>
          </w:p>
        </w:tc>
        <w:tc>
          <w:tcPr/>
          <w:p>
            <w:pPr>
              <w:pStyle w:val="Compact"/>
            </w:pPr>
            <w:r>
              <w:t xml:space="preserve">CLT/OSC</w:t>
            </w:r>
          </w:p>
        </w:tc>
      </w:tr>
      <w:tr>
        <w:tc>
          <w:tcPr/>
          <w:p>
            <w:pPr>
              <w:pStyle w:val="Compact"/>
            </w:pPr>
            <w:r>
              <w:t xml:space="preserve">4</w:t>
            </w:r>
          </w:p>
        </w:tc>
        <w:tc>
          <w:tcPr/>
          <w:p>
            <w:pPr>
              <w:pStyle w:val="Compact"/>
            </w:pPr>
            <w:r>
              <w:t xml:space="preserve">Terapeuta Ocupacional</w:t>
            </w:r>
          </w:p>
        </w:tc>
        <w:tc>
          <w:tcPr/>
          <w:p>
            <w:pPr>
              <w:pStyle w:val="Compact"/>
            </w:pPr>
            <w:r>
              <w:t xml:space="preserve">20h</w:t>
            </w:r>
          </w:p>
        </w:tc>
        <w:tc>
          <w:tcPr/>
          <w:p>
            <w:pPr>
              <w:pStyle w:val="Compact"/>
            </w:pPr>
            <w:r>
              <w:t xml:space="preserve">R$ 4.347,83</w:t>
            </w:r>
          </w:p>
        </w:tc>
        <w:tc>
          <w:tcPr/>
          <w:p>
            <w:pPr>
              <w:pStyle w:val="Compact"/>
            </w:pPr>
            <w:r>
              <w:t xml:space="preserve">R$ 1.652,17</w:t>
            </w:r>
          </w:p>
        </w:tc>
        <w:tc>
          <w:tcPr/>
          <w:p>
            <w:pPr>
              <w:pStyle w:val="Compact"/>
            </w:pPr>
            <w:r>
              <w:t xml:space="preserve">R$ 6.000,00</w:t>
            </w:r>
          </w:p>
        </w:tc>
        <w:tc>
          <w:tcPr/>
          <w:p>
            <w:pPr>
              <w:pStyle w:val="Compact"/>
            </w:pPr>
            <w:r>
              <w:t xml:space="preserve">CLT/OSC</w:t>
            </w:r>
          </w:p>
        </w:tc>
      </w:tr>
      <w:tr>
        <w:tc>
          <w:tcPr/>
          <w:p>
            <w:pPr>
              <w:pStyle w:val="Compact"/>
            </w:pPr>
            <w:r>
              <w:t xml:space="preserve">5</w:t>
            </w:r>
          </w:p>
        </w:tc>
        <w:tc>
          <w:tcPr/>
          <w:p>
            <w:pPr>
              <w:pStyle w:val="Compact"/>
            </w:pPr>
            <w:r>
              <w:t xml:space="preserve">Assistente Social</w:t>
            </w:r>
          </w:p>
        </w:tc>
        <w:tc>
          <w:tcPr/>
          <w:p>
            <w:pPr>
              <w:pStyle w:val="Compact"/>
            </w:pPr>
            <w:r>
              <w:t xml:space="preserve">20h</w:t>
            </w:r>
          </w:p>
        </w:tc>
        <w:tc>
          <w:tcPr/>
          <w:p>
            <w:pPr>
              <w:pStyle w:val="Compact"/>
            </w:pPr>
            <w:r>
              <w:t xml:space="preserve">R$ 3.478,26</w:t>
            </w:r>
          </w:p>
        </w:tc>
        <w:tc>
          <w:tcPr/>
          <w:p>
            <w:pPr>
              <w:pStyle w:val="Compact"/>
            </w:pPr>
            <w:r>
              <w:t xml:space="preserve">R$ 1.321,74</w:t>
            </w:r>
          </w:p>
        </w:tc>
        <w:tc>
          <w:tcPr/>
          <w:p>
            <w:pPr>
              <w:pStyle w:val="Compact"/>
            </w:pPr>
            <w:r>
              <w:t xml:space="preserve">R$ 4.800,00</w:t>
            </w:r>
          </w:p>
        </w:tc>
        <w:tc>
          <w:tcPr/>
          <w:p>
            <w:pPr>
              <w:pStyle w:val="Compact"/>
            </w:pPr>
            <w:r>
              <w:t xml:space="preserve">CLT/OSC</w:t>
            </w:r>
          </w:p>
        </w:tc>
      </w:tr>
      <w:tr>
        <w:tc>
          <w:tcPr/>
          <w:p>
            <w:pPr>
              <w:pStyle w:val="Compact"/>
            </w:pPr>
            <w:r>
              <w:t xml:space="preserve">-</w:t>
            </w:r>
          </w:p>
        </w:tc>
        <w:tc>
          <w:tcPr/>
          <w:p>
            <w:pPr>
              <w:pStyle w:val="Compact"/>
            </w:pPr>
            <w:r>
              <w:rPr>
                <w:b/>
                <w:bCs/>
              </w:rPr>
              <w:t xml:space="preserve">Subtotal RH SERDI</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b/>
                <w:bCs/>
              </w:rPr>
              <w:t xml:space="preserve">R$ 29.200,00</w:t>
            </w:r>
          </w:p>
        </w:tc>
        <w:tc>
          <w:tcPr/>
          <w:p>
            <w:pPr>
              <w:pStyle w:val="Compact"/>
            </w:pPr>
            <w:r>
              <w:t xml:space="preserve">-</w:t>
            </w:r>
          </w:p>
        </w:tc>
      </w:tr>
    </w:tbl>
    <w:p>
      <w:pPr>
        <w:pStyle w:val="BodyText"/>
      </w:pPr>
      <w:r>
        <w:rPr>
          <w:b/>
          <w:bCs/>
        </w:rPr>
        <w:t xml:space="preserve">Coordenacao tecnica (Escopo 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Profissional</w:t>
            </w:r>
          </w:p>
        </w:tc>
        <w:tc>
          <w:tcPr/>
          <w:p>
            <w:pPr>
              <w:pStyle w:val="Compact"/>
            </w:pPr>
            <w:r>
              <w:t xml:space="preserve">CH Semanal</w:t>
            </w:r>
          </w:p>
        </w:tc>
        <w:tc>
          <w:tcPr/>
          <w:p>
            <w:pPr>
              <w:pStyle w:val="Compact"/>
            </w:pPr>
            <w:r>
              <w:t xml:space="preserve">Valor Mensal</w:t>
            </w:r>
          </w:p>
        </w:tc>
        <w:tc>
          <w:tcPr/>
          <w:p>
            <w:pPr>
              <w:pStyle w:val="Compact"/>
            </w:pPr>
            <w:r>
              <w:t xml:space="preserve">Vinculo</w:t>
            </w:r>
          </w:p>
        </w:tc>
      </w:tr>
      <w:tr>
        <w:tc>
          <w:tcPr/>
          <w:p>
            <w:pPr>
              <w:pStyle w:val="Compact"/>
            </w:pPr>
            <w:r>
              <w:t xml:space="preserve">Coordenador(a) Tecnico(a)</w:t>
            </w:r>
          </w:p>
        </w:tc>
        <w:tc>
          <w:tcPr/>
          <w:p>
            <w:pPr>
              <w:pStyle w:val="Compact"/>
            </w:pPr>
            <w:r>
              <w:t xml:space="preserve">20h</w:t>
            </w:r>
          </w:p>
        </w:tc>
        <w:tc>
          <w:tcPr/>
          <w:p>
            <w:pPr>
              <w:pStyle w:val="Compact"/>
            </w:pPr>
            <w:r>
              <w:t xml:space="preserve">R$ 2.500,00</w:t>
            </w:r>
          </w:p>
        </w:tc>
        <w:tc>
          <w:tcPr/>
          <w:p>
            <w:pPr>
              <w:pStyle w:val="Compact"/>
            </w:pPr>
            <w:r>
              <w:t xml:space="preserve">PJ/OSC</w:t>
            </w:r>
          </w:p>
        </w:tc>
      </w:tr>
    </w:tbl>
    <w:p>
      <w:pPr>
        <w:pStyle w:val="BodyText"/>
      </w:pPr>
      <w:r>
        <w:rPr>
          <w:b/>
          <w:bCs/>
        </w:rPr>
        <w:t xml:space="preserve">Demais custos (Escopo 1):</w:t>
      </w:r>
    </w:p>
    <w:tbl>
      <w:tblPr>
        <w:tblStyle w:val="Table"/>
        <w:tblW w:type="pct" w:w="5000"/>
        <w:tblLayout w:type="fixed"/>
        <w:tblLook w:firstRow="1" w:lastRow="0" w:firstColumn="0" w:lastColumn="0" w:noHBand="0" w:noVBand="0" w:val="0020"/>
      </w:tblPr>
      <w:tblGrid>
        <w:gridCol w:w="2096"/>
        <w:gridCol w:w="3028"/>
        <w:gridCol w:w="2795"/>
      </w:tblGrid>
      <w:tr>
        <w:trPr>
          <w:tblHeader w:val="on"/>
        </w:trPr>
        <w:tc>
          <w:tcPr/>
          <w:p>
            <w:pPr>
              <w:pStyle w:val="Compact"/>
            </w:pPr>
            <w:r>
              <w:t xml:space="preserve">Rubrica</w:t>
            </w:r>
          </w:p>
        </w:tc>
        <w:tc>
          <w:tcPr/>
          <w:p>
            <w:pPr>
              <w:pStyle w:val="Compact"/>
            </w:pPr>
            <w:r>
              <w:t xml:space="preserve">Valor Mensal</w:t>
            </w:r>
          </w:p>
        </w:tc>
        <w:tc>
          <w:tcPr/>
          <w:p>
            <w:pPr>
              <w:pStyle w:val="Compact"/>
            </w:pPr>
            <w:r>
              <w:t xml:space="preserve">Observacao</w:t>
            </w:r>
          </w:p>
        </w:tc>
      </w:tr>
      <w:tr>
        <w:tc>
          <w:tcPr/>
          <w:p>
            <w:pPr>
              <w:pStyle w:val="Compact"/>
            </w:pPr>
            <w:r>
              <w:t xml:space="preserve">Material de consumo tecnico</w:t>
            </w:r>
          </w:p>
        </w:tc>
        <w:tc>
          <w:tcPr/>
          <w:p>
            <w:pPr>
              <w:pStyle w:val="Compact"/>
            </w:pPr>
            <w:r>
              <w:t xml:space="preserve">R$ 2.047,57</w:t>
            </w:r>
          </w:p>
        </w:tc>
        <w:tc>
          <w:tcPr/>
          <w:p>
            <w:pPr>
              <w:pStyle w:val="Compact"/>
            </w:pPr>
            <w:r>
              <w:t xml:space="preserve">Material terapeutico, escritorio, higiene</w:t>
            </w:r>
          </w:p>
        </w:tc>
      </w:tr>
      <w:tr>
        <w:tc>
          <w:tcPr/>
          <w:p>
            <w:pPr>
              <w:pStyle w:val="Compact"/>
            </w:pPr>
            <w:r>
              <w:t xml:space="preserve">Transporte assistencial (van + motorista)</w:t>
            </w:r>
          </w:p>
        </w:tc>
        <w:tc>
          <w:tcPr/>
          <w:p>
            <w:pPr>
              <w:pStyle w:val="Compact"/>
            </w:pPr>
            <w:r>
              <w:t xml:space="preserve">R$ 1.500,00</w:t>
            </w:r>
          </w:p>
        </w:tc>
        <w:tc>
          <w:tcPr/>
          <w:p>
            <w:pPr>
              <w:pStyle w:val="Compact"/>
            </w:pPr>
            <w:r>
              <w:t xml:space="preserve">Conforme pactuacao</w:t>
            </w:r>
          </w:p>
        </w:tc>
      </w:tr>
      <w:tr>
        <w:tc>
          <w:tcPr/>
          <w:p>
            <w:pPr>
              <w:pStyle w:val="Compact"/>
            </w:pPr>
            <w:r>
              <w:rPr>
                <w:b/>
                <w:bCs/>
              </w:rPr>
              <w:t xml:space="preserve">Subtotal Escopo 1</w:t>
            </w:r>
          </w:p>
        </w:tc>
        <w:tc>
          <w:tcPr/>
          <w:p>
            <w:pPr>
              <w:pStyle w:val="Compact"/>
            </w:pPr>
            <w:r>
              <w:rPr>
                <w:b/>
                <w:bCs/>
              </w:rPr>
              <w:t xml:space="preserve">R$ 35.247,57</w:t>
            </w:r>
          </w:p>
        </w:tc>
        <w:tc>
          <w:tcPr/>
          <w:p>
            <w:pPr>
              <w:pStyle w:val="Compact"/>
            </w:pPr>
            <w:r>
              <w:t xml:space="preserve">-</w:t>
            </w:r>
          </w:p>
        </w:tc>
      </w:tr>
    </w:tbl>
    <w:bookmarkEnd w:id="61"/>
    <w:bookmarkStart w:id="62" w:name="Xaa7a1ac0db30c6ffc84678a1f1f326230e7a8e5"/>
    <w:p>
      <w:pPr>
        <w:pStyle w:val="Heading3"/>
      </w:pPr>
      <w:r>
        <w:t xml:space="preserve">6.2. Recursos Humanos - Escopo 2 (Servicos Suplementares)</w:t>
      </w:r>
    </w:p>
    <w:tbl>
      <w:tblPr>
        <w:tblStyle w:val="Table"/>
        <w:tblW w:type="pct" w:w="5000"/>
        <w:tblLayout w:type="fixed"/>
        <w:tblLook w:firstRow="1" w:lastRow="0" w:firstColumn="0" w:lastColumn="0" w:noHBand="0" w:noVBand="0" w:val="0020"/>
      </w:tblPr>
      <w:tblGrid>
        <w:gridCol w:w="444"/>
        <w:gridCol w:w="1156"/>
        <w:gridCol w:w="978"/>
        <w:gridCol w:w="1779"/>
        <w:gridCol w:w="1512"/>
        <w:gridCol w:w="1245"/>
        <w:gridCol w:w="800"/>
      </w:tblGrid>
      <w:tr>
        <w:trPr>
          <w:tblHeader w:val="on"/>
        </w:trPr>
        <w:tc>
          <w:tcPr/>
          <w:p>
            <w:pPr>
              <w:pStyle w:val="Compact"/>
            </w:pPr>
            <w:r>
              <w:t xml:space="preserve">N.?</w:t>
            </w:r>
          </w:p>
        </w:tc>
        <w:tc>
          <w:tcPr/>
          <w:p>
            <w:pPr>
              <w:pStyle w:val="Compact"/>
            </w:pPr>
            <w:r>
              <w:t xml:space="preserve">Profissional</w:t>
            </w:r>
          </w:p>
        </w:tc>
        <w:tc>
          <w:tcPr/>
          <w:p>
            <w:pPr>
              <w:pStyle w:val="Compact"/>
            </w:pPr>
            <w:r>
              <w:t xml:space="preserve">CH Semanal</w:t>
            </w:r>
          </w:p>
        </w:tc>
        <w:tc>
          <w:tcPr/>
          <w:p>
            <w:pPr>
              <w:pStyle w:val="Compact"/>
            </w:pPr>
            <w:r>
              <w:t xml:space="preserve">Salario Base Mensal</w:t>
            </w:r>
          </w:p>
        </w:tc>
        <w:tc>
          <w:tcPr/>
          <w:p>
            <w:pPr>
              <w:pStyle w:val="Compact"/>
            </w:pPr>
            <w:r>
              <w:t xml:space="preserve">Encargos (~38%)</w:t>
            </w:r>
          </w:p>
        </w:tc>
        <w:tc>
          <w:tcPr/>
          <w:p>
            <w:pPr>
              <w:pStyle w:val="Compact"/>
            </w:pPr>
            <w:r>
              <w:t xml:space="preserve">Total Mensal</w:t>
            </w:r>
          </w:p>
        </w:tc>
        <w:tc>
          <w:tcPr/>
          <w:p>
            <w:pPr>
              <w:pStyle w:val="Compact"/>
            </w:pPr>
            <w:r>
              <w:t xml:space="preserve">Vinculo</w:t>
            </w:r>
          </w:p>
        </w:tc>
      </w:tr>
      <w:tr>
        <w:tc>
          <w:tcPr/>
          <w:p>
            <w:pPr>
              <w:pStyle w:val="Compact"/>
            </w:pPr>
            <w:r>
              <w:t xml:space="preserve">1</w:t>
            </w:r>
          </w:p>
        </w:tc>
        <w:tc>
          <w:tcPr/>
          <w:p>
            <w:pPr>
              <w:pStyle w:val="Compact"/>
            </w:pPr>
            <w:r>
              <w:t xml:space="preserve">Profissional de Educacao Fisica</w:t>
            </w:r>
          </w:p>
        </w:tc>
        <w:tc>
          <w:tcPr/>
          <w:p>
            <w:pPr>
              <w:pStyle w:val="Compact"/>
            </w:pPr>
            <w:r>
              <w:t xml:space="preserve">20h</w:t>
            </w:r>
          </w:p>
        </w:tc>
        <w:tc>
          <w:tcPr/>
          <w:p>
            <w:pPr>
              <w:pStyle w:val="Compact"/>
            </w:pPr>
            <w:r>
              <w:t xml:space="preserve">R$ 1.739,13</w:t>
            </w:r>
          </w:p>
        </w:tc>
        <w:tc>
          <w:tcPr/>
          <w:p>
            <w:pPr>
              <w:pStyle w:val="Compact"/>
            </w:pPr>
            <w:r>
              <w:t xml:space="preserve">R$ 660,87</w:t>
            </w:r>
          </w:p>
        </w:tc>
        <w:tc>
          <w:tcPr/>
          <w:p>
            <w:pPr>
              <w:pStyle w:val="Compact"/>
            </w:pPr>
            <w:r>
              <w:t xml:space="preserve">R$ 2.400,00</w:t>
            </w:r>
          </w:p>
        </w:tc>
        <w:tc>
          <w:tcPr/>
          <w:p>
            <w:pPr>
              <w:pStyle w:val="Compact"/>
            </w:pPr>
            <w:r>
              <w:t xml:space="preserve">CLT/OSC</w:t>
            </w:r>
          </w:p>
        </w:tc>
      </w:tr>
      <w:tr>
        <w:tc>
          <w:tcPr/>
          <w:p>
            <w:pPr>
              <w:pStyle w:val="Compact"/>
            </w:pPr>
            <w:r>
              <w:t xml:space="preserve">-</w:t>
            </w:r>
          </w:p>
        </w:tc>
        <w:tc>
          <w:tcPr/>
          <w:p>
            <w:pPr>
              <w:pStyle w:val="Compact"/>
            </w:pPr>
            <w:r>
              <w:rPr>
                <w:b/>
                <w:bCs/>
              </w:rPr>
              <w:t xml:space="preserve">Subtotal RH Escopo 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b/>
                <w:bCs/>
              </w:rPr>
              <w:t xml:space="preserve">R$ 2.400,00</w:t>
            </w:r>
          </w:p>
        </w:tc>
        <w:tc>
          <w:tcPr/>
          <w:p>
            <w:pPr>
              <w:pStyle w:val="Compact"/>
            </w:pPr>
            <w:r>
              <w:t xml:space="preserve">-</w:t>
            </w:r>
          </w:p>
        </w:tc>
      </w:tr>
    </w:tbl>
    <w:p>
      <w:pPr>
        <w:pStyle w:val="BodyText"/>
      </w:pPr>
      <w:r>
        <w:rPr>
          <w:b/>
          <w:bCs/>
        </w:rPr>
        <w:t xml:space="preserve">Demais custos (Escopo 2):</w:t>
      </w:r>
    </w:p>
    <w:tbl>
      <w:tblPr>
        <w:tblStyle w:val="Table"/>
        <w:tblW w:type="pct" w:w="5000"/>
        <w:tblLayout w:type="fixed"/>
        <w:tblLook w:firstRow="1" w:lastRow="0" w:firstColumn="0" w:lastColumn="0" w:noHBand="0" w:noVBand="0" w:val="0020"/>
      </w:tblPr>
      <w:tblGrid>
        <w:gridCol w:w="2096"/>
        <w:gridCol w:w="3028"/>
        <w:gridCol w:w="2795"/>
      </w:tblGrid>
      <w:tr>
        <w:trPr>
          <w:tblHeader w:val="on"/>
        </w:trPr>
        <w:tc>
          <w:tcPr/>
          <w:p>
            <w:pPr>
              <w:pStyle w:val="Compact"/>
            </w:pPr>
            <w:r>
              <w:t xml:space="preserve">Rubrica</w:t>
            </w:r>
          </w:p>
        </w:tc>
        <w:tc>
          <w:tcPr/>
          <w:p>
            <w:pPr>
              <w:pStyle w:val="Compact"/>
            </w:pPr>
            <w:r>
              <w:t xml:space="preserve">Valor Mensal</w:t>
            </w:r>
          </w:p>
        </w:tc>
        <w:tc>
          <w:tcPr/>
          <w:p>
            <w:pPr>
              <w:pStyle w:val="Compact"/>
            </w:pPr>
            <w:r>
              <w:t xml:space="preserve">Observacao</w:t>
            </w:r>
          </w:p>
        </w:tc>
      </w:tr>
      <w:tr>
        <w:tc>
          <w:tcPr/>
          <w:p>
            <w:pPr>
              <w:pStyle w:val="Compact"/>
            </w:pPr>
            <w:r>
              <w:t xml:space="preserve">Grupos psicossociais para familias e cuidadores</w:t>
            </w:r>
          </w:p>
        </w:tc>
        <w:tc>
          <w:tcPr/>
          <w:p>
            <w:pPr>
              <w:pStyle w:val="Compact"/>
            </w:pPr>
            <w:r>
              <w:t xml:space="preserve">R$ 900,00</w:t>
            </w:r>
          </w:p>
        </w:tc>
        <w:tc>
          <w:tcPr/>
          <w:p>
            <w:pPr>
              <w:pStyle w:val="Compact"/>
            </w:pPr>
            <w:r>
              <w:t xml:space="preserve">Apoio psicossocial e escuta qualificada</w:t>
            </w:r>
          </w:p>
        </w:tc>
      </w:tr>
      <w:tr>
        <w:tc>
          <w:tcPr/>
          <w:p>
            <w:pPr>
              <w:pStyle w:val="Compact"/>
            </w:pPr>
            <w:r>
              <w:t xml:space="preserve">Material tecnico e apoio logistico</w:t>
            </w:r>
          </w:p>
        </w:tc>
        <w:tc>
          <w:tcPr/>
          <w:p>
            <w:pPr>
              <w:pStyle w:val="Compact"/>
            </w:pPr>
            <w:r>
              <w:t xml:space="preserve">R$ 312,84</w:t>
            </w:r>
          </w:p>
        </w:tc>
        <w:tc>
          <w:tcPr/>
          <w:p>
            <w:pPr>
              <w:pStyle w:val="Compact"/>
            </w:pPr>
            <w:r>
              <w:t xml:space="preserve">Insumos para grupos e atividades aquaticas</w:t>
            </w:r>
          </w:p>
        </w:tc>
      </w:tr>
      <w:tr>
        <w:tc>
          <w:tcPr/>
          <w:p>
            <w:pPr>
              <w:pStyle w:val="Compact"/>
            </w:pPr>
            <w:r>
              <w:rPr>
                <w:b/>
                <w:bCs/>
              </w:rPr>
              <w:t xml:space="preserve">Subtotal Escopo 2</w:t>
            </w:r>
          </w:p>
        </w:tc>
        <w:tc>
          <w:tcPr/>
          <w:p>
            <w:pPr>
              <w:pStyle w:val="Compact"/>
            </w:pPr>
            <w:r>
              <w:rPr>
                <w:b/>
                <w:bCs/>
              </w:rPr>
              <w:t xml:space="preserve">R$ 3.612,84</w:t>
            </w:r>
          </w:p>
        </w:tc>
        <w:tc>
          <w:tcPr/>
          <w:p>
            <w:pPr>
              <w:pStyle w:val="Compact"/>
            </w:pPr>
            <w:r>
              <w:t xml:space="preserve">-</w:t>
            </w:r>
          </w:p>
        </w:tc>
      </w:tr>
    </w:tbl>
    <w:bookmarkEnd w:id="62"/>
    <w:bookmarkStart w:id="63" w:name="consolidação"/>
    <w:p>
      <w:pPr>
        <w:pStyle w:val="Heading3"/>
      </w:pPr>
      <w:r>
        <w:t xml:space="preserve">6.3. Consolidação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Escopo</w:t>
            </w:r>
          </w:p>
        </w:tc>
        <w:tc>
          <w:tcPr/>
          <w:p>
            <w:pPr>
              <w:pStyle w:val="Compact"/>
            </w:pPr>
            <w:r>
              <w:t xml:space="preserve">Valor Mensal</w:t>
            </w:r>
          </w:p>
        </w:tc>
        <w:tc>
          <w:tcPr/>
          <w:p>
            <w:pPr>
              <w:pStyle w:val="Compact"/>
            </w:pPr>
            <w:r>
              <w:t xml:space="preserve">Valor Anual (12 meses)</w:t>
            </w:r>
          </w:p>
        </w:tc>
      </w:tr>
      <w:tr>
        <w:tc>
          <w:tcPr/>
          <w:p>
            <w:pPr>
              <w:pStyle w:val="Compact"/>
            </w:pPr>
            <w:r>
              <w:t xml:space="preserve">Escopo 1 — SERDI</w:t>
            </w:r>
          </w:p>
        </w:tc>
        <w:tc>
          <w:tcPr/>
          <w:p>
            <w:pPr>
              <w:pStyle w:val="Compact"/>
            </w:pPr>
            <w:r>
              <w:t xml:space="preserve">R$ 35.247,57</w:t>
            </w:r>
          </w:p>
        </w:tc>
        <w:tc>
          <w:tcPr/>
          <w:p>
            <w:pPr>
              <w:pStyle w:val="Compact"/>
            </w:pPr>
            <w:r>
              <w:t xml:space="preserve">R$ 422.970,84</w:t>
            </w:r>
          </w:p>
        </w:tc>
      </w:tr>
      <w:tr>
        <w:tc>
          <w:tcPr/>
          <w:p>
            <w:pPr>
              <w:pStyle w:val="Compact"/>
            </w:pPr>
            <w:r>
              <w:t xml:space="preserve">Escopo 2 — Suplementar</w:t>
            </w:r>
          </w:p>
        </w:tc>
        <w:tc>
          <w:tcPr/>
          <w:p>
            <w:pPr>
              <w:pStyle w:val="Compact"/>
            </w:pPr>
            <w:r>
              <w:t xml:space="preserve">R$ 3.612,84</w:t>
            </w:r>
          </w:p>
        </w:tc>
        <w:tc>
          <w:tcPr/>
          <w:p>
            <w:pPr>
              <w:pStyle w:val="Compact"/>
            </w:pPr>
            <w:r>
              <w:t xml:space="preserve">R$ 43.354,08</w:t>
            </w:r>
          </w:p>
        </w:tc>
      </w:tr>
      <w:tr>
        <w:tc>
          <w:tcPr/>
          <w:p>
            <w:pPr>
              <w:pStyle w:val="Compact"/>
            </w:pPr>
            <w:r>
              <w:rPr>
                <w:b/>
                <w:bCs/>
              </w:rPr>
              <w:t xml:space="preserve">TOTAL</w:t>
            </w:r>
          </w:p>
        </w:tc>
        <w:tc>
          <w:tcPr/>
          <w:p>
            <w:pPr>
              <w:pStyle w:val="Compact"/>
            </w:pPr>
            <w:r>
              <w:rPr>
                <w:b/>
                <w:bCs/>
              </w:rPr>
              <w:t xml:space="preserve">R$ 38.860,41</w:t>
            </w:r>
          </w:p>
        </w:tc>
        <w:tc>
          <w:tcPr/>
          <w:p>
            <w:pPr>
              <w:pStyle w:val="Compact"/>
            </w:pPr>
            <w:r>
              <w:rPr>
                <w:b/>
                <w:bCs/>
              </w:rPr>
              <w:t xml:space="preserve">R$ 466.324,92</w:t>
            </w:r>
          </w:p>
        </w:tc>
      </w:tr>
    </w:tbl>
    <w:bookmarkEnd w:id="63"/>
    <w:bookmarkStart w:id="64" w:name="médico-cedido-sem-ônus-para-a-parceria"/>
    <w:p>
      <w:pPr>
        <w:pStyle w:val="Heading3"/>
      </w:pPr>
      <w:r>
        <w:t xml:space="preserve">6.4. Médico Cedido (sem ônus para a parceria)</w:t>
      </w:r>
    </w:p>
    <w:tbl>
      <w:tblPr>
        <w:tblStyle w:val="Table"/>
        <w:tblW w:type="pct" w:w="5000"/>
        <w:tblLayout w:type="fixed"/>
        <w:tblLook w:firstRow="1" w:lastRow="0" w:firstColumn="0" w:lastColumn="0" w:noHBand="0" w:noVBand="0" w:val="0020"/>
      </w:tblPr>
      <w:tblGrid>
        <w:gridCol w:w="1775"/>
        <w:gridCol w:w="1502"/>
        <w:gridCol w:w="3004"/>
        <w:gridCol w:w="1638"/>
      </w:tblGrid>
      <w:tr>
        <w:trPr>
          <w:tblHeader w:val="on"/>
        </w:trPr>
        <w:tc>
          <w:tcPr/>
          <w:p>
            <w:pPr>
              <w:pStyle w:val="Compact"/>
            </w:pPr>
            <w:r>
              <w:t xml:space="preserve">Profissional</w:t>
            </w:r>
          </w:p>
        </w:tc>
        <w:tc>
          <w:tcPr/>
          <w:p>
            <w:pPr>
              <w:pStyle w:val="Compact"/>
            </w:pPr>
            <w:r>
              <w:t xml:space="preserve">CH Semanal</w:t>
            </w:r>
          </w:p>
        </w:tc>
        <w:tc>
          <w:tcPr/>
          <w:p>
            <w:pPr>
              <w:pStyle w:val="Compact"/>
            </w:pPr>
            <w:r>
              <w:t xml:space="preserve">Custo para a parceria</w:t>
            </w:r>
          </w:p>
        </w:tc>
        <w:tc>
          <w:tcPr/>
          <w:p>
            <w:pPr>
              <w:pStyle w:val="Compact"/>
            </w:pPr>
            <w:r>
              <w:t xml:space="preserve">Observação</w:t>
            </w:r>
          </w:p>
        </w:tc>
      </w:tr>
      <w:tr>
        <w:tc>
          <w:tcPr/>
          <w:p>
            <w:pPr>
              <w:pStyle w:val="Compact"/>
            </w:pPr>
            <w:r>
              <w:t xml:space="preserve">Médico (Clínico/Pediatra/Neuro/Psiquiatra)</w:t>
            </w:r>
          </w:p>
        </w:tc>
        <w:tc>
          <w:tcPr/>
          <w:p>
            <w:pPr>
              <w:pStyle w:val="Compact"/>
            </w:pPr>
            <w:r>
              <w:t xml:space="preserve">8h</w:t>
            </w:r>
          </w:p>
        </w:tc>
        <w:tc>
          <w:tcPr/>
          <w:p>
            <w:pPr>
              <w:pStyle w:val="Compact"/>
            </w:pPr>
            <w:r>
              <w:t xml:space="preserve">R$ 0,00</w:t>
            </w:r>
          </w:p>
        </w:tc>
        <w:tc>
          <w:tcPr/>
          <w:p>
            <w:pPr>
              <w:pStyle w:val="Compact"/>
            </w:pPr>
            <w:r>
              <w:t xml:space="preserve">Cedido pelo município via Portaria de Cessão Funcional</w:t>
            </w:r>
          </w:p>
        </w:tc>
      </w:tr>
    </w:tbl>
    <w:bookmarkEnd w:id="64"/>
    <w:bookmarkStart w:id="65" w:name="Xf342931537b2d35c92b5e13cc52ef725dfd8395"/>
    <w:p>
      <w:pPr>
        <w:pStyle w:val="Heading3"/>
      </w:pPr>
      <w:r>
        <w:t xml:space="preserve">6.5. Memória de Cálculo — Composição dos Encargos</w:t>
      </w:r>
    </w:p>
    <w:p>
      <w:pPr>
        <w:pStyle w:val="FirstParagraph"/>
      </w:pPr>
      <w:r>
        <w:rPr>
          <w:b/>
          <w:bCs/>
        </w:rPr>
        <w:t xml:space="preserve">Base de cálculo dos encargos sobre salário bruto mensal:</w:t>
      </w:r>
    </w:p>
    <w:tbl>
      <w:tblPr>
        <w:tblStyle w:val="Table"/>
        <w:tblW w:type="pct" w:w="5000"/>
        <w:tblLayout w:type="fixed"/>
        <w:tblLook w:firstRow="1" w:lastRow="0" w:firstColumn="0" w:lastColumn="0" w:noHBand="0" w:noVBand="0" w:val="0020"/>
      </w:tblPr>
      <w:tblGrid>
        <w:gridCol w:w="2299"/>
        <w:gridCol w:w="2810"/>
        <w:gridCol w:w="2810"/>
      </w:tblGrid>
      <w:tr>
        <w:trPr>
          <w:tblHeader w:val="on"/>
        </w:trPr>
        <w:tc>
          <w:tcPr/>
          <w:p>
            <w:pPr>
              <w:pStyle w:val="Compact"/>
            </w:pPr>
            <w:r>
              <w:t xml:space="preserve">Encargo</w:t>
            </w:r>
          </w:p>
        </w:tc>
        <w:tc>
          <w:tcPr/>
          <w:p>
            <w:pPr>
              <w:pStyle w:val="Compact"/>
            </w:pPr>
            <w:r>
              <w:t xml:space="preserve">Percentual</w:t>
            </w:r>
          </w:p>
        </w:tc>
        <w:tc>
          <w:tcPr/>
          <w:p>
            <w:pPr>
              <w:pStyle w:val="Compact"/>
            </w:pPr>
            <w:r>
              <w:t xml:space="preserve">Base Legal</w:t>
            </w:r>
          </w:p>
        </w:tc>
      </w:tr>
      <w:tr>
        <w:tc>
          <w:tcPr/>
          <w:p>
            <w:pPr>
              <w:pStyle w:val="Compact"/>
            </w:pPr>
            <w:r>
              <w:t xml:space="preserve">INSS Patronal</w:t>
            </w:r>
          </w:p>
        </w:tc>
        <w:tc>
          <w:tcPr/>
          <w:p>
            <w:pPr>
              <w:pStyle w:val="Compact"/>
            </w:pPr>
            <w:r>
              <w:t xml:space="preserve">20,00%</w:t>
            </w:r>
          </w:p>
        </w:tc>
        <w:tc>
          <w:tcPr/>
          <w:p>
            <w:pPr>
              <w:pStyle w:val="Compact"/>
            </w:pPr>
            <w:r>
              <w:t xml:space="preserve">Lei n.º 8.212/1991, Art. 22, I</w:t>
            </w:r>
          </w:p>
        </w:tc>
      </w:tr>
      <w:tr>
        <w:tc>
          <w:tcPr/>
          <w:p>
            <w:pPr>
              <w:pStyle w:val="Compact"/>
            </w:pPr>
            <w:r>
              <w:t xml:space="preserve">FGTS</w:t>
            </w:r>
          </w:p>
        </w:tc>
        <w:tc>
          <w:tcPr/>
          <w:p>
            <w:pPr>
              <w:pStyle w:val="Compact"/>
            </w:pPr>
            <w:r>
              <w:t xml:space="preserve">8,00%</w:t>
            </w:r>
          </w:p>
        </w:tc>
        <w:tc>
          <w:tcPr/>
          <w:p>
            <w:pPr>
              <w:pStyle w:val="Compact"/>
            </w:pPr>
            <w:r>
              <w:t xml:space="preserve">Lei n.º 8.036/1990, Art. 15</w:t>
            </w:r>
          </w:p>
        </w:tc>
      </w:tr>
      <w:tr>
        <w:tc>
          <w:tcPr/>
          <w:p>
            <w:pPr>
              <w:pStyle w:val="Compact"/>
            </w:pPr>
            <w:r>
              <w:t xml:space="preserve">PIS sobre Folha</w:t>
            </w:r>
          </w:p>
        </w:tc>
        <w:tc>
          <w:tcPr/>
          <w:p>
            <w:pPr>
              <w:pStyle w:val="Compact"/>
            </w:pPr>
            <w:r>
              <w:t xml:space="preserve">1,00%</w:t>
            </w:r>
          </w:p>
        </w:tc>
        <w:tc>
          <w:tcPr/>
          <w:p>
            <w:pPr>
              <w:pStyle w:val="Compact"/>
            </w:pPr>
            <w:r>
              <w:t xml:space="preserve">Lei Complementar n.º 7/1970</w:t>
            </w:r>
          </w:p>
        </w:tc>
      </w:tr>
      <w:tr>
        <w:tc>
          <w:tcPr/>
          <w:p>
            <w:pPr>
              <w:pStyle w:val="Compact"/>
            </w:pPr>
            <w:r>
              <w:t xml:space="preserve">Provisão 13.º Salário (1/12)</w:t>
            </w:r>
          </w:p>
        </w:tc>
        <w:tc>
          <w:tcPr/>
          <w:p>
            <w:pPr>
              <w:pStyle w:val="Compact"/>
            </w:pPr>
            <w:r>
              <w:t xml:space="preserve">8,33%</w:t>
            </w:r>
          </w:p>
        </w:tc>
        <w:tc>
          <w:tcPr/>
          <w:p>
            <w:pPr>
              <w:pStyle w:val="Compact"/>
            </w:pPr>
            <w:r>
              <w:t xml:space="preserve">CLT, Art. 457</w:t>
            </w:r>
          </w:p>
        </w:tc>
      </w:tr>
      <w:tr>
        <w:tc>
          <w:tcPr/>
          <w:p>
            <w:pPr>
              <w:pStyle w:val="Compact"/>
            </w:pPr>
            <w:r>
              <w:t xml:space="preserve">Provisão Férias + 1/3 (1/12)</w:t>
            </w:r>
          </w:p>
        </w:tc>
        <w:tc>
          <w:tcPr/>
          <w:p>
            <w:pPr>
              <w:pStyle w:val="Compact"/>
            </w:pPr>
            <w:r>
              <w:t xml:space="preserve">11,11%</w:t>
            </w:r>
          </w:p>
        </w:tc>
        <w:tc>
          <w:tcPr/>
          <w:p>
            <w:pPr>
              <w:pStyle w:val="Compact"/>
            </w:pPr>
            <w:r>
              <w:t xml:space="preserve">CF/88, Art. 7.º, XVII</w:t>
            </w:r>
          </w:p>
        </w:tc>
      </w:tr>
      <w:tr>
        <w:tc>
          <w:tcPr/>
          <w:p>
            <w:pPr>
              <w:pStyle w:val="Compact"/>
            </w:pPr>
            <w:r>
              <w:t xml:space="preserve">Encargos sobre 13.º e Férias (INSS+FGTS)</w:t>
            </w:r>
          </w:p>
        </w:tc>
        <w:tc>
          <w:tcPr/>
          <w:p>
            <w:pPr>
              <w:pStyle w:val="Compact"/>
            </w:pPr>
            <w:r>
              <w:t xml:space="preserve">~5,43%</w:t>
            </w:r>
          </w:p>
        </w:tc>
        <w:tc>
          <w:tcPr/>
          <w:p>
            <w:pPr>
              <w:pStyle w:val="Compact"/>
            </w:pPr>
            <w:r>
              <w:t xml:space="preserve">Incidência sobre provisões</w:t>
            </w:r>
          </w:p>
        </w:tc>
      </w:tr>
      <w:tr>
        <w:tc>
          <w:tcPr/>
          <w:p>
            <w:pPr>
              <w:pStyle w:val="Compact"/>
            </w:pPr>
            <w:r>
              <w:rPr>
                <w:b/>
                <w:bCs/>
              </w:rPr>
              <w:t xml:space="preserve">Total estimado de encargos</w:t>
            </w:r>
          </w:p>
        </w:tc>
        <w:tc>
          <w:tcPr/>
          <w:p>
            <w:pPr>
              <w:pStyle w:val="Compact"/>
            </w:pPr>
            <w:r>
              <w:rPr>
                <w:b/>
                <w:bCs/>
              </w:rPr>
              <w:t xml:space="preserve">~38%</w:t>
            </w:r>
          </w:p>
        </w:tc>
        <w:tc>
          <w:tcPr/>
          <w:p>
            <w:pPr>
              <w:pStyle w:val="Compact"/>
            </w:pPr>
            <w:r>
              <w:t xml:space="preserve">—</w:t>
            </w:r>
          </w:p>
        </w:tc>
      </w:tr>
    </w:tbl>
    <w:p>
      <w:pPr>
        <w:pStyle w:val="BlockText"/>
      </w:pPr>
      <w:r>
        <w:rPr>
          <w:b/>
          <w:bCs/>
        </w:rPr>
        <w:t xml:space="preserve">Nota:</w:t>
      </w:r>
      <w:r>
        <w:t xml:space="preserve"> </w:t>
      </w:r>
      <w:r>
        <w:t xml:space="preserve">O percentual de ~38% é estimativa para fins de planejamento. O valor exato dependerá da classificação tributária da OSC (entidades beneficentes com CEBAS podem ter isenção da cota patronal do INSS, conforme Art. 29, Lei n.º 12.101/2009). Se o CRIE possuir CEBAS-Saúde válido, o percentual de encargos pode ser reduzido para ~18%.</w:t>
      </w:r>
    </w:p>
    <w:bookmarkEnd w:id="65"/>
    <w:bookmarkStart w:id="66" w:name="regras-orçamentárias"/>
    <w:p>
      <w:pPr>
        <w:pStyle w:val="Heading3"/>
      </w:pPr>
      <w:r>
        <w:t xml:space="preserve">6.6. Regras Orçamentárias</w:t>
      </w:r>
    </w:p>
    <w:p>
      <w:pPr>
        <w:numPr>
          <w:ilvl w:val="0"/>
          <w:numId w:val="1026"/>
        </w:numPr>
      </w:pPr>
      <w:r>
        <w:t xml:space="preserve">A parceria não prevê lucro, margem ou taxa de administração — os valores destinam-se exclusivamente ao custeio do objeto (Art. 46, Lei n.º 13.019/2014);</w:t>
      </w:r>
    </w:p>
    <w:p>
      <w:pPr>
        <w:numPr>
          <w:ilvl w:val="0"/>
          <w:numId w:val="1026"/>
        </w:numPr>
      </w:pPr>
      <w:r>
        <w:t xml:space="preserve">Custos indiretos necessários à execução do objeto (energia, água, manutenção de equipamentos) poderão ser custeados com recursos da parceria, desde que proporcionais e previstos no Plano de Trabalho, até o limite de 15% (quinze por cento) do valor global (Art. 46, caput, Lei n.º 13.019/2014);</w:t>
      </w:r>
    </w:p>
    <w:p>
      <w:pPr>
        <w:numPr>
          <w:ilvl w:val="0"/>
          <w:numId w:val="1026"/>
        </w:numPr>
      </w:pPr>
      <w:r>
        <w:t xml:space="preserve">Eventuais rendimentos de aplicação financeira dos recursos da parceria serão aplicados no objeto, na forma do Art. 48 da Lei n.º 13.019/2014;</w:t>
      </w:r>
    </w:p>
    <w:p>
      <w:pPr>
        <w:numPr>
          <w:ilvl w:val="0"/>
          <w:numId w:val="1026"/>
        </w:numPr>
      </w:pPr>
      <w:r>
        <w:t xml:space="preserve">Saldos não utilizados ao final da vigência deverão ser restituídos à Administração (Art. 52, Lei n.º 13.019/2014).</w:t>
      </w:r>
    </w:p>
    <w:bookmarkEnd w:id="66"/>
    <w:bookmarkStart w:id="67" w:name="X3234cdfa4e3bcd40b65f651eb35da8864ec5218"/>
    <w:p>
      <w:pPr>
        <w:pStyle w:val="Heading3"/>
      </w:pPr>
      <w:r>
        <w:t xml:space="preserve">6.7. Anexo I - Matriz Consolidada de Custeio (Mensal e Anual)</w:t>
      </w:r>
    </w:p>
    <w:tbl>
      <w:tblPr>
        <w:tblStyle w:val="Table"/>
        <w:tblW w:type="pct" w:w="5000"/>
        <w:tblLayout w:type="fixed"/>
        <w:tblLook w:firstRow="1" w:lastRow="0" w:firstColumn="0" w:lastColumn="0" w:noHBand="0" w:noVBand="0" w:val="0020"/>
      </w:tblPr>
      <w:tblGrid>
        <w:gridCol w:w="1173"/>
        <w:gridCol w:w="1320"/>
        <w:gridCol w:w="1906"/>
        <w:gridCol w:w="3520"/>
      </w:tblGrid>
      <w:tr>
        <w:trPr>
          <w:tblHeader w:val="on"/>
        </w:trPr>
        <w:tc>
          <w:tcPr/>
          <w:p>
            <w:pPr>
              <w:pStyle w:val="Compact"/>
            </w:pPr>
            <w:r>
              <w:t xml:space="preserve">Escopo</w:t>
            </w:r>
          </w:p>
        </w:tc>
        <w:tc>
          <w:tcPr/>
          <w:p>
            <w:pPr>
              <w:pStyle w:val="Compact"/>
            </w:pPr>
            <w:r>
              <w:t xml:space="preserve">Rubrica</w:t>
            </w:r>
          </w:p>
        </w:tc>
        <w:tc>
          <w:tcPr/>
          <w:p>
            <w:pPr>
              <w:pStyle w:val="Compact"/>
            </w:pPr>
            <w:r>
              <w:t xml:space="preserve">Valor Mensal</w:t>
            </w:r>
          </w:p>
        </w:tc>
        <w:tc>
          <w:tcPr/>
          <w:p>
            <w:pPr>
              <w:pStyle w:val="Compact"/>
            </w:pPr>
            <w:r>
              <w:t xml:space="preserve">Valor Anual (12 meses)</w:t>
            </w:r>
          </w:p>
        </w:tc>
      </w:tr>
      <w:tr>
        <w:tc>
          <w:tcPr/>
          <w:p>
            <w:pPr>
              <w:pStyle w:val="Compact"/>
            </w:pPr>
            <w:r>
              <w:t xml:space="preserve">Escopo 1 - SERDI</w:t>
            </w:r>
          </w:p>
        </w:tc>
        <w:tc>
          <w:tcPr/>
          <w:p>
            <w:pPr>
              <w:pStyle w:val="Compact"/>
            </w:pPr>
            <w:r>
              <w:t xml:space="preserve">Subtotal RH SERDI</w:t>
            </w:r>
          </w:p>
        </w:tc>
        <w:tc>
          <w:tcPr/>
          <w:p>
            <w:pPr>
              <w:pStyle w:val="Compact"/>
            </w:pPr>
            <w:r>
              <w:t xml:space="preserve">R$ 29.200,00</w:t>
            </w:r>
          </w:p>
        </w:tc>
        <w:tc>
          <w:tcPr/>
          <w:p>
            <w:pPr>
              <w:pStyle w:val="Compact"/>
            </w:pPr>
            <w:r>
              <w:t xml:space="preserve">R$ 350.400,00</w:t>
            </w:r>
          </w:p>
        </w:tc>
      </w:tr>
      <w:tr>
        <w:tc>
          <w:tcPr/>
          <w:p>
            <w:pPr>
              <w:pStyle w:val="Compact"/>
            </w:pPr>
            <w:r>
              <w:t xml:space="preserve">Escopo 1 - SERDI</w:t>
            </w:r>
          </w:p>
        </w:tc>
        <w:tc>
          <w:tcPr/>
          <w:p>
            <w:pPr>
              <w:pStyle w:val="Compact"/>
            </w:pPr>
            <w:r>
              <w:t xml:space="preserve">Coordenacao Tecnica (RT)</w:t>
            </w:r>
          </w:p>
        </w:tc>
        <w:tc>
          <w:tcPr/>
          <w:p>
            <w:pPr>
              <w:pStyle w:val="Compact"/>
            </w:pPr>
            <w:r>
              <w:t xml:space="preserve">R$ 2.500,00</w:t>
            </w:r>
          </w:p>
        </w:tc>
        <w:tc>
          <w:tcPr/>
          <w:p>
            <w:pPr>
              <w:pStyle w:val="Compact"/>
            </w:pPr>
            <w:r>
              <w:t xml:space="preserve">R$ 30.000,00</w:t>
            </w:r>
          </w:p>
        </w:tc>
      </w:tr>
      <w:tr>
        <w:tc>
          <w:tcPr/>
          <w:p>
            <w:pPr>
              <w:pStyle w:val="Compact"/>
            </w:pPr>
            <w:r>
              <w:t xml:space="preserve">Escopo 1 - SERDI</w:t>
            </w:r>
          </w:p>
        </w:tc>
        <w:tc>
          <w:tcPr/>
          <w:p>
            <w:pPr>
              <w:pStyle w:val="Compact"/>
            </w:pPr>
            <w:r>
              <w:t xml:space="preserve">Material de consumo tecnico</w:t>
            </w:r>
          </w:p>
        </w:tc>
        <w:tc>
          <w:tcPr/>
          <w:p>
            <w:pPr>
              <w:pStyle w:val="Compact"/>
            </w:pPr>
            <w:r>
              <w:t xml:space="preserve">R$ 2.047,57</w:t>
            </w:r>
          </w:p>
        </w:tc>
        <w:tc>
          <w:tcPr/>
          <w:p>
            <w:pPr>
              <w:pStyle w:val="Compact"/>
            </w:pPr>
            <w:r>
              <w:t xml:space="preserve">R$ 24.570,84</w:t>
            </w:r>
          </w:p>
        </w:tc>
      </w:tr>
      <w:tr>
        <w:tc>
          <w:tcPr/>
          <w:p>
            <w:pPr>
              <w:pStyle w:val="Compact"/>
            </w:pPr>
            <w:r>
              <w:t xml:space="preserve">Escopo 1 - SERDI</w:t>
            </w:r>
          </w:p>
        </w:tc>
        <w:tc>
          <w:tcPr/>
          <w:p>
            <w:pPr>
              <w:pStyle w:val="Compact"/>
            </w:pPr>
            <w:r>
              <w:t xml:space="preserve">Transporte assistencial</w:t>
            </w:r>
          </w:p>
        </w:tc>
        <w:tc>
          <w:tcPr/>
          <w:p>
            <w:pPr>
              <w:pStyle w:val="Compact"/>
            </w:pPr>
            <w:r>
              <w:t xml:space="preserve">R$ 1.500,00</w:t>
            </w:r>
          </w:p>
        </w:tc>
        <w:tc>
          <w:tcPr/>
          <w:p>
            <w:pPr>
              <w:pStyle w:val="Compact"/>
            </w:pPr>
            <w:r>
              <w:t xml:space="preserve">R$ 18.000,00</w:t>
            </w:r>
          </w:p>
        </w:tc>
      </w:tr>
      <w:tr>
        <w:tc>
          <w:tcPr/>
          <w:p>
            <w:pPr>
              <w:pStyle w:val="Compact"/>
            </w:pPr>
            <w:r>
              <w:rPr>
                <w:b/>
                <w:bCs/>
              </w:rPr>
              <w:t xml:space="preserve">Escopo 1 - SERDI</w:t>
            </w:r>
          </w:p>
        </w:tc>
        <w:tc>
          <w:tcPr/>
          <w:p>
            <w:pPr>
              <w:pStyle w:val="Compact"/>
            </w:pPr>
            <w:r>
              <w:rPr>
                <w:b/>
                <w:bCs/>
              </w:rPr>
              <w:t xml:space="preserve">Subtotal Escopo 1</w:t>
            </w:r>
          </w:p>
        </w:tc>
        <w:tc>
          <w:tcPr/>
          <w:p>
            <w:pPr>
              <w:pStyle w:val="Compact"/>
            </w:pPr>
            <w:r>
              <w:rPr>
                <w:b/>
                <w:bCs/>
              </w:rPr>
              <w:t xml:space="preserve">R$ 35.247,57</w:t>
            </w:r>
          </w:p>
        </w:tc>
        <w:tc>
          <w:tcPr/>
          <w:p>
            <w:pPr>
              <w:pStyle w:val="Compact"/>
            </w:pPr>
            <w:r>
              <w:rPr>
                <w:b/>
                <w:bCs/>
              </w:rPr>
              <w:t xml:space="preserve">R$ 422.970,84</w:t>
            </w:r>
          </w:p>
        </w:tc>
      </w:tr>
      <w:tr>
        <w:tc>
          <w:tcPr/>
          <w:p>
            <w:pPr>
              <w:pStyle w:val="Compact"/>
            </w:pPr>
            <w:r>
              <w:t xml:space="preserve">Escopo 2 - Suplementar</w:t>
            </w:r>
          </w:p>
        </w:tc>
        <w:tc>
          <w:tcPr/>
          <w:p>
            <w:pPr>
              <w:pStyle w:val="Compact"/>
            </w:pPr>
            <w:r>
              <w:t xml:space="preserve">Subtotal RH Escopo 2</w:t>
            </w:r>
          </w:p>
        </w:tc>
        <w:tc>
          <w:tcPr/>
          <w:p>
            <w:pPr>
              <w:pStyle w:val="Compact"/>
            </w:pPr>
            <w:r>
              <w:t xml:space="preserve">R$ 2.400,00</w:t>
            </w:r>
          </w:p>
        </w:tc>
        <w:tc>
          <w:tcPr/>
          <w:p>
            <w:pPr>
              <w:pStyle w:val="Compact"/>
            </w:pPr>
            <w:r>
              <w:t xml:space="preserve">R$ 28.800,00</w:t>
            </w:r>
          </w:p>
        </w:tc>
      </w:tr>
      <w:tr>
        <w:tc>
          <w:tcPr/>
          <w:p>
            <w:pPr>
              <w:pStyle w:val="Compact"/>
            </w:pPr>
            <w:r>
              <w:t xml:space="preserve">Escopo 2 - Suplementar</w:t>
            </w:r>
          </w:p>
        </w:tc>
        <w:tc>
          <w:tcPr/>
          <w:p>
            <w:pPr>
              <w:pStyle w:val="Compact"/>
            </w:pPr>
            <w:r>
              <w:t xml:space="preserve">Grupos psicossociais</w:t>
            </w:r>
          </w:p>
        </w:tc>
        <w:tc>
          <w:tcPr/>
          <w:p>
            <w:pPr>
              <w:pStyle w:val="Compact"/>
            </w:pPr>
            <w:r>
              <w:t xml:space="preserve">R$ 900,00</w:t>
            </w:r>
          </w:p>
        </w:tc>
        <w:tc>
          <w:tcPr/>
          <w:p>
            <w:pPr>
              <w:pStyle w:val="Compact"/>
            </w:pPr>
            <w:r>
              <w:t xml:space="preserve">R$ 10.800,00</w:t>
            </w:r>
          </w:p>
        </w:tc>
      </w:tr>
      <w:tr>
        <w:tc>
          <w:tcPr/>
          <w:p>
            <w:pPr>
              <w:pStyle w:val="Compact"/>
            </w:pPr>
            <w:r>
              <w:t xml:space="preserve">Escopo 2 - Suplementar</w:t>
            </w:r>
          </w:p>
        </w:tc>
        <w:tc>
          <w:tcPr/>
          <w:p>
            <w:pPr>
              <w:pStyle w:val="Compact"/>
            </w:pPr>
            <w:r>
              <w:t xml:space="preserve">Material e apoio logistico</w:t>
            </w:r>
          </w:p>
        </w:tc>
        <w:tc>
          <w:tcPr/>
          <w:p>
            <w:pPr>
              <w:pStyle w:val="Compact"/>
            </w:pPr>
            <w:r>
              <w:t xml:space="preserve">R$ 312,84</w:t>
            </w:r>
          </w:p>
        </w:tc>
        <w:tc>
          <w:tcPr/>
          <w:p>
            <w:pPr>
              <w:pStyle w:val="Compact"/>
            </w:pPr>
            <w:r>
              <w:t xml:space="preserve">R$ 3.754,08</w:t>
            </w:r>
          </w:p>
        </w:tc>
      </w:tr>
      <w:tr>
        <w:tc>
          <w:tcPr/>
          <w:p>
            <w:pPr>
              <w:pStyle w:val="Compact"/>
            </w:pPr>
            <w:r>
              <w:rPr>
                <w:b/>
                <w:bCs/>
              </w:rPr>
              <w:t xml:space="preserve">Escopo 2 - Suplementar</w:t>
            </w:r>
          </w:p>
        </w:tc>
        <w:tc>
          <w:tcPr/>
          <w:p>
            <w:pPr>
              <w:pStyle w:val="Compact"/>
            </w:pPr>
            <w:r>
              <w:rPr>
                <w:b/>
                <w:bCs/>
              </w:rPr>
              <w:t xml:space="preserve">Subtotal Escopo 2</w:t>
            </w:r>
          </w:p>
        </w:tc>
        <w:tc>
          <w:tcPr/>
          <w:p>
            <w:pPr>
              <w:pStyle w:val="Compact"/>
            </w:pPr>
            <w:r>
              <w:rPr>
                <w:b/>
                <w:bCs/>
              </w:rPr>
              <w:t xml:space="preserve">R$ 3.612,84</w:t>
            </w:r>
          </w:p>
        </w:tc>
        <w:tc>
          <w:tcPr/>
          <w:p>
            <w:pPr>
              <w:pStyle w:val="Compact"/>
            </w:pPr>
            <w:r>
              <w:rPr>
                <w:b/>
                <w:bCs/>
              </w:rPr>
              <w:t xml:space="preserve">R$ 43.354,08</w:t>
            </w:r>
          </w:p>
        </w:tc>
      </w:tr>
      <w:tr>
        <w:tc>
          <w:tcPr/>
          <w:p>
            <w:pPr>
              <w:pStyle w:val="Compact"/>
            </w:pPr>
            <w:r>
              <w:rPr>
                <w:b/>
                <w:bCs/>
              </w:rPr>
              <w:t xml:space="preserve">TOTAL GERAL</w:t>
            </w:r>
          </w:p>
        </w:tc>
        <w:tc>
          <w:tcPr/>
          <w:p>
            <w:pPr>
              <w:pStyle w:val="Compact"/>
            </w:pPr>
            <w:r>
              <w:rPr>
                <w:b/>
                <w:bCs/>
              </w:rPr>
              <w:t xml:space="preserve">Escopo 1 + Escopo 2</w:t>
            </w:r>
          </w:p>
        </w:tc>
        <w:tc>
          <w:tcPr/>
          <w:p>
            <w:pPr>
              <w:pStyle w:val="Compact"/>
            </w:pPr>
            <w:r>
              <w:rPr>
                <w:b/>
                <w:bCs/>
              </w:rPr>
              <w:t xml:space="preserve">R$ 38.860,41</w:t>
            </w:r>
          </w:p>
        </w:tc>
        <w:tc>
          <w:tcPr/>
          <w:p>
            <w:pPr>
              <w:pStyle w:val="Compact"/>
            </w:pPr>
            <w:r>
              <w:rPr>
                <w:b/>
                <w:bCs/>
              </w:rPr>
              <w:t xml:space="preserve">R$ 466.324,92</w:t>
            </w:r>
          </w:p>
        </w:tc>
      </w:tr>
    </w:tbl>
    <w:bookmarkEnd w:id="67"/>
    <w:bookmarkStart w:id="68" w:name="X0d1545290068442f3cc20f0b8bd6851b63f7314"/>
    <w:p>
      <w:pPr>
        <w:pStyle w:val="Heading3"/>
      </w:pPr>
      <w:r>
        <w:t xml:space="preserve">6.8. Anexo I - Cronograma de Desembolso (12 parcelas)</w:t>
      </w:r>
    </w:p>
    <w:tbl>
      <w:tblPr>
        <w:tblStyle w:val="Table"/>
        <w:tblW w:type="pct" w:w="5000"/>
        <w:tblLayout w:type="fixed"/>
        <w:tblLook w:firstRow="1" w:lastRow="0" w:firstColumn="0" w:lastColumn="0" w:noHBand="0" w:noVBand="0" w:val="0020"/>
      </w:tblPr>
      <w:tblGrid>
        <w:gridCol w:w="1096"/>
        <w:gridCol w:w="2193"/>
        <w:gridCol w:w="2924"/>
        <w:gridCol w:w="1705"/>
      </w:tblGrid>
      <w:tr>
        <w:trPr>
          <w:tblHeader w:val="on"/>
        </w:trPr>
        <w:tc>
          <w:tcPr/>
          <w:p>
            <w:pPr>
              <w:pStyle w:val="Compact"/>
            </w:pPr>
            <w:r>
              <w:t xml:space="preserve">Parcela</w:t>
            </w:r>
          </w:p>
        </w:tc>
        <w:tc>
          <w:tcPr/>
          <w:p>
            <w:pPr>
              <w:pStyle w:val="Compact"/>
            </w:pPr>
            <w:r>
              <w:t xml:space="preserve">Escopo 1 - SERDI</w:t>
            </w:r>
          </w:p>
        </w:tc>
        <w:tc>
          <w:tcPr/>
          <w:p>
            <w:pPr>
              <w:pStyle w:val="Compact"/>
            </w:pPr>
            <w:r>
              <w:t xml:space="preserve">Escopo 2 - Suplementar</w:t>
            </w:r>
          </w:p>
        </w:tc>
        <w:tc>
          <w:tcPr/>
          <w:p>
            <w:pPr>
              <w:pStyle w:val="Compact"/>
            </w:pPr>
            <w:r>
              <w:t xml:space="preserve">Total Mensal</w:t>
            </w:r>
          </w:p>
        </w:tc>
      </w:tr>
      <w:tr>
        <w:tc>
          <w:tcPr/>
          <w:p>
            <w:pPr>
              <w:pStyle w:val="Compact"/>
            </w:pPr>
            <w:r>
              <w:t xml:space="preserve">1a</w:t>
            </w:r>
          </w:p>
        </w:tc>
        <w:tc>
          <w:tcPr/>
          <w:p>
            <w:pPr>
              <w:pStyle w:val="Compact"/>
            </w:pPr>
            <w:r>
              <w:t xml:space="preserve">R$ 35.247,57</w:t>
            </w:r>
          </w:p>
        </w:tc>
        <w:tc>
          <w:tcPr/>
          <w:p>
            <w:pPr>
              <w:pStyle w:val="Compact"/>
            </w:pPr>
            <w:r>
              <w:t xml:space="preserve">R$ 3.612,84</w:t>
            </w:r>
          </w:p>
        </w:tc>
        <w:tc>
          <w:tcPr/>
          <w:p>
            <w:pPr>
              <w:pStyle w:val="Compact"/>
            </w:pPr>
            <w:r>
              <w:t xml:space="preserve">R$ 38.860,41</w:t>
            </w:r>
          </w:p>
        </w:tc>
      </w:tr>
      <w:tr>
        <w:tc>
          <w:tcPr/>
          <w:p>
            <w:pPr>
              <w:pStyle w:val="Compact"/>
            </w:pPr>
            <w:r>
              <w:t xml:space="preserve">2a</w:t>
            </w:r>
          </w:p>
        </w:tc>
        <w:tc>
          <w:tcPr/>
          <w:p>
            <w:pPr>
              <w:pStyle w:val="Compact"/>
            </w:pPr>
            <w:r>
              <w:t xml:space="preserve">R$ 35.247,57</w:t>
            </w:r>
          </w:p>
        </w:tc>
        <w:tc>
          <w:tcPr/>
          <w:p>
            <w:pPr>
              <w:pStyle w:val="Compact"/>
            </w:pPr>
            <w:r>
              <w:t xml:space="preserve">R$ 3.612,84</w:t>
            </w:r>
          </w:p>
        </w:tc>
        <w:tc>
          <w:tcPr/>
          <w:p>
            <w:pPr>
              <w:pStyle w:val="Compact"/>
            </w:pPr>
            <w:r>
              <w:t xml:space="preserve">R$ 38.860,41</w:t>
            </w:r>
          </w:p>
        </w:tc>
      </w:tr>
      <w:tr>
        <w:tc>
          <w:tcPr/>
          <w:p>
            <w:pPr>
              <w:pStyle w:val="Compact"/>
            </w:pPr>
            <w:r>
              <w:t xml:space="preserve">3a</w:t>
            </w:r>
          </w:p>
        </w:tc>
        <w:tc>
          <w:tcPr/>
          <w:p>
            <w:pPr>
              <w:pStyle w:val="Compact"/>
            </w:pPr>
            <w:r>
              <w:t xml:space="preserve">R$ 35.247,57</w:t>
            </w:r>
          </w:p>
        </w:tc>
        <w:tc>
          <w:tcPr/>
          <w:p>
            <w:pPr>
              <w:pStyle w:val="Compact"/>
            </w:pPr>
            <w:r>
              <w:t xml:space="preserve">R$ 3.612,84</w:t>
            </w:r>
          </w:p>
        </w:tc>
        <w:tc>
          <w:tcPr/>
          <w:p>
            <w:pPr>
              <w:pStyle w:val="Compact"/>
            </w:pPr>
            <w:r>
              <w:t xml:space="preserve">R$ 38.860,41</w:t>
            </w:r>
          </w:p>
        </w:tc>
      </w:tr>
      <w:tr>
        <w:tc>
          <w:tcPr/>
          <w:p>
            <w:pPr>
              <w:pStyle w:val="Compact"/>
            </w:pPr>
            <w:r>
              <w:t xml:space="preserve">4a</w:t>
            </w:r>
          </w:p>
        </w:tc>
        <w:tc>
          <w:tcPr/>
          <w:p>
            <w:pPr>
              <w:pStyle w:val="Compact"/>
            </w:pPr>
            <w:r>
              <w:t xml:space="preserve">R$ 35.247,57</w:t>
            </w:r>
          </w:p>
        </w:tc>
        <w:tc>
          <w:tcPr/>
          <w:p>
            <w:pPr>
              <w:pStyle w:val="Compact"/>
            </w:pPr>
            <w:r>
              <w:t xml:space="preserve">R$ 3.612,84</w:t>
            </w:r>
          </w:p>
        </w:tc>
        <w:tc>
          <w:tcPr/>
          <w:p>
            <w:pPr>
              <w:pStyle w:val="Compact"/>
            </w:pPr>
            <w:r>
              <w:t xml:space="preserve">R$ 38.860,41</w:t>
            </w:r>
          </w:p>
        </w:tc>
      </w:tr>
      <w:tr>
        <w:tc>
          <w:tcPr/>
          <w:p>
            <w:pPr>
              <w:pStyle w:val="Compact"/>
            </w:pPr>
            <w:r>
              <w:t xml:space="preserve">5a</w:t>
            </w:r>
          </w:p>
        </w:tc>
        <w:tc>
          <w:tcPr/>
          <w:p>
            <w:pPr>
              <w:pStyle w:val="Compact"/>
            </w:pPr>
            <w:r>
              <w:t xml:space="preserve">R$ 35.247,57</w:t>
            </w:r>
          </w:p>
        </w:tc>
        <w:tc>
          <w:tcPr/>
          <w:p>
            <w:pPr>
              <w:pStyle w:val="Compact"/>
            </w:pPr>
            <w:r>
              <w:t xml:space="preserve">R$ 3.612,84</w:t>
            </w:r>
          </w:p>
        </w:tc>
        <w:tc>
          <w:tcPr/>
          <w:p>
            <w:pPr>
              <w:pStyle w:val="Compact"/>
            </w:pPr>
            <w:r>
              <w:t xml:space="preserve">R$ 38.860,41</w:t>
            </w:r>
          </w:p>
        </w:tc>
      </w:tr>
      <w:tr>
        <w:tc>
          <w:tcPr/>
          <w:p>
            <w:pPr>
              <w:pStyle w:val="Compact"/>
            </w:pPr>
            <w:r>
              <w:t xml:space="preserve">6a</w:t>
            </w:r>
          </w:p>
        </w:tc>
        <w:tc>
          <w:tcPr/>
          <w:p>
            <w:pPr>
              <w:pStyle w:val="Compact"/>
            </w:pPr>
            <w:r>
              <w:t xml:space="preserve">R$ 35.247,57</w:t>
            </w:r>
          </w:p>
        </w:tc>
        <w:tc>
          <w:tcPr/>
          <w:p>
            <w:pPr>
              <w:pStyle w:val="Compact"/>
            </w:pPr>
            <w:r>
              <w:t xml:space="preserve">R$ 3.612,84</w:t>
            </w:r>
          </w:p>
        </w:tc>
        <w:tc>
          <w:tcPr/>
          <w:p>
            <w:pPr>
              <w:pStyle w:val="Compact"/>
            </w:pPr>
            <w:r>
              <w:t xml:space="preserve">R$ 38.860,41</w:t>
            </w:r>
          </w:p>
        </w:tc>
      </w:tr>
      <w:tr>
        <w:tc>
          <w:tcPr/>
          <w:p>
            <w:pPr>
              <w:pStyle w:val="Compact"/>
            </w:pPr>
            <w:r>
              <w:t xml:space="preserve">7a</w:t>
            </w:r>
          </w:p>
        </w:tc>
        <w:tc>
          <w:tcPr/>
          <w:p>
            <w:pPr>
              <w:pStyle w:val="Compact"/>
            </w:pPr>
            <w:r>
              <w:t xml:space="preserve">R$ 35.247,57</w:t>
            </w:r>
          </w:p>
        </w:tc>
        <w:tc>
          <w:tcPr/>
          <w:p>
            <w:pPr>
              <w:pStyle w:val="Compact"/>
            </w:pPr>
            <w:r>
              <w:t xml:space="preserve">R$ 3.612,84</w:t>
            </w:r>
          </w:p>
        </w:tc>
        <w:tc>
          <w:tcPr/>
          <w:p>
            <w:pPr>
              <w:pStyle w:val="Compact"/>
            </w:pPr>
            <w:r>
              <w:t xml:space="preserve">R$ 38.860,41</w:t>
            </w:r>
          </w:p>
        </w:tc>
      </w:tr>
      <w:tr>
        <w:tc>
          <w:tcPr/>
          <w:p>
            <w:pPr>
              <w:pStyle w:val="Compact"/>
            </w:pPr>
            <w:r>
              <w:t xml:space="preserve">8a</w:t>
            </w:r>
          </w:p>
        </w:tc>
        <w:tc>
          <w:tcPr/>
          <w:p>
            <w:pPr>
              <w:pStyle w:val="Compact"/>
            </w:pPr>
            <w:r>
              <w:t xml:space="preserve">R$ 35.247,57</w:t>
            </w:r>
          </w:p>
        </w:tc>
        <w:tc>
          <w:tcPr/>
          <w:p>
            <w:pPr>
              <w:pStyle w:val="Compact"/>
            </w:pPr>
            <w:r>
              <w:t xml:space="preserve">R$ 3.612,84</w:t>
            </w:r>
          </w:p>
        </w:tc>
        <w:tc>
          <w:tcPr/>
          <w:p>
            <w:pPr>
              <w:pStyle w:val="Compact"/>
            </w:pPr>
            <w:r>
              <w:t xml:space="preserve">R$ 38.860,41</w:t>
            </w:r>
          </w:p>
        </w:tc>
      </w:tr>
      <w:tr>
        <w:tc>
          <w:tcPr/>
          <w:p>
            <w:pPr>
              <w:pStyle w:val="Compact"/>
            </w:pPr>
            <w:r>
              <w:t xml:space="preserve">9a</w:t>
            </w:r>
          </w:p>
        </w:tc>
        <w:tc>
          <w:tcPr/>
          <w:p>
            <w:pPr>
              <w:pStyle w:val="Compact"/>
            </w:pPr>
            <w:r>
              <w:t xml:space="preserve">R$ 35.247,57</w:t>
            </w:r>
          </w:p>
        </w:tc>
        <w:tc>
          <w:tcPr/>
          <w:p>
            <w:pPr>
              <w:pStyle w:val="Compact"/>
            </w:pPr>
            <w:r>
              <w:t xml:space="preserve">R$ 3.612,84</w:t>
            </w:r>
          </w:p>
        </w:tc>
        <w:tc>
          <w:tcPr/>
          <w:p>
            <w:pPr>
              <w:pStyle w:val="Compact"/>
            </w:pPr>
            <w:r>
              <w:t xml:space="preserve">R$ 38.860,41</w:t>
            </w:r>
          </w:p>
        </w:tc>
      </w:tr>
      <w:tr>
        <w:tc>
          <w:tcPr/>
          <w:p>
            <w:pPr>
              <w:pStyle w:val="Compact"/>
            </w:pPr>
            <w:r>
              <w:t xml:space="preserve">10a</w:t>
            </w:r>
          </w:p>
        </w:tc>
        <w:tc>
          <w:tcPr/>
          <w:p>
            <w:pPr>
              <w:pStyle w:val="Compact"/>
            </w:pPr>
            <w:r>
              <w:t xml:space="preserve">R$ 35.247,57</w:t>
            </w:r>
          </w:p>
        </w:tc>
        <w:tc>
          <w:tcPr/>
          <w:p>
            <w:pPr>
              <w:pStyle w:val="Compact"/>
            </w:pPr>
            <w:r>
              <w:t xml:space="preserve">R$ 3.612,84</w:t>
            </w:r>
          </w:p>
        </w:tc>
        <w:tc>
          <w:tcPr/>
          <w:p>
            <w:pPr>
              <w:pStyle w:val="Compact"/>
            </w:pPr>
            <w:r>
              <w:t xml:space="preserve">R$ 38.860,41</w:t>
            </w:r>
          </w:p>
        </w:tc>
      </w:tr>
      <w:tr>
        <w:tc>
          <w:tcPr/>
          <w:p>
            <w:pPr>
              <w:pStyle w:val="Compact"/>
            </w:pPr>
            <w:r>
              <w:t xml:space="preserve">11a</w:t>
            </w:r>
          </w:p>
        </w:tc>
        <w:tc>
          <w:tcPr/>
          <w:p>
            <w:pPr>
              <w:pStyle w:val="Compact"/>
            </w:pPr>
            <w:r>
              <w:t xml:space="preserve">R$ 35.247,57</w:t>
            </w:r>
          </w:p>
        </w:tc>
        <w:tc>
          <w:tcPr/>
          <w:p>
            <w:pPr>
              <w:pStyle w:val="Compact"/>
            </w:pPr>
            <w:r>
              <w:t xml:space="preserve">R$ 3.612,84</w:t>
            </w:r>
          </w:p>
        </w:tc>
        <w:tc>
          <w:tcPr/>
          <w:p>
            <w:pPr>
              <w:pStyle w:val="Compact"/>
            </w:pPr>
            <w:r>
              <w:t xml:space="preserve">R$ 38.860,41</w:t>
            </w:r>
          </w:p>
        </w:tc>
      </w:tr>
      <w:tr>
        <w:tc>
          <w:tcPr/>
          <w:p>
            <w:pPr>
              <w:pStyle w:val="Compact"/>
            </w:pPr>
            <w:r>
              <w:t xml:space="preserve">12a</w:t>
            </w:r>
          </w:p>
        </w:tc>
        <w:tc>
          <w:tcPr/>
          <w:p>
            <w:pPr>
              <w:pStyle w:val="Compact"/>
            </w:pPr>
            <w:r>
              <w:t xml:space="preserve">R$ 35.247,57</w:t>
            </w:r>
          </w:p>
        </w:tc>
        <w:tc>
          <w:tcPr/>
          <w:p>
            <w:pPr>
              <w:pStyle w:val="Compact"/>
            </w:pPr>
            <w:r>
              <w:t xml:space="preserve">R$ 3.612,84</w:t>
            </w:r>
          </w:p>
        </w:tc>
        <w:tc>
          <w:tcPr/>
          <w:p>
            <w:pPr>
              <w:pStyle w:val="Compact"/>
            </w:pPr>
            <w:r>
              <w:t xml:space="preserve">R$ 38.860,41</w:t>
            </w:r>
          </w:p>
        </w:tc>
      </w:tr>
      <w:tr>
        <w:tc>
          <w:tcPr/>
          <w:p>
            <w:pPr>
              <w:pStyle w:val="Compact"/>
            </w:pPr>
            <w:r>
              <w:rPr>
                <w:b/>
                <w:bCs/>
              </w:rPr>
              <w:t xml:space="preserve">TOTAL 12 MESES</w:t>
            </w:r>
          </w:p>
        </w:tc>
        <w:tc>
          <w:tcPr/>
          <w:p>
            <w:pPr>
              <w:pStyle w:val="Compact"/>
            </w:pPr>
            <w:r>
              <w:rPr>
                <w:b/>
                <w:bCs/>
              </w:rPr>
              <w:t xml:space="preserve">R$ 422.970,84</w:t>
            </w:r>
          </w:p>
        </w:tc>
        <w:tc>
          <w:tcPr/>
          <w:p>
            <w:pPr>
              <w:pStyle w:val="Compact"/>
            </w:pPr>
            <w:r>
              <w:rPr>
                <w:b/>
                <w:bCs/>
              </w:rPr>
              <w:t xml:space="preserve">R$ 43.354,08</w:t>
            </w:r>
          </w:p>
        </w:tc>
        <w:tc>
          <w:tcPr/>
          <w:p>
            <w:pPr>
              <w:pStyle w:val="Compact"/>
            </w:pPr>
            <w:r>
              <w:rPr>
                <w:b/>
                <w:bCs/>
              </w:rPr>
              <w:t xml:space="preserve">R$ 466.324,92</w:t>
            </w:r>
          </w:p>
        </w:tc>
      </w:tr>
    </w:tbl>
    <w:p>
      <w:pPr>
        <w:pStyle w:val="BlockText"/>
      </w:pPr>
      <w:r>
        <w:rPr>
          <w:b/>
          <w:bCs/>
        </w:rPr>
        <w:t xml:space="preserve">VALIDAÇÃO HUMANA (V4):</w:t>
      </w:r>
      <w:r>
        <w:t xml:space="preserve"> </w:t>
      </w:r>
      <w:r>
        <w:t xml:space="preserve">O(a) coordenador(a) deve conferir os valores individuais de salário e encargos com a planilha real da instituição. Verificar se o CRIE possui CEBAS-Saúde (isenção INSS patronal) e ajustar os encargos. Preencher todos os campos [A PREENCHER] com dados reais.</w:t>
      </w:r>
    </w:p>
    <w:p>
      <w:r>
        <w:pict>
          <v:rect style="width:0;height:1.5pt" o:hralign="center" o:hrstd="t" o:hr="t"/>
        </w:pict>
      </w:r>
    </w:p>
    <w:bookmarkEnd w:id="68"/>
    <w:bookmarkEnd w:id="69"/>
    <w:bookmarkStart w:id="70" w:name="etapa-7-monitoramento-e-avaliação"/>
    <w:p>
      <w:pPr>
        <w:pStyle w:val="Heading2"/>
      </w:pPr>
      <w:r>
        <w:t xml:space="preserve">ETAPA 7 — MONITORAMENTO E AVALIAÇÃO</w:t>
      </w:r>
    </w:p>
    <w:bookmarkEnd w:id="70"/>
    <w:bookmarkStart w:id="78" w:name="Xaf73db008b58ecbef482b1cc3eee113669a5caa"/>
    <w:p>
      <w:pPr>
        <w:pStyle w:val="Heading2"/>
      </w:pPr>
      <w:r>
        <w:t xml:space="preserve">7. Sistema de Monitoramento e Avaliação da Parceria</w:t>
      </w:r>
    </w:p>
    <w:bookmarkStart w:id="71" w:name="X54c8c44a10e2bb25fb875fe58ad246c9ff89156"/>
    <w:p>
      <w:pPr>
        <w:pStyle w:val="Heading3"/>
      </w:pPr>
      <w:r>
        <w:t xml:space="preserve">7.1. Comissão de Monitoramento e Avaliação (CMA)</w:t>
      </w:r>
    </w:p>
    <w:p>
      <w:pPr>
        <w:pStyle w:val="FirstParagraph"/>
      </w:pPr>
      <w:r>
        <w:t xml:space="preserve">A CMA é o órgão colegiado responsável pela homologação do relatório técnico de monitoramento e avaliação, nos termos do Art. 35, § 2.º, III, e Art. 59 da Lei n.º 13.019/2014.</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Item</w:t>
            </w:r>
          </w:p>
        </w:tc>
        <w:tc>
          <w:tcPr/>
          <w:p>
            <w:pPr>
              <w:pStyle w:val="Compact"/>
            </w:pPr>
            <w:r>
              <w:t xml:space="preserve">Especificação</w:t>
            </w:r>
          </w:p>
        </w:tc>
      </w:tr>
      <w:tr>
        <w:tc>
          <w:tcPr/>
          <w:p>
            <w:pPr>
              <w:pStyle w:val="Compact"/>
            </w:pPr>
            <w:r>
              <w:t xml:space="preserve">Designação</w:t>
            </w:r>
          </w:p>
        </w:tc>
        <w:tc>
          <w:tcPr/>
          <w:p>
            <w:pPr>
              <w:pStyle w:val="Compact"/>
            </w:pPr>
            <w:r>
              <w:t xml:space="preserve">Decreto Municipal n.º 4.819/2025 [A CONFIRMAR]</w:t>
            </w:r>
          </w:p>
        </w:tc>
      </w:tr>
      <w:tr>
        <w:tc>
          <w:tcPr/>
          <w:p>
            <w:pPr>
              <w:pStyle w:val="Compact"/>
            </w:pPr>
            <w:r>
              <w:t xml:space="preserve">Composição mínima</w:t>
            </w:r>
          </w:p>
        </w:tc>
        <w:tc>
          <w:tcPr/>
          <w:p>
            <w:pPr>
              <w:pStyle w:val="Compact"/>
            </w:pPr>
            <w:r>
              <w:t xml:space="preserve">3 (três) membros: 1 representante da SMS (presidente), 1 representante da área técnica de saúde mental, 1 representante do controle interno municipal</w:t>
            </w:r>
          </w:p>
        </w:tc>
      </w:tr>
      <w:tr>
        <w:tc>
          <w:tcPr/>
          <w:p>
            <w:pPr>
              <w:pStyle w:val="Compact"/>
            </w:pPr>
            <w:r>
              <w:t xml:space="preserve">Vedação</w:t>
            </w:r>
          </w:p>
        </w:tc>
        <w:tc>
          <w:tcPr/>
          <w:p>
            <w:pPr>
              <w:pStyle w:val="Compact"/>
            </w:pPr>
            <w:r>
              <w:t xml:space="preserve">Membros que mantenham relação jurídica com a OSC não podem integrar a CMA (Art. 35, § 6.º, Lei n.º 13.019/2014)</w:t>
            </w:r>
          </w:p>
        </w:tc>
      </w:tr>
      <w:tr>
        <w:tc>
          <w:tcPr/>
          <w:p>
            <w:pPr>
              <w:pStyle w:val="Compact"/>
            </w:pPr>
            <w:r>
              <w:t xml:space="preserve">Periodicidade de reunião</w:t>
            </w:r>
          </w:p>
        </w:tc>
        <w:tc>
          <w:tcPr/>
          <w:p>
            <w:pPr>
              <w:pStyle w:val="Compact"/>
            </w:pPr>
            <w:r>
              <w:t xml:space="preserve">Quadrimestral (alinhada ao ciclo de avaliação SERDI, Art. 14, Deliberação CIB-SUS/MG n.º 1.403/2013)</w:t>
            </w:r>
          </w:p>
        </w:tc>
      </w:tr>
      <w:tr>
        <w:tc>
          <w:tcPr/>
          <w:p>
            <w:pPr>
              <w:pStyle w:val="Compact"/>
            </w:pPr>
            <w:r>
              <w:t xml:space="preserve">Atribuições</w:t>
            </w:r>
          </w:p>
        </w:tc>
        <w:tc>
          <w:tcPr/>
          <w:p>
            <w:pPr>
              <w:pStyle w:val="Compact"/>
            </w:pPr>
            <w:r>
              <w:t xml:space="preserve">Homologar relatório técnico; emitir parecer sobre prestação de contas; recomendar diligências; propor glosas fundamentadas</w:t>
            </w:r>
          </w:p>
        </w:tc>
      </w:tr>
    </w:tbl>
    <w:bookmarkEnd w:id="71"/>
    <w:bookmarkStart w:id="72" w:name="gestor-da-parceria"/>
    <w:p>
      <w:pPr>
        <w:pStyle w:val="Heading3"/>
      </w:pPr>
      <w:r>
        <w:t xml:space="preserve">7.2. Gestor da Parceria</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Item</w:t>
            </w:r>
          </w:p>
        </w:tc>
        <w:tc>
          <w:tcPr/>
          <w:p>
            <w:pPr>
              <w:pStyle w:val="Compact"/>
            </w:pPr>
            <w:r>
              <w:t xml:space="preserve">Especificação</w:t>
            </w:r>
          </w:p>
        </w:tc>
      </w:tr>
      <w:tr>
        <w:tc>
          <w:tcPr/>
          <w:p>
            <w:pPr>
              <w:pStyle w:val="Compact"/>
            </w:pPr>
            <w:r>
              <w:t xml:space="preserve">Gestor Titular</w:t>
            </w:r>
          </w:p>
        </w:tc>
        <w:tc>
          <w:tcPr/>
          <w:p>
            <w:pPr>
              <w:pStyle w:val="Compact"/>
            </w:pPr>
            <w:r>
              <w:t xml:space="preserve">[A PREENCHER — nome e cargo]</w:t>
            </w:r>
          </w:p>
        </w:tc>
      </w:tr>
      <w:tr>
        <w:tc>
          <w:tcPr/>
          <w:p>
            <w:pPr>
              <w:pStyle w:val="Compact"/>
            </w:pPr>
            <w:r>
              <w:t xml:space="preserve">Gestor Suplente</w:t>
            </w:r>
          </w:p>
        </w:tc>
        <w:tc>
          <w:tcPr/>
          <w:p>
            <w:pPr>
              <w:pStyle w:val="Compact"/>
            </w:pPr>
            <w:r>
              <w:t xml:space="preserve">[A PREENCHER — nome e cargo]</w:t>
            </w:r>
          </w:p>
        </w:tc>
      </w:tr>
      <w:tr>
        <w:tc>
          <w:tcPr/>
          <w:p>
            <w:pPr>
              <w:pStyle w:val="Compact"/>
            </w:pPr>
            <w:r>
              <w:t xml:space="preserve">Base legal</w:t>
            </w:r>
          </w:p>
        </w:tc>
        <w:tc>
          <w:tcPr/>
          <w:p>
            <w:pPr>
              <w:pStyle w:val="Compact"/>
            </w:pPr>
            <w:r>
              <w:t xml:space="preserve">Art. 61, Lei n.º 13.019/2014</w:t>
            </w:r>
          </w:p>
        </w:tc>
      </w:tr>
      <w:tr>
        <w:tc>
          <w:tcPr/>
          <w:p>
            <w:pPr>
              <w:pStyle w:val="Compact"/>
            </w:pPr>
            <w:r>
              <w:t xml:space="preserve">Atribuições</w:t>
            </w:r>
          </w:p>
        </w:tc>
        <w:tc>
          <w:tcPr/>
          <w:p>
            <w:pPr>
              <w:pStyle w:val="Compact"/>
            </w:pPr>
            <w:r>
              <w:t xml:space="preserve">Acompanhar execução do objeto; fiscalizar aplicação de recursos; emitir parecer conclusivo; propor termos aditivos ou apostilamentos; comunicar irregularidades</w:t>
            </w:r>
          </w:p>
        </w:tc>
      </w:tr>
    </w:tbl>
    <w:bookmarkEnd w:id="72"/>
    <w:bookmarkStart w:id="73" w:name="relatórios-e-prestação-de-contas"/>
    <w:p>
      <w:pPr>
        <w:pStyle w:val="Heading3"/>
      </w:pPr>
      <w:r>
        <w:t xml:space="preserve">7.3. Relatórios e Prestação de Contas</w:t>
      </w:r>
    </w:p>
    <w:tbl>
      <w:tblPr>
        <w:tblStyle w:val="Table"/>
        <w:tblW w:type="pct" w:w="5000"/>
        <w:tblLayout w:type="fixed"/>
        <w:tblLook w:firstRow="1" w:lastRow="0" w:firstColumn="0" w:lastColumn="0" w:noHBand="0" w:noVBand="0" w:val="0020"/>
      </w:tblPr>
      <w:tblGrid>
        <w:gridCol w:w="2018"/>
        <w:gridCol w:w="2329"/>
        <w:gridCol w:w="1552"/>
        <w:gridCol w:w="2018"/>
      </w:tblGrid>
      <w:tr>
        <w:trPr>
          <w:tblHeader w:val="on"/>
        </w:trPr>
        <w:tc>
          <w:tcPr/>
          <w:p>
            <w:pPr>
              <w:pStyle w:val="Compact"/>
            </w:pPr>
            <w:r>
              <w:t xml:space="preserve">Instrumento</w:t>
            </w:r>
          </w:p>
        </w:tc>
        <w:tc>
          <w:tcPr/>
          <w:p>
            <w:pPr>
              <w:pStyle w:val="Compact"/>
            </w:pPr>
            <w:r>
              <w:t xml:space="preserve">Periodicidade</w:t>
            </w:r>
          </w:p>
        </w:tc>
        <w:tc>
          <w:tcPr/>
          <w:p>
            <w:pPr>
              <w:pStyle w:val="Compact"/>
            </w:pPr>
            <w:r>
              <w:t xml:space="preserve">Conteúdo</w:t>
            </w:r>
          </w:p>
        </w:tc>
        <w:tc>
          <w:tcPr/>
          <w:p>
            <w:pPr>
              <w:pStyle w:val="Compact"/>
            </w:pPr>
            <w:r>
              <w:t xml:space="preserve">Destinatário</w:t>
            </w:r>
          </w:p>
        </w:tc>
      </w:tr>
      <w:tr>
        <w:tc>
          <w:tcPr/>
          <w:p>
            <w:pPr>
              <w:pStyle w:val="Compact"/>
            </w:pPr>
            <w:r>
              <w:t xml:space="preserve">Relatório de execução do objeto</w:t>
            </w:r>
          </w:p>
        </w:tc>
        <w:tc>
          <w:tcPr/>
          <w:p>
            <w:pPr>
              <w:pStyle w:val="Compact"/>
            </w:pPr>
            <w:r>
              <w:t xml:space="preserve">Trimestral</w:t>
            </w:r>
          </w:p>
        </w:tc>
        <w:tc>
          <w:tcPr/>
          <w:p>
            <w:pPr>
              <w:pStyle w:val="Compact"/>
            </w:pPr>
            <w:r>
              <w:t xml:space="preserve">Atividades realizadas, metas atingidas, indicadores, intercorrências</w:t>
            </w:r>
          </w:p>
        </w:tc>
        <w:tc>
          <w:tcPr/>
          <w:p>
            <w:pPr>
              <w:pStyle w:val="Compact"/>
            </w:pPr>
            <w:r>
              <w:t xml:space="preserve">Gestor da Parceria</w:t>
            </w:r>
          </w:p>
        </w:tc>
      </w:tr>
      <w:tr>
        <w:tc>
          <w:tcPr/>
          <w:p>
            <w:pPr>
              <w:pStyle w:val="Compact"/>
            </w:pPr>
            <w:r>
              <w:t xml:space="preserve">Relatório técnico de monitoramento e avaliação</w:t>
            </w:r>
          </w:p>
        </w:tc>
        <w:tc>
          <w:tcPr/>
          <w:p>
            <w:pPr>
              <w:pStyle w:val="Compact"/>
            </w:pPr>
            <w:r>
              <w:t xml:space="preserve">Semestral</w:t>
            </w:r>
          </w:p>
        </w:tc>
        <w:tc>
          <w:tcPr/>
          <w:p>
            <w:pPr>
              <w:pStyle w:val="Compact"/>
            </w:pPr>
            <w:r>
              <w:t xml:space="preserve">Análise comparativa metas vs. resultados, parecer técnico, recomendações</w:t>
            </w:r>
          </w:p>
        </w:tc>
        <w:tc>
          <w:tcPr/>
          <w:p>
            <w:pPr>
              <w:pStyle w:val="Compact"/>
            </w:pPr>
            <w:r>
              <w:t xml:space="preserve">CMA</w:t>
            </w:r>
          </w:p>
        </w:tc>
      </w:tr>
      <w:tr>
        <w:tc>
          <w:tcPr/>
          <w:p>
            <w:pPr>
              <w:pStyle w:val="Compact"/>
            </w:pPr>
            <w:r>
              <w:t xml:space="preserve">Prestação de contas anual</w:t>
            </w:r>
          </w:p>
        </w:tc>
        <w:tc>
          <w:tcPr/>
          <w:p>
            <w:pPr>
              <w:pStyle w:val="Compact"/>
            </w:pPr>
            <w:r>
              <w:t xml:space="preserve">Anual (até 90 dias após encerramento do exercício)</w:t>
            </w:r>
          </w:p>
        </w:tc>
        <w:tc>
          <w:tcPr/>
          <w:p>
            <w:pPr>
              <w:pStyle w:val="Compact"/>
            </w:pPr>
            <w:r>
              <w:t xml:space="preserve">Execução financeira completa, extratos bancários conciliados, notas fiscais, relatório de execução do objeto</w:t>
            </w:r>
          </w:p>
        </w:tc>
        <w:tc>
          <w:tcPr/>
          <w:p>
            <w:pPr>
              <w:pStyle w:val="Compact"/>
            </w:pPr>
            <w:r>
              <w:t xml:space="preserve">Gestor da Parceria → CMA → Controle Interno</w:t>
            </w:r>
          </w:p>
        </w:tc>
      </w:tr>
      <w:tr>
        <w:tc>
          <w:tcPr/>
          <w:p>
            <w:pPr>
              <w:pStyle w:val="Compact"/>
            </w:pPr>
            <w:r>
              <w:t xml:space="preserve">Relatório de produção SERDI</w:t>
            </w:r>
          </w:p>
        </w:tc>
        <w:tc>
          <w:tcPr/>
          <w:p>
            <w:pPr>
              <w:pStyle w:val="Compact"/>
            </w:pPr>
            <w:r>
              <w:t xml:space="preserve">Quadrimestral</w:t>
            </w:r>
          </w:p>
        </w:tc>
        <w:tc>
          <w:tcPr/>
          <w:p>
            <w:pPr>
              <w:pStyle w:val="Compact"/>
            </w:pPr>
            <w:r>
              <w:t xml:space="preserve">Indicador de desempenho (Anexo VI, Deliberação 1.403), procedimentos BPA</w:t>
            </w:r>
          </w:p>
        </w:tc>
        <w:tc>
          <w:tcPr/>
          <w:p>
            <w:pPr>
              <w:pStyle w:val="Compact"/>
            </w:pPr>
            <w:r>
              <w:t xml:space="preserve">SES/MG (CASPD)</w:t>
            </w:r>
          </w:p>
        </w:tc>
      </w:tr>
    </w:tbl>
    <w:bookmarkEnd w:id="73"/>
    <w:bookmarkStart w:id="74" w:name="instrumentos-de-acompanhamento"/>
    <w:p>
      <w:pPr>
        <w:pStyle w:val="Heading3"/>
      </w:pPr>
      <w:r>
        <w:t xml:space="preserve">7.4. Instrumentos de Acompanhamento</w:t>
      </w:r>
    </w:p>
    <w:p>
      <w:pPr>
        <w:numPr>
          <w:ilvl w:val="0"/>
          <w:numId w:val="1027"/>
        </w:numPr>
      </w:pPr>
      <w:r>
        <w:rPr>
          <w:b/>
          <w:bCs/>
        </w:rPr>
        <w:t xml:space="preserve">Listas de presença</w:t>
      </w:r>
      <w:r>
        <w:t xml:space="preserve"> </w:t>
      </w:r>
      <w:r>
        <w:t xml:space="preserve">— registro diário de frequência dos usuários e profissionais;</w:t>
      </w:r>
    </w:p>
    <w:p>
      <w:pPr>
        <w:numPr>
          <w:ilvl w:val="0"/>
          <w:numId w:val="1027"/>
        </w:numPr>
      </w:pPr>
      <w:r>
        <w:rPr>
          <w:b/>
          <w:bCs/>
        </w:rPr>
        <w:t xml:space="preserve">Prontuários</w:t>
      </w:r>
      <w:r>
        <w:t xml:space="preserve"> </w:t>
      </w:r>
      <w:r>
        <w:t xml:space="preserve">— registro clínico individualizado com PTS, atualizado a cada atendimento (acesso restrito conforme LGPD);</w:t>
      </w:r>
    </w:p>
    <w:p>
      <w:pPr>
        <w:numPr>
          <w:ilvl w:val="0"/>
          <w:numId w:val="1027"/>
        </w:numPr>
      </w:pPr>
      <w:r>
        <w:rPr>
          <w:b/>
          <w:bCs/>
        </w:rPr>
        <w:t xml:space="preserve">Pesquisa de satisfação</w:t>
      </w:r>
      <w:r>
        <w:t xml:space="preserve"> </w:t>
      </w:r>
      <w:r>
        <w:t xml:space="preserve">— questionário padronizado aplicado semestralmente às famílias (meta Q1: ≥ 70% positivas);</w:t>
      </w:r>
    </w:p>
    <w:p>
      <w:pPr>
        <w:numPr>
          <w:ilvl w:val="0"/>
          <w:numId w:val="1027"/>
        </w:numPr>
      </w:pPr>
      <w:r>
        <w:rPr>
          <w:b/>
          <w:bCs/>
        </w:rPr>
        <w:t xml:space="preserve">Faturamento BPA-I</w:t>
      </w:r>
      <w:r>
        <w:t xml:space="preserve"> </w:t>
      </w:r>
      <w:r>
        <w:t xml:space="preserve">— registro mensal de procedimentos no Vector/SIA-SUS, com campos individualizados (Art. 12, § 6.º, Deliberação 1.403);</w:t>
      </w:r>
    </w:p>
    <w:p>
      <w:pPr>
        <w:numPr>
          <w:ilvl w:val="0"/>
          <w:numId w:val="1027"/>
        </w:numPr>
      </w:pPr>
      <w:r>
        <w:rPr>
          <w:b/>
          <w:bCs/>
        </w:rPr>
        <w:t xml:space="preserve">Atas de reunião</w:t>
      </w:r>
      <w:r>
        <w:t xml:space="preserve"> </w:t>
      </w:r>
      <w:r>
        <w:t xml:space="preserve">— registro mensal das reuniões de equipe e discussões de caso (Art. 4.º, § 1.º, VII, Deliberação 1.403);</w:t>
      </w:r>
    </w:p>
    <w:p>
      <w:pPr>
        <w:numPr>
          <w:ilvl w:val="0"/>
          <w:numId w:val="1027"/>
        </w:numPr>
      </w:pPr>
      <w:r>
        <w:rPr>
          <w:b/>
          <w:bCs/>
        </w:rPr>
        <w:t xml:space="preserve">Documentos de capacitação</w:t>
      </w:r>
      <w:r>
        <w:t xml:space="preserve"> </w:t>
      </w:r>
      <w:r>
        <w:t xml:space="preserve">— comprovantes das ações de educação permanente (lista de presença, conteúdo programático, certificados);</w:t>
      </w:r>
    </w:p>
    <w:p>
      <w:pPr>
        <w:numPr>
          <w:ilvl w:val="0"/>
          <w:numId w:val="1027"/>
        </w:numPr>
      </w:pPr>
      <w:r>
        <w:rPr>
          <w:b/>
          <w:bCs/>
        </w:rPr>
        <w:t xml:space="preserve">Extrato CNES</w:t>
      </w:r>
      <w:r>
        <w:t xml:space="preserve"> </w:t>
      </w:r>
      <w:r>
        <w:t xml:space="preserve">— verificação trimestral com vínculos profissionais atualizados.</w:t>
      </w:r>
    </w:p>
    <w:bookmarkEnd w:id="74"/>
    <w:bookmarkStart w:id="75" w:name="mecanismos-de-controle"/>
    <w:p>
      <w:pPr>
        <w:pStyle w:val="Heading3"/>
      </w:pPr>
      <w:r>
        <w:t xml:space="preserve">7.5. Mecanismos de Controle</w:t>
      </w:r>
    </w:p>
    <w:p>
      <w:pPr>
        <w:numPr>
          <w:ilvl w:val="0"/>
          <w:numId w:val="1028"/>
        </w:numPr>
      </w:pPr>
      <w:r>
        <w:rPr>
          <w:b/>
          <w:bCs/>
        </w:rPr>
        <w:t xml:space="preserve">Visitas técnicas in loco</w:t>
      </w:r>
      <w:r>
        <w:t xml:space="preserve"> </w:t>
      </w:r>
      <w:r>
        <w:t xml:space="preserve">— bimestrais, realizadas pelo Gestor da Parceria, com registro em relatório padronizado;</w:t>
      </w:r>
    </w:p>
    <w:p>
      <w:pPr>
        <w:numPr>
          <w:ilvl w:val="0"/>
          <w:numId w:val="1028"/>
        </w:numPr>
      </w:pPr>
      <w:r>
        <w:rPr>
          <w:b/>
          <w:bCs/>
        </w:rPr>
        <w:t xml:space="preserve">Cruzamento de dados Vector/BPA</w:t>
      </w:r>
      <w:r>
        <w:t xml:space="preserve"> </w:t>
      </w:r>
      <w:r>
        <w:t xml:space="preserve">— verificação mensal da consistência entre procedimentos registrados e faturados;</w:t>
      </w:r>
    </w:p>
    <w:p>
      <w:pPr>
        <w:numPr>
          <w:ilvl w:val="0"/>
          <w:numId w:val="1028"/>
        </w:numPr>
      </w:pPr>
      <w:r>
        <w:rPr>
          <w:b/>
          <w:bCs/>
        </w:rPr>
        <w:t xml:space="preserve">Verificação CNES</w:t>
      </w:r>
      <w:r>
        <w:t xml:space="preserve"> </w:t>
      </w:r>
      <w:r>
        <w:t xml:space="preserve">— trimestral, conferindo vínculo ativo de todos os profissionais da equipe;</w:t>
      </w:r>
    </w:p>
    <w:p>
      <w:pPr>
        <w:numPr>
          <w:ilvl w:val="0"/>
          <w:numId w:val="1028"/>
        </w:numPr>
      </w:pPr>
      <w:r>
        <w:rPr>
          <w:b/>
          <w:bCs/>
        </w:rPr>
        <w:t xml:space="preserve">Consulta ao CAGEC</w:t>
      </w:r>
      <w:r>
        <w:t xml:space="preserve"> </w:t>
      </w:r>
      <w:r>
        <w:t xml:space="preserve">— verificação semestral da regularidade da OSC no Cadastro Geral de Convenentes de MG;</w:t>
      </w:r>
    </w:p>
    <w:p>
      <w:pPr>
        <w:numPr>
          <w:ilvl w:val="0"/>
          <w:numId w:val="1028"/>
        </w:numPr>
      </w:pPr>
      <w:r>
        <w:rPr>
          <w:b/>
          <w:bCs/>
        </w:rPr>
        <w:t xml:space="preserve">Auditoria de centros de custo</w:t>
      </w:r>
      <w:r>
        <w:t xml:space="preserve"> </w:t>
      </w:r>
      <w:r>
        <w:t xml:space="preserve">— verificação semestral da segregação contábil entre Escopo 1 (SERDI) e Escopo 2 (Suplementar).</w:t>
      </w:r>
    </w:p>
    <w:bookmarkEnd w:id="75"/>
    <w:bookmarkStart w:id="76" w:name="indicadores-de-desempenho-parametrizados"/>
    <w:p>
      <w:pPr>
        <w:pStyle w:val="Heading3"/>
      </w:pPr>
      <w:r>
        <w:t xml:space="preserve">7.6. Indicadores de Desempenho Parametrizados</w:t>
      </w:r>
    </w:p>
    <w:tbl>
      <w:tblPr>
        <w:tblStyle w:val="Table"/>
        <w:tblW w:type="pct" w:w="5000"/>
        <w:tblLayout w:type="fixed"/>
        <w:tblLook w:firstRow="1" w:lastRow="0" w:firstColumn="0" w:lastColumn="0" w:noHBand="0" w:noVBand="0" w:val="0020"/>
      </w:tblPr>
      <w:tblGrid>
        <w:gridCol w:w="521"/>
        <w:gridCol w:w="1146"/>
        <w:gridCol w:w="937"/>
        <w:gridCol w:w="625"/>
        <w:gridCol w:w="1563"/>
        <w:gridCol w:w="3126"/>
      </w:tblGrid>
      <w:tr>
        <w:trPr>
          <w:tblHeader w:val="on"/>
        </w:trPr>
        <w:tc>
          <w:tcPr/>
          <w:p>
            <w:pPr>
              <w:pStyle w:val="Compact"/>
            </w:pPr>
            <w:r>
              <w:t xml:space="preserve">N.º</w:t>
            </w:r>
          </w:p>
        </w:tc>
        <w:tc>
          <w:tcPr/>
          <w:p>
            <w:pPr>
              <w:pStyle w:val="Compact"/>
            </w:pPr>
            <w:r>
              <w:t xml:space="preserve">Indicador</w:t>
            </w:r>
          </w:p>
        </w:tc>
        <w:tc>
          <w:tcPr/>
          <w:p>
            <w:pPr>
              <w:pStyle w:val="Compact"/>
            </w:pPr>
            <w:r>
              <w:t xml:space="preserve">Fórmula</w:t>
            </w:r>
          </w:p>
        </w:tc>
        <w:tc>
          <w:tcPr/>
          <w:p>
            <w:pPr>
              <w:pStyle w:val="Compact"/>
            </w:pPr>
            <w:r>
              <w:t xml:space="preserve">Meta</w:t>
            </w:r>
          </w:p>
        </w:tc>
        <w:tc>
          <w:tcPr/>
          <w:p>
            <w:pPr>
              <w:pStyle w:val="Compact"/>
            </w:pPr>
            <w:r>
              <w:t xml:space="preserve">Periodicidade</w:t>
            </w:r>
          </w:p>
        </w:tc>
        <w:tc>
          <w:tcPr/>
          <w:p>
            <w:pPr>
              <w:pStyle w:val="Compact"/>
            </w:pPr>
            <w:r>
              <w:t xml:space="preserve">Consequência se não atingido</w:t>
            </w:r>
          </w:p>
        </w:tc>
      </w:tr>
      <w:tr>
        <w:tc>
          <w:tcPr/>
          <w:p>
            <w:pPr>
              <w:pStyle w:val="Compact"/>
            </w:pPr>
            <w:r>
              <w:t xml:space="preserve">I1</w:t>
            </w:r>
          </w:p>
        </w:tc>
        <w:tc>
          <w:tcPr/>
          <w:p>
            <w:pPr>
              <w:pStyle w:val="Compact"/>
            </w:pPr>
            <w:r>
              <w:t xml:space="preserve">Execução de procedimentos</w:t>
            </w:r>
          </w:p>
        </w:tc>
        <w:tc>
          <w:tcPr/>
          <w:p>
            <w:pPr>
              <w:pStyle w:val="Compact"/>
            </w:pPr>
            <w:r>
              <w:t xml:space="preserve">Proc. realizados / Meta pactuada × 100</w:t>
            </w:r>
          </w:p>
        </w:tc>
        <w:tc>
          <w:tcPr/>
          <w:p>
            <w:pPr>
              <w:pStyle w:val="Compact"/>
            </w:pPr>
            <w:r>
              <w:t xml:space="preserve">≥ 70% Ano 1, ≥ 90% Ano 2+</w:t>
            </w:r>
          </w:p>
        </w:tc>
        <w:tc>
          <w:tcPr/>
          <w:p>
            <w:pPr>
              <w:pStyle w:val="Compact"/>
            </w:pPr>
            <w:r>
              <w:t xml:space="preserve">Quadrimestral</w:t>
            </w:r>
          </w:p>
        </w:tc>
        <w:tc>
          <w:tcPr/>
          <w:p>
            <w:pPr>
              <w:pStyle w:val="Compact"/>
            </w:pPr>
            <w:r>
              <w:t xml:space="preserve">Redução proporcional do incentivo SERDI (Art. 14, § 4.º, Delib. 1.403)</w:t>
            </w:r>
          </w:p>
        </w:tc>
      </w:tr>
      <w:tr>
        <w:tc>
          <w:tcPr/>
          <w:p>
            <w:pPr>
              <w:pStyle w:val="Compact"/>
            </w:pPr>
            <w:r>
              <w:t xml:space="preserve">I2</w:t>
            </w:r>
          </w:p>
        </w:tc>
        <w:tc>
          <w:tcPr/>
          <w:p>
            <w:pPr>
              <w:pStyle w:val="Compact"/>
            </w:pPr>
            <w:r>
              <w:t xml:space="preserve">Cobertura de PTS</w:t>
            </w:r>
          </w:p>
        </w:tc>
        <w:tc>
          <w:tcPr/>
          <w:p>
            <w:pPr>
              <w:pStyle w:val="Compact"/>
            </w:pPr>
            <w:r>
              <w:t xml:space="preserve">Usuários com PTS / Total admitidos × 100</w:t>
            </w:r>
          </w:p>
        </w:tc>
        <w:tc>
          <w:tcPr/>
          <w:p>
            <w:pPr>
              <w:pStyle w:val="Compact"/>
            </w:pPr>
            <w:r>
              <w:t xml:space="preserve">100%</w:t>
            </w:r>
          </w:p>
        </w:tc>
        <w:tc>
          <w:tcPr/>
          <w:p>
            <w:pPr>
              <w:pStyle w:val="Compact"/>
            </w:pPr>
            <w:r>
              <w:t xml:space="preserve">Mensal</w:t>
            </w:r>
          </w:p>
        </w:tc>
        <w:tc>
          <w:tcPr/>
          <w:p>
            <w:pPr>
              <w:pStyle w:val="Compact"/>
            </w:pPr>
            <w:r>
              <w:t xml:space="preserve">Notificação + prazo de 30 dias para regularização</w:t>
            </w:r>
          </w:p>
        </w:tc>
      </w:tr>
      <w:tr>
        <w:tc>
          <w:tcPr/>
          <w:p>
            <w:pPr>
              <w:pStyle w:val="Compact"/>
            </w:pPr>
            <w:r>
              <w:t xml:space="preserve">I3</w:t>
            </w:r>
          </w:p>
        </w:tc>
        <w:tc>
          <w:tcPr/>
          <w:p>
            <w:pPr>
              <w:pStyle w:val="Compact"/>
            </w:pPr>
            <w:r>
              <w:t xml:space="preserve">Adesão ao tratamento</w:t>
            </w:r>
          </w:p>
        </w:tc>
        <w:tc>
          <w:tcPr/>
          <w:p>
            <w:pPr>
              <w:pStyle w:val="Compact"/>
            </w:pPr>
            <w:r>
              <w:t xml:space="preserve">Presenças / Sessões agendadas × 100</w:t>
            </w:r>
          </w:p>
        </w:tc>
        <w:tc>
          <w:tcPr/>
          <w:p>
            <w:pPr>
              <w:pStyle w:val="Compact"/>
            </w:pPr>
            <w:r>
              <w:t xml:space="preserve">≥ 75%</w:t>
            </w:r>
          </w:p>
        </w:tc>
        <w:tc>
          <w:tcPr/>
          <w:p>
            <w:pPr>
              <w:pStyle w:val="Compact"/>
            </w:pPr>
            <w:r>
              <w:t xml:space="preserve">Bimestral</w:t>
            </w:r>
          </w:p>
        </w:tc>
        <w:tc>
          <w:tcPr/>
          <w:p>
            <w:pPr>
              <w:pStyle w:val="Compact"/>
            </w:pPr>
            <w:r>
              <w:t xml:space="preserve">Revisão da estratégia de adesão no relatório trimestral</w:t>
            </w:r>
          </w:p>
        </w:tc>
      </w:tr>
      <w:tr>
        <w:tc>
          <w:tcPr/>
          <w:p>
            <w:pPr>
              <w:pStyle w:val="Compact"/>
            </w:pPr>
            <w:r>
              <w:t xml:space="preserve">I4</w:t>
            </w:r>
          </w:p>
        </w:tc>
        <w:tc>
          <w:tcPr/>
          <w:p>
            <w:pPr>
              <w:pStyle w:val="Compact"/>
            </w:pPr>
            <w:r>
              <w:t xml:space="preserve">Satisfação</w:t>
            </w:r>
          </w:p>
        </w:tc>
        <w:tc>
          <w:tcPr/>
          <w:p>
            <w:pPr>
              <w:pStyle w:val="Compact"/>
            </w:pPr>
            <w:r>
              <w:t xml:space="preserve">Avaliações positivas / Total respondentes × 100</w:t>
            </w:r>
          </w:p>
        </w:tc>
        <w:tc>
          <w:tcPr/>
          <w:p>
            <w:pPr>
              <w:pStyle w:val="Compact"/>
            </w:pPr>
            <w:r>
              <w:t xml:space="preserve">≥ 70%</w:t>
            </w:r>
          </w:p>
        </w:tc>
        <w:tc>
          <w:tcPr/>
          <w:p>
            <w:pPr>
              <w:pStyle w:val="Compact"/>
            </w:pPr>
            <w:r>
              <w:t xml:space="preserve">Semestral</w:t>
            </w:r>
          </w:p>
        </w:tc>
        <w:tc>
          <w:tcPr/>
          <w:p>
            <w:pPr>
              <w:pStyle w:val="Compact"/>
            </w:pPr>
            <w:r>
              <w:t xml:space="preserve">Plano de melhoria obrigatório</w:t>
            </w:r>
          </w:p>
        </w:tc>
      </w:tr>
      <w:tr>
        <w:tc>
          <w:tcPr/>
          <w:p>
            <w:pPr>
              <w:pStyle w:val="Compact"/>
            </w:pPr>
            <w:r>
              <w:t xml:space="preserve">I5</w:t>
            </w:r>
          </w:p>
        </w:tc>
        <w:tc>
          <w:tcPr/>
          <w:p>
            <w:pPr>
              <w:pStyle w:val="Compact"/>
            </w:pPr>
            <w:r>
              <w:t xml:space="preserve">Faturamento BPA</w:t>
            </w:r>
          </w:p>
        </w:tc>
        <w:tc>
          <w:tcPr/>
          <w:p>
            <w:pPr>
              <w:pStyle w:val="Compact"/>
            </w:pPr>
            <w:r>
              <w:t xml:space="preserve">Proc. faturados / Proc. realizados × 100</w:t>
            </w:r>
          </w:p>
        </w:tc>
        <w:tc>
          <w:tcPr/>
          <w:p>
            <w:pPr>
              <w:pStyle w:val="Compact"/>
            </w:pPr>
            <w:r>
              <w:t xml:space="preserve">≥ 80%</w:t>
            </w:r>
          </w:p>
        </w:tc>
        <w:tc>
          <w:tcPr/>
          <w:p>
            <w:pPr>
              <w:pStyle w:val="Compact"/>
            </w:pPr>
            <w:r>
              <w:t xml:space="preserve">Quadrimestral</w:t>
            </w:r>
          </w:p>
        </w:tc>
        <w:tc>
          <w:tcPr/>
          <w:p>
            <w:pPr>
              <w:pStyle w:val="Compact"/>
            </w:pPr>
            <w:r>
              <w:t xml:space="preserve">Capacitação adicional em faturamento</w:t>
            </w:r>
          </w:p>
        </w:tc>
      </w:tr>
      <w:tr>
        <w:tc>
          <w:tcPr/>
          <w:p>
            <w:pPr>
              <w:pStyle w:val="Compact"/>
            </w:pPr>
            <w:r>
              <w:t xml:space="preserve">I6</w:t>
            </w:r>
          </w:p>
        </w:tc>
        <w:tc>
          <w:tcPr/>
          <w:p>
            <w:pPr>
              <w:pStyle w:val="Compact"/>
            </w:pPr>
            <w:r>
              <w:t xml:space="preserve">Educação permanente</w:t>
            </w:r>
          </w:p>
        </w:tc>
        <w:tc>
          <w:tcPr/>
          <w:p>
            <w:pPr>
              <w:pStyle w:val="Compact"/>
            </w:pPr>
            <w:r>
              <w:t xml:space="preserve">Ações realizadas / 12 × 100</w:t>
            </w:r>
          </w:p>
        </w:tc>
        <w:tc>
          <w:tcPr/>
          <w:p>
            <w:pPr>
              <w:pStyle w:val="Compact"/>
            </w:pPr>
            <w:r>
              <w:t xml:space="preserve">100% (12/ano)</w:t>
            </w:r>
          </w:p>
        </w:tc>
        <w:tc>
          <w:tcPr/>
          <w:p>
            <w:pPr>
              <w:pStyle w:val="Compact"/>
            </w:pPr>
            <w:r>
              <w:t xml:space="preserve">Anual</w:t>
            </w:r>
          </w:p>
        </w:tc>
        <w:tc>
          <w:tcPr/>
          <w:p>
            <w:pPr>
              <w:pStyle w:val="Compact"/>
            </w:pPr>
            <w:r>
              <w:t xml:space="preserve">Notificação</w:t>
            </w:r>
          </w:p>
        </w:tc>
      </w:tr>
      <w:tr>
        <w:tc>
          <w:tcPr/>
          <w:p>
            <w:pPr>
              <w:pStyle w:val="Compact"/>
            </w:pPr>
            <w:r>
              <w:t xml:space="preserve">I7</w:t>
            </w:r>
          </w:p>
        </w:tc>
        <w:tc>
          <w:tcPr/>
          <w:p>
            <w:pPr>
              <w:pStyle w:val="Compact"/>
            </w:pPr>
            <w:r>
              <w:t xml:space="preserve">CNES atualizado</w:t>
            </w:r>
          </w:p>
        </w:tc>
        <w:tc>
          <w:tcPr/>
          <w:p>
            <w:pPr>
              <w:pStyle w:val="Compact"/>
            </w:pPr>
            <w:r>
              <w:t xml:space="preserve">Verificações com CNES regular / Total verificações × 100</w:t>
            </w:r>
          </w:p>
        </w:tc>
        <w:tc>
          <w:tcPr/>
          <w:p>
            <w:pPr>
              <w:pStyle w:val="Compact"/>
            </w:pPr>
            <w:r>
              <w:t xml:space="preserve">100%</w:t>
            </w:r>
          </w:p>
        </w:tc>
        <w:tc>
          <w:tcPr/>
          <w:p>
            <w:pPr>
              <w:pStyle w:val="Compact"/>
            </w:pPr>
            <w:r>
              <w:t xml:space="preserve">Trimestral</w:t>
            </w:r>
          </w:p>
        </w:tc>
        <w:tc>
          <w:tcPr/>
          <w:p>
            <w:pPr>
              <w:pStyle w:val="Compact"/>
            </w:pPr>
            <w:r>
              <w:t xml:space="preserve">Suspensão de faturamento BPA até regularização</w:t>
            </w:r>
          </w:p>
        </w:tc>
      </w:tr>
    </w:tbl>
    <w:bookmarkEnd w:id="76"/>
    <w:bookmarkStart w:id="77" w:name="glosas-e-sanções"/>
    <w:p>
      <w:pPr>
        <w:pStyle w:val="Heading3"/>
      </w:pPr>
      <w:r>
        <w:t xml:space="preserve">7.7. Glosas e Sanções</w:t>
      </w:r>
    </w:p>
    <w:p>
      <w:pPr>
        <w:numPr>
          <w:ilvl w:val="0"/>
          <w:numId w:val="1029"/>
        </w:numPr>
      </w:pPr>
      <w:r>
        <w:rPr>
          <w:b/>
          <w:bCs/>
        </w:rPr>
        <w:t xml:space="preserve">Glosa administrativa:</w:t>
      </w:r>
      <w:r>
        <w:t xml:space="preserve"> </w:t>
      </w:r>
      <w:r>
        <w:t xml:space="preserve">Desconto proporcional no repasse subsequente, aplicável quando: (i) meta de procedimentos inferior a 60% no quadrimestre; (ii) ausência de PTS para usuários admitidos há mais de 60 dias; (iii) irregularidade na segregação contábil dos escopos;</w:t>
      </w:r>
    </w:p>
    <w:p>
      <w:pPr>
        <w:numPr>
          <w:ilvl w:val="0"/>
          <w:numId w:val="1029"/>
        </w:numPr>
      </w:pPr>
      <w:r>
        <w:rPr>
          <w:b/>
          <w:bCs/>
        </w:rPr>
        <w:t xml:space="preserve">Notificação com prazo de regularização:</w:t>
      </w:r>
      <w:r>
        <w:t xml:space="preserve"> </w:t>
      </w:r>
      <w:r>
        <w:t xml:space="preserve">30 (trinta) dias corridos para sanar irregularidades de natureza formal (CNES desatualizado, relatórios em atraso, capacitações não comprovadas);</w:t>
      </w:r>
    </w:p>
    <w:p>
      <w:pPr>
        <w:numPr>
          <w:ilvl w:val="0"/>
          <w:numId w:val="1029"/>
        </w:numPr>
      </w:pPr>
      <w:r>
        <w:rPr>
          <w:b/>
          <w:bCs/>
        </w:rPr>
        <w:t xml:space="preserve">Suspensão temporária do repasse:</w:t>
      </w:r>
      <w:r>
        <w:t xml:space="preserve"> </w:t>
      </w:r>
      <w:r>
        <w:t xml:space="preserve">Aplicável em caso de: (i) irregularidade grave na prestação de contas; (ii) desvio de finalidade comprovado; (iii) não atendimento a notificação no prazo. A suspensão perdura até a regularização (Art. 62 e 73, Lei n.º 13.019/2014);</w:t>
      </w:r>
    </w:p>
    <w:p>
      <w:pPr>
        <w:numPr>
          <w:ilvl w:val="0"/>
          <w:numId w:val="1029"/>
        </w:numPr>
      </w:pPr>
      <w:r>
        <w:rPr>
          <w:b/>
          <w:bCs/>
        </w:rPr>
        <w:t xml:space="preserve">Rescisão por descumprimento:</w:t>
      </w:r>
      <w:r>
        <w:t xml:space="preserve"> </w:t>
      </w:r>
      <w:r>
        <w:t xml:space="preserve">Conforme Seção 8.3 deste TR.</w:t>
      </w:r>
    </w:p>
    <w:p>
      <w:pPr>
        <w:pStyle w:val="BlockText"/>
      </w:pPr>
      <w:r>
        <w:rPr>
          <w:b/>
          <w:bCs/>
        </w:rPr>
        <w:t xml:space="preserve">Nota:</w:t>
      </w:r>
      <w:r>
        <w:t xml:space="preserve"> </w:t>
      </w:r>
      <w:r>
        <w:t xml:space="preserve">As sanções serão aplicadas de forma gradual e proporcional, observado o contraditório e a ampla defesa (Art. 73, § 1.º, Lei n.º 13.019/2014). A CMA emitirá parecer prévio à aplicação de qualquer sanção.</w:t>
      </w:r>
    </w:p>
    <w:p>
      <w:r>
        <w:pict>
          <v:rect style="width:0;height:1.5pt" o:hralign="center" o:hrstd="t" o:hr="t"/>
        </w:pict>
      </w:r>
    </w:p>
    <w:bookmarkEnd w:id="77"/>
    <w:bookmarkEnd w:id="78"/>
    <w:bookmarkStart w:id="79" w:name="Xfd8b770af29a3dc76be4cd4aaf0f6924be116e7"/>
    <w:p>
      <w:pPr>
        <w:pStyle w:val="Heading2"/>
      </w:pPr>
      <w:r>
        <w:t xml:space="preserve">ETAPA 8 — VIGÊNCIA, RESCISÃO E DISPOSIÇÕES FINAIS</w:t>
      </w:r>
    </w:p>
    <w:bookmarkEnd w:id="79"/>
    <w:bookmarkStart w:id="89" w:name="vigência-rescisão-e-disposições-finais"/>
    <w:p>
      <w:pPr>
        <w:pStyle w:val="Heading2"/>
      </w:pPr>
      <w:r>
        <w:t xml:space="preserve">8. Vigência, Rescisão e Disposições Finais</w:t>
      </w:r>
    </w:p>
    <w:bookmarkStart w:id="80" w:name="vigência-e-prorrogação"/>
    <w:p>
      <w:pPr>
        <w:pStyle w:val="Heading3"/>
      </w:pPr>
      <w:r>
        <w:t xml:space="preserve">8.1. Vigência e Prorrogação</w:t>
      </w:r>
    </w:p>
    <w:p>
      <w:pPr>
        <w:numPr>
          <w:ilvl w:val="0"/>
          <w:numId w:val="1030"/>
        </w:numPr>
      </w:pPr>
      <w:r>
        <w:t xml:space="preserve">A parceria terá vigência de</w:t>
      </w:r>
      <w:r>
        <w:t xml:space="preserve"> </w:t>
      </w:r>
      <w:r>
        <w:rPr>
          <w:b/>
          <w:bCs/>
        </w:rPr>
        <w:t xml:space="preserve">12 (doze) meses</w:t>
      </w:r>
      <w:r>
        <w:t xml:space="preserve"> </w:t>
      </w:r>
      <w:r>
        <w:t xml:space="preserve">a partir da data de assinatura do Termo de Colaboração;</w:t>
      </w:r>
    </w:p>
    <w:p>
      <w:pPr>
        <w:numPr>
          <w:ilvl w:val="0"/>
          <w:numId w:val="1030"/>
        </w:numPr>
      </w:pPr>
      <w:r>
        <w:t xml:space="preserve">A vigência poderá ser prorrogada por períodos iguais e sucessivos, até o limite de</w:t>
      </w:r>
      <w:r>
        <w:t xml:space="preserve"> </w:t>
      </w:r>
      <w:r>
        <w:rPr>
          <w:b/>
          <w:bCs/>
        </w:rPr>
        <w:t xml:space="preserve">10 (dez) anos</w:t>
      </w:r>
      <w:r>
        <w:t xml:space="preserve"> </w:t>
      </w:r>
      <w:r>
        <w:t xml:space="preserve">de duração total, mediante termo aditivo, nos termos do Art. 21 do Decreto n.º 8.726/2016, com redação dada pelo Decreto n.º 11.948/2024;</w:t>
      </w:r>
    </w:p>
    <w:p>
      <w:pPr>
        <w:numPr>
          <w:ilvl w:val="0"/>
          <w:numId w:val="1030"/>
        </w:numPr>
      </w:pPr>
      <w:r>
        <w:t xml:space="preserve">A prorrogação dependerá de: (i) avaliação favorável da execução do objeto pela CMA; (ii) regularidade na prestação de contas; (iii) disponibilidade orçamentária; (iv) parecer jurídico favorável;</w:t>
      </w:r>
    </w:p>
    <w:p>
      <w:pPr>
        <w:numPr>
          <w:ilvl w:val="0"/>
          <w:numId w:val="1030"/>
        </w:numPr>
      </w:pPr>
      <w:r>
        <w:t xml:space="preserve">O reajuste anual dos valores será calculado pelo INPC/IBGE (ou índice que vier a substituí-lo), conforme instrumento juridico cabivel definido pela Procuradoria, observado o Art. 55 da Lei n.º 13.019/2014.</w:t>
      </w:r>
    </w:p>
    <w:bookmarkEnd w:id="80"/>
    <w:bookmarkStart w:id="81" w:name="apostilamentos"/>
    <w:p>
      <w:pPr>
        <w:pStyle w:val="Heading3"/>
      </w:pPr>
      <w:r>
        <w:t xml:space="preserve">8.2. Apostilamentos</w:t>
      </w:r>
    </w:p>
    <w:p>
      <w:pPr>
        <w:pStyle w:val="FirstParagraph"/>
      </w:pPr>
      <w:r>
        <w:t xml:space="preserve">Os seguintes ajustes poderão ser feitos por apostilamento, sem necessidade de termo aditivo (Art. 57, Lei n.º 13.019/2014):</w:t>
      </w:r>
    </w:p>
    <w:p>
      <w:pPr>
        <w:pStyle w:val="Compact"/>
        <w:numPr>
          <w:ilvl w:val="0"/>
          <w:numId w:val="1031"/>
        </w:numPr>
      </w:pPr>
      <w:r>
        <w:t xml:space="preserve">Reajuste anual pelo INPC/IBGE;</w:t>
      </w:r>
    </w:p>
    <w:p>
      <w:pPr>
        <w:pStyle w:val="Compact"/>
        <w:numPr>
          <w:ilvl w:val="0"/>
          <w:numId w:val="1031"/>
        </w:numPr>
      </w:pPr>
      <w:r>
        <w:t xml:space="preserve">Adequações no Plano de Trabalho que não alterem substancialmente o objeto;</w:t>
      </w:r>
    </w:p>
    <w:p>
      <w:pPr>
        <w:pStyle w:val="Compact"/>
        <w:numPr>
          <w:ilvl w:val="0"/>
          <w:numId w:val="1031"/>
        </w:numPr>
      </w:pPr>
      <w:r>
        <w:t xml:space="preserve">Indicação de equipe técnica substituta (por vacância ou afastamento);</w:t>
      </w:r>
    </w:p>
    <w:p>
      <w:pPr>
        <w:pStyle w:val="Compact"/>
        <w:numPr>
          <w:ilvl w:val="0"/>
          <w:numId w:val="1031"/>
        </w:numPr>
      </w:pPr>
      <w:r>
        <w:t xml:space="preserve">Alterações pontuais no cronograma de execução.</w:t>
      </w:r>
    </w:p>
    <w:p>
      <w:pPr>
        <w:pStyle w:val="BlockText"/>
      </w:pPr>
      <w:r>
        <w:rPr>
          <w:b/>
          <w:bCs/>
        </w:rPr>
        <w:t xml:space="preserve">Nota:</w:t>
      </w:r>
      <w:r>
        <w:t xml:space="preserve"> </w:t>
      </w:r>
      <w:r>
        <w:t xml:space="preserve">A inclusão do profissional médico cedido pelo município</w:t>
      </w:r>
      <w:r>
        <w:t xml:space="preserve"> </w:t>
      </w:r>
      <w:r>
        <w:rPr>
          <w:b/>
          <w:bCs/>
        </w:rPr>
        <w:t xml:space="preserve">não</w:t>
      </w:r>
      <w:r>
        <w:t xml:space="preserve"> </w:t>
      </w:r>
      <w:r>
        <w:t xml:space="preserve">será feita por apostilamento, mas por</w:t>
      </w:r>
      <w:r>
        <w:t xml:space="preserve"> </w:t>
      </w:r>
      <w:r>
        <w:rPr>
          <w:b/>
          <w:bCs/>
        </w:rPr>
        <w:t xml:space="preserve">Portaria de Cessão Funcional</w:t>
      </w:r>
      <w:r>
        <w:t xml:space="preserve"> </w:t>
      </w:r>
      <w:r>
        <w:t xml:space="preserve">combinada com cláusula específica no Termo de Colaboração (conforme Seção 3.2).</w:t>
      </w:r>
    </w:p>
    <w:bookmarkEnd w:id="81"/>
    <w:bookmarkStart w:id="82" w:name="hipóteses-de-rescisão"/>
    <w:p>
      <w:pPr>
        <w:pStyle w:val="Heading3"/>
      </w:pPr>
      <w:r>
        <w:t xml:space="preserve">8.3. Hipóteses de Rescisão</w:t>
      </w:r>
    </w:p>
    <w:tbl>
      <w:tblPr>
        <w:tblStyle w:val="Table"/>
        <w:tblW w:type="pct" w:w="5000"/>
        <w:tblLayout w:type="fixed"/>
        <w:tblLook w:firstRow="1" w:lastRow="0" w:firstColumn="0" w:lastColumn="0" w:noHBand="0" w:noVBand="0" w:val="0020"/>
      </w:tblPr>
      <w:tblGrid>
        <w:gridCol w:w="1841"/>
        <w:gridCol w:w="2026"/>
        <w:gridCol w:w="1289"/>
        <w:gridCol w:w="2762"/>
      </w:tblGrid>
      <w:tr>
        <w:trPr>
          <w:tblHeader w:val="on"/>
        </w:trPr>
        <w:tc>
          <w:tcPr/>
          <w:p>
            <w:pPr>
              <w:pStyle w:val="Compact"/>
            </w:pPr>
            <w:r>
              <w:t xml:space="preserve">Hipótese</w:t>
            </w:r>
          </w:p>
        </w:tc>
        <w:tc>
          <w:tcPr/>
          <w:p>
            <w:pPr>
              <w:pStyle w:val="Compact"/>
            </w:pPr>
            <w:r>
              <w:t xml:space="preserve">Iniciativa</w:t>
            </w:r>
          </w:p>
        </w:tc>
        <w:tc>
          <w:tcPr/>
          <w:p>
            <w:pPr>
              <w:pStyle w:val="Compact"/>
            </w:pPr>
            <w:r>
              <w:t xml:space="preserve">Prazo</w:t>
            </w:r>
          </w:p>
        </w:tc>
        <w:tc>
          <w:tcPr/>
          <w:p>
            <w:pPr>
              <w:pStyle w:val="Compact"/>
            </w:pPr>
            <w:r>
              <w:t xml:space="preserve">Fundamentação</w:t>
            </w:r>
          </w:p>
        </w:tc>
      </w:tr>
      <w:tr>
        <w:tc>
          <w:tcPr/>
          <w:p>
            <w:pPr>
              <w:pStyle w:val="Compact"/>
            </w:pPr>
            <w:r>
              <w:rPr>
                <w:b/>
                <w:bCs/>
              </w:rPr>
              <w:t xml:space="preserve">Denúncia unilateral</w:t>
            </w:r>
          </w:p>
        </w:tc>
        <w:tc>
          <w:tcPr/>
          <w:p>
            <w:pPr>
              <w:pStyle w:val="Compact"/>
            </w:pPr>
            <w:r>
              <w:t xml:space="preserve">Qualquer das partes</w:t>
            </w:r>
          </w:p>
        </w:tc>
        <w:tc>
          <w:tcPr/>
          <w:p>
            <w:pPr>
              <w:pStyle w:val="Compact"/>
            </w:pPr>
            <w:r>
              <w:t xml:space="preserve">Notificação com 30 dias de antecedência</w:t>
            </w:r>
          </w:p>
        </w:tc>
        <w:tc>
          <w:tcPr/>
          <w:p>
            <w:pPr>
              <w:pStyle w:val="Compact"/>
            </w:pPr>
            <w:r>
              <w:t xml:space="preserve">Art. 42, XVI, Lei n.º 13.019/2014</w:t>
            </w:r>
          </w:p>
        </w:tc>
      </w:tr>
      <w:tr>
        <w:tc>
          <w:tcPr/>
          <w:p>
            <w:pPr>
              <w:pStyle w:val="Compact"/>
            </w:pPr>
            <w:r>
              <w:rPr>
                <w:b/>
                <w:bCs/>
              </w:rPr>
              <w:t xml:space="preserve">Consensual</w:t>
            </w:r>
          </w:p>
        </w:tc>
        <w:tc>
          <w:tcPr/>
          <w:p>
            <w:pPr>
              <w:pStyle w:val="Compact"/>
            </w:pPr>
            <w:r>
              <w:t xml:space="preserve">Ambas as partes</w:t>
            </w:r>
          </w:p>
        </w:tc>
        <w:tc>
          <w:tcPr/>
          <w:p>
            <w:pPr>
              <w:pStyle w:val="Compact"/>
            </w:pPr>
            <w:r>
              <w:t xml:space="preserve">A qualquer tempo, por acordo formalizado</w:t>
            </w:r>
          </w:p>
        </w:tc>
        <w:tc>
          <w:tcPr/>
          <w:p>
            <w:pPr>
              <w:pStyle w:val="Compact"/>
            </w:pPr>
            <w:r>
              <w:t xml:space="preserve">Art. 42, XVI</w:t>
            </w:r>
          </w:p>
        </w:tc>
      </w:tr>
      <w:tr>
        <w:tc>
          <w:tcPr/>
          <w:p>
            <w:pPr>
              <w:pStyle w:val="Compact"/>
            </w:pPr>
            <w:r>
              <w:rPr>
                <w:b/>
                <w:bCs/>
              </w:rPr>
              <w:t xml:space="preserve">Por descumprimento</w:t>
            </w:r>
          </w:p>
        </w:tc>
        <w:tc>
          <w:tcPr/>
          <w:p>
            <w:pPr>
              <w:pStyle w:val="Compact"/>
            </w:pPr>
            <w:r>
              <w:t xml:space="preserve">Administração Pública</w:t>
            </w:r>
          </w:p>
        </w:tc>
        <w:tc>
          <w:tcPr/>
          <w:p>
            <w:pPr>
              <w:pStyle w:val="Compact"/>
            </w:pPr>
            <w:r>
              <w:t xml:space="preserve">Após processo com contraditório e ampla defesa</w:t>
            </w:r>
          </w:p>
        </w:tc>
        <w:tc>
          <w:tcPr/>
          <w:p>
            <w:pPr>
              <w:pStyle w:val="Compact"/>
            </w:pPr>
            <w:r>
              <w:t xml:space="preserve">Art. 62, II c/c Art. 73, Lei n.º 13.019/2014</w:t>
            </w:r>
          </w:p>
        </w:tc>
      </w:tr>
      <w:tr>
        <w:tc>
          <w:tcPr/>
          <w:p>
            <w:pPr>
              <w:pStyle w:val="Compact"/>
            </w:pPr>
            <w:r>
              <w:rPr>
                <w:b/>
                <w:bCs/>
              </w:rPr>
              <w:t xml:space="preserve">Por irregularidade grave</w:t>
            </w:r>
          </w:p>
        </w:tc>
        <w:tc>
          <w:tcPr/>
          <w:p>
            <w:pPr>
              <w:pStyle w:val="Compact"/>
            </w:pPr>
            <w:r>
              <w:t xml:space="preserve">Administração Pública</w:t>
            </w:r>
          </w:p>
        </w:tc>
        <w:tc>
          <w:tcPr/>
          <w:p>
            <w:pPr>
              <w:pStyle w:val="Compact"/>
            </w:pPr>
            <w:r>
              <w:t xml:space="preserve">Imediata, com notificação ao TCE-MG</w:t>
            </w:r>
          </w:p>
        </w:tc>
        <w:tc>
          <w:tcPr/>
          <w:p>
            <w:pPr>
              <w:pStyle w:val="Compact"/>
            </w:pPr>
            <w:r>
              <w:t xml:space="preserve">Art. 62, III</w:t>
            </w:r>
          </w:p>
        </w:tc>
      </w:tr>
      <w:tr>
        <w:tc>
          <w:tcPr/>
          <w:p>
            <w:pPr>
              <w:pStyle w:val="Compact"/>
            </w:pPr>
            <w:r>
              <w:rPr>
                <w:b/>
                <w:bCs/>
              </w:rPr>
              <w:t xml:space="preserve">Por caso fortuito ou força maior</w:t>
            </w:r>
          </w:p>
        </w:tc>
        <w:tc>
          <w:tcPr/>
          <w:p>
            <w:pPr>
              <w:pStyle w:val="Compact"/>
            </w:pPr>
            <w:r>
              <w:t xml:space="preserve">Qualquer das partes</w:t>
            </w:r>
          </w:p>
        </w:tc>
        <w:tc>
          <w:tcPr/>
          <w:p>
            <w:pPr>
              <w:pStyle w:val="Compact"/>
            </w:pPr>
            <w:r>
              <w:t xml:space="preserve">Mediante comprovação</w:t>
            </w:r>
          </w:p>
        </w:tc>
        <w:tc>
          <w:tcPr/>
          <w:p>
            <w:pPr>
              <w:pStyle w:val="Compact"/>
            </w:pPr>
            <w:r>
              <w:t xml:space="preserve">Princípios gerais de direito administrativo</w:t>
            </w:r>
          </w:p>
        </w:tc>
      </w:tr>
    </w:tbl>
    <w:p>
      <w:pPr>
        <w:pStyle w:val="BodyText"/>
      </w:pPr>
      <w:r>
        <w:t xml:space="preserve">Em qualquer hipótese de rescisão, a OSC deverá:</w:t>
      </w:r>
      <w:r>
        <w:t xml:space="preserve"> </w:t>
      </w:r>
      <w:r>
        <w:t xml:space="preserve">- Apresentar prestação de contas parcial no prazo de 30 dias;</w:t>
      </w:r>
      <w:r>
        <w:t xml:space="preserve"> </w:t>
      </w:r>
      <w:r>
        <w:t xml:space="preserve">- Restituir saldos remanescentes, atualizados monetariamente (Art. 52, Lei n.º 13.019/2014);</w:t>
      </w:r>
      <w:r>
        <w:t xml:space="preserve"> </w:t>
      </w:r>
      <w:r>
        <w:t xml:space="preserve">- Garantir a continuidade dos atendimentos em andamento pelo prazo mínimo de 30 dias, para viabilizar transição ordenada dos usuários.</w:t>
      </w:r>
    </w:p>
    <w:bookmarkEnd w:id="82"/>
    <w:bookmarkStart w:id="83" w:name="cláusula-lgpd-dados-de-saúde"/>
    <w:p>
      <w:pPr>
        <w:pStyle w:val="Heading3"/>
      </w:pPr>
      <w:r>
        <w:t xml:space="preserve">8.4. Cláusula LGPD — Dados de Saúde</w:t>
      </w:r>
    </w:p>
    <w:p>
      <w:pPr>
        <w:numPr>
          <w:ilvl w:val="0"/>
          <w:numId w:val="1032"/>
        </w:numPr>
      </w:pPr>
      <w:r>
        <w:t xml:space="preserve">As partes reconhecem que os dados tratados no âmbito desta parceria incluem</w:t>
      </w:r>
      <w:r>
        <w:t xml:space="preserve"> </w:t>
      </w:r>
      <w:r>
        <w:rPr>
          <w:b/>
          <w:bCs/>
        </w:rPr>
        <w:t xml:space="preserve">dados pessoais sensíveis</w:t>
      </w:r>
      <w:r>
        <w:t xml:space="preserve"> </w:t>
      </w:r>
      <w:r>
        <w:t xml:space="preserve">(dados de saúde), conforme Art. 5.º, II, da Lei n.º 13.709/2018 (LGPD);</w:t>
      </w:r>
    </w:p>
    <w:p>
      <w:pPr>
        <w:numPr>
          <w:ilvl w:val="0"/>
          <w:numId w:val="1032"/>
        </w:numPr>
      </w:pPr>
      <w:r>
        <w:t xml:space="preserve">A base legal primária para tratamento desses dados é a</w:t>
      </w:r>
      <w:r>
        <w:t xml:space="preserve"> </w:t>
      </w:r>
      <w:r>
        <w:rPr>
          <w:b/>
          <w:bCs/>
        </w:rPr>
        <w:t xml:space="preserve">tutela da saúde</w:t>
      </w:r>
      <w:r>
        <w:t xml:space="preserve">, exclusivamente em procedimento realizado por profissional de saúde, serviço de saúde ou autoridade sanitária (Art. 11, II,</w:t>
      </w:r>
      <w:r>
        <w:t xml:space="preserve"> </w:t>
      </w:r>
      <w:r>
        <w:t xml:space="preserve">“f”</w:t>
      </w:r>
      <w:r>
        <w:t xml:space="preserve">, LGPD);</w:t>
      </w:r>
    </w:p>
    <w:p>
      <w:pPr>
        <w:numPr>
          <w:ilvl w:val="0"/>
          <w:numId w:val="1032"/>
        </w:numPr>
      </w:pPr>
      <w:r>
        <w:t xml:space="preserve">O tratamento para finalidades secundárias (pesquisa de satisfação, uso de imagem institucional, produção acadêmica) dependerá de</w:t>
      </w:r>
      <w:r>
        <w:t xml:space="preserve"> </w:t>
      </w:r>
      <w:r>
        <w:rPr>
          <w:b/>
          <w:bCs/>
        </w:rPr>
        <w:t xml:space="preserve">consentimento informado</w:t>
      </w:r>
      <w:r>
        <w:t xml:space="preserve"> </w:t>
      </w:r>
      <w:r>
        <w:t xml:space="preserve">do titular ou responsável legal (Art. 11, I, LGPD);</w:t>
      </w:r>
    </w:p>
    <w:p>
      <w:pPr>
        <w:numPr>
          <w:ilvl w:val="0"/>
          <w:numId w:val="1032"/>
        </w:numPr>
      </w:pPr>
      <w:r>
        <w:t xml:space="preserve">A OSC designará um</w:t>
      </w:r>
      <w:r>
        <w:t xml:space="preserve"> </w:t>
      </w:r>
      <w:r>
        <w:rPr>
          <w:b/>
          <w:bCs/>
        </w:rPr>
        <w:t xml:space="preserve">Encarregado de Dados</w:t>
      </w:r>
      <w:r>
        <w:t xml:space="preserve"> </w:t>
      </w:r>
      <w:r>
        <w:t xml:space="preserve">(Data Protection Officer — DPO), cuja identidade será comunicada à SMS e mantida pública (Art. 41, LGPD);</w:t>
      </w:r>
    </w:p>
    <w:p>
      <w:pPr>
        <w:numPr>
          <w:ilvl w:val="0"/>
          <w:numId w:val="1032"/>
        </w:numPr>
      </w:pPr>
      <w:r>
        <w:t xml:space="preserve">O compartilhamento de dados entre as partes será regido por</w:t>
      </w:r>
      <w:r>
        <w:t xml:space="preserve"> </w:t>
      </w:r>
      <w:r>
        <w:rPr>
          <w:b/>
          <w:bCs/>
        </w:rPr>
        <w:t xml:space="preserve">Acordo de Compartilhamento de Dados</w:t>
      </w:r>
      <w:r>
        <w:t xml:space="preserve"> </w:t>
      </w:r>
      <w:r>
        <w:t xml:space="preserve">específico, firmado previamente ao início das atividades;</w:t>
      </w:r>
    </w:p>
    <w:p>
      <w:pPr>
        <w:numPr>
          <w:ilvl w:val="0"/>
          <w:numId w:val="1032"/>
        </w:numPr>
      </w:pPr>
      <w:r>
        <w:t xml:space="preserve">Ao término da parceria, a OSC deverá eliminar os dados pessoais tratados, salvo quando necessária sua conservação para cumprimento de obrigação legal ou regulatória (guarda de prontuários por 20 anos, conforme Resolução CFM n.º 1.821/2007).</w:t>
      </w:r>
    </w:p>
    <w:bookmarkEnd w:id="83"/>
    <w:bookmarkStart w:id="84" w:name="cláusula-anticorrupção"/>
    <w:p>
      <w:pPr>
        <w:pStyle w:val="Heading3"/>
      </w:pPr>
      <w:r>
        <w:t xml:space="preserve">8.5. Cláusula Anticorrupção</w:t>
      </w:r>
    </w:p>
    <w:p>
      <w:pPr>
        <w:pStyle w:val="FirstParagraph"/>
      </w:pPr>
      <w:r>
        <w:t xml:space="preserve">As partes declaram ciência e compromisso com:</w:t>
      </w:r>
    </w:p>
    <w:p>
      <w:pPr>
        <w:pStyle w:val="Compact"/>
        <w:numPr>
          <w:ilvl w:val="0"/>
          <w:numId w:val="1033"/>
        </w:numPr>
      </w:pPr>
      <w:r>
        <w:t xml:space="preserve">Lei Federal n.º 12.846/2013 (Lei Anticorrupção) — vedação a práticas lesivas à Administração Pública;</w:t>
      </w:r>
    </w:p>
    <w:p>
      <w:pPr>
        <w:pStyle w:val="Compact"/>
        <w:numPr>
          <w:ilvl w:val="0"/>
          <w:numId w:val="1033"/>
        </w:numPr>
      </w:pPr>
      <w:r>
        <w:t xml:space="preserve">Código de Ética da OSC e da Administração Pública;</w:t>
      </w:r>
    </w:p>
    <w:p>
      <w:pPr>
        <w:pStyle w:val="Compact"/>
        <w:numPr>
          <w:ilvl w:val="0"/>
          <w:numId w:val="1033"/>
        </w:numPr>
      </w:pPr>
      <w:r>
        <w:t xml:space="preserve">Qualquer ato de corrupção, fraude, conluio ou obstrução detectado ensejará rescisão imediata, sem prejuízo das sanções civis, penais e administrativas cabíveis.</w:t>
      </w:r>
    </w:p>
    <w:bookmarkEnd w:id="84"/>
    <w:bookmarkStart w:id="85" w:name="publicidade"/>
    <w:p>
      <w:pPr>
        <w:pStyle w:val="Heading3"/>
      </w:pPr>
      <w:r>
        <w:t xml:space="preserve">8.6. Publicidade</w:t>
      </w:r>
    </w:p>
    <w:p>
      <w:pPr>
        <w:numPr>
          <w:ilvl w:val="0"/>
          <w:numId w:val="1034"/>
        </w:numPr>
      </w:pPr>
      <w:r>
        <w:t xml:space="preserve">O extrato do Termo de Colaboração será publicado no Diário Oficial do Município e na página oficial da Administração na internet, conforme Art. 38 da Lei n.º 13.019/2014;</w:t>
      </w:r>
    </w:p>
    <w:p>
      <w:pPr>
        <w:numPr>
          <w:ilvl w:val="0"/>
          <w:numId w:val="1034"/>
        </w:numPr>
      </w:pPr>
      <w:r>
        <w:t xml:space="preserve">A justificativa da inexigibilidade de chamamento público será publicada com antecedência mínima de 5 (cinco) dias antes da formalização (Art. 32, § 1.º, Lei n.º 13.019/2014).</w:t>
      </w:r>
    </w:p>
    <w:bookmarkEnd w:id="85"/>
    <w:bookmarkStart w:id="86" w:name="disposição-transitória"/>
    <w:p>
      <w:pPr>
        <w:pStyle w:val="Heading3"/>
      </w:pPr>
      <w:r>
        <w:t xml:space="preserve">8.7. Disposição Transitória</w:t>
      </w:r>
    </w:p>
    <w:p>
      <w:pPr>
        <w:pStyle w:val="FirstParagraph"/>
      </w:pPr>
      <w:r>
        <w:t xml:space="preserve">A celebração do presente Termo de Colaboração fica condicionada à:</w:t>
      </w:r>
    </w:p>
    <w:p>
      <w:pPr>
        <w:numPr>
          <w:ilvl w:val="0"/>
          <w:numId w:val="1035"/>
        </w:numPr>
      </w:pPr>
      <w:r>
        <w:rPr>
          <w:b/>
          <w:bCs/>
        </w:rPr>
        <w:t xml:space="preserve">Quitação ou regularização da prestação de contas</w:t>
      </w:r>
      <w:r>
        <w:t xml:space="preserve"> </w:t>
      </w:r>
      <w:r>
        <w:t xml:space="preserve">da parceria anterior entre a SMS e o CRIE (exercício 2025), se existente, ou declaração formal do Gestor de que não há pendências;</w:t>
      </w:r>
    </w:p>
    <w:p>
      <w:pPr>
        <w:numPr>
          <w:ilvl w:val="0"/>
          <w:numId w:val="1035"/>
        </w:numPr>
      </w:pPr>
      <w:r>
        <w:rPr>
          <w:b/>
          <w:bCs/>
        </w:rPr>
        <w:t xml:space="preserve">Verificação da regularidade no CAGEC</w:t>
      </w:r>
      <w:r>
        <w:t xml:space="preserve"> </w:t>
      </w:r>
      <w:r>
        <w:t xml:space="preserve">(Cadastro Geral de Convenentes de MG), conforme Art. 4.º, IV, Decreto MG n.º 47.132/2017;</w:t>
      </w:r>
    </w:p>
    <w:p>
      <w:pPr>
        <w:numPr>
          <w:ilvl w:val="0"/>
          <w:numId w:val="1035"/>
        </w:numPr>
      </w:pPr>
      <w:r>
        <w:rPr>
          <w:b/>
          <w:bCs/>
        </w:rPr>
        <w:t xml:space="preserve">Apresentação de todas as certidões de regularidade</w:t>
      </w:r>
      <w:r>
        <w:t xml:space="preserve"> </w:t>
      </w:r>
      <w:r>
        <w:t xml:space="preserve">fiscal, trabalhista e previdenciária exigidas no Art. 34, II, Lei n.º 13.019/2014, válidas na data da assinatura.</w:t>
      </w:r>
    </w:p>
    <w:bookmarkEnd w:id="86"/>
    <w:bookmarkStart w:id="87" w:name="foro"/>
    <w:p>
      <w:pPr>
        <w:pStyle w:val="Heading3"/>
      </w:pPr>
      <w:r>
        <w:t xml:space="preserve">8.8. Foro</w:t>
      </w:r>
    </w:p>
    <w:p>
      <w:pPr>
        <w:pStyle w:val="FirstParagraph"/>
      </w:pPr>
      <w:r>
        <w:t xml:space="preserve">Fica eleito o foro da Comarca de Extrema/MG para dirimir eventuais controvérsias oriundas da presente parceria, renunciando as partes a qualquer outro, por mais privilegiado que seja.</w:t>
      </w:r>
    </w:p>
    <w:bookmarkEnd w:id="87"/>
    <w:bookmarkStart w:id="88" w:name="assinaturas"/>
    <w:p>
      <w:pPr>
        <w:pStyle w:val="Heading3"/>
      </w:pPr>
      <w:r>
        <w:t xml:space="preserve">8.9. Assinaturas</w:t>
      </w:r>
    </w:p>
    <w:tbl>
      <w:tblPr>
        <w:tblStyle w:val="Table"/>
        <w:tblW w:type="pct" w:w="5000"/>
        <w:tblLayout w:type="fixed"/>
        <w:tblLook w:firstRow="1" w:lastRow="0" w:firstColumn="0" w:lastColumn="0" w:noHBand="0" w:noVBand="0" w:val="0020"/>
      </w:tblPr>
      <w:tblGrid>
        <w:gridCol w:w="1788"/>
        <w:gridCol w:w="1532"/>
        <w:gridCol w:w="1788"/>
        <w:gridCol w:w="2810"/>
      </w:tblGrid>
      <w:tr>
        <w:trPr>
          <w:tblHeader w:val="on"/>
        </w:trPr>
        <w:tc>
          <w:tcPr/>
          <w:p>
            <w:pPr>
              <w:pStyle w:val="Compact"/>
            </w:pPr>
            <w:r>
              <w:t xml:space="preserve">Parte</w:t>
            </w:r>
          </w:p>
        </w:tc>
        <w:tc>
          <w:tcPr/>
          <w:p>
            <w:pPr>
              <w:pStyle w:val="Compact"/>
            </w:pPr>
            <w:r>
              <w:t xml:space="preserve">Nome</w:t>
            </w:r>
          </w:p>
        </w:tc>
        <w:tc>
          <w:tcPr/>
          <w:p>
            <w:pPr>
              <w:pStyle w:val="Compact"/>
            </w:pPr>
            <w:r>
              <w:t xml:space="preserve">Cargo</w:t>
            </w:r>
          </w:p>
        </w:tc>
        <w:tc>
          <w:tcPr/>
          <w:p>
            <w:pPr>
              <w:pStyle w:val="Compact"/>
            </w:pPr>
            <w:r>
              <w:t xml:space="preserve">Assinatura</w:t>
            </w:r>
          </w:p>
        </w:tc>
      </w:tr>
      <w:tr>
        <w:tc>
          <w:tcPr/>
          <w:p>
            <w:pPr>
              <w:pStyle w:val="Compact"/>
            </w:pPr>
            <w:r>
              <w:rPr>
                <w:b/>
                <w:bCs/>
              </w:rPr>
              <w:t xml:space="preserve">SMS Extrema</w:t>
            </w:r>
          </w:p>
        </w:tc>
        <w:tc>
          <w:tcPr/>
          <w:p>
            <w:pPr>
              <w:pStyle w:val="Compact"/>
            </w:pPr>
            <w:r>
              <w:t xml:space="preserve">[A PREENCHER]</w:t>
            </w:r>
          </w:p>
        </w:tc>
        <w:tc>
          <w:tcPr/>
          <w:p>
            <w:pPr>
              <w:pStyle w:val="Compact"/>
            </w:pPr>
            <w:r>
              <w:t xml:space="preserve">Secretário(a) Municipal de Saúde</w:t>
            </w:r>
          </w:p>
        </w:tc>
        <w:tc>
          <w:tcPr/>
          <w:p>
            <w:pPr>
              <w:pStyle w:val="Compact"/>
            </w:pPr>
            <w:r>
              <w:t xml:space="preserve">______________</w:t>
            </w:r>
          </w:p>
        </w:tc>
      </w:tr>
      <w:tr>
        <w:tc>
          <w:tcPr/>
          <w:p>
            <w:pPr>
              <w:pStyle w:val="Compact"/>
            </w:pPr>
            <w:r>
              <w:rPr>
                <w:b/>
                <w:bCs/>
              </w:rPr>
              <w:t xml:space="preserve">CRIE</w:t>
            </w:r>
          </w:p>
        </w:tc>
        <w:tc>
          <w:tcPr/>
          <w:p>
            <w:pPr>
              <w:pStyle w:val="Compact"/>
            </w:pPr>
            <w:r>
              <w:t xml:space="preserve">[A PREENCHER — Representante Legal]</w:t>
            </w:r>
          </w:p>
        </w:tc>
        <w:tc>
          <w:tcPr/>
          <w:p>
            <w:pPr>
              <w:pStyle w:val="Compact"/>
            </w:pPr>
            <w:r>
              <w:t xml:space="preserve">Presidente</w:t>
            </w:r>
          </w:p>
        </w:tc>
        <w:tc>
          <w:tcPr/>
          <w:p>
            <w:pPr>
              <w:pStyle w:val="Compact"/>
            </w:pPr>
            <w:r>
              <w:t xml:space="preserve">______________</w:t>
            </w:r>
          </w:p>
        </w:tc>
      </w:tr>
      <w:tr>
        <w:tc>
          <w:tcPr/>
          <w:p>
            <w:pPr>
              <w:pStyle w:val="Compact"/>
            </w:pPr>
            <w:r>
              <w:rPr>
                <w:b/>
                <w:bCs/>
              </w:rPr>
              <w:t xml:space="preserve">Testemunha 1</w:t>
            </w:r>
          </w:p>
        </w:tc>
        <w:tc>
          <w:tcPr/>
          <w:p>
            <w:pPr>
              <w:pStyle w:val="Compact"/>
            </w:pPr>
            <w:r>
              <w:t xml:space="preserve">[A PREENCHER]</w:t>
            </w:r>
          </w:p>
        </w:tc>
        <w:tc>
          <w:tcPr/>
          <w:p>
            <w:pPr>
              <w:pStyle w:val="Compact"/>
            </w:pPr>
            <w:r>
              <w:t xml:space="preserve">—</w:t>
            </w:r>
          </w:p>
        </w:tc>
        <w:tc>
          <w:tcPr/>
          <w:p>
            <w:pPr>
              <w:pStyle w:val="Compact"/>
            </w:pPr>
            <w:r>
              <w:t xml:space="preserve">______________</w:t>
            </w:r>
          </w:p>
        </w:tc>
      </w:tr>
      <w:tr>
        <w:tc>
          <w:tcPr/>
          <w:p>
            <w:pPr>
              <w:pStyle w:val="Compact"/>
            </w:pPr>
            <w:r>
              <w:rPr>
                <w:b/>
                <w:bCs/>
              </w:rPr>
              <w:t xml:space="preserve">Testemunha 2</w:t>
            </w:r>
          </w:p>
        </w:tc>
        <w:tc>
          <w:tcPr/>
          <w:p>
            <w:pPr>
              <w:pStyle w:val="Compact"/>
            </w:pPr>
            <w:r>
              <w:t xml:space="preserve">[A PREENCHER]</w:t>
            </w:r>
          </w:p>
        </w:tc>
        <w:tc>
          <w:tcPr/>
          <w:p>
            <w:pPr>
              <w:pStyle w:val="Compact"/>
            </w:pPr>
            <w:r>
              <w:t xml:space="preserve">—</w:t>
            </w:r>
          </w:p>
        </w:tc>
        <w:tc>
          <w:tcPr/>
          <w:p>
            <w:pPr>
              <w:pStyle w:val="Compact"/>
            </w:pPr>
            <w:r>
              <w:t xml:space="preserve">______________</w:t>
            </w:r>
          </w:p>
        </w:tc>
      </w:tr>
    </w:tbl>
    <w:p>
      <w:pPr>
        <w:pStyle w:val="BlockText"/>
      </w:pPr>
      <w:r>
        <w:rPr>
          <w:b/>
          <w:bCs/>
        </w:rPr>
        <w:t xml:space="preserve">VALIDAÇÃO HUMANA (V5):</w:t>
      </w:r>
      <w:r>
        <w:t xml:space="preserve"> </w:t>
      </w:r>
      <w:r>
        <w:t xml:space="preserve">Verificar: (i) status da prestação de contas da parceria anterior (2025); (ii) regularidade no CAGEC; (iii) nomes dos signatários e testemunhas.</w:t>
      </w:r>
    </w:p>
    <w:p>
      <w:r>
        <w:pict>
          <v:rect style="width:0;height:1.5pt" o:hralign="center" o:hrstd="t" o:hr="t"/>
        </w:pict>
      </w:r>
    </w:p>
    <w:bookmarkEnd w:id="88"/>
    <w:bookmarkEnd w:id="89"/>
    <w:bookmarkStart w:id="90" w:name="checklist-de-conformidade-final"/>
    <w:p>
      <w:pPr>
        <w:pStyle w:val="Heading2"/>
      </w:pPr>
      <w:r>
        <w:t xml:space="preserve">CHECKLIST DE CONFORMIDADE FINAL</w:t>
      </w:r>
    </w:p>
    <w:tbl>
      <w:tblPr>
        <w:tblStyle w:val="Table"/>
        <w:tblW w:type="pct" w:w="5000"/>
        <w:tblLayout w:type="fixed"/>
        <w:tblLook w:firstRow="1" w:lastRow="0" w:firstColumn="0" w:lastColumn="0" w:noHBand="0" w:noVBand="0" w:val="0020"/>
      </w:tblPr>
      <w:tblGrid>
        <w:gridCol w:w="2084"/>
        <w:gridCol w:w="2501"/>
        <w:gridCol w:w="3334"/>
      </w:tblGrid>
      <w:tr>
        <w:trPr>
          <w:tblHeader w:val="on"/>
        </w:trPr>
        <w:tc>
          <w:tcPr/>
          <w:p>
            <w:pPr>
              <w:pStyle w:val="Compact"/>
            </w:pPr>
            <w:r>
              <w:t xml:space="preserve">N.º</w:t>
            </w:r>
          </w:p>
        </w:tc>
        <w:tc>
          <w:tcPr/>
          <w:p>
            <w:pPr>
              <w:pStyle w:val="Compact"/>
            </w:pPr>
            <w:r>
              <w:t xml:space="preserve">Item</w:t>
            </w:r>
          </w:p>
        </w:tc>
        <w:tc>
          <w:tcPr/>
          <w:p>
            <w:pPr>
              <w:pStyle w:val="Compact"/>
            </w:pPr>
            <w:r>
              <w:t xml:space="preserve">Status</w:t>
            </w:r>
          </w:p>
        </w:tc>
      </w:tr>
      <w:tr>
        <w:tc>
          <w:tcPr/>
          <w:p>
            <w:pPr>
              <w:pStyle w:val="Compact"/>
            </w:pPr>
            <w:r>
              <w:t xml:space="preserve">1</w:t>
            </w:r>
          </w:p>
        </w:tc>
        <w:tc>
          <w:tcPr/>
          <w:p>
            <w:pPr>
              <w:pStyle w:val="Compact"/>
            </w:pPr>
            <w:r>
              <w:t xml:space="preserve">Todas as referências legais estão com artigo, lei e ano corretos</w:t>
            </w:r>
          </w:p>
        </w:tc>
        <w:tc>
          <w:tcPr/>
          <w:p>
            <w:pPr>
              <w:pStyle w:val="Compact"/>
            </w:pPr>
            <w:r>
              <w:t xml:space="preserve">[ ] Verificado</w:t>
            </w:r>
          </w:p>
        </w:tc>
      </w:tr>
      <w:tr>
        <w:tc>
          <w:tcPr/>
          <w:p>
            <w:pPr>
              <w:pStyle w:val="Compact"/>
            </w:pPr>
            <w:r>
              <w:t xml:space="preserve">2</w:t>
            </w:r>
          </w:p>
        </w:tc>
        <w:tc>
          <w:tcPr/>
          <w:p>
            <w:pPr>
              <w:pStyle w:val="Compact"/>
            </w:pPr>
            <w:r>
              <w:t xml:space="preserve">Nenhum CNPJ/CPF/processo fictício foi gerado — apenas [A PREENCHER]</w:t>
            </w:r>
          </w:p>
        </w:tc>
        <w:tc>
          <w:tcPr/>
          <w:p>
            <w:pPr>
              <w:pStyle w:val="Compact"/>
            </w:pPr>
            <w:r>
              <w:t xml:space="preserve">[ ] Verificado</w:t>
            </w:r>
          </w:p>
        </w:tc>
      </w:tr>
      <w:tr>
        <w:tc>
          <w:tcPr/>
          <w:p>
            <w:pPr>
              <w:pStyle w:val="Compact"/>
            </w:pPr>
            <w:r>
              <w:t xml:space="preserve">3</w:t>
            </w:r>
          </w:p>
        </w:tc>
        <w:tc>
          <w:tcPr/>
          <w:p>
            <w:pPr>
              <w:pStyle w:val="Compact"/>
            </w:pPr>
            <w:r>
              <w:t xml:space="preserve">Campos [A PREENCHER] presentes em todos os dados sensíveis não disponíveis</w:t>
            </w:r>
          </w:p>
        </w:tc>
        <w:tc>
          <w:tcPr/>
          <w:p>
            <w:pPr>
              <w:pStyle w:val="Compact"/>
            </w:pPr>
            <w:r>
              <w:t xml:space="preserve">[ ] Verificado</w:t>
            </w:r>
          </w:p>
        </w:tc>
      </w:tr>
      <w:tr>
        <w:tc>
          <w:tcPr/>
          <w:p>
            <w:pPr>
              <w:pStyle w:val="Compact"/>
            </w:pPr>
            <w:r>
              <w:t xml:space="preserve">4</w:t>
            </w:r>
          </w:p>
        </w:tc>
        <w:tc>
          <w:tcPr/>
          <w:p>
            <w:pPr>
              <w:pStyle w:val="Compact"/>
            </w:pPr>
            <w:r>
              <w:t xml:space="preserve">Valor mensal R$ 38.860,41 consistente em todas as menções</w:t>
            </w:r>
          </w:p>
        </w:tc>
        <w:tc>
          <w:tcPr/>
          <w:p>
            <w:pPr>
              <w:pStyle w:val="Compact"/>
            </w:pPr>
            <w:r>
              <w:t xml:space="preserve">[ ] Verificado</w:t>
            </w:r>
          </w:p>
        </w:tc>
      </w:tr>
      <w:tr>
        <w:tc>
          <w:tcPr/>
          <w:p>
            <w:pPr>
              <w:pStyle w:val="Compact"/>
            </w:pPr>
            <w:r>
              <w:t xml:space="preserve">5</w:t>
            </w:r>
          </w:p>
        </w:tc>
        <w:tc>
          <w:tcPr/>
          <w:p>
            <w:pPr>
              <w:pStyle w:val="Compact"/>
            </w:pPr>
            <w:r>
              <w:t xml:space="preserve">Separação de centros de custo Saúde (Escopo 1) / Suplementar (Escopo 2) explícita</w:t>
            </w:r>
          </w:p>
        </w:tc>
        <w:tc>
          <w:tcPr/>
          <w:p>
            <w:pPr>
              <w:pStyle w:val="Compact"/>
            </w:pPr>
            <w:r>
              <w:t xml:space="preserve">[ ] Verificado</w:t>
            </w:r>
          </w:p>
        </w:tc>
      </w:tr>
      <w:tr>
        <w:tc>
          <w:tcPr/>
          <w:p>
            <w:pPr>
              <w:pStyle w:val="Compact"/>
            </w:pPr>
            <w:r>
              <w:t xml:space="preserve">6</w:t>
            </w:r>
          </w:p>
        </w:tc>
        <w:tc>
          <w:tcPr/>
          <w:p>
            <w:pPr>
              <w:pStyle w:val="Compact"/>
            </w:pPr>
            <w:r>
              <w:t xml:space="preserve">LGPD mencionada em ≥ 3 pontos (Vector, prontuários, pesquisa, Seção 8.4)</w:t>
            </w:r>
          </w:p>
        </w:tc>
        <w:tc>
          <w:tcPr/>
          <w:p>
            <w:pPr>
              <w:pStyle w:val="Compact"/>
            </w:pPr>
            <w:r>
              <w:t xml:space="preserve">[ ] Verificado</w:t>
            </w:r>
          </w:p>
        </w:tc>
      </w:tr>
      <w:tr>
        <w:tc>
          <w:tcPr/>
          <w:p>
            <w:pPr>
              <w:pStyle w:val="Compact"/>
            </w:pPr>
            <w:r>
              <w:t xml:space="preserve">7</w:t>
            </w:r>
          </w:p>
        </w:tc>
        <w:tc>
          <w:tcPr/>
          <w:p>
            <w:pPr>
              <w:pStyle w:val="Compact"/>
            </w:pPr>
            <w:r>
              <w:t xml:space="preserve">Linguagem pessoa-primeiro em 100% das ocorrências</w:t>
            </w:r>
          </w:p>
        </w:tc>
        <w:tc>
          <w:tcPr/>
          <w:p>
            <w:pPr>
              <w:pStyle w:val="Compact"/>
            </w:pPr>
            <w:r>
              <w:t xml:space="preserve">[ ] Verificado</w:t>
            </w:r>
          </w:p>
        </w:tc>
      </w:tr>
      <w:tr>
        <w:tc>
          <w:tcPr/>
          <w:p>
            <w:pPr>
              <w:pStyle w:val="Compact"/>
            </w:pPr>
            <w:r>
              <w:t xml:space="preserve">8</w:t>
            </w:r>
          </w:p>
        </w:tc>
        <w:tc>
          <w:tcPr/>
          <w:p>
            <w:pPr>
              <w:pStyle w:val="Compact"/>
            </w:pPr>
            <w:r>
              <w:t xml:space="preserve">Metas correspondem ao acordado na reunião de 29/01/2026</w:t>
            </w:r>
          </w:p>
        </w:tc>
        <w:tc>
          <w:tcPr/>
          <w:p>
            <w:pPr>
              <w:pStyle w:val="Compact"/>
            </w:pPr>
            <w:r>
              <w:t xml:space="preserve">[ ] A confirmar</w:t>
            </w:r>
          </w:p>
        </w:tc>
      </w:tr>
      <w:tr>
        <w:tc>
          <w:tcPr/>
          <w:p>
            <w:pPr>
              <w:pStyle w:val="Compact"/>
            </w:pPr>
            <w:r>
              <w:t xml:space="preserve">9</w:t>
            </w:r>
          </w:p>
        </w:tc>
        <w:tc>
          <w:tcPr/>
          <w:p>
            <w:pPr>
              <w:pStyle w:val="Compact"/>
            </w:pPr>
            <w:r>
              <w:t xml:space="preserve">Monitoramento segue MROSC / Lei 13.019/2014</w:t>
            </w:r>
          </w:p>
        </w:tc>
        <w:tc>
          <w:tcPr/>
          <w:p>
            <w:pPr>
              <w:pStyle w:val="Compact"/>
            </w:pPr>
            <w:r>
              <w:t xml:space="preserve">[ ] Verificado</w:t>
            </w:r>
          </w:p>
        </w:tc>
      </w:tr>
      <w:tr>
        <w:tc>
          <w:tcPr/>
          <w:p>
            <w:pPr>
              <w:pStyle w:val="Compact"/>
            </w:pPr>
            <w:r>
              <w:t xml:space="preserve">10</w:t>
            </w:r>
          </w:p>
        </w:tc>
        <w:tc>
          <w:tcPr/>
          <w:p>
            <w:pPr>
              <w:pStyle w:val="Compact"/>
            </w:pPr>
            <w:r>
              <w:t xml:space="preserve">Nenhuma decisão clínica atribuída ao instrumento (apenas ao profissional)</w:t>
            </w:r>
          </w:p>
        </w:tc>
        <w:tc>
          <w:tcPr/>
          <w:p>
            <w:pPr>
              <w:pStyle w:val="Compact"/>
            </w:pPr>
            <w:r>
              <w:t xml:space="preserve">[ ] Verificado</w:t>
            </w:r>
          </w:p>
        </w:tc>
      </w:tr>
    </w:tbl>
    <w:p>
      <w:r>
        <w:pict>
          <v:rect style="width:0;height:1.5pt" o:hralign="center" o:hrstd="t" o:hr="t"/>
        </w:pict>
      </w:r>
    </w:p>
    <w:p>
      <w:pPr>
        <w:pStyle w:val="FirstParagraph"/>
      </w:pPr>
      <w:r>
        <w:rPr>
          <w:b/>
          <w:bCs/>
        </w:rPr>
        <w:t xml:space="preserve">Extrema/MG, Fevereiro de 2026.</w:t>
      </w:r>
    </w:p>
    <w:p>
      <w:pPr>
        <w:pStyle w:val="BodyText"/>
      </w:pPr>
      <w:r>
        <w:rPr>
          <w:b/>
          <w:bCs/>
        </w:rPr>
        <w:t xml:space="preserve">Coordenação de Saúde Mental e Reabilitação — Secretaria Municipal de Saúde</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2026-02-10T23:54:29Z</dcterms:created>
  <dcterms:modified xsi:type="dcterms:W3CDTF">2026-02-10T23:54:29Z</dcterms:modified>
</cp:coreProperties>
</file>

<file path=docProps/custom.xml><?xml version="1.0" encoding="utf-8"?>
<Properties xmlns="http://schemas.openxmlformats.org/officeDocument/2006/custom-properties" xmlns:vt="http://schemas.openxmlformats.org/officeDocument/2006/docPropsVTypes"/>
</file>