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40"/>
        <w:jc w:val="center"/>
      </w:pPr>
      <w:r>
        <w:rPr>
          <w:rFonts w:ascii="Aptos" w:hAnsi="Aptos"/>
          <w:b/>
          <w:color w:val="0E2841"/>
          <w:sz w:val="20"/>
        </w:rPr>
        <w:t>PREFEITURA MUNICIPAL DE EXTREMA — MG</w:t>
      </w:r>
    </w:p>
    <w:p>
      <w:pPr>
        <w:spacing w:after="40"/>
        <w:jc w:val="center"/>
      </w:pPr>
      <w:r>
        <w:rPr>
          <w:rFonts w:ascii="Aptos" w:hAnsi="Aptos"/>
          <w:b/>
          <w:color w:val="0E2841"/>
          <w:sz w:val="20"/>
        </w:rPr>
        <w:t>SECRETARIA MUNICIPAL DE SAÚDE</w:t>
      </w:r>
    </w:p>
    <w:p>
      <w:pPr>
        <w:spacing w:after="720"/>
        <w:jc w:val="center"/>
      </w:pPr>
      <w:r>
        <w:rPr>
          <w:rFonts w:ascii="Aptos" w:hAnsi="Aptos"/>
          <w:b/>
          <w:color w:val="156082"/>
          <w:sz w:val="20"/>
        </w:rPr>
        <w:t>COORDENAÇÃO DA REDE DE ATENÇÃO PSICOSSOCIAL (RAPS)</w:t>
      </w:r>
    </w:p>
    <w:p>
      <w:pPr>
        <w:spacing w:after="720"/>
        <w:jc w:val="center"/>
        <w:pBdr>
          <w:bottom w:val="single" w:sz="12" w:space="8" w:color="0F9ED5"/>
        </w:pBdr>
      </w:pPr>
    </w:p>
    <w:p>
      <w:pPr>
        <w:spacing w:after="280"/>
        <w:jc w:val="center"/>
      </w:pPr>
      <w:r>
        <w:rPr>
          <w:rFonts w:ascii="Aptos Display" w:hAnsi="Aptos Display"/>
          <w:b/>
          <w:color w:val="0E2841"/>
          <w:sz w:val="44"/>
        </w:rPr>
        <w:t>DEV PROMPT: Protocolo TEA Consolidado — Extrema/MG 2026</w:t>
      </w:r>
    </w:p>
    <w:p>
      <w:pPr>
        <w:spacing w:after="720"/>
        <w:jc w:val="center"/>
      </w:pPr>
      <w:r>
        <w:rPr>
          <w:rFonts w:ascii="Aptos Display" w:hAnsi="Aptos Display"/>
          <w:color w:val="156082"/>
          <w:sz w:val="32"/>
        </w:rPr>
        <w:t>Município de Extrema — MG | 2026</w:t>
      </w:r>
    </w:p>
    <w:p>
      <w:pPr>
        <w:spacing w:after="960"/>
        <w:jc w:val="center"/>
        <w:pBdr>
          <w:bottom w:val="single" w:sz="12" w:space="8" w:color="0F9ED5"/>
        </w:pBdr>
      </w:pPr>
    </w:p>
    <w:p>
      <w:pPr>
        <w:spacing w:after="1440"/>
        <w:jc w:val="center"/>
      </w:pPr>
      <w:r>
        <w:rPr>
          <w:rFonts w:ascii="Aptos" w:hAnsi="Aptos"/>
          <w:color w:val="156082"/>
          <w:sz w:val="24"/>
        </w:rPr>
        <w:t>Coordenação de Saúde Mental</w:t>
      </w:r>
    </w:p>
    <w:p>
      <w:pPr>
        <w:jc w:val="center"/>
      </w:pPr>
      <w:r>
        <w:rPr>
          <w:rFonts w:ascii="Aptos" w:hAnsi="Aptos"/>
          <w:i/>
          <w:color w:val="BFBFBF"/>
          <w:sz w:val="22"/>
        </w:rPr>
        <w:t>Elaborado em fevereiro de 2026</w:t>
      </w:r>
    </w:p>
    <w:p>
      <w:r>
        <w:br w:type="page"/>
      </w:r>
    </w:p>
    <w:p>
      <w:pPr>
        <w:spacing w:after="360"/>
        <w:jc w:val="left"/>
      </w:pPr>
      <w:r>
        <w:rPr>
          <w:rFonts w:ascii="Aptos Display" w:hAnsi="Aptos Display"/>
          <w:b/>
          <w:color w:val="0E2841"/>
          <w:sz w:val="36"/>
        </w:rPr>
        <w:t>SUMÁRIO</w:t>
      </w:r>
    </w:p>
    <w:p>
      <w:r>
        <w:fldChar w:fldCharType="begin"/>
        <w:instrText xml:space="preserve"> TOC \o "1-4" \h \z \u </w:instrText>
        <w:fldChar w:fldCharType="separate"/>
        <w:r>
          <w:t>[Clique com botão direito → Atualizar campo para gerar sumário]</w:t>
        </w:r>
        <w:fldChar w:fldCharType="end"/>
      </w:r>
    </w:p>
    <w:p>
      <w:r>
        <w:br w:type="page"/>
      </w:r>
    </w:p>
    <w:p>
      <w:pPr>
        <w:pStyle w:val="Heading1"/>
        <w:keepNext/>
        <w:pageBreakBefore/>
        <w:widowControl/>
        <w:spacing w:before="480" w:after="240"/>
      </w:pPr>
      <w:r>
        <w:rPr>
          <w:rFonts w:ascii="Aptos Display" w:hAnsi="Aptos Display"/>
          <w:b/>
          <w:color w:val="0E2841"/>
          <w:sz w:val="36"/>
        </w:rPr>
        <w:t>DEV PROMPT: Protocolo TEA Consolidado — Extrema/MG 2026</w:t>
      </w:r>
    </w:p>
    <w:p>
      <w:pPr>
        <w:spacing w:before="120" w:after="120"/>
        <w:pBdr>
          <w:bottom w:val="single" w:sz="12" w:space="4" w:color="BFBFBF"/>
        </w:pBdr>
      </w:pPr>
    </w:p>
    <w:p>
      <w:pPr>
        <w:pStyle w:val="Heading2"/>
        <w:keepNext/>
        <w:widowControl/>
        <w:spacing w:before="360" w:after="200"/>
      </w:pPr>
      <w:r>
        <w:rPr>
          <w:rFonts w:ascii="Aptos Display" w:hAnsi="Aptos Display"/>
          <w:b/>
          <w:color w:val="0E2841"/>
          <w:sz w:val="32"/>
        </w:rPr>
        <w:t>METADADOS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8F8F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000000"/>
                <w:sz w:val="14"/>
              </w:rPr>
              <w:t>autor: Caio Villani (Coordenação SM, SMS Extrema-MG)</w:t>
              <w:br/>
              <w:t>assistência: Claude Opus 4.6 (Anthropic)</w:t>
              <w:br/>
              <w:t>versão_prompt: "1.0"</w:t>
              <w:br/>
              <w:t>data_criação: "2026-02-09"</w:t>
              <w:br/>
              <w:t>modelo_esperado: Claude Opus 4.6+ ou equivalente com contexto ≥200k tokens</w:t>
              <w:br/>
              <w:t>produto_esperado: PROTOCOLO_TEA_EXTREMA_2026.md (~2.500 linhas, 10 seções, 4 fluxogramas Mermaid, 40+ refs Vancouver)</w:t>
              <w:br/>
              <w:t>arquivo_raciocínio: analises/TRIANGULACAO_TEA_OFICIAL_vs_LOCAL_2026.md</w:t>
            </w:r>
          </w:p>
        </w:tc>
      </w:tr>
    </w:tbl>
    <w:p>
      <w:pPr>
        <w:spacing w:before="0" w:after="160"/>
      </w:pPr>
    </w:p>
    <w:p>
      <w:pPr>
        <w:spacing w:before="120" w:after="120"/>
        <w:pBdr>
          <w:bottom w:val="single" w:sz="12" w:space="4" w:color="BFBFBF"/>
        </w:pBdr>
      </w:pPr>
    </w:p>
    <w:p>
      <w:pPr>
        <w:pStyle w:val="Heading2"/>
        <w:keepNext/>
        <w:widowControl/>
        <w:spacing w:before="360" w:after="200"/>
      </w:pPr>
      <w:r>
        <w:rPr>
          <w:rFonts w:ascii="Aptos Display" w:hAnsi="Aptos Display"/>
          <w:b/>
          <w:color w:val="0E2841"/>
          <w:sz w:val="32"/>
        </w:rPr>
        <w:t>§1. OBJETIVO</w:t>
      </w:r>
    </w:p>
    <w:p>
      <w:pPr>
        <w:widowControl/>
        <w:spacing w:line="276" w:lineRule="auto" w:after="120"/>
      </w:pPr>
      <w:r>
        <w:rPr>
          <w:rFonts w:ascii="Aptos" w:hAnsi="Aptos"/>
          <w:sz w:val="22"/>
        </w:rPr>
        <w:t xml:space="preserve">Gere um </w:t>
      </w:r>
      <w:r>
        <w:rPr>
          <w:rFonts w:ascii="Aptos" w:hAnsi="Aptos"/>
          <w:b/>
          <w:sz w:val="22"/>
        </w:rPr>
        <w:t>protocolo clínico consolidado para Transtorno do Espectro Autista (TEA)</w:t>
      </w:r>
      <w:r>
        <w:rPr>
          <w:rFonts w:ascii="Aptos" w:hAnsi="Aptos"/>
          <w:sz w:val="22"/>
        </w:rPr>
        <w:t xml:space="preserve"> no município de Extrema-MG, integrando três documentos-base existentes:</w:t>
      </w:r>
    </w:p>
    <w:p>
      <w:pPr>
        <w:pStyle w:val="ListNumber"/>
        <w:spacing w:after="60"/>
      </w:pPr>
      <w:r>
        <w:rPr>
          <w:rFonts w:ascii="Aptos" w:hAnsi="Aptos"/>
          <w:b/>
          <w:sz w:val="22"/>
        </w:rPr>
        <w:t>CLI-02 v2.7</w:t>
      </w:r>
      <w:r>
        <w:rPr>
          <w:rFonts w:ascii="Aptos" w:hAnsi="Aptos"/>
          <w:sz w:val="22"/>
        </w:rPr>
        <w:t xml:space="preserve"> — Protocolo Clínico TEA (1.928 linhas, 34 refs Vancouver)</w:t>
      </w:r>
    </w:p>
    <w:p>
      <w:pPr>
        <w:pStyle w:val="ListNumber"/>
        <w:spacing w:after="60"/>
      </w:pPr>
      <w:r>
        <w:rPr>
          <w:rFonts w:ascii="Aptos" w:hAnsi="Aptos"/>
          <w:b/>
          <w:sz w:val="22"/>
        </w:rPr>
        <w:t>PCC-06</w:t>
      </w:r>
      <w:r>
        <w:rPr>
          <w:rFonts w:ascii="Aptos" w:hAnsi="Aptos"/>
          <w:sz w:val="22"/>
        </w:rPr>
        <w:t xml:space="preserve"> — Macrofluxo Narrativo DI/TEA (1.461 linhas, 10 fases navegacionais)</w:t>
      </w:r>
    </w:p>
    <w:p>
      <w:pPr>
        <w:pStyle w:val="ListNumber"/>
        <w:spacing w:after="60"/>
      </w:pPr>
      <w:r>
        <w:rPr>
          <w:rFonts w:ascii="Aptos" w:hAnsi="Aptos"/>
          <w:b/>
          <w:sz w:val="22"/>
        </w:rPr>
        <w:t>GN-01</w:t>
      </w:r>
      <w:r>
        <w:rPr>
          <w:rFonts w:ascii="Aptos" w:hAnsi="Aptos"/>
          <w:sz w:val="22"/>
        </w:rPr>
        <w:t xml:space="preserve"> — Guia Narrativo APS DI/TEA (1.759 linhas, 12 micro-etapas)</w:t>
      </w:r>
    </w:p>
    <w:p>
      <w:pPr>
        <w:widowControl/>
        <w:spacing w:line="276" w:lineRule="auto" w:after="120"/>
      </w:pPr>
      <w:r>
        <w:rPr>
          <w:rFonts w:ascii="Aptos" w:hAnsi="Aptos"/>
          <w:sz w:val="22"/>
        </w:rPr>
        <w:t xml:space="preserve">O protocolo consolidado deve eliminar a sobreposição de ~40% entre os documentos e produzir um </w:t>
      </w:r>
      <w:r>
        <w:rPr>
          <w:rFonts w:ascii="Aptos" w:hAnsi="Aptos"/>
          <w:b/>
          <w:sz w:val="22"/>
        </w:rPr>
        <w:t>documento único e navegável</w:t>
      </w:r>
      <w:r>
        <w:rPr>
          <w:rFonts w:ascii="Aptos" w:hAnsi="Aptos"/>
          <w:sz w:val="22"/>
        </w:rPr>
        <w:t xml:space="preserve"> para a jornada completa do paciente: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8F8F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000000"/>
                <w:sz w:val="14"/>
              </w:rPr>
              <w:t>REDE INTERSETORIAL → APS (ESF + eMulti) → NIRSM-R → CENTRO INTEGRAR → CONTRARREFERÊNCIA → APS LONGITUDINAL</w:t>
            </w:r>
          </w:p>
        </w:tc>
      </w:tr>
    </w:tbl>
    <w:p>
      <w:pPr>
        <w:spacing w:before="0" w:after="160"/>
      </w:pP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O problema que este protocolo resolve:</w:t>
      </w:r>
      <w:r>
        <w:rPr>
          <w:rFonts w:ascii="Aptos" w:hAnsi="Aptos"/>
          <w:sz w:val="22"/>
        </w:rPr>
        <w:t xml:space="preserve"> Equipes de linha de frente precisam consultar 4 documentos distintos para uma decisão clínica que deveria ocorrer em minutos. A fragmentação gera atrasos, inconsistências e insegurança operacional.</w:t>
      </w: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Resultado esperado:</w:t>
      </w:r>
      <w:r>
        <w:rPr>
          <w:rFonts w:ascii="Aptos" w:hAnsi="Aptos"/>
          <w:sz w:val="22"/>
        </w:rPr>
        <w:t xml:space="preserve"> `PROTOCOLO_TEA_EXTREMA_2026.md` — ~2.500 linhas (±10%), 10 seções obrigatórias, 4 fluxogramas Mermaid por faixa etária, 40+ referências Vancouver, checklist de escalonamento operacionalizado.</w:t>
      </w:r>
    </w:p>
    <w:p>
      <w:pPr>
        <w:spacing w:before="120" w:after="120"/>
        <w:pBdr>
          <w:bottom w:val="single" w:sz="12" w:space="4" w:color="BFBFBF"/>
        </w:pBdr>
      </w:pPr>
    </w:p>
    <w:p>
      <w:pPr>
        <w:pStyle w:val="Heading2"/>
        <w:keepNext/>
        <w:widowControl/>
        <w:spacing w:before="360" w:after="200"/>
      </w:pPr>
      <w:r>
        <w:rPr>
          <w:rFonts w:ascii="Aptos Display" w:hAnsi="Aptos Display"/>
          <w:b/>
          <w:color w:val="0E2841"/>
          <w:sz w:val="32"/>
        </w:rPr>
        <w:t>§2. CONTEXTO SITUACIONAL</w:t>
      </w: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2.1 Município de Extrema-MG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8F8F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000000"/>
                <w:sz w:val="14"/>
              </w:rPr>
              <w:t>população: ~36.000 (IBGE 2022)</w:t>
              <w:br/>
              <w:t>prevalência_TEA_estimada: ~115 pessoas (CDC 2025: 1:31)</w:t>
              <w:br/>
              <w:t>região: Sul de Minas Gerais, divisa com São Paulo</w:t>
              <w:br/>
              <w:t>perfil: Município industrial com crescimento populacional acelerado</w:t>
              <w:br/>
              <w:br/>
              <w:t>rede_raps:</w:t>
              <w:br/>
              <w:t xml:space="preserve">  aps:</w:t>
              <w:br/>
              <w:t xml:space="preserve">    esf: 8 equipes</w:t>
              <w:br/>
              <w:t xml:space="preserve">    emulti: 2 equipes</w:t>
              <w:br/>
              <w:t xml:space="preserve">    cobertura: "~85%"</w:t>
              <w:br/>
              <w:t xml:space="preserve">  atenção_especializada:</w:t>
              <w:br/>
              <w:t xml:space="preserve">    centro_integrar:</w:t>
              <w:br/>
              <w:t xml:space="preserve">      serviços: "Avaliação TEA/DI, intervenções intensivas, grupos terapêuticos"</w:t>
              <w:br/>
              <w:t xml:space="preserve">      profissionais: "2 psicólogos, 1 TO, 1 fono, 1 neuropediatra (consultor)"</w:t>
              <w:br/>
              <w:t xml:space="preserve">      capacidade: "~40 atendimentos/mês"</w:t>
              <w:br/>
              <w:t xml:space="preserve">    caps_i: "Transtornos graves, crises, acolhimento"</w:t>
              <w:br/>
              <w:t xml:space="preserve">    csm: "Ambulatório especializado (adultos)"</w:t>
              <w:br/>
              <w:t xml:space="preserve">  regulação:</w:t>
              <w:br/>
              <w:t xml:space="preserve">    nirsm_r:</w:t>
              <w:br/>
              <w:t xml:space="preserve">      função: "Gatekeeper — análise técnica antes de autorizar vaga especializada"</w:t>
              <w:br/>
              <w:t xml:space="preserve">      composição: "1 coordenador + 1 membro rotativo eMulti"</w:t>
              <w:br/>
              <w:t xml:space="preserve">      volume: "~60 análises/mês (todas as condições SM)"</w:t>
              <w:br/>
              <w:t xml:space="preserve">  rede_intersetorial:</w:t>
              <w:br/>
              <w:t xml:space="preserve">    educação: "12 escolas municipais com AEE, PSE ativo em 100%"</w:t>
              <w:br/>
              <w:t xml:space="preserve">    assistência_social: "2 CRAS (cobertura territorial completa), 1 CREAS"</w:t>
              <w:br/>
              <w:t xml:space="preserve">    terceiro_setor: "APAEs regionais, associações de pais"</w:t>
            </w:r>
          </w:p>
        </w:tc>
      </w:tr>
    </w:tbl>
    <w:p>
      <w:pPr>
        <w:spacing w:before="0" w:after="160"/>
      </w:pP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2.2 Problema Estrutural</w:t>
      </w:r>
    </w:p>
    <w:p>
      <w:pPr>
        <w:widowControl/>
        <w:spacing w:line="276" w:lineRule="auto" w:after="120"/>
      </w:pPr>
      <w:r>
        <w:rPr>
          <w:rFonts w:ascii="Aptos" w:hAnsi="Aptos"/>
          <w:sz w:val="22"/>
        </w:rPr>
        <w:t>Os três documentos-base somam ~5.148 linhas com sobreposição de ~40%: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268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2268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Linhas</w:t>
            </w:r>
          </w:p>
        </w:tc>
        <w:tc>
          <w:tcPr>
            <w:tcW w:type="dxa" w:w="2268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Foco</w:t>
            </w:r>
          </w:p>
        </w:tc>
        <w:tc>
          <w:tcPr>
            <w:tcW w:type="dxa" w:w="2268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Sobreposição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CLI-02 v2.7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1.928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Fundamentação técnica, instrumentos, intervenções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M-CHAT, DSM-5-TR, fluxo geral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PCC-06 v1.0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1.461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Cascata 10 fases, P1/P2/P3, RACI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M-CHAT, portas de entrada, priorização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GN-01 v1.0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1.759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Guia operacional APS, 12 micro-etapas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M-CHAT, IRDI, papel da ESF</w:t>
            </w:r>
          </w:p>
        </w:tc>
      </w:tr>
    </w:tbl>
    <w:p>
      <w:pPr>
        <w:spacing w:before="0" w:after="160"/>
      </w:pP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Consequências:</w:t>
      </w:r>
      <w:r>
        <w:rPr>
          <w:rFonts w:ascii="Aptos" w:hAnsi="Aptos"/>
          <w:sz w:val="22"/>
        </w:rPr>
        <w:t xml:space="preserve"> (a) enfermeira ESF com M-CHAT+ precisa consultar 4 documentos; (b) critérios de escalonamento APS→Centro Integrar dispersos; (c) NIRSM-R mencionado 47 vezes mas sem protocolo TEA-específico; (d) contradição sobre papel da APS na intervenção.</w:t>
      </w: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2.3 Marcos Regulatórios Prioritários</w:t>
      </w:r>
    </w:p>
    <w:p>
      <w:pPr>
        <w:widowControl/>
        <w:spacing w:line="276" w:lineRule="auto" w:after="120"/>
      </w:pPr>
      <w:r>
        <w:rPr>
          <w:rFonts w:ascii="Aptos" w:hAnsi="Aptos"/>
          <w:sz w:val="22"/>
        </w:rPr>
        <w:t>Em ordem de prevalência (legislação &gt; diretrizes &gt; evidência):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268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Nível</w:t>
            </w:r>
          </w:p>
        </w:tc>
        <w:tc>
          <w:tcPr>
            <w:tcW w:type="dxa" w:w="2268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Fonte</w:t>
            </w:r>
          </w:p>
        </w:tc>
        <w:tc>
          <w:tcPr>
            <w:tcW w:type="dxa" w:w="2268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Ano</w:t>
            </w:r>
          </w:p>
        </w:tc>
        <w:tc>
          <w:tcPr>
            <w:tcW w:type="dxa" w:w="2268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Relevância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20"/>
              </w:rPr>
              <w:t>1 — Legislação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Lei 12.764/2012 (Berenice Piana)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2012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Política Nacional TEA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20"/>
              </w:rPr>
              <w:t>1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Lei 15.256/2025 (TEA adultos/idosos)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2025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Extensão de direitos 18+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20"/>
              </w:rPr>
              <w:t>1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Lei 13.146/2015 (LBI)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2015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Avaliação biopsicossocial IFBrM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20"/>
              </w:rPr>
              <w:t>1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Lei 10.216/2001 (Reforma Psiquiátrica)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2001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Cuidado em liberdade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20"/>
              </w:rPr>
              <w:t>1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Portaria 2.436/2017 (PNAB)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2017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APS como coordenadora do cuidado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20"/>
              </w:rPr>
              <w:t>1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Portaria 3.088/2011 (RAPS)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2011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Rede de Atenção Psicossocial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20"/>
              </w:rPr>
              <w:t>2 — Diretriz MS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Linha de Cuidado TEA (MS Brasil)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Set/2025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M-CHAT universal, intervenção antes do diagnóstico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20"/>
              </w:rPr>
              <w:t>2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Resolução SES-MG 8.971/2023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2023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Diretrizes TEA no SUS-MG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20"/>
              </w:rPr>
              <w:t>2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CIB-SUS/MG 1.404/2013 (PIPA)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2013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Intervenção precoce alto risco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20"/>
              </w:rPr>
              <w:t>3 — Internacional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mhGAP-OMS (versão portuguesa)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2019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Algoritmos APS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20"/>
              </w:rPr>
              <w:t>3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AAP Hyman et al.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2020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Triagem 18m+24m, tríplice simultâneo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20"/>
              </w:rPr>
              <w:t>3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NICE CG128 (2021 surveillance)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2021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Diagnóstico ≤3 meses</w:t>
            </w:r>
          </w:p>
        </w:tc>
      </w:tr>
    </w:tbl>
    <w:p>
      <w:pPr>
        <w:spacing w:before="0" w:after="160"/>
      </w:pPr>
    </w:p>
    <w:p>
      <w:pPr>
        <w:spacing w:before="120" w:after="120"/>
        <w:pBdr>
          <w:bottom w:val="single" w:sz="12" w:space="4" w:color="BFBFBF"/>
        </w:pBdr>
      </w:pPr>
    </w:p>
    <w:p>
      <w:pPr>
        <w:pStyle w:val="Heading2"/>
        <w:keepNext/>
        <w:widowControl/>
        <w:spacing w:before="360" w:after="200"/>
      </w:pPr>
      <w:r>
        <w:rPr>
          <w:rFonts w:ascii="Aptos Display" w:hAnsi="Aptos Display"/>
          <w:b/>
          <w:color w:val="0E2841"/>
          <w:sz w:val="32"/>
        </w:rPr>
        <w:t>§3. ESPECIFICAÇÕES TÉCNICAS DO PROTOCOLO</w:t>
      </w: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3.1 Estrutura Obrigatória (Template PCC)</w:t>
      </w:r>
    </w:p>
    <w:p>
      <w:pPr>
        <w:widowControl/>
        <w:spacing w:line="276" w:lineRule="auto" w:after="120"/>
      </w:pPr>
      <w:r>
        <w:rPr>
          <w:rFonts w:ascii="Aptos" w:hAnsi="Aptos"/>
          <w:sz w:val="22"/>
        </w:rPr>
        <w:t>O protocolo DEVE seguir a estrutura do template `_Templates/TEMPLATE_PROTOCOLO_PCC.md` adaptada para TEA: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8F8F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000000"/>
                <w:sz w:val="14"/>
              </w:rPr>
              <w:t># PROTOCOLO DE CUIDADO AO TRANSTORNO DO ESPECTRO AUTISTA (TEA) — EXTREMA/MG 2026</w:t>
              <w:br/>
              <w:br/>
              <w:t>## Metadados</w:t>
              <w:br/>
              <w:t>Código: CLI-TEA-2026 | Versão: 1.0 | Vigência: 2026 | Revisão: Jul/2026</w:t>
              <w:br/>
              <w:br/>
              <w:t>## Sumário Clicável</w:t>
              <w:br/>
              <w:br/>
              <w:t>## §1. INTRODUÇÃO E FUNDAMENTAÇÃO TÉCNICA (~300 linhas)</w:t>
              <w:br/>
              <w:t xml:space="preserve">   1.1 Conceito e Classificação (DSM-5-TR 299.00, CID-11 6A02)</w:t>
              <w:br/>
              <w:t xml:space="preserve">   1.2 Epidemiologia (CDC 2025: 1:31; razão 3,4:1; herdabilidade 80-90%)</w:t>
              <w:br/>
              <w:t xml:space="preserve">   1.3 Bases Neurobiológicas (&gt;100 genes, conectividade atípica)</w:t>
              <w:br/>
              <w:t xml:space="preserve">   1.4 Heterogeneidade (linguística, cognitiva, sensorial)</w:t>
              <w:br/>
              <w:t xml:space="preserve">   1.5 Comorbidades (TDAH 30-50%, ansiedade 40-50%, epilepsia até 77,5%)</w:t>
              <w:br/>
              <w:t xml:space="preserve">   1.6 Marco Regulatório (Lei 12.764, Lei 15.256, Portarias MS)</w:t>
              <w:br/>
              <w:t xml:space="preserve">   1.7 Princípios Norteadores (neurodiversidade, pessoa-primeiro, cuidado em liberdade)</w:t>
              <w:br/>
              <w:br/>
              <w:t>## §2. POPULAÇÃO-ALVO E ABRANGÊNCIA (~100 linhas)</w:t>
              <w:br/>
              <w:t xml:space="preserve">   2.1 Critérios DSM-5-TR (A-E)</w:t>
              <w:br/>
              <w:t xml:space="preserve">   2.2 Faixas Etárias (0-3a, 4-12a, 13-17a, 18+a)</w:t>
              <w:br/>
              <w:t xml:space="preserve">   2.3 Níveis de Suporte (1, 2, 3)</w:t>
              <w:br/>
              <w:t xml:space="preserve">   2.4 Aplicabilidade (quem está incluído)</w:t>
              <w:br/>
              <w:t xml:space="preserve">   2.5 Não-Aplicabilidade (com protocolo de destino)</w:t>
              <w:br/>
              <w:br/>
              <w:t>## §3. VIGILÂNCIA E RASTREAMENTO (~350 linhas)</w:t>
              <w:br/>
              <w:t xml:space="preserve">   3.1 Vigilância Universal do Desenvolvimento (puericultura)</w:t>
              <w:br/>
              <w:t xml:space="preserve">   3.2 IRDI (0-18 meses): 31 indicadores, sensibilidade 96,9%</w:t>
              <w:br/>
              <w:t xml:space="preserve">   3.3 M-CHAT-R/F (16-30 meses): 20 itens, Follow-Up, itens críticos 2/5/12</w:t>
              <w:br/>
              <w:t xml:space="preserve">   3.4 Dois Momentos Obrigatórios (18m + 24m) — AAP 2020</w:t>
              <w:br/>
              <w:t xml:space="preserve">   3.5 Populações Especiais (meninas/camuflagem, prematuros, diversidade cultural)</w:t>
              <w:br/>
              <w:t xml:space="preserve">   3.6 Protocolo de Falso-Negativos (M-CHAT negativo + suspeita clínica)</w:t>
              <w:br/>
              <w:t xml:space="preserve">   3.7 Orientações de Estimulação para Famílias</w:t>
              <w:br/>
              <w:t xml:space="preserve">   3.8 Registro Obrigatório e-SUS PEC</w:t>
              <w:br/>
              <w:br/>
              <w:t>## §4. FLUXO ASSISTENCIAL NAVEGACIONAL (~500 linhas)</w:t>
              <w:br/>
              <w:t xml:space="preserve">   4.1 Visão Geral (diagrama ASCII)</w:t>
              <w:br/>
              <w:t xml:space="preserve">   4.2 As 4 Portas de Entrada</w:t>
              <w:br/>
              <w:t xml:space="preserve">   4.3 Fluxo na APS (ESF → eMulti → classificação de risco)</w:t>
              <w:br/>
              <w:t xml:space="preserve">   4.4 Checklist Pré-Encaminhamento NIRSM-R (8 itens obrigatórios)</w:t>
              <w:br/>
              <w:t xml:space="preserve">   4.5 NIRSM-R TEA-Específico (composição, fluxo, tempos, critérios devolução)</w:t>
              <w:br/>
              <w:t xml:space="preserve">   4.6 Via Expressa P1 (bypass NIRSM-R para regressão + &lt;36m)</w:t>
              <w:br/>
              <w:t xml:space="preserve">   4.7 Centro Integrar: Protocolo de Recepção e Avaliação</w:t>
              <w:br/>
              <w:t xml:space="preserve">   4.8 Casos que NÃO Requerem Centro Integrar (manejo APS + eMulti)</w:t>
              <w:br/>
              <w:t xml:space="preserve">   ⚡ 4 FLUXOGRAMAS MERMAID (0-3a, 4-12a, 13-17a, 18+a)</w:t>
              <w:br/>
              <w:br/>
              <w:t>## §5. AVALIAÇÃO DIAGNÓSTICA (~250 linhas)</w:t>
              <w:br/>
              <w:t xml:space="preserve">   5.1 Equipe de Avaliação (composição mínima)</w:t>
              <w:br/>
              <w:t xml:space="preserve">   5.2 Componentes (anamnese, observação, instrumentos, exames)</w:t>
              <w:br/>
              <w:t xml:space="preserve">   5.3 Instrumentos com Propriedades Psicométricas (ADOS-2, CARS-2, ADI-R)</w:t>
              <w:br/>
              <w:t xml:space="preserve">   5.4 Diagnóstico Diferencial (DI, TDAH, ansiedade, seletivismo alimentar)</w:t>
              <w:br/>
              <w:t xml:space="preserve">   5.5 Avaliação Funcional IFBrM (LBI)</w:t>
              <w:br/>
              <w:t xml:space="preserve">   5.6 Classificação Final (CID-11, nível de suporte, cor de risco)</w:t>
              <w:br/>
              <w:br/>
              <w:t>## §6. ESTRATIFICAÇÃO DE RISCO E PRIORIZAÇÃO (~200 linhas)</w:t>
              <w:br/>
              <w:t xml:space="preserve">   6.1 Sistema de 6 Cores TEA-Específico</w:t>
              <w:br/>
              <w:t xml:space="preserve">   6.2 Regras de Majoração TEA</w:t>
              <w:br/>
              <w:t xml:space="preserve">   6.3 Regras de Minoração TEA</w:t>
              <w:br/>
              <w:t xml:space="preserve">   6.4 Mapeamento Cores ↔ Prioridades (P1/P2/P3)</w:t>
              <w:br/>
              <w:t xml:space="preserve">   6.5 Tabela de Decisão Rápida</w:t>
              <w:br/>
              <w:br/>
              <w:t>## §7. INTERVENÇÃO TERAPÊUTICA E PTS (~350 linhas)</w:t>
              <w:br/>
              <w:t xml:space="preserve">   7.1 PTS Preliminar Pré-Diagnóstico (MS 2025) — ⚡ INOVAÇÃO</w:t>
              <w:br/>
              <w:t xml:space="preserve">   7.2 Algoritmo de Seleção de Intervenção (perfil → abordagem → intensidade)</w:t>
              <w:br/>
              <w:t xml:space="preserve">   7.3 Matriz de Intervenção (idade × nível × linguagem → intervenção → local → responsável)</w:t>
              <w:br/>
              <w:t xml:space="preserve">   7.4 Matriz RACI: APS vs. Centro Integrar</w:t>
              <w:br/>
              <w:t xml:space="preserve">   7.5 PTS Definitivo (4 momentos, metas SMART 30/90/&gt;90d)</w:t>
              <w:br/>
              <w:t xml:space="preserve">   7.6 Cronograma de Reavaliação</w:t>
              <w:br/>
              <w:t xml:space="preserve">   7.7 Medicação (sintomático, não tratamento TEA)</w:t>
              <w:br/>
              <w:br/>
              <w:t>## §8. RESPONSABILIDADES POR PONTO DE ATENÇÃO (~200 linhas)</w:t>
              <w:br/>
              <w:t xml:space="preserve">   8.1 ESF (médico, enfermeiro, ACS)</w:t>
              <w:br/>
              <w:t xml:space="preserve">   8.2 eMulti (psicólogo, TO, fono, assistente social)</w:t>
              <w:br/>
              <w:t xml:space="preserve">   8.3 NIRSM-R (coordenador, membro rotativo)</w:t>
              <w:br/>
              <w:t xml:space="preserve">   8.4 Centro Integrar (equipe avaliação, equipe intervenção)</w:t>
              <w:br/>
              <w:t xml:space="preserve">   8.5 CAPS I (crises, transtornos graves comórbidos)</w:t>
              <w:br/>
              <w:t xml:space="preserve">   8.6 Rede Intersetorial (Educação PSE/AEE, CRAS/CREAS, 3º setor)</w:t>
              <w:br/>
              <w:t xml:space="preserve">   8.7 Família e Pessoa com TEA (co-responsabilização)</w:t>
              <w:br/>
              <w:br/>
              <w:t>## §9. CONTRARREFERÊNCIA E CUIDADO LONGITUDINAL (~200 linhas)</w:t>
              <w:br/>
              <w:t xml:space="preserve">   9.1 Critérios de Contrarreferência (7 critérios com responsável)</w:t>
              <w:br/>
              <w:t xml:space="preserve">   9.2 Protocolo Pós-Contrarreferência (15d ESF, 30d eMulti, trimestral 12m)</w:t>
              <w:br/>
              <w:t xml:space="preserve">   9.3 Protocolo Consulta Trimestral APS</w:t>
              <w:br/>
              <w:t xml:space="preserve">   9.4 Transição para Vida Adulta (Lei 15.256/2025)</w:t>
              <w:br/>
              <w:t xml:space="preserve">   9.5 Critérios de Re-Encaminhamento ao Centro Integrar</w:t>
              <w:br/>
              <w:t xml:space="preserve">   9.6 Fluxo de Retorno</w:t>
              <w:br/>
              <w:br/>
              <w:t>## §10. INDICADORES E MONITORAMENTO (~150 linhas)</w:t>
              <w:br/>
              <w:t xml:space="preserve">   10.1 Indicadores de Processo (4 indicadores, mensal)</w:t>
              <w:br/>
              <w:t xml:space="preserve">   10.2 Indicadores de Resultado (5 indicadores, trimestral)</w:t>
              <w:br/>
              <w:t xml:space="preserve">   10.3 Indicadores de Estrutura (4 indicadores, anual)</w:t>
              <w:br/>
              <w:t xml:space="preserve">   10.4 Fluxo de Consolidação (responsável, dashboard, PDCA)</w:t>
              <w:br/>
              <w:t xml:space="preserve">   10.5 Indicador de Satisfação das Famílias (semestral)</w:t>
              <w:br/>
              <w:br/>
              <w:t>## ANEXOS</w:t>
              <w:br/>
              <w:t xml:space="preserve">   A — M-CHAT-R/F Completo (20 itens + Follow-Up) + Cartão de Bolso</w:t>
              <w:br/>
              <w:t xml:space="preserve">   B — IRDI (31 indicadores, 4 eixos)</w:t>
              <w:br/>
              <w:t xml:space="preserve">   C — Sinais de Alerta para ACS (material campo)</w:t>
              <w:br/>
              <w:t xml:space="preserve">   D — IFBrM (formulário com domínios)</w:t>
              <w:br/>
              <w:t xml:space="preserve">   E — Checklist Pré-Encaminhamento NIRSM-R TEA</w:t>
              <w:br/>
              <w:t xml:space="preserve">   F — Modelo PTS Preliminar TEA</w:t>
              <w:br/>
              <w:t xml:space="preserve">   G — Modelo PTS Definitivo TEA</w:t>
              <w:br/>
              <w:t xml:space="preserve">   H — Glossário e Siglas</w:t>
              <w:br/>
              <w:t xml:space="preserve">   I — Referências (40+ Vancouver com DOIs)</w:t>
              <w:br/>
              <w:t xml:space="preserve">   J — Histórico de Revisões</w:t>
            </w:r>
          </w:p>
        </w:tc>
      </w:tr>
    </w:tbl>
    <w:p>
      <w:pPr>
        <w:spacing w:before="0" w:after="160"/>
      </w:pP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3.2 Fluxogramas Mermaid (4 obrigatórios)</w:t>
      </w:r>
    </w:p>
    <w:p>
      <w:pPr>
        <w:widowControl/>
        <w:spacing w:line="276" w:lineRule="auto" w:after="120"/>
      </w:pPr>
      <w:r>
        <w:rPr>
          <w:rFonts w:ascii="Aptos" w:hAnsi="Aptos"/>
          <w:sz w:val="22"/>
        </w:rPr>
        <w:t xml:space="preserve">Gerar </w:t>
      </w:r>
      <w:r>
        <w:rPr>
          <w:rFonts w:ascii="Aptos" w:hAnsi="Aptos"/>
          <w:b/>
          <w:sz w:val="22"/>
        </w:rPr>
        <w:t>4 fluxogramas Mermaid</w:t>
      </w:r>
      <w:r>
        <w:rPr>
          <w:rFonts w:ascii="Aptos" w:hAnsi="Aptos"/>
          <w:sz w:val="22"/>
        </w:rPr>
        <w:t xml:space="preserve"> por faixa etária. Cada fluxograma DEVE incluir:</w:t>
      </w:r>
    </w:p>
    <w:p>
      <w:pPr>
        <w:pStyle w:val="ListBullet"/>
        <w:spacing w:after="60"/>
      </w:pPr>
      <w:r>
        <w:rPr>
          <w:rFonts w:ascii="Aptos" w:hAnsi="Aptos"/>
          <w:b/>
          <w:sz w:val="22"/>
        </w:rPr>
        <w:t>Decisões em losango</w:t>
      </w:r>
      <w:r>
        <w:rPr>
          <w:rFonts w:ascii="Aptos" w:hAnsi="Aptos"/>
          <w:sz w:val="22"/>
        </w:rPr>
        <w:t xml:space="preserve"> (condições sim/não)</w:t>
      </w:r>
    </w:p>
    <w:p>
      <w:pPr>
        <w:pStyle w:val="ListBullet"/>
        <w:spacing w:after="60"/>
      </w:pPr>
      <w:r>
        <w:rPr>
          <w:rFonts w:ascii="Aptos" w:hAnsi="Aptos"/>
          <w:b/>
          <w:sz w:val="22"/>
        </w:rPr>
        <w:t>Responsável por cor:</w:t>
      </w:r>
      <w:r>
        <w:rPr>
          <w:rFonts w:ascii="Aptos" w:hAnsi="Aptos"/>
          <w:sz w:val="22"/>
        </w:rPr>
        <w:t xml:space="preserve"> verde=ESF, azul=eMulti, roxo=NIRSM-R, vermelho=Centro Integrar</w:t>
      </w:r>
    </w:p>
    <w:p>
      <w:pPr>
        <w:pStyle w:val="ListBullet"/>
        <w:spacing w:after="60"/>
      </w:pPr>
      <w:r>
        <w:rPr>
          <w:rFonts w:ascii="Aptos" w:hAnsi="Aptos"/>
          <w:b/>
          <w:sz w:val="22"/>
        </w:rPr>
        <w:t>Tempo máximo</w:t>
      </w:r>
      <w:r>
        <w:rPr>
          <w:rFonts w:ascii="Aptos" w:hAnsi="Aptos"/>
          <w:sz w:val="22"/>
        </w:rPr>
        <w:t xml:space="preserve"> por etapa (ex.: "≤30d" para P1)</w:t>
      </w:r>
    </w:p>
    <w:p>
      <w:pPr>
        <w:pStyle w:val="ListBullet"/>
        <w:spacing w:after="60"/>
      </w:pPr>
      <w:r>
        <w:rPr>
          <w:rFonts w:ascii="Aptos" w:hAnsi="Aptos"/>
          <w:b/>
          <w:sz w:val="22"/>
        </w:rPr>
        <w:t>Critérios de passagem</w:t>
      </w:r>
      <w:r>
        <w:rPr>
          <w:rFonts w:ascii="Aptos" w:hAnsi="Aptos"/>
          <w:sz w:val="22"/>
        </w:rPr>
        <w:t xml:space="preserve"> entre etapas</w:t>
      </w:r>
    </w:p>
    <w:p>
      <w:pPr>
        <w:pStyle w:val="ListBullet"/>
        <w:spacing w:after="60"/>
      </w:pPr>
      <w:r>
        <w:rPr>
          <w:rFonts w:ascii="Aptos" w:hAnsi="Aptos"/>
          <w:b/>
          <w:sz w:val="22"/>
        </w:rPr>
        <w:t>PTS Preliminar</w:t>
      </w:r>
      <w:r>
        <w:rPr>
          <w:rFonts w:ascii="Aptos" w:hAnsi="Aptos"/>
          <w:sz w:val="22"/>
        </w:rPr>
        <w:t xml:space="preserve"> destacado visualmente como inovação</w:t>
      </w: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Modelo para Fluxograma 0-3 anos: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8F8F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000000"/>
                <w:sz w:val="14"/>
              </w:rPr>
              <w:t>flowchart TD</w:t>
              <w:br/>
              <w:t xml:space="preserve">    subgraph VIGILÂNCIA["🏥 VIGILÂNCIA UNIVERSAL — APS"]</w:t>
              <w:br/>
              <w:t xml:space="preserve">        A["Puericultura&lt;br/&gt;ESF/ACS&lt;br/&gt;📋 Desenvolvimento"]</w:t>
              <w:br/>
              <w:t xml:space="preserve">        B{"IRDI 0-18m&lt;br/&gt;2+ ausentes?"}</w:t>
              <w:br/>
              <w:t xml:space="preserve">        C{"M-CHAT 16-30m&lt;br/&gt;≥3 pontos?"}</w:t>
              <w:br/>
              <w:t xml:space="preserve">    end</w:t>
              <w:br/>
              <w:br/>
              <w:t xml:space="preserve">    subgraph RASTREIO["🔍 RASTREIO ESTRUTURADO"]</w:t>
              <w:br/>
              <w:t xml:space="preserve">        D["Follow-Up presencial&lt;br/&gt;ESF/eMulti&lt;br/&gt;⏱️ ≤15 dias"]</w:t>
              <w:br/>
              <w:t xml:space="preserve">        E{"Follow-Up&lt;br/&gt;positivo?"}</w:t>
              <w:br/>
              <w:t xml:space="preserve">    end</w:t>
              <w:br/>
              <w:br/>
              <w:t xml:space="preserve">    subgraph CLASSIFICAÇÃO["⚠️ CLASSIFICAÇÃO DE RISCO"]</w:t>
              <w:br/>
              <w:t xml:space="preserve">        F["Classificação 6 Cores&lt;br/&gt;eMulti + ESF"]</w:t>
              <w:br/>
              <w:t xml:space="preserve">        G["🔴 Regressão/&lt;br/&gt;autolesão"]</w:t>
              <w:br/>
              <w:t xml:space="preserve">        H["🟠 Sinais evidentes&lt;br/&gt;&lt;24m + comorbidade"]</w:t>
              <w:br/>
              <w:t xml:space="preserve">        I["🟡 M-CHAT+ confirmado&lt;br/&gt;+ vulnerabilidade"]</w:t>
              <w:br/>
              <w:t xml:space="preserve">    end</w:t>
              <w:br/>
              <w:br/>
              <w:t xml:space="preserve">    subgraph PTS_PRELIMINAR["⚡ PTS PRELIMINAR — Inovação MS 2025"]</w:t>
              <w:br/>
              <w:t xml:space="preserve">        J["PTS antes do diagnóstico&lt;br/&gt;ESF + eMulti + Família&lt;br/&gt;Metas 30d"]</w:t>
              <w:br/>
              <w:t xml:space="preserve">        K["Intervenção APS imediata&lt;br/&gt;Orientação parental&lt;br/&gt;Estimulação domiciliar"]</w:t>
              <w:br/>
              <w:t xml:space="preserve">    end</w:t>
              <w:br/>
              <w:br/>
              <w:t xml:space="preserve">    subgraph REGULAÇÃO["📋 REGULAÇÃO"]</w:t>
              <w:br/>
              <w:t xml:space="preserve">        L["Checklist 8 itens&lt;br/&gt;Preenchido?"]</w:t>
              <w:br/>
              <w:t xml:space="preserve">        M["P1 — VIA EXPRESSA&lt;br/&gt;⏱️ Direto Centro Integrar"]</w:t>
              <w:br/>
              <w:t xml:space="preserve">        N["P2/P3 — NIRSM-R&lt;br/&gt;⏱️ Análise ≤7d P1 / ≤15d P2"]</w:t>
              <w:br/>
              <w:t xml:space="preserve">    end</w:t>
              <w:br/>
              <w:br/>
              <w:t xml:space="preserve">    subgraph ESPECIALIZADA["🎯 CENTRO INTEGRAR"]</w:t>
              <w:br/>
              <w:t xml:space="preserve">        O["Avaliação diagnóstica&lt;br/&gt;DSM-5-TR + IFBrM&lt;br/&gt;⏱️ ≤30d P1 / ≤90d P2"]</w:t>
              <w:br/>
              <w:t xml:space="preserve">        P["PTS Definitivo&lt;br/&gt;Intervenção 15-25h/sem"]</w:t>
              <w:br/>
              <w:t xml:space="preserve">    end</w:t>
              <w:br/>
              <w:br/>
              <w:t xml:space="preserve">    subgraph LONGITUDINAL["🟢 CUIDADO LONGITUDINAL"]</w:t>
              <w:br/>
              <w:t xml:space="preserve">        Q["Contrarreferência APS&lt;br/&gt;ESF = gestor de caso"]</w:t>
              <w:br/>
              <w:t xml:space="preserve">        R["Consulta trimestral&lt;br/&gt;Reclassificação risco"]</w:t>
              <w:br/>
              <w:t xml:space="preserve">    end</w:t>
              <w:br/>
              <w:br/>
              <w:t xml:space="preserve">    A --&gt; B</w:t>
              <w:br/>
              <w:t xml:space="preserve">    A --&gt; C</w:t>
              <w:br/>
              <w:t xml:space="preserve">    B --&gt;|"Não"| A</w:t>
              <w:br/>
              <w:t xml:space="preserve">    B --&gt;|"Sim"| D</w:t>
              <w:br/>
              <w:t xml:space="preserve">    C --&gt;|"0-2 Baixo"| A</w:t>
              <w:br/>
              <w:t xml:space="preserve">    C --&gt;|"≥3"| D</w:t>
              <w:br/>
              <w:br/>
              <w:t xml:space="preserve">    D --&gt; E</w:t>
              <w:br/>
              <w:t xml:space="preserve">    E --&gt;|"Não"| S["Vigilância ampliada até 36m"]</w:t>
              <w:br/>
              <w:t xml:space="preserve">    E --&gt;|"Sim"| F</w:t>
              <w:br/>
              <w:br/>
              <w:t xml:space="preserve">    F --&gt; G</w:t>
              <w:br/>
              <w:t xml:space="preserve">    F --&gt; H</w:t>
              <w:br/>
              <w:t xml:space="preserve">    F --&gt; I</w:t>
              <w:br/>
              <w:br/>
              <w:t xml:space="preserve">    G --&gt; J</w:t>
              <w:br/>
              <w:t xml:space="preserve">    H --&gt; J</w:t>
              <w:br/>
              <w:t xml:space="preserve">    I --&gt; J</w:t>
              <w:br/>
              <w:br/>
              <w:t xml:space="preserve">    J --&gt; K</w:t>
              <w:br/>
              <w:t xml:space="preserve">    K --&gt; L</w:t>
              <w:br/>
              <w:br/>
              <w:t xml:space="preserve">    L --&gt;|"Incompleto"| L</w:t>
              <w:br/>
              <w:t xml:space="preserve">    G --&gt; M</w:t>
              <w:br/>
              <w:t xml:space="preserve">    H --&gt; M</w:t>
              <w:br/>
              <w:t xml:space="preserve">    I --&gt; N</w:t>
              <w:br/>
              <w:br/>
              <w:t xml:space="preserve">    M --&gt; O</w:t>
              <w:br/>
              <w:t xml:space="preserve">    N --&gt; O</w:t>
              <w:br/>
              <w:t xml:space="preserve">    O --&gt; P</w:t>
              <w:br/>
              <w:t xml:space="preserve">    P --&gt;|"6-12 meses"| Q</w:t>
              <w:br/>
              <w:t xml:space="preserve">    Q --&gt; R</w:t>
              <w:br/>
              <w:br/>
              <w:t xml:space="preserve">    style A fill:#90EE90,stroke:#2E7D32</w:t>
              <w:br/>
              <w:t xml:space="preserve">    style D fill:#90EE90,stroke:#2E7D32</w:t>
              <w:br/>
              <w:t xml:space="preserve">    style F fill:#87CEEB,stroke:#1565C0</w:t>
              <w:br/>
              <w:t xml:space="preserve">    style J fill:#FFD700,stroke:#F57F17,stroke-width:3px</w:t>
              <w:br/>
              <w:t xml:space="preserve">    style K fill:#FFD700,stroke:#F57F17</w:t>
              <w:br/>
              <w:t xml:space="preserve">    style N fill:#CE93D8,stroke:#7B1FA2</w:t>
              <w:br/>
              <w:t xml:space="preserve">    style O fill:#EF9A9A,stroke:#C62828</w:t>
              <w:br/>
              <w:t xml:space="preserve">    style P fill:#EF9A9A,stroke:#C62828</w:t>
              <w:br/>
              <w:t xml:space="preserve">    style Q fill:#90EE90,stroke:#2E7D32</w:t>
            </w:r>
          </w:p>
        </w:tc>
      </w:tr>
    </w:tbl>
    <w:p>
      <w:pPr>
        <w:spacing w:before="0" w:after="160"/>
      </w:pP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Gerar fluxogramas equivalentes para:</w:t>
      </w:r>
    </w:p>
    <w:p>
      <w:pPr>
        <w:pStyle w:val="ListBullet"/>
        <w:spacing w:after="60"/>
      </w:pPr>
      <w:r>
        <w:rPr>
          <w:rFonts w:ascii="Aptos" w:hAnsi="Aptos"/>
          <w:b/>
          <w:sz w:val="22"/>
        </w:rPr>
        <w:t>4-12 anos:</w:t>
      </w:r>
      <w:r>
        <w:rPr>
          <w:rFonts w:ascii="Aptos" w:hAnsi="Aptos"/>
          <w:sz w:val="22"/>
        </w:rPr>
        <w:t xml:space="preserve"> Portas de entrada (escola, demanda espontânea, CRAS) → APS → diagnóstico diferencial → NIRSM-R → Centro Integrar → Intervenção → Escola inclusiva</w:t>
      </w:r>
    </w:p>
    <w:p>
      <w:pPr>
        <w:pStyle w:val="ListBullet"/>
        <w:spacing w:after="60"/>
      </w:pPr>
      <w:r>
        <w:rPr>
          <w:rFonts w:ascii="Aptos" w:hAnsi="Aptos"/>
          <w:b/>
          <w:sz w:val="22"/>
        </w:rPr>
        <w:t>13-17 anos:</w:t>
      </w:r>
      <w:r>
        <w:rPr>
          <w:rFonts w:ascii="Aptos" w:hAnsi="Aptos"/>
          <w:sz w:val="22"/>
        </w:rPr>
        <w:t xml:space="preserve"> Adolescência → desafios específicos (identidade, bullying, transição) → APS → avaliação → intervenção com foco social/pré-vocacional → preparação transição adulto</w:t>
      </w:r>
    </w:p>
    <w:p>
      <w:pPr>
        <w:pStyle w:val="ListBullet"/>
        <w:spacing w:after="60"/>
      </w:pPr>
      <w:r>
        <w:rPr>
          <w:rFonts w:ascii="Aptos" w:hAnsi="Aptos"/>
          <w:b/>
          <w:sz w:val="22"/>
        </w:rPr>
        <w:t>18+ anos:</w:t>
      </w:r>
      <w:r>
        <w:rPr>
          <w:rFonts w:ascii="Aptos" w:hAnsi="Aptos"/>
          <w:sz w:val="22"/>
        </w:rPr>
        <w:t xml:space="preserve"> Adultos (Lei 15.256/2025) → diagnóstico tardio → avaliação funcional IFBrM → CAPS/CREAS → autonomia → trabalho protegido → manutenção</w:t>
      </w: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3.3 Sistema de 6 Cores TEA-Específico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8F8F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000000"/>
                <w:sz w:val="14"/>
              </w:rPr>
              <w:t>classificação_risco_tea:</w:t>
              <w:br/>
              <w:t xml:space="preserve">  🔴_VERMELHO:</w:t>
              <w:br/>
              <w:t xml:space="preserve">    critérios:</w:t>
              <w:br/>
              <w:t xml:space="preserve">      - Regressão linguística súbita (perda &gt;5 palavras em &lt;3 meses)</w:t>
              <w:br/>
              <w:t xml:space="preserve">      - Autolesão grave ou risco iminente</w:t>
              <w:br/>
              <w:t xml:space="preserve">      - Epilepsia descompensada + TEA</w:t>
              <w:br/>
              <w:t xml:space="preserve">    conduta: "P1 — Via expressa Centro Integrar ≤30d"</w:t>
              <w:br/>
              <w:t xml:space="preserve">    majoração: "Automática se cumulativo com vulnerabilidade social extrema"</w:t>
              <w:br/>
              <w:br/>
              <w:t xml:space="preserve">  🟠_LARANJA:</w:t>
              <w:br/>
              <w:t xml:space="preserve">    critérios:</w:t>
              <w:br/>
              <w:t xml:space="preserve">      - Sinais evidentes TEA &lt;24 meses</w:t>
              <w:br/>
              <w:t xml:space="preserve">      - Comorbidade grave (epilepsia refratária, DI severa)</w:t>
              <w:br/>
              <w:t xml:space="preserve">      - M-CHAT alto risco (8-20) + &lt;36 meses</w:t>
              <w:br/>
              <w:t xml:space="preserve">    conduta: "P1 — NIRSM-R ≤7d → Centro Integrar ≤30d"</w:t>
              <w:br/>
              <w:br/>
              <w:t xml:space="preserve">  🟡_AMARELO:</w:t>
              <w:br/>
              <w:t xml:space="preserve">    critérios:</w:t>
              <w:br/>
              <w:t xml:space="preserve">      - M-CHAT moderado (3-7) confirmado Follow-Up</w:t>
              <w:br/>
              <w:t xml:space="preserve">      - Suspeita clínica fundamentada sem urgência</w:t>
              <w:br/>
              <w:t xml:space="preserve">      - Alta vulnerabilidade social (CadÚnico sem CRAS)</w:t>
              <w:br/>
              <w:t xml:space="preserve">    conduta: "P2 — NIRSM-R ≤15d → Centro Integrar ≤90d"</w:t>
              <w:br/>
              <w:br/>
              <w:t xml:space="preserve">  🟢_VERDE:</w:t>
              <w:br/>
              <w:t xml:space="preserve">    critérios:</w:t>
              <w:br/>
              <w:t xml:space="preserve">      - Triagem negativa com fatores de risco (irmão TEA, prematuridade)</w:t>
              <w:br/>
              <w:t xml:space="preserve">      - ASD nível 1 com boa resposta a grupos APS</w:t>
              <w:br/>
              <w:t xml:space="preserve">      - Diagnóstico confirmado, estável, em acompanhamento APS</w:t>
              <w:br/>
              <w:t xml:space="preserve">    conduta: "Vigilância ampliada APS — Reavaliação 6 meses"</w:t>
              <w:br/>
              <w:br/>
              <w:t xml:space="preserve">  🔵_AZUL:</w:t>
              <w:br/>
              <w:t xml:space="preserve">    critérios:</w:t>
              <w:br/>
              <w:t xml:space="preserve">      - Diagnóstico confirmado, estável</w:t>
              <w:br/>
              <w:t xml:space="preserve">      - PTS com metas alcançadas &gt;70%</w:t>
              <w:br/>
              <w:t xml:space="preserve">      - Contrarreferência adequada recebida</w:t>
              <w:br/>
              <w:t xml:space="preserve">    conduta: "Cuidado longitudinal APS — Consulta trimestral"</w:t>
              <w:br/>
              <w:br/>
              <w:t xml:space="preserve">  ⚪_BRANCO:</w:t>
              <w:br/>
              <w:t xml:space="preserve">    critérios:</w:t>
              <w:br/>
              <w:t xml:space="preserve">      - Alta clínica do protocolo TEA</w:t>
              <w:br/>
              <w:t xml:space="preserve">      - Reclassificação para vigilância geral</w:t>
              <w:br/>
              <w:t xml:space="preserve">    conduta: "Vigilância geral do desenvolvimento — Sem protocolo TEA ativo"</w:t>
              <w:br/>
              <w:br/>
              <w:t>regras_majoração_tea:</w:t>
              <w:br/>
              <w:t xml:space="preserve">  - "Regressão linguística após 18 meses → +2 níveis (automático)"</w:t>
              <w:br/>
              <w:t xml:space="preserve">  - "Epilepsia + TEA → +1 nível"</w:t>
              <w:br/>
              <w:t xml:space="preserve">  - "Vulnerabilidade social extrema (CadÚnico sem CRAS) → +1 nível"</w:t>
              <w:br/>
              <w:t xml:space="preserve">  - "Evasão escolar + nível de suporte 2-3 → +1 nível"</w:t>
              <w:br/>
              <w:t xml:space="preserve">  - "Acesso a meios letais + ideação suicida → automaticamente 🔴"</w:t>
              <w:br/>
              <w:br/>
              <w:t>regras_minoração_tea:</w:t>
              <w:br/>
              <w:t xml:space="preserve">  - "Resposta rápida à intervenção mediada por pais (&gt;80% adesão, progresso em 90d) → -1 nível"</w:t>
              <w:br/>
              <w:t xml:space="preserve">  - "Rede de apoio forte (família estruturada + CRAS + escola inclusiva com AEE) → -1 nível"</w:t>
              <w:br/>
              <w:t xml:space="preserve">  - "Inclusão escolar efetiva com PEI implementado → -1 nível (com justificativa)"</w:t>
            </w:r>
          </w:p>
        </w:tc>
      </w:tr>
    </w:tbl>
    <w:p>
      <w:pPr>
        <w:spacing w:before="0" w:after="160"/>
      </w:pP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3.4 Critérios de Escalonamento APS → Centro Integrar</w:t>
      </w: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Checklist pré-encaminhamento (8 itens OBRIGATÓRIOS):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8F8F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000000"/>
                <w:sz w:val="15"/>
              </w:rPr>
              <w:t>CHECKLIST PRÉ-ENCAMINHAMENTO NIRSM-R — TEA</w:t>
              <w:br/>
              <w:br/>
              <w:t>□ 1. Avaliação dupla concluída (ESF + eMulti)</w:t>
              <w:br/>
              <w:t>□ 2. M-CHAT-R/F completo (com Follow-Up se ≥3)</w:t>
              <w:br/>
              <w:t>□ 3. Relatório técnico com: histórico do desenvolvimento, sinais atuais,</w:t>
              <w:br/>
              <w:t xml:space="preserve">      comorbidades, contexto familiar/escolar</w:t>
              <w:br/>
              <w:t>□ 4. Classificação de risco (cor) + justificativa</w:t>
              <w:br/>
              <w:t>□ 5. PTS Preliminar elaborado (mesmo sem diagnóstico)</w:t>
              <w:br/>
              <w:t>□ 6. Intervenções APS tentadas: mínimo 3 meses de manejo OU evidência</w:t>
              <w:br/>
              <w:t xml:space="preserve">      documentada de não-resposta (para P2/P3; P1 isento deste critério)</w:t>
              <w:br/>
              <w:t>□ 7. Priorização P1/P2/P3 justificada com critérios clínicos</w:t>
              <w:br/>
              <w:t>□ 8. Família orientada sobre próximos passos e prazos</w:t>
              <w:br/>
              <w:br/>
              <w:t>ATENÇÃO: Encaminhamento com checklist incompleto será devolvido pelo NIRSM-R</w:t>
              <w:br/>
              <w:t>com orientações específicas para complementação.</w:t>
            </w:r>
          </w:p>
        </w:tc>
      </w:tr>
    </w:tbl>
    <w:p>
      <w:pPr>
        <w:spacing w:before="0" w:after="160"/>
      </w:pP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Casos que NÃO requerem Centro Integrar (manejo APS + eMulti):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M-CHAT baixo risco (0-2) sem sinais clínicos adicionais → vigilância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ASD nível 1 confirmado com boa resposta a grupos de habilidades sociais na APS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Diagnóstico estável, risco verde/azul, sem intercorrências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Reavaliação de rotina (6 meses) sem alteração de nível</w:t>
      </w: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3.5 P1/P2/P3 para TEA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268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2268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Prazo</w:t>
            </w:r>
          </w:p>
        </w:tc>
        <w:tc>
          <w:tcPr>
            <w:tcW w:type="dxa" w:w="2268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Critérios TEA-Específicos</w:t>
            </w:r>
          </w:p>
        </w:tc>
        <w:tc>
          <w:tcPr>
            <w:tcW w:type="dxa" w:w="2268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Exemplo Clínico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20"/>
              </w:rPr>
              <w:t>P1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≤30 dias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Regressão linguística/comportamental súbita; autolesão grave; epilepsia descompensada + sinais TEA; &lt;24m + M-CHAT alto risco (8-20)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Criança 20m, falava 10 palavras, parou há 2 meses + autoagressão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20"/>
              </w:rPr>
              <w:t>P2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≤90 dias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M-CHAT+ confirmado Follow-Up + idade &lt;36m; sinais evidentes + vulnerabilidade social; comorbidade moderada-grave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Criança 24m, M-CHAT 12/20, sem fala, família CadÚnico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b/>
                <w:sz w:val="20"/>
              </w:rPr>
              <w:t>P3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≤180 dias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Suspeita clínica sem urgência + idade &gt;36m; reavaliação diagnóstica pós-intervenção; diagnóstico diferencial complexo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Criança 6 anos, dificuldades sociais, linguagem preservada, escola reporta isolamento</w:t>
            </w:r>
          </w:p>
        </w:tc>
      </w:tr>
    </w:tbl>
    <w:p>
      <w:pPr>
        <w:spacing w:before="0" w:after="160"/>
      </w:pP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3.6 NIRSM-R TEA-Específico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8F8F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000000"/>
                <w:sz w:val="14"/>
              </w:rPr>
              <w:t>nirsm_r_tea:</w:t>
              <w:br/>
              <w:t xml:space="preserve">  composição:</w:t>
              <w:br/>
              <w:t xml:space="preserve">    coordenador: "Psicólogo ou médico com experiência TEA"</w:t>
              <w:br/>
              <w:t xml:space="preserve">    membro_rotativo: "Profissional eMulti (rodízio mensal)"</w:t>
              <w:br/>
              <w:t xml:space="preserve">    apoio_administrativo: "Agendamento, SISREG"</w:t>
              <w:br/>
              <w:br/>
              <w:t xml:space="preserve">  fluxo_análise:</w:t>
              <w:br/>
              <w:t xml:space="preserve">    1_receber: "Referência da APS (checklist completo)"</w:t>
              <w:br/>
              <w:t xml:space="preserve">    2_analisar: "Análise técnica: ≤7 dias úteis (P1) ou ≤15 dias (P2/P3)"</w:t>
              <w:br/>
              <w:t xml:space="preserve">    3_decidir:</w:t>
              <w:br/>
              <w:t xml:space="preserve">      a: "Autorizar vaga Centro Integrar (P1/P2/P3)"</w:t>
              <w:br/>
              <w:t xml:space="preserve">      b: "Devolver para APS com orientações de manejo"</w:t>
              <w:br/>
              <w:t xml:space="preserve">      c: "Solicitar informações complementares (prazo 10 dias)"</w:t>
              <w:br/>
              <w:t xml:space="preserve">    4_comunicar: "Família e ESF notificados em ≤48h após decisão"</w:t>
              <w:br/>
              <w:br/>
              <w:t xml:space="preserve">  critérios_devolução:</w:t>
              <w:br/>
              <w:t xml:space="preserve">    - "Checklist pré-encaminhamento incompleto"</w:t>
              <w:br/>
              <w:t xml:space="preserve">    - "Intervenções APS não tentadas (encaminhamento prematuro) — exceto P1"</w:t>
              <w:br/>
              <w:t xml:space="preserve">    - "Risco verde/azul sem justificativa clínica"</w:t>
              <w:br/>
              <w:t xml:space="preserve">    - "Ausência de PTS Preliminar"</w:t>
              <w:br/>
              <w:br/>
              <w:t xml:space="preserve">  via_expressa_p1:</w:t>
              <w:br/>
              <w:t xml:space="preserve">    critérios: "Regressão + &lt;36 meses OU autolesão grave OU epilepsia descompensada"</w:t>
              <w:br/>
              <w:t xml:space="preserve">    fluxo: "Encaminhamento direto Centro Integrar — NIRSM-R recebe cópia e valida retrospectivamente"</w:t>
              <w:br/>
              <w:t xml:space="preserve">    justificativa: "Evitar delay clinicamente significativo em janela de neuroplasticidade"</w:t>
              <w:br/>
              <w:br/>
              <w:t xml:space="preserve">  indicadores_desempenho:</w:t>
              <w:br/>
              <w:t xml:space="preserve">    - "Tempo médio análise: ≤7d (P1), ≤15d (P2/P3)"</w:t>
              <w:br/>
              <w:t xml:space="preserve">    - "Taxa devolução: &lt;20% (indica qualidade das referências APS)"</w:t>
              <w:br/>
              <w:t xml:space="preserve">    - "Taxa autorização: monitorar para detectar sub/super-encaminhamento"</w:t>
            </w:r>
          </w:p>
        </w:tc>
      </w:tr>
    </w:tbl>
    <w:p>
      <w:pPr>
        <w:spacing w:before="0" w:after="160"/>
      </w:pP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3.7 Matriz de Intervenção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/>
        </w:trPr>
        <w:tc>
          <w:tcPr>
            <w:tcW w:type="dxa" w:w="1296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Idade</w:t>
            </w:r>
          </w:p>
        </w:tc>
        <w:tc>
          <w:tcPr>
            <w:tcW w:type="dxa" w:w="1296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Nível Suporte</w:t>
            </w:r>
          </w:p>
        </w:tc>
        <w:tc>
          <w:tcPr>
            <w:tcW w:type="dxa" w:w="1296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Linguagem</w:t>
            </w:r>
          </w:p>
        </w:tc>
        <w:tc>
          <w:tcPr>
            <w:tcW w:type="dxa" w:w="1296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Intervenção Primária</w:t>
            </w:r>
          </w:p>
        </w:tc>
        <w:tc>
          <w:tcPr>
            <w:tcW w:type="dxa" w:w="1296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Intensidade</w:t>
            </w:r>
          </w:p>
        </w:tc>
        <w:tc>
          <w:tcPr>
            <w:tcW w:type="dxa" w:w="1296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Local</w:t>
            </w:r>
          </w:p>
        </w:tc>
        <w:tc>
          <w:tcPr>
            <w:tcW w:type="dxa" w:w="1296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0-3a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Nível 3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Ausente/mínima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ESDM ou PRT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15-25h/sem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Centro Integrar + domicílio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TO + Fono + Psicólogo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0-3a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Nível 2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Emergente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Parent-mediated (Hanen) + PECS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10-15h/sem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UBS + domicílio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eMulti + família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0-3a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Nível 1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Funcional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Orientação parental + estimulação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5-10h/sem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UBS + domicílio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ESF + família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4-6a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Nível 2-3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Funcional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Grupos habilidades sociais + PECS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10-15h/sem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Centro Integrar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Psicólogo + TO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4-6a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Nível 1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Adequada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Grupos sociais + suporte escolar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5-10h/sem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UBS + escola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eMulti + AEE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7-12a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Nível 2-3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Variável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TEACCH + integração sensorial + grupos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10-15h/sem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Centro Integrar + escola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Equipe CI + AEE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7-12a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Nível 1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Adequada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Grupos sociais + apoio acadêmico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3-5h/sem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Escola + UBS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eMulti + AEE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13-17a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Nível 1-2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Adequada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Habilidades sociais + pré-vocacional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3-5h/sem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CAPS i + CRAS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Psicólogo + AS</w:t>
            </w:r>
          </w:p>
        </w:tc>
      </w:tr>
      <w:tr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18+a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Qualquer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Qualquer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Manutenção + autonomia + trabalho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2-5h/sem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CAPS + CREAS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Téc. Referência CAPS</w:t>
            </w:r>
          </w:p>
        </w:tc>
      </w:tr>
    </w:tbl>
    <w:p>
      <w:pPr>
        <w:spacing w:before="0" w:after="160"/>
      </w:pP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Base científica obrigatória: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ESDM: Tryfon et al. 2022 (g=0,36, 33 ECRs, n=2.581) [Ref. 17]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Parent-mediated: Sandbank et al. 2023 (efeitos mantidos 12m+) [Ref. 18]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PRT: Tryfon et al. 2022 (g=0,42) [Ref. 17]</w:t>
      </w: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3.8 PTS Preliminar (Inovação MS 2025)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8F8F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000000"/>
                <w:sz w:val="14"/>
              </w:rPr>
              <w:t>pts_preliminar:</w:t>
              <w:br/>
              <w:t xml:space="preserve">  conceito: "PTS elaborado ANTES da confirmação diagnóstica para iniciar intervenção</w:t>
              <w:br/>
              <w:t xml:space="preserve">    sem esperar. Alinhado com MS 2025 e janela de neuroplasticidade 0-3 anos."</w:t>
              <w:br/>
              <w:br/>
              <w:t xml:space="preserve">  quando_elaborar:</w:t>
              <w:br/>
              <w:t xml:space="preserve">    - "M-CHAT-R/F positivo confirmado com Follow-Up"</w:t>
              <w:br/>
              <w:t xml:space="preserve">    - "IRDI com 2+ indicadores ausentes + sinais clínicos adicionais"</w:t>
              <w:br/>
              <w:t xml:space="preserve">    - "Suspeita clínica fundamentada (mesmo sem instrumento formal)"</w:t>
              <w:br/>
              <w:br/>
              <w:t xml:space="preserve">  quatro_momentos:</w:t>
              <w:br/>
              <w:t xml:space="preserve">    1_diagnóstico_situacional:</w:t>
              <w:br/>
              <w:t xml:space="preserve">      - "Desenvolvimento atual (marcos, regressões)"</w:t>
              <w:br/>
              <w:t xml:space="preserve">      - "Contexto familiar (rede de apoio, renda, escolaridade cuidadores)"</w:t>
              <w:br/>
              <w:t xml:space="preserve">      - "Barreiras de acesso (transporte, horários, linguísticas)"</w:t>
              <w:br/>
              <w:t xml:space="preserve">    2_metas_smart:</w:t>
              <w:br/>
              <w:t xml:space="preserve">      curto_prazo_30d: "Ex: Família treinada em 3 estratégias de comunicação"</w:t>
              <w:br/>
              <w:t xml:space="preserve">      médio_prazo_90d: "Ex: Aumento de contato visual em brincadeira (observação estruturada)"</w:t>
              <w:br/>
              <w:t xml:space="preserve">      longo_prazo_gt90d: "Ex: Primeiras palavras funcionais OU sistema AAC implementado"</w:t>
              <w:br/>
              <w:t xml:space="preserve">    3_responsabilidades:</w:t>
              <w:br/>
              <w:t xml:space="preserve">      esf: "Vigilância mensal, articulação com escola/CRAS"</w:t>
              <w:br/>
              <w:t xml:space="preserve">      emulti: "Intervenção 2x/semana (orientação parental, estimulação)"</w:t>
              <w:br/>
              <w:t xml:space="preserve">      família: "Aplicar estratégias domiciliares diariamente (registro)"</w:t>
              <w:br/>
              <w:t xml:space="preserve">      educação: "Adaptações no berçário/creche (se aplicável)"</w:t>
              <w:br/>
              <w:t xml:space="preserve">    4_reavaliação: "A cada 30 dias durante espera diagnóstica"</w:t>
            </w:r>
          </w:p>
        </w:tc>
      </w:tr>
    </w:tbl>
    <w:p>
      <w:pPr>
        <w:spacing w:before="0" w:after="160"/>
      </w:pP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3.9 Critérios de Contrarreferência Centro Integrar → APS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268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2268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Responsável Monitoramento</w:t>
            </w:r>
          </w:p>
        </w:tc>
        <w:tc>
          <w:tcPr>
            <w:tcW w:type="dxa" w:w="2268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Indicador de Verificação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1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Diagnóstico confirmado e classificado (nível suporte + CID-11)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Centro Integrar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Relatório diagnóstico completo entregue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2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PTS definitivo elaborado com metas 6-12 meses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Centro Integrar + ESF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PTS assinado por ≥3 atores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3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Intervenção intensiva concluída (mínimo 6 meses)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Centro Integrar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Relatório de progresso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4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Família treinada em estratégias de manejo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eMulti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Checklist de competências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5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Rede intersetorial ativada (Educação + CRAS)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ESF (gestor de caso)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PEI escolar + PAIF ativo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6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Risco estabilizado (verde ou azul)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eMulti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Reclassificação documentada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7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APS com capacidade de acompanhamento longitudinal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Coordenação APS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eMulti disponível</w:t>
            </w:r>
          </w:p>
        </w:tc>
      </w:tr>
    </w:tbl>
    <w:p>
      <w:pPr>
        <w:spacing w:before="0" w:after="160"/>
      </w:pP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Protocolo pós-contrarreferência: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15 dias: Consulta ESF (acolhimento, revisão PTS)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30 dias: Consulta eMulti (reavaliação funcional)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Trimestral: Monitoramento 12 meses (consulta padronizada)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Semestral: Reclassificação de risco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Retorno ao Centro Integrar se: piora clínica, nova comorbidade, transição etária (adolescência), perda de rede de apoio</w:t>
      </w: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3.10 Indicadores de Qualidade (13 indicadores)</w:t>
      </w: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Processo (mensal):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/>
        </w:trPr>
        <w:tc>
          <w:tcPr>
            <w:tcW w:type="dxa" w:w="1814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#</w:t>
            </w:r>
          </w:p>
        </w:tc>
        <w:tc>
          <w:tcPr>
            <w:tcW w:type="dxa" w:w="1814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1814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1814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1814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Fonte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1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Cobertura triagem M-CHAT 18-30m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(Crianças triadas 18-30m / Total crianças 18-30m cadastradas) × 100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≥95%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e-SUS APS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2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Tempo médio análise NIRSM-R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Σ(Data decisão - Data recebimento) / N referências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≤7d (P1), ≤15d (P2/P3)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SISREG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3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Completude checklist pré-encaminhamento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(Encaminhamentos completos / Total encaminhamentos) × 100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≥90%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Auditoria NIRSM-R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4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Taxa de Follow-Up realizado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(Follow-Up realizados / M-CHAT ≥3) × 100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≥95%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e-SUS APS</w:t>
            </w:r>
          </w:p>
        </w:tc>
      </w:tr>
    </w:tbl>
    <w:p>
      <w:pPr>
        <w:spacing w:before="0" w:after="160"/>
      </w:pP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Resultado (trimestral):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/>
        </w:trPr>
        <w:tc>
          <w:tcPr>
            <w:tcW w:type="dxa" w:w="1814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#</w:t>
            </w:r>
          </w:p>
        </w:tc>
        <w:tc>
          <w:tcPr>
            <w:tcW w:type="dxa" w:w="1814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1814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1814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1814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Fonte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5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Crianças &lt;3a em intervenção ≤6m pós-triagem+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(Em intervenção ≤6m / M-CHAT+ confirmados) × 100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≥80%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Centro Integrar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6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Alcance de metas PTS 30d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(Metas 30d alcançadas / Total metas 30d) × 100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≥70%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Reavaliação PTS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7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Contrarreferência adequada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(Contrarref. com 7 critérios / Total contrarref.) × 100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≥80%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Auditoria ESF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8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PTS com participação da família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(PTS com família / Total PTS) × 100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≥90%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PTS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9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Reclassificação de risco no prazo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(Reclassificações no prazo / Reclassificações devidas) × 100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≥85%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e-SUS APS</w:t>
            </w:r>
          </w:p>
        </w:tc>
      </w:tr>
    </w:tbl>
    <w:p>
      <w:pPr>
        <w:spacing w:before="0" w:after="160"/>
      </w:pP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Estrutura (anual):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/>
        </w:trPr>
        <w:tc>
          <w:tcPr>
            <w:tcW w:type="dxa" w:w="1814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#</w:t>
            </w:r>
          </w:p>
        </w:tc>
        <w:tc>
          <w:tcPr>
            <w:tcW w:type="dxa" w:w="1814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1814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1814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1814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Fonte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10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Profissionais capacitados ESDM/PRT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N com certificação / Total Centro Integrar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≥60%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RH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11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Profissionais APS capacitados TEA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N com capacitação ≥20h / Total ESF+eMulti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≥80%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Educação Permanente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12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Tempo médio triagem → intervenção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Σ(Data 1ª intervenção - Data M-CHAT+) / N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≤6 meses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e-SUS + CI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13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Satisfação das famílias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Pesquisa semestral (escala 1-10)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≥7/10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Pesquisa SMS</w:t>
            </w:r>
          </w:p>
        </w:tc>
      </w:tr>
    </w:tbl>
    <w:p>
      <w:pPr>
        <w:spacing w:before="0" w:after="160"/>
      </w:pP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Consolidação:</w:t>
      </w:r>
      <w:r>
        <w:rPr>
          <w:rFonts w:ascii="Aptos" w:hAnsi="Aptos"/>
          <w:sz w:val="22"/>
        </w:rPr>
        <w:t xml:space="preserve"> Coordenação de Saúde Mental exporta dashboard trimestral para Secretaria. Indicador abaixo da meta → análise causal → ação corretiva → reavaliação (ciclo PDCA).</w:t>
      </w:r>
    </w:p>
    <w:p>
      <w:pPr>
        <w:spacing w:before="120" w:after="120"/>
        <w:pBdr>
          <w:bottom w:val="single" w:sz="12" w:space="4" w:color="BFBFBF"/>
        </w:pBdr>
      </w:pPr>
    </w:p>
    <w:p>
      <w:pPr>
        <w:pStyle w:val="Heading2"/>
        <w:keepNext/>
        <w:widowControl/>
        <w:spacing w:before="360" w:after="200"/>
      </w:pPr>
      <w:r>
        <w:rPr>
          <w:rFonts w:ascii="Aptos Display" w:hAnsi="Aptos Display"/>
          <w:b/>
          <w:color w:val="0E2841"/>
          <w:sz w:val="32"/>
        </w:rPr>
        <w:t>§4. DADOS E CONTEXTOS A INJETAR</w:t>
      </w: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4.1 Evidência Científica Prioritária</w:t>
      </w:r>
    </w:p>
    <w:p>
      <w:pPr>
        <w:widowControl/>
        <w:spacing w:line="276" w:lineRule="auto" w:after="120"/>
      </w:pPr>
      <w:r>
        <w:rPr>
          <w:rFonts w:ascii="Aptos" w:hAnsi="Aptos"/>
          <w:sz w:val="22"/>
        </w:rPr>
        <w:t>Cada referência abaixo DEVE ser citada na seção indicada do protocolo: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Referência</w:t>
            </w:r>
          </w:p>
        </w:tc>
        <w:tc>
          <w:tcPr>
            <w:tcW w:type="dxa" w:w="3024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Dado-Chave</w:t>
            </w:r>
          </w:p>
        </w:tc>
        <w:tc>
          <w:tcPr>
            <w:tcW w:type="dxa" w:w="3024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Citar em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Shaw et al. CDC MMWR, Abr/2025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Prevalência 1:31 (3,2%); razão 3,4:1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§1.2 Epidemiologia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Losapio et al. J Autism Dev Disord, 2023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M-CHAT-R/F BR: Sens 88,2%, Espec 75%, α 0,88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§3.3 M-CHAT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Santos et al. Clinics, 2024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ADOS-2 AUC 0,92; CARS-2 α 0,94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§5.3 Instrumentos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Tryfon et al. Dev Med Child Neurol, 2022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33 ECRs, n=2.581; ESDM g=0,36; PRT g=0,42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§7.2 Algoritmo intervenção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Sandbank et al. J Speech Lang Hear Res, 2023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Parent-mediated mantém efeitos 12m+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§7.3 Matriz intervenção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Tick et al. J Child Psychol Psychiatry, 2016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Herdabilidade 80-90%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§1.3 Neurobiologia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Pierce et al. JAMA Pediatrics, 2019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Estabilidade diagnóstica desde 12 meses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§5 Avaliação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Lord et al. Nat Rev Dis Primers, 2020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Review TEA (classificação, heterogeneidade)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§1.1 Conceito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Hull et al. J Autism Dev Disord, 2017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Camuflagem social feminina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§3.5 Populações especiais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Ozonoff et al. Autism Res, 2018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Padrões início: precoce 70%, regressão 25-30%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§1.4 Heterogeneidade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Hyman et al. Pediatrics, 2020 (AAP)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Triagem 18m+24m; tríplice simultâneo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§3.4 Dois momentos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NICE CG128 (2021 surveillance)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Diagnóstico ≤3 meses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§5 Avaliação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mhGAP-OMS 2019 (português)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Algoritmos APS; parent-skills training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§7, §8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MS Brasil Linha Cuidado TEA, Set/2025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Universal M-CHAT; intervenção antes diagnóstico; PTS obrigatório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§3, §4, §7</w:t>
            </w:r>
          </w:p>
        </w:tc>
      </w:tr>
    </w:tbl>
    <w:p>
      <w:pPr>
        <w:spacing w:before="0" w:after="160"/>
      </w:pP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4.2 Legislação Brasileira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Lei/Portaria</w:t>
            </w:r>
          </w:p>
        </w:tc>
        <w:tc>
          <w:tcPr>
            <w:tcW w:type="dxa" w:w="3024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Artigo Relevante</w:t>
            </w:r>
          </w:p>
        </w:tc>
        <w:tc>
          <w:tcPr>
            <w:tcW w:type="dxa" w:w="3024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60" w:before="60"/>
            </w:pPr>
            <w:r>
              <w:rPr>
                <w:rFonts w:ascii="Aptos" w:hAnsi="Aptos"/>
                <w:b/>
                <w:color w:val="FFFFFF"/>
                <w:sz w:val="20"/>
              </w:rPr>
              <w:t>Citar em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Lei 12.764/2012 (Berenice Piana)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Art. 2º — direitos (diagnóstico precoce, medicamentos, nutrição)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§1.6, §8.5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Lei 15.256/2025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Extensão de direitos a adultos e idosos com TEA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§1.6, §9.4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Lei 13.146/2015 (LBI)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Art. 2º — avaliação biopsicossocial IFBrM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§5.5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Lei 10.216/2001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Art. 2º — cuidado em liberdade, base comunitária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§1.7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Portaria 2.436/2017 (PNAB)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APS como coordenadora do cuidado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2F2F2"/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§4.3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Portaria 3.088/2011 (RAPS)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Componentes da rede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Aptos" w:hAnsi="Aptos"/>
                <w:sz w:val="20"/>
              </w:rPr>
              <w:t>§1.6, §8</w:t>
            </w:r>
          </w:p>
        </w:tc>
      </w:tr>
    </w:tbl>
    <w:p>
      <w:pPr>
        <w:spacing w:before="0" w:after="160"/>
      </w:pP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4.3 Dados Locais Extrema-MG</w:t>
      </w:r>
    </w:p>
    <w:p>
      <w:pPr>
        <w:widowControl/>
        <w:spacing w:line="276" w:lineRule="auto" w:after="120"/>
      </w:pPr>
      <w:r>
        <w:rPr>
          <w:rFonts w:ascii="Aptos" w:hAnsi="Aptos"/>
          <w:sz w:val="22"/>
        </w:rPr>
        <w:t>Inserir nos contextos relevantes: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8 ESF + 2 eMulti → cobertura ~85%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Centro Integrar: ~40 atendimentos/mês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NIRSM-R: ~60 análises/mês (todas condições SM)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12 escolas municipais com AEE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2 CRAS + 1 CREAS (cobertura territorial completa)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Prevalência estimada: ~115 pessoas com TEA (CDC 1:31 aplicado a população pediátrica)</w:t>
      </w:r>
    </w:p>
    <w:p>
      <w:pPr>
        <w:spacing w:before="120" w:after="120"/>
        <w:pBdr>
          <w:bottom w:val="single" w:sz="12" w:space="4" w:color="BFBFBF"/>
        </w:pBdr>
      </w:pPr>
    </w:p>
    <w:p>
      <w:pPr>
        <w:pStyle w:val="Heading2"/>
        <w:keepNext/>
        <w:widowControl/>
        <w:spacing w:before="360" w:after="200"/>
      </w:pPr>
      <w:r>
        <w:rPr>
          <w:rFonts w:ascii="Aptos Display" w:hAnsi="Aptos Display"/>
          <w:b/>
          <w:color w:val="0E2841"/>
          <w:sz w:val="32"/>
        </w:rPr>
        <w:t>§5. RESTRIÇÕES E REQUISITOS TÉCNICOS</w:t>
      </w: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5.1 Idioma e Formatação</w:t>
      </w:r>
    </w:p>
    <w:p>
      <w:pPr>
        <w:pStyle w:val="ListBullet"/>
        <w:spacing w:after="60"/>
      </w:pPr>
      <w:r>
        <w:rPr>
          <w:rFonts w:ascii="Aptos" w:hAnsi="Aptos"/>
          <w:b/>
          <w:sz w:val="22"/>
        </w:rPr>
        <w:t>Idioma:</w:t>
      </w:r>
      <w:r>
        <w:rPr>
          <w:rFonts w:ascii="Aptos" w:hAnsi="Aptos"/>
          <w:sz w:val="22"/>
        </w:rPr>
        <w:t xml:space="preserve"> Português brasileiro (pt-BR)</w:t>
      </w:r>
    </w:p>
    <w:p>
      <w:pPr>
        <w:pStyle w:val="ListBullet"/>
        <w:spacing w:after="60"/>
      </w:pPr>
      <w:r>
        <w:rPr>
          <w:rFonts w:ascii="Aptos" w:hAnsi="Aptos"/>
          <w:b/>
          <w:sz w:val="22"/>
        </w:rPr>
        <w:t>Formato:</w:t>
      </w:r>
      <w:r>
        <w:rPr>
          <w:rFonts w:ascii="Aptos" w:hAnsi="Aptos"/>
          <w:sz w:val="22"/>
        </w:rPr>
        <w:t xml:space="preserve"> GitHub Flavored Markdown + Mermaid compatível</w:t>
      </w:r>
    </w:p>
    <w:p>
      <w:pPr>
        <w:pStyle w:val="ListBullet"/>
        <w:spacing w:after="60"/>
      </w:pPr>
      <w:r>
        <w:rPr>
          <w:rFonts w:ascii="Aptos" w:hAnsi="Aptos"/>
          <w:b/>
          <w:sz w:val="22"/>
        </w:rPr>
        <w:t>Referências:</w:t>
      </w:r>
      <w:r>
        <w:rPr>
          <w:rFonts w:ascii="Aptos" w:hAnsi="Aptos"/>
          <w:sz w:val="22"/>
        </w:rPr>
        <w:t xml:space="preserve"> Vancouver (ICMJE) com DOIs quando disponíveis</w:t>
      </w:r>
    </w:p>
    <w:p>
      <w:pPr>
        <w:pStyle w:val="ListBullet"/>
        <w:spacing w:after="60"/>
      </w:pPr>
      <w:r>
        <w:rPr>
          <w:rFonts w:ascii="Aptos" w:hAnsi="Aptos"/>
          <w:b/>
          <w:sz w:val="22"/>
        </w:rPr>
        <w:t>Extensão:</w:t>
      </w:r>
      <w:r>
        <w:rPr>
          <w:rFonts w:ascii="Aptos" w:hAnsi="Aptos"/>
          <w:sz w:val="22"/>
        </w:rPr>
        <w:t xml:space="preserve"> ~2.500 linhas (±10%) — seções 1.500-2.000 + anexos 500-1.000</w:t>
      </w:r>
    </w:p>
    <w:p>
      <w:pPr>
        <w:pStyle w:val="ListBullet"/>
        <w:spacing w:after="60"/>
      </w:pPr>
      <w:r>
        <w:rPr>
          <w:rFonts w:ascii="Aptos" w:hAnsi="Aptos"/>
          <w:b/>
          <w:sz w:val="22"/>
        </w:rPr>
        <w:t>Tabelas:</w:t>
      </w:r>
      <w:r>
        <w:rPr>
          <w:rFonts w:ascii="Aptos" w:hAnsi="Aptos"/>
          <w:sz w:val="22"/>
        </w:rPr>
        <w:t xml:space="preserve"> Preferir tabelas sobre prosa para decisões rápidas</w:t>
      </w: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5.2 Vocabulário Obrigatório</w:t>
      </w:r>
    </w:p>
    <w:p>
      <w:pPr>
        <w:pStyle w:val="ListBullet"/>
        <w:spacing w:after="60"/>
      </w:pPr>
      <w:r>
        <w:rPr>
          <w:rFonts w:ascii="Aptos" w:hAnsi="Aptos"/>
          <w:b/>
          <w:sz w:val="22"/>
        </w:rPr>
        <w:t>Pessoa-primeiro sempre:</w:t>
      </w:r>
      <w:r>
        <w:rPr>
          <w:rFonts w:ascii="Aptos" w:hAnsi="Aptos"/>
          <w:sz w:val="22"/>
        </w:rPr>
        <w:t xml:space="preserve"> "pessoa com TEA", "criança com TEA" — nunca "autista" como substantivo</w:t>
      </w:r>
    </w:p>
    <w:p>
      <w:pPr>
        <w:pStyle w:val="ListBullet"/>
        <w:spacing w:after="60"/>
      </w:pPr>
      <w:r>
        <w:rPr>
          <w:rFonts w:ascii="Aptos" w:hAnsi="Aptos"/>
          <w:b/>
          <w:sz w:val="22"/>
        </w:rPr>
        <w:t>Destigmatizante:</w:t>
      </w:r>
      <w:r>
        <w:rPr>
          <w:rFonts w:ascii="Aptos" w:hAnsi="Aptos"/>
          <w:sz w:val="22"/>
        </w:rPr>
        <w:t xml:space="preserve"> "condição do neurodesenvolvimento" — nunca "doença", "portador", "acometido"</w:t>
      </w:r>
    </w:p>
    <w:p>
      <w:pPr>
        <w:pStyle w:val="ListBullet"/>
        <w:spacing w:after="60"/>
      </w:pPr>
      <w:r>
        <w:rPr>
          <w:rFonts w:ascii="Aptos" w:hAnsi="Aptos"/>
          <w:b/>
          <w:sz w:val="22"/>
        </w:rPr>
        <w:t>Regulatório:</w:t>
      </w:r>
      <w:r>
        <w:rPr>
          <w:rFonts w:ascii="Aptos" w:hAnsi="Aptos"/>
          <w:sz w:val="22"/>
        </w:rPr>
        <w:t xml:space="preserve"> Citar Lei Berenice Piana, CIPTEA (Carteira de Identificação), BPC-LOAS quando pertinente</w:t>
      </w:r>
    </w:p>
    <w:p>
      <w:pPr>
        <w:pStyle w:val="ListBullet"/>
        <w:spacing w:after="60"/>
      </w:pPr>
      <w:r>
        <w:rPr>
          <w:rFonts w:ascii="Aptos" w:hAnsi="Aptos"/>
          <w:b/>
          <w:sz w:val="22"/>
        </w:rPr>
        <w:t>Neurodiversidade:</w:t>
      </w:r>
      <w:r>
        <w:rPr>
          <w:rFonts w:ascii="Aptos" w:hAnsi="Aptos"/>
          <w:sz w:val="22"/>
        </w:rPr>
        <w:t xml:space="preserve"> Reconhecer variação neurológica sem patologizar — alinhar com Reforma Psiquiátrica</w:t>
      </w: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5.3 Qualidade Narrativa</w:t>
      </w:r>
    </w:p>
    <w:p>
      <w:pPr>
        <w:pStyle w:val="ListBullet"/>
        <w:spacing w:after="60"/>
      </w:pPr>
      <w:r>
        <w:rPr>
          <w:rFonts w:ascii="Aptos" w:hAnsi="Aptos"/>
          <w:b/>
          <w:sz w:val="22"/>
        </w:rPr>
        <w:t>BLUF:</w:t>
      </w:r>
      <w:r>
        <w:rPr>
          <w:rFonts w:ascii="Aptos" w:hAnsi="Aptos"/>
          <w:sz w:val="22"/>
        </w:rPr>
        <w:t xml:space="preserve"> Cada seção inicia com resumo executivo (2-3 parágrafos)</w:t>
      </w:r>
    </w:p>
    <w:p>
      <w:pPr>
        <w:pStyle w:val="ListBullet"/>
        <w:spacing w:after="60"/>
      </w:pPr>
      <w:r>
        <w:rPr>
          <w:rFonts w:ascii="Aptos" w:hAnsi="Aptos"/>
          <w:b/>
          <w:sz w:val="22"/>
        </w:rPr>
        <w:t>Densidade informacional alta:</w:t>
      </w:r>
      <w:r>
        <w:rPr>
          <w:rFonts w:ascii="Aptos" w:hAnsi="Aptos"/>
          <w:sz w:val="22"/>
        </w:rPr>
        <w:t xml:space="preserve"> Sem clichês ("é importante lembrar que..."), jargão não explicado, referências vagas ("estudos mostram...")</w:t>
      </w:r>
    </w:p>
    <w:p>
      <w:pPr>
        <w:pStyle w:val="ListBullet"/>
        <w:spacing w:after="60"/>
      </w:pPr>
      <w:r>
        <w:rPr>
          <w:rFonts w:ascii="Aptos" w:hAnsi="Aptos"/>
          <w:b/>
          <w:sz w:val="22"/>
        </w:rPr>
        <w:t>Conexões explícitas:</w:t>
      </w:r>
      <w:r>
        <w:rPr>
          <w:rFonts w:ascii="Aptos" w:hAnsi="Aptos"/>
          <w:sz w:val="22"/>
        </w:rPr>
        <w:t xml:space="preserve"> "Conforme §3.2...", "Este passo articula-se com §7.1..."</w:t>
      </w:r>
    </w:p>
    <w:p>
      <w:pPr>
        <w:pStyle w:val="ListBullet"/>
        <w:spacing w:after="60"/>
      </w:pPr>
      <w:r>
        <w:rPr>
          <w:rFonts w:ascii="Aptos" w:hAnsi="Aptos"/>
          <w:b/>
          <w:sz w:val="22"/>
        </w:rPr>
        <w:t>Progressão:</w:t>
      </w:r>
      <w:r>
        <w:rPr>
          <w:rFonts w:ascii="Aptos" w:hAnsi="Aptos"/>
          <w:sz w:val="22"/>
        </w:rPr>
        <w:t xml:space="preserve"> Simples → complexo dentro de cada seção</w:t>
      </w:r>
    </w:p>
    <w:p>
      <w:pPr>
        <w:pStyle w:val="ListBullet"/>
        <w:spacing w:after="60"/>
      </w:pPr>
      <w:r>
        <w:rPr>
          <w:rFonts w:ascii="Aptos" w:hAnsi="Aptos"/>
          <w:b/>
          <w:sz w:val="22"/>
        </w:rPr>
        <w:t>Zero erros de transcrição:</w:t>
      </w:r>
      <w:r>
        <w:rPr>
          <w:rFonts w:ascii="Aptos" w:hAnsi="Aptos"/>
          <w:sz w:val="22"/>
        </w:rPr>
        <w:t xml:space="preserve"> Dados numéricos verificados contra fonte primária</w:t>
      </w: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5.4 Rastreabilidade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Cada afirmação técnica → referência específica (Vancouver)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Cada fluxograma → seção textual correspondente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Cada indicador → fórmula + meta + fonte de dados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Cada responsabilidade → profissional/serviço específico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P1/P2/P3 → prazos idênticos em TODAS as menções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Cores de risco → consistentes em todo o documento</w:t>
      </w: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5.5 Safety Net</w:t>
      </w:r>
    </w:p>
    <w:p>
      <w:pPr>
        <w:widowControl/>
        <w:spacing w:line="276" w:lineRule="auto" w:after="120"/>
      </w:pPr>
      <w:r>
        <w:rPr>
          <w:rFonts w:ascii="Aptos" w:hAnsi="Aptos"/>
          <w:sz w:val="22"/>
        </w:rPr>
        <w:t>Incluir em §1 (Introdução) e em seções de crise/urgência: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8F8F8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000000"/>
                <w:sz w:val="17"/>
              </w:rPr>
              <w:t>⚠️ RECURSOS DE APOIO EM CRISE</w:t>
              <w:br/>
              <w:t>• CVV — 188 (24h, ligação gratuita)</w:t>
              <w:br/>
              <w:t>• SAMU — 192</w:t>
              <w:br/>
              <w:t>• UPA 24h Extrema</w:t>
              <w:br/>
              <w:t>• CAPS I — [telefone local]</w:t>
              <w:br/>
              <w:t>• UBS mais próxima — e-SUS/APS</w:t>
            </w:r>
          </w:p>
        </w:tc>
      </w:tr>
    </w:tbl>
    <w:p>
      <w:pPr>
        <w:spacing w:before="0" w:after="160"/>
      </w:pPr>
    </w:p>
    <w:p>
      <w:pPr>
        <w:spacing w:before="120" w:after="120"/>
        <w:pBdr>
          <w:bottom w:val="single" w:sz="12" w:space="4" w:color="BFBFBF"/>
        </w:pBdr>
      </w:pPr>
    </w:p>
    <w:p>
      <w:pPr>
        <w:pStyle w:val="Heading2"/>
        <w:keepNext/>
        <w:widowControl/>
        <w:spacing w:before="360" w:after="200"/>
      </w:pPr>
      <w:r>
        <w:rPr>
          <w:rFonts w:ascii="Aptos Display" w:hAnsi="Aptos Display"/>
          <w:b/>
          <w:color w:val="0E2841"/>
          <w:sz w:val="32"/>
        </w:rPr>
        <w:t>§6. INSTRUÇÕES DE EXECUÇÃO</w:t>
      </w: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Fase 1: Estrutura e Fundamentação (§1-2)</w:t>
      </w:r>
    </w:p>
    <w:p>
      <w:pPr>
        <w:pStyle w:val="ListNumber"/>
        <w:spacing w:after="60"/>
      </w:pPr>
      <w:r>
        <w:rPr>
          <w:rFonts w:ascii="Aptos" w:hAnsi="Aptos"/>
          <w:sz w:val="22"/>
        </w:rPr>
        <w:t>Criar estrutura completa com 10 seções + Anexos (sumário clicável)</w:t>
      </w:r>
    </w:p>
    <w:p>
      <w:pPr>
        <w:pStyle w:val="ListNumber"/>
        <w:spacing w:after="60"/>
      </w:pPr>
      <w:r>
        <w:rPr>
          <w:rFonts w:ascii="Aptos" w:hAnsi="Aptos"/>
          <w:sz w:val="22"/>
        </w:rPr>
        <w:t>Preencher §1 Introdução (epidemiologia CDC 2025, DSM-5-TR, neurobiologia, marco regulatório)</w:t>
      </w:r>
    </w:p>
    <w:p>
      <w:pPr>
        <w:pStyle w:val="ListNumber"/>
        <w:spacing w:after="60"/>
      </w:pPr>
      <w:r>
        <w:rPr>
          <w:rFonts w:ascii="Aptos" w:hAnsi="Aptos"/>
          <w:sz w:val="22"/>
        </w:rPr>
        <w:t>Preencher §2 População-Alvo (critérios A-E, faixas etárias, níveis suporte)</w:t>
      </w:r>
    </w:p>
    <w:p>
      <w:pPr>
        <w:pStyle w:val="ListNumber"/>
        <w:spacing w:after="60"/>
      </w:pPr>
      <w:r>
        <w:rPr>
          <w:rFonts w:ascii="Aptos" w:hAnsi="Aptos"/>
          <w:b/>
          <w:sz w:val="22"/>
        </w:rPr>
        <w:t>Gate de qualidade:</w:t>
      </w:r>
      <w:r>
        <w:rPr>
          <w:rFonts w:ascii="Aptos" w:hAnsi="Aptos"/>
          <w:sz w:val="22"/>
        </w:rPr>
        <w:t xml:space="preserve"> Verificar todas as referências de §4.1 citadas em §1-2</w:t>
      </w: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Fase 2: Fluxo Clínico (§3-5)</w:t>
      </w:r>
    </w:p>
    <w:p>
      <w:pPr>
        <w:pStyle w:val="ListNumber"/>
        <w:spacing w:after="60"/>
      </w:pPr>
      <w:r>
        <w:rPr>
          <w:rFonts w:ascii="Aptos" w:hAnsi="Aptos"/>
          <w:sz w:val="22"/>
        </w:rPr>
        <w:t>Preencher §3 Vigilância/Rastreamento (IRDI, M-CHAT, Follow-Up, falso-negativos, populações especiais)</w:t>
      </w:r>
    </w:p>
    <w:p>
      <w:pPr>
        <w:pStyle w:val="ListNumber"/>
        <w:spacing w:after="60"/>
      </w:pPr>
      <w:r>
        <w:rPr>
          <w:rFonts w:ascii="Aptos" w:hAnsi="Aptos"/>
          <w:sz w:val="22"/>
        </w:rPr>
        <w:t>Gerar 4 fluxogramas Mermaid (§3.2 deste prompt como modelo)</w:t>
      </w:r>
    </w:p>
    <w:p>
      <w:pPr>
        <w:pStyle w:val="ListNumber"/>
        <w:spacing w:after="60"/>
      </w:pPr>
      <w:r>
        <w:rPr>
          <w:rFonts w:ascii="Aptos" w:hAnsi="Aptos"/>
          <w:sz w:val="22"/>
        </w:rPr>
        <w:t>Preencher §4 Fluxo Assistencial (10 fases, NIRSM-R TEA, via expressa P1, checklist 8 itens)</w:t>
      </w:r>
    </w:p>
    <w:p>
      <w:pPr>
        <w:pStyle w:val="ListNumber"/>
        <w:spacing w:after="60"/>
      </w:pPr>
      <w:r>
        <w:rPr>
          <w:rFonts w:ascii="Aptos" w:hAnsi="Aptos"/>
          <w:sz w:val="22"/>
        </w:rPr>
        <w:t>Preencher §5 Avaliação Diagnóstica (equipe, instrumentos com psicometria, IFBrM)</w:t>
      </w:r>
    </w:p>
    <w:p>
      <w:pPr>
        <w:pStyle w:val="ListNumber"/>
        <w:spacing w:after="60"/>
      </w:pPr>
      <w:r>
        <w:rPr>
          <w:rFonts w:ascii="Aptos" w:hAnsi="Aptos"/>
          <w:b/>
          <w:sz w:val="22"/>
        </w:rPr>
        <w:t>Gate de qualidade:</w:t>
      </w:r>
      <w:r>
        <w:rPr>
          <w:rFonts w:ascii="Aptos" w:hAnsi="Aptos"/>
          <w:sz w:val="22"/>
        </w:rPr>
        <w:t xml:space="preserve"> Fluxogramas têm responsáveis, tempos e critérios de passagem</w:t>
      </w: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Fase 3: Intervenção e Coordenação (§6-9)</w:t>
      </w:r>
    </w:p>
    <w:p>
      <w:pPr>
        <w:pStyle w:val="ListNumber"/>
        <w:spacing w:after="60"/>
      </w:pPr>
      <w:r>
        <w:rPr>
          <w:rFonts w:ascii="Aptos" w:hAnsi="Aptos"/>
          <w:sz w:val="22"/>
        </w:rPr>
        <w:t>Preencher §6 Estratificação de Risco (6 cores, majoração/minoração, mapeamento P1/P2/P3)</w:t>
      </w:r>
    </w:p>
    <w:p>
      <w:pPr>
        <w:pStyle w:val="ListNumber"/>
        <w:spacing w:after="60"/>
      </w:pPr>
      <w:r>
        <w:rPr>
          <w:rFonts w:ascii="Aptos" w:hAnsi="Aptos"/>
          <w:sz w:val="22"/>
        </w:rPr>
        <w:t>Preencher §7 Intervenção e PTS (PTS Preliminar, algoritmo, matriz RACI)</w:t>
      </w:r>
    </w:p>
    <w:p>
      <w:pPr>
        <w:pStyle w:val="ListNumber"/>
        <w:spacing w:after="60"/>
      </w:pPr>
      <w:r>
        <w:rPr>
          <w:rFonts w:ascii="Aptos" w:hAnsi="Aptos"/>
          <w:sz w:val="22"/>
        </w:rPr>
        <w:t>Preencher §8 Responsabilidades (por ponto de atenção e por profissional)</w:t>
      </w:r>
    </w:p>
    <w:p>
      <w:pPr>
        <w:pStyle w:val="ListNumber"/>
        <w:spacing w:after="60"/>
      </w:pPr>
      <w:r>
        <w:rPr>
          <w:rFonts w:ascii="Aptos" w:hAnsi="Aptos"/>
          <w:sz w:val="22"/>
        </w:rPr>
        <w:t>Preencher §9 Contrarreferência (7 critérios, pós-contra, transição adulto)</w:t>
      </w:r>
    </w:p>
    <w:p>
      <w:pPr>
        <w:pStyle w:val="ListNumber"/>
        <w:spacing w:after="60"/>
      </w:pPr>
      <w:r>
        <w:rPr>
          <w:rFonts w:ascii="Aptos" w:hAnsi="Aptos"/>
          <w:b/>
          <w:sz w:val="22"/>
        </w:rPr>
        <w:t>Gate de qualidade:</w:t>
      </w:r>
      <w:r>
        <w:rPr>
          <w:rFonts w:ascii="Aptos" w:hAnsi="Aptos"/>
          <w:sz w:val="22"/>
        </w:rPr>
        <w:t xml:space="preserve"> Matriz RACI sem ambiguidades; PTS Preliminar destacado</w:t>
      </w: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Fase 4: Monitoramento e Anexos (§10 + Anexos)</w:t>
      </w:r>
    </w:p>
    <w:p>
      <w:pPr>
        <w:pStyle w:val="ListNumber"/>
        <w:spacing w:after="60"/>
      </w:pPr>
      <w:r>
        <w:rPr>
          <w:rFonts w:ascii="Aptos" w:hAnsi="Aptos"/>
          <w:sz w:val="22"/>
        </w:rPr>
        <w:t>Preencher §10 Indicadores (13 indicadores com fórmula/meta/fonte/periodicidade/responsável)</w:t>
      </w:r>
    </w:p>
    <w:p>
      <w:pPr>
        <w:pStyle w:val="ListNumber"/>
        <w:spacing w:after="60"/>
      </w:pPr>
      <w:r>
        <w:rPr>
          <w:rFonts w:ascii="Aptos" w:hAnsi="Aptos"/>
          <w:sz w:val="22"/>
        </w:rPr>
        <w:t>Compilar Anexos A-J (escalas, checklists, modelos, glossário)</w:t>
      </w:r>
    </w:p>
    <w:p>
      <w:pPr>
        <w:pStyle w:val="ListNumber"/>
        <w:spacing w:after="60"/>
      </w:pPr>
      <w:r>
        <w:rPr>
          <w:rFonts w:ascii="Aptos" w:hAnsi="Aptos"/>
          <w:sz w:val="22"/>
        </w:rPr>
        <w:t>Consolidar Referências (40+ Vancouver com DOIs)</w:t>
      </w:r>
    </w:p>
    <w:p>
      <w:pPr>
        <w:pStyle w:val="ListNumber"/>
        <w:spacing w:after="60"/>
      </w:pPr>
      <w:r>
        <w:rPr>
          <w:rFonts w:ascii="Aptos" w:hAnsi="Aptos"/>
          <w:b/>
          <w:sz w:val="22"/>
        </w:rPr>
        <w:t>Gate de qualidade:</w:t>
      </w:r>
      <w:r>
        <w:rPr>
          <w:rFonts w:ascii="Aptos" w:hAnsi="Aptos"/>
          <w:sz w:val="22"/>
        </w:rPr>
        <w:t xml:space="preserve"> Todos os indicadores têm periodicidade e responsável</w:t>
      </w:r>
    </w:p>
    <w:p>
      <w:pPr>
        <w:pStyle w:val="Heading3"/>
        <w:keepNext/>
        <w:widowControl/>
        <w:spacing w:before="280" w:after="160"/>
      </w:pPr>
      <w:r>
        <w:rPr>
          <w:rFonts w:ascii="Aptos Display" w:hAnsi="Aptos Display"/>
          <w:b/>
          <w:color w:val="156082"/>
          <w:sz w:val="28"/>
        </w:rPr>
        <w:t>Fase 5: Revisão e Integração</w:t>
      </w:r>
    </w:p>
    <w:p>
      <w:pPr>
        <w:pStyle w:val="ListNumber"/>
        <w:spacing w:after="60"/>
      </w:pPr>
      <w:r>
        <w:rPr>
          <w:rFonts w:ascii="Aptos" w:hAnsi="Aptos"/>
          <w:sz w:val="22"/>
        </w:rPr>
        <w:t>Verificar consistência interna (P1/P2/P3 idênticos em todas as menções)</w:t>
      </w:r>
    </w:p>
    <w:p>
      <w:pPr>
        <w:pStyle w:val="ListNumber"/>
        <w:spacing w:after="60"/>
      </w:pPr>
      <w:r>
        <w:rPr>
          <w:rFonts w:ascii="Aptos" w:hAnsi="Aptos"/>
          <w:sz w:val="22"/>
        </w:rPr>
        <w:t>Adicionar conexões explícitas entre seções ("§3.2 articula-se com §7.1...")</w:t>
      </w:r>
    </w:p>
    <w:p>
      <w:pPr>
        <w:pStyle w:val="ListNumber"/>
        <w:spacing w:after="60"/>
      </w:pPr>
      <w:r>
        <w:rPr>
          <w:rFonts w:ascii="Aptos" w:hAnsi="Aptos"/>
          <w:sz w:val="22"/>
        </w:rPr>
        <w:t>Revisar fluxogramas (cores, responsáveis, tempos alinhados com texto)</w:t>
      </w:r>
    </w:p>
    <w:p>
      <w:pPr>
        <w:pStyle w:val="ListNumber"/>
        <w:spacing w:after="60"/>
      </w:pPr>
      <w:r>
        <w:rPr>
          <w:rFonts w:ascii="Aptos" w:hAnsi="Aptos"/>
          <w:sz w:val="22"/>
        </w:rPr>
        <w:t>Verificar rastreabilidade (cada afirmação → referência)</w:t>
      </w:r>
    </w:p>
    <w:p>
      <w:pPr>
        <w:pStyle w:val="ListNumber"/>
        <w:spacing w:after="60"/>
      </w:pPr>
      <w:r>
        <w:rPr>
          <w:rFonts w:ascii="Aptos" w:hAnsi="Aptos"/>
          <w:b/>
          <w:sz w:val="22"/>
        </w:rPr>
        <w:t>Gate de qualidade final:</w:t>
      </w:r>
      <w:r>
        <w:rPr>
          <w:rFonts w:ascii="Aptos" w:hAnsi="Aptos"/>
          <w:sz w:val="22"/>
        </w:rPr>
        <w:t xml:space="preserve"> Executar checklist completo (§7 abaixo)</w:t>
      </w:r>
    </w:p>
    <w:p>
      <w:pPr>
        <w:spacing w:before="120" w:after="120"/>
        <w:pBdr>
          <w:bottom w:val="single" w:sz="12" w:space="4" w:color="BFBFBF"/>
        </w:pBdr>
      </w:pPr>
    </w:p>
    <w:p>
      <w:pPr>
        <w:pStyle w:val="Heading2"/>
        <w:keepNext/>
        <w:widowControl/>
        <w:spacing w:before="360" w:after="200"/>
      </w:pPr>
      <w:r>
        <w:rPr>
          <w:rFonts w:ascii="Aptos Display" w:hAnsi="Aptos Display"/>
          <w:b/>
          <w:color w:val="0E2841"/>
          <w:sz w:val="32"/>
        </w:rPr>
        <w:t>§7. CHECKLIST DE VALIDAÇÃO FINAL</w:t>
      </w:r>
    </w:p>
    <w:p>
      <w:pPr>
        <w:widowControl/>
        <w:spacing w:line="276" w:lineRule="auto" w:after="120"/>
      </w:pPr>
      <w:r>
        <w:rPr>
          <w:rFonts w:ascii="Aptos" w:hAnsi="Aptos"/>
          <w:sz w:val="22"/>
        </w:rPr>
        <w:t>Executar ANTES de considerar o protocolo concluído:</w:t>
      </w: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Estrutura: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10 seções obrigatórias presentes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Sumário clicável funcional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Metadados completos (código, versão, vigência, revisão)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~2.500 linhas (±10%)</w:t>
      </w: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Fluxogramas: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4 fluxogramas Mermaid (0-3a, 4-12a, 13-17a, 18+a)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Cada fluxograma com: decisões, responsáveis por cor, tempos, critérios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PTS Preliminar destacado visualmente em todos os fluxogramas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Cores de risco consistentes com §6</w:t>
      </w: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Conteúdo Clínico: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DSM-5-TR critérios A-E completos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M-CHAT-R/F com propriedades psicométricas (Losapio 2023)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IRDI 31 indicadores referenciados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Algoritmo de intervenção com base em Tryfon 2022 e Sandbank 2023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IFBrM integrado (Lei 13.146/2015)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Populações especiais (meninas, prematuros, diversidade cultural)</w:t>
      </w: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Fluxo Operacional: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4 portas de entrada definidas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Checklist pré-encaminhamento NIRSM-R (8 itens)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Via expressa P1 (bypass NIRSM-R para regressão + &lt;36m)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NIRSM-R TEA-específico (composição, fluxo, tempos, critérios devolução)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Critérios "quando NÃO encaminhar" (manejo APS)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7 critérios de contrarreferência com responsáveis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Protocolo pós-contrarreferência (15d/30d/trimestral)</w:t>
      </w: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Inovações Preservadas: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PTS Preliminar pré-diagnóstico (MS 2025)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Sistema 6 cores com majoração/minoração TEA-específica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NIRSM-R como gatekeeper qualificador</w:t>
      </w: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Matriz RACI: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Presente para cada fase navegacional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Resolve ambiguidade APS vs. Centro Integrar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Inclui responsabilidades da família</w:t>
      </w: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Indicadores: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13 indicadores com fórmula, meta, fonte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Periodicidade definida (mensal/trimestral/anual)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Responsável por consolidação (Coordenação SM)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Feedback loop (PDCA)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Satisfação das famílias incluído</w:t>
      </w: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Referências: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40+ referências Vancouver com DOIs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Todas as fontes de §4.1 citadas nas seções indicadas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Legislação brasileira completa (§4.2)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Dados numéricos verificados contra fonte primária</w:t>
      </w: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Vocabulário: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Pessoa-primeiro em 100% das menções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Zero diagnósticos como adjetivos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Linguagem destigmatizante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Safety Net Brasil incluído (CVV 188, SAMU 192)</w:t>
      </w: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Consistência: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P1/P2/P3 prazos idênticos em todas as menções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Cores de risco (</w:t>
      </w:r>
      <w:r>
        <w:rPr>
          <w:rFonts w:ascii="Segoe UI Emoji" w:hAnsi="Segoe UI Emoji"/>
          <w:sz w:val="22"/>
        </w:rPr>
        <w:t>🔴</w:t>
      </w:r>
      <w:r>
        <w:rPr>
          <w:rFonts w:ascii="Segoe UI Emoji" w:hAnsi="Segoe UI Emoji"/>
          <w:sz w:val="22"/>
        </w:rPr>
        <w:t>🟠</w:t>
      </w:r>
      <w:r>
        <w:rPr>
          <w:rFonts w:ascii="Segoe UI Emoji" w:hAnsi="Segoe UI Emoji"/>
          <w:sz w:val="22"/>
        </w:rPr>
        <w:t>🟡</w:t>
      </w:r>
      <w:r>
        <w:rPr>
          <w:rFonts w:ascii="Segoe UI Emoji" w:hAnsi="Segoe UI Emoji"/>
          <w:sz w:val="22"/>
        </w:rPr>
        <w:t>🟢</w:t>
      </w:r>
      <w:r>
        <w:rPr>
          <w:rFonts w:ascii="Segoe UI Emoji" w:hAnsi="Segoe UI Emoji"/>
          <w:sz w:val="22"/>
        </w:rPr>
        <w:t>🔵</w:t>
      </w:r>
      <w:r>
        <w:rPr>
          <w:rFonts w:ascii="Segoe UI Emoji" w:hAnsi="Segoe UI Emoji"/>
          <w:sz w:val="22"/>
        </w:rPr>
        <w:t>⚪</w:t>
      </w:r>
      <w:r>
        <w:rPr>
          <w:rFonts w:ascii="Aptos" w:hAnsi="Aptos"/>
          <w:sz w:val="22"/>
        </w:rPr>
        <w:t>) consistentes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Nomenclatura uniforme ("Centro Integrar", não "ambulatório especializado")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Faixas etárias alinhadas (0-3a, 4-12a, 13-17a, 18+a)</w:t>
      </w:r>
    </w:p>
    <w:p>
      <w:pPr>
        <w:pStyle w:val="ListBullet"/>
        <w:spacing w:after="60"/>
      </w:pPr>
      <w:r>
        <w:rPr>
          <w:rFonts w:ascii="Aptos" w:hAnsi="Aptos"/>
          <w:sz w:val="22"/>
        </w:rPr>
        <w:t>[ ] Sem contradições internas</w:t>
      </w:r>
    </w:p>
    <w:p>
      <w:pPr>
        <w:spacing w:before="120" w:after="120"/>
        <w:pBdr>
          <w:bottom w:val="single" w:sz="12" w:space="4" w:color="BFBFBF"/>
        </w:pBdr>
      </w:pP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FIM DO PROMPT DE DESENVOLVIMENTO</w:t>
      </w:r>
    </w:p>
    <w:p>
      <w:pPr>
        <w:widowControl/>
        <w:spacing w:line="276" w:lineRule="auto" w:after="120"/>
      </w:pPr>
      <w:r>
        <w:rPr>
          <w:rFonts w:ascii="Aptos" w:hAnsi="Aptos"/>
          <w:sz w:val="22"/>
        </w:rPr>
        <w:t>Este prompt, quando executado com o modelo Claude Opus 4.6+ e os documentos-base como contexto, deve gerar o `PROTOCOLO_TEA_EXTREMA_2026.md` com as especificações acima.</w:t>
      </w:r>
    </w:p>
    <w:p>
      <w:pPr>
        <w:widowControl/>
        <w:spacing w:line="276" w:lineRule="auto" w:after="120"/>
      </w:pPr>
      <w:r>
        <w:rPr>
          <w:rFonts w:ascii="Aptos" w:hAnsi="Aptos"/>
          <w:b/>
          <w:sz w:val="22"/>
        </w:rPr>
        <w:t>Pós-geração:</w:t>
      </w:r>
    </w:p>
    <w:p>
      <w:pPr>
        <w:pStyle w:val="ListNumber"/>
        <w:spacing w:after="60"/>
      </w:pPr>
      <w:r>
        <w:rPr>
          <w:rFonts w:ascii="Aptos" w:hAnsi="Aptos"/>
          <w:sz w:val="22"/>
        </w:rPr>
        <w:t>Validação técnica por equipe NIRSM-R + Centro Integrar</w:t>
      </w:r>
    </w:p>
    <w:p>
      <w:pPr>
        <w:pStyle w:val="ListNumber"/>
        <w:spacing w:after="60"/>
      </w:pPr>
      <w:r>
        <w:rPr>
          <w:rFonts w:ascii="Aptos" w:hAnsi="Aptos"/>
          <w:sz w:val="22"/>
        </w:rPr>
        <w:t>Consulta com famílias/usuários (co-design)</w:t>
      </w:r>
    </w:p>
    <w:p>
      <w:pPr>
        <w:pStyle w:val="ListNumber"/>
        <w:spacing w:after="60"/>
      </w:pPr>
      <w:r>
        <w:rPr>
          <w:rFonts w:ascii="Aptos" w:hAnsi="Aptos"/>
          <w:sz w:val="22"/>
        </w:rPr>
        <w:t>Revisão regulatória (SES-MG, CIB-SUS)</w:t>
      </w:r>
    </w:p>
    <w:p>
      <w:pPr>
        <w:pStyle w:val="ListNumber"/>
        <w:spacing w:after="60"/>
      </w:pPr>
      <w:r>
        <w:rPr>
          <w:rFonts w:ascii="Aptos" w:hAnsi="Aptos"/>
          <w:sz w:val="22"/>
        </w:rPr>
        <w:t>Piloto 3 meses (3 ESF + 1 eMulti)</w:t>
      </w:r>
    </w:p>
    <w:p>
      <w:pPr>
        <w:pStyle w:val="ListNumber"/>
        <w:spacing w:after="60"/>
      </w:pPr>
      <w:r>
        <w:rPr>
          <w:rFonts w:ascii="Aptos" w:hAnsi="Aptos"/>
          <w:sz w:val="22"/>
        </w:rPr>
        <w:t>Ajustes e publicação oficial</w:t>
      </w:r>
    </w:p>
    <w:p>
      <w:pPr>
        <w:pStyle w:val="ListNumber"/>
        <w:spacing w:after="60"/>
      </w:pPr>
      <w:r>
        <w:rPr>
          <w:rFonts w:ascii="Aptos" w:hAnsi="Aptos"/>
          <w:sz w:val="22"/>
        </w:rPr>
        <w:t>Capacitação das equipes</w:t>
      </w:r>
    </w:p>
    <w:p>
      <w:pPr>
        <w:spacing w:before="120" w:after="120"/>
        <w:pBdr>
          <w:bottom w:val="single" w:sz="12" w:space="4" w:color="BFBFBF"/>
        </w:pBdr>
      </w:pPr>
    </w:p>
    <w:p>
      <w:pPr>
        <w:widowControl/>
        <w:spacing w:line="276" w:lineRule="auto" w:after="120"/>
      </w:pPr>
      <w:r>
        <w:rPr>
          <w:rFonts w:ascii="Aptos" w:hAnsi="Aptos"/>
          <w:i/>
          <w:sz w:val="22"/>
        </w:rPr>
        <w:t>Elaborado com assistência de IA (Claude Opus 4.6, Anthropic). Validação humana obrigatória antes de uso clínico.</w:t>
      </w:r>
    </w:p>
    <w:p>
      <w:r>
        <w:br w:type="page"/>
      </w:r>
    </w:p>
    <w:p>
      <w:pPr>
        <w:spacing w:after="480"/>
        <w:jc w:val="center"/>
      </w:pPr>
      <w:r>
        <w:rPr>
          <w:rFonts w:ascii="Aptos Display" w:hAnsi="Aptos Display"/>
          <w:b/>
          <w:color w:val="0E2841"/>
          <w:sz w:val="36"/>
        </w:rPr>
        <w:t>APROVAÇÃO</w:t>
      </w:r>
    </w:p>
    <w:p>
      <w:pPr>
        <w:spacing w:after="480"/>
      </w:pPr>
      <w:r>
        <w:rPr>
          <w:rFonts w:ascii="Aptos" w:hAnsi="Aptos"/>
          <w:sz w:val="22"/>
        </w:rPr>
        <w:t>Este protocolo foi elaborado pela Coordenação de Saúde Mental da Secretaria Municipal de Saúde de Extrema e aprovado em ___/___/______.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Cargo</w:t>
            </w:r>
          </w:p>
        </w:tc>
        <w:tc>
          <w:tcPr>
            <w:tcW w:type="dxa" w:w="3024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Nome</w:t>
            </w:r>
          </w:p>
        </w:tc>
        <w:tc>
          <w:tcPr>
            <w:tcW w:type="dxa" w:w="3024"/>
            <w:shd w:val="clear" w:color="auto" w:fill="0E2841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Assinatura e Data</w:t>
            </w: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>
              <w:rPr>
                <w:rFonts w:ascii="Aptos" w:hAnsi="Aptos"/>
                <w:sz w:val="20"/>
              </w:rPr>
              <w:t>Secretário(a) Municipal de Saúde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bottom w:val="dotted" w:sz="4" w:space="0" w:color="BFBFBF"/>
            </w:tcBorders>
          </w:tcPr>
          <w:p>
            <w:pPr>
              <w:spacing w:after="480"/>
            </w:pP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bottom w:val="dotted" w:sz="4" w:space="0" w:color="BFBFBF"/>
            </w:tcBorders>
          </w:tcPr>
          <w:p>
            <w:pPr>
              <w:spacing w:after="480"/>
            </w:pP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>
              <w:rPr>
                <w:rFonts w:ascii="Aptos" w:hAnsi="Aptos"/>
                <w:sz w:val="20"/>
              </w:rPr>
              <w:t>Coordenador(a) de Saúde Mental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bottom w:val="dotted" w:sz="4" w:space="0" w:color="BFBFBF"/>
            </w:tcBorders>
          </w:tcPr>
          <w:p>
            <w:pPr>
              <w:spacing w:after="480"/>
            </w:pP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bottom w:val="dotted" w:sz="4" w:space="0" w:color="BFBFBF"/>
            </w:tcBorders>
          </w:tcPr>
          <w:p>
            <w:pPr>
              <w:spacing w:after="480"/>
            </w:pPr>
          </w:p>
        </w:tc>
      </w:tr>
      <w:tr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>
              <w:rPr>
                <w:rFonts w:ascii="Aptos" w:hAnsi="Aptos"/>
                <w:sz w:val="20"/>
              </w:rPr>
              <w:t>Coordenador(a) da Atenção Primária</w:t>
            </w: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bottom w:val="dotted" w:sz="4" w:space="0" w:color="BFBFBF"/>
            </w:tcBorders>
          </w:tcPr>
          <w:p>
            <w:pPr>
              <w:spacing w:after="480"/>
            </w:pPr>
          </w:p>
        </w:tc>
        <w:tc>
          <w:tcPr>
            <w:tcW w:type="dxa" w:w="3024"/>
            <w:vAlign w:val="center"/>
            <w:tcMar>
              <w:top w:w="60" w:type="dxa"/>
              <w:bottom w:w="60" w:type="dxa"/>
              <w:start w:w="80" w:type="dxa"/>
              <w:end w:w="80" w:type="dxa"/>
            </w:tcMar>
            <w:tcBorders>
              <w:bottom w:val="dotted" w:sz="4" w:space="0" w:color="BFBFBF"/>
            </w:tcBorders>
          </w:tcPr>
          <w:p>
            <w:pPr>
              <w:spacing w:after="480"/>
            </w:pPr>
          </w:p>
        </w:tc>
      </w:tr>
    </w:tbl>
    <w:p>
      <w:pPr>
        <w:spacing w:before="960"/>
      </w:pPr>
    </w:p>
    <w:p>
      <w:pPr>
        <w:jc w:val="center"/>
      </w:pPr>
      <w:r>
        <w:rPr>
          <w:rFonts w:ascii="Aptos" w:hAnsi="Aptos"/>
          <w:i/>
          <w:color w:val="BFBFBF"/>
          <w:sz w:val="18"/>
        </w:rPr>
        <w:t>Documento elaborado em fevereiro de 2026</w:t>
      </w:r>
    </w:p>
    <w:p>
      <w:pPr>
        <w:jc w:val="center"/>
      </w:pPr>
      <w:r>
        <w:rPr>
          <w:rFonts w:ascii="Aptos" w:hAnsi="Aptos"/>
          <w:i/>
          <w:color w:val="BFBFBF"/>
          <w:sz w:val="18"/>
        </w:rPr>
        <w:t>Secretaria Municipal de Saúde — Extrema/MG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i/>
        <w:color w:val="BFBFBF"/>
        <w:sz w:val="18"/>
      </w:rPr>
      <w:t xml:space="preserve">Documento para revisão — 10/02/2026  |  Página </w:t>
    </w:r>
    <w:r>
      <w:rPr>
        <w:rFonts w:ascii="Aptos" w:hAnsi="Aptos"/>
        <w:color w:val="BFBFBF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i/>
        <w:color w:val="BFBFBF"/>
        <w:sz w:val="18"/>
      </w:rPr>
      <w:t>Prompt TEA Extrema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