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D9E" w:rsidRPr="008E2BE8" w:rsidRDefault="00787D9E" w:rsidP="00787D9E">
      <w:pPr>
        <w:jc w:val="center"/>
      </w:pPr>
      <w:r w:rsidRPr="008E2BE8">
        <w:rPr>
          <w:noProof/>
          <w:lang w:eastAsia="pt-BR"/>
        </w:rPr>
        <w:drawing>
          <wp:inline distT="0" distB="0" distL="0" distR="0" wp14:anchorId="2B8D876C" wp14:editId="6F9103BD">
            <wp:extent cx="1401290" cy="1401288"/>
            <wp:effectExtent l="0" t="0" r="889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f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401295" cy="140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9E" w:rsidRPr="008E2BE8" w:rsidRDefault="00787D9E" w:rsidP="00787D9E">
      <w:pPr>
        <w:spacing w:after="0" w:line="240" w:lineRule="auto"/>
        <w:jc w:val="center"/>
        <w:rPr>
          <w:b/>
          <w:sz w:val="28"/>
          <w:szCs w:val="28"/>
        </w:rPr>
      </w:pPr>
      <w:r w:rsidRPr="008E2BE8">
        <w:rPr>
          <w:b/>
          <w:sz w:val="28"/>
          <w:szCs w:val="28"/>
        </w:rPr>
        <w:t>UNIVERSIDADE FEDERAL DO ESPIRÍTO SANTO</w:t>
      </w:r>
    </w:p>
    <w:p w:rsidR="00787D9E" w:rsidRPr="008E2BE8" w:rsidRDefault="00787D9E" w:rsidP="00787D9E">
      <w:pPr>
        <w:spacing w:after="0" w:line="240" w:lineRule="auto"/>
        <w:jc w:val="center"/>
        <w:rPr>
          <w:b/>
          <w:sz w:val="28"/>
          <w:szCs w:val="28"/>
        </w:rPr>
      </w:pPr>
      <w:r w:rsidRPr="008E2BE8">
        <w:rPr>
          <w:b/>
          <w:sz w:val="28"/>
          <w:szCs w:val="28"/>
        </w:rPr>
        <w:t>CENTRO TECNOLÓGICO</w:t>
      </w:r>
    </w:p>
    <w:p w:rsidR="00787D9E" w:rsidRPr="008E2BE8" w:rsidRDefault="00787D9E" w:rsidP="00787D9E">
      <w:pPr>
        <w:spacing w:after="0" w:line="240" w:lineRule="auto"/>
        <w:jc w:val="center"/>
        <w:rPr>
          <w:b/>
          <w:sz w:val="28"/>
          <w:szCs w:val="28"/>
        </w:rPr>
      </w:pPr>
      <w:r w:rsidRPr="008E2BE8">
        <w:rPr>
          <w:b/>
          <w:sz w:val="28"/>
          <w:szCs w:val="28"/>
        </w:rPr>
        <w:t>DEPARTAMENTO DE ENGENHARIA ELÉTRICA</w:t>
      </w:r>
    </w:p>
    <w:p w:rsidR="00787D9E" w:rsidRPr="008E2BE8" w:rsidRDefault="00787D9E" w:rsidP="00787D9E">
      <w:pPr>
        <w:spacing w:after="0" w:line="240" w:lineRule="auto"/>
        <w:jc w:val="center"/>
        <w:rPr>
          <w:sz w:val="28"/>
          <w:szCs w:val="28"/>
        </w:rPr>
      </w:pPr>
    </w:p>
    <w:p w:rsidR="00787D9E" w:rsidRPr="008E2BE8" w:rsidRDefault="00787D9E" w:rsidP="00787D9E">
      <w:pPr>
        <w:spacing w:after="0" w:line="240" w:lineRule="auto"/>
        <w:jc w:val="center"/>
        <w:rPr>
          <w:sz w:val="28"/>
          <w:szCs w:val="28"/>
        </w:rPr>
      </w:pPr>
    </w:p>
    <w:p w:rsidR="00787D9E" w:rsidRPr="008E2BE8" w:rsidRDefault="00787D9E" w:rsidP="00787D9E">
      <w:pPr>
        <w:spacing w:after="0" w:line="240" w:lineRule="auto"/>
        <w:jc w:val="center"/>
        <w:rPr>
          <w:sz w:val="28"/>
          <w:szCs w:val="28"/>
        </w:rPr>
      </w:pPr>
    </w:p>
    <w:p w:rsidR="00787D9E" w:rsidRPr="008E2BE8" w:rsidRDefault="00787D9E" w:rsidP="00787D9E">
      <w:pPr>
        <w:spacing w:after="0" w:line="240" w:lineRule="auto"/>
        <w:jc w:val="center"/>
        <w:rPr>
          <w:sz w:val="28"/>
          <w:szCs w:val="28"/>
        </w:rPr>
      </w:pPr>
    </w:p>
    <w:p w:rsidR="00787D9E" w:rsidRPr="008E2BE8" w:rsidRDefault="00787D9E" w:rsidP="00787D9E">
      <w:pPr>
        <w:spacing w:after="0" w:line="240" w:lineRule="auto"/>
        <w:jc w:val="center"/>
        <w:rPr>
          <w:sz w:val="28"/>
          <w:szCs w:val="28"/>
        </w:rPr>
      </w:pPr>
    </w:p>
    <w:p w:rsidR="00787D9E" w:rsidRPr="008E2BE8" w:rsidRDefault="00787D9E" w:rsidP="00787D9E">
      <w:pPr>
        <w:spacing w:after="0" w:line="240" w:lineRule="auto"/>
        <w:rPr>
          <w:sz w:val="28"/>
          <w:szCs w:val="28"/>
        </w:rPr>
      </w:pPr>
    </w:p>
    <w:p w:rsidR="00787D9E" w:rsidRPr="008E2BE8" w:rsidRDefault="00787D9E" w:rsidP="00787D9E">
      <w:pPr>
        <w:spacing w:after="0" w:line="240" w:lineRule="auto"/>
        <w:jc w:val="center"/>
        <w:rPr>
          <w:sz w:val="28"/>
          <w:szCs w:val="28"/>
        </w:rPr>
      </w:pPr>
    </w:p>
    <w:p w:rsidR="00787D9E" w:rsidRPr="008E2BE8" w:rsidRDefault="00787D9E" w:rsidP="00787D9E">
      <w:pPr>
        <w:spacing w:after="0" w:line="240" w:lineRule="auto"/>
        <w:jc w:val="center"/>
        <w:rPr>
          <w:sz w:val="28"/>
          <w:szCs w:val="28"/>
        </w:rPr>
      </w:pPr>
    </w:p>
    <w:p w:rsidR="00787D9E" w:rsidRDefault="00787D9E" w:rsidP="00787D9E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TESTANDO A FUNÇÃO DESENVOLVIDA EM MATLAB:</w:t>
      </w:r>
    </w:p>
    <w:p w:rsidR="00787D9E" w:rsidRDefault="00787D9E" w:rsidP="00787D9E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“</w:t>
      </w:r>
      <w:proofErr w:type="gramStart"/>
      <w:r>
        <w:rPr>
          <w:b/>
          <w:sz w:val="32"/>
          <w:szCs w:val="32"/>
        </w:rPr>
        <w:t>Function_Overlap</w:t>
      </w:r>
      <w:proofErr w:type="gramEnd"/>
      <w:r>
        <w:rPr>
          <w:b/>
          <w:sz w:val="32"/>
          <w:szCs w:val="32"/>
        </w:rPr>
        <w:t>.m”</w:t>
      </w:r>
    </w:p>
    <w:p w:rsidR="00787D9E" w:rsidRPr="008E2BE8" w:rsidRDefault="00787D9E" w:rsidP="00787D9E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DATA: 15/03/2016 </w:t>
      </w:r>
    </w:p>
    <w:p w:rsidR="00787D9E" w:rsidRPr="008E2BE8" w:rsidRDefault="00787D9E" w:rsidP="00787D9E">
      <w:pPr>
        <w:spacing w:after="0" w:line="240" w:lineRule="auto"/>
        <w:jc w:val="center"/>
        <w:rPr>
          <w:sz w:val="28"/>
          <w:szCs w:val="28"/>
        </w:rPr>
      </w:pPr>
    </w:p>
    <w:p w:rsidR="00787D9E" w:rsidRPr="008E2BE8" w:rsidRDefault="00787D9E" w:rsidP="00787D9E">
      <w:pPr>
        <w:spacing w:after="0" w:line="240" w:lineRule="auto"/>
        <w:jc w:val="center"/>
        <w:rPr>
          <w:sz w:val="28"/>
          <w:szCs w:val="28"/>
        </w:rPr>
      </w:pPr>
    </w:p>
    <w:p w:rsidR="00787D9E" w:rsidRPr="008E2BE8" w:rsidRDefault="00787D9E" w:rsidP="00787D9E">
      <w:pPr>
        <w:spacing w:after="0" w:line="240" w:lineRule="auto"/>
        <w:jc w:val="center"/>
        <w:rPr>
          <w:sz w:val="28"/>
          <w:szCs w:val="28"/>
        </w:rPr>
      </w:pPr>
    </w:p>
    <w:p w:rsidR="00787D9E" w:rsidRDefault="00787D9E" w:rsidP="00787D9E">
      <w:pPr>
        <w:spacing w:after="0" w:line="240" w:lineRule="auto"/>
        <w:jc w:val="center"/>
        <w:rPr>
          <w:sz w:val="28"/>
          <w:szCs w:val="28"/>
        </w:rPr>
      </w:pPr>
    </w:p>
    <w:p w:rsidR="00787D9E" w:rsidRDefault="00787D9E" w:rsidP="00787D9E">
      <w:pPr>
        <w:spacing w:after="0" w:line="240" w:lineRule="auto"/>
        <w:jc w:val="center"/>
        <w:rPr>
          <w:sz w:val="28"/>
          <w:szCs w:val="28"/>
        </w:rPr>
      </w:pPr>
    </w:p>
    <w:p w:rsidR="00787D9E" w:rsidRPr="008E2BE8" w:rsidRDefault="00787D9E" w:rsidP="00787D9E">
      <w:pPr>
        <w:spacing w:after="0" w:line="240" w:lineRule="auto"/>
        <w:rPr>
          <w:sz w:val="28"/>
          <w:szCs w:val="28"/>
        </w:rPr>
      </w:pPr>
    </w:p>
    <w:p w:rsidR="00787D9E" w:rsidRPr="008E2BE8" w:rsidRDefault="00787D9E" w:rsidP="00787D9E">
      <w:pPr>
        <w:spacing w:after="0" w:line="240" w:lineRule="auto"/>
        <w:jc w:val="center"/>
        <w:rPr>
          <w:sz w:val="28"/>
          <w:szCs w:val="28"/>
        </w:rPr>
      </w:pPr>
    </w:p>
    <w:p w:rsidR="00787D9E" w:rsidRPr="008E2BE8" w:rsidRDefault="00787D9E" w:rsidP="00787D9E">
      <w:pPr>
        <w:spacing w:after="0" w:line="240" w:lineRule="auto"/>
        <w:jc w:val="center"/>
        <w:rPr>
          <w:sz w:val="28"/>
          <w:szCs w:val="28"/>
        </w:rPr>
      </w:pPr>
    </w:p>
    <w:p w:rsidR="00787D9E" w:rsidRPr="008E2BE8" w:rsidRDefault="00787D9E" w:rsidP="00787D9E">
      <w:pPr>
        <w:spacing w:after="0" w:line="240" w:lineRule="auto"/>
        <w:jc w:val="center"/>
        <w:rPr>
          <w:sz w:val="28"/>
          <w:szCs w:val="28"/>
        </w:rPr>
      </w:pPr>
    </w:p>
    <w:p w:rsidR="00787D9E" w:rsidRDefault="00787D9E" w:rsidP="00787D9E">
      <w:pPr>
        <w:spacing w:after="0" w:line="240" w:lineRule="auto"/>
        <w:jc w:val="center"/>
        <w:rPr>
          <w:sz w:val="28"/>
          <w:szCs w:val="28"/>
        </w:rPr>
      </w:pPr>
      <w:r w:rsidRPr="008E2BE8">
        <w:rPr>
          <w:sz w:val="28"/>
          <w:szCs w:val="28"/>
        </w:rPr>
        <w:t xml:space="preserve">CAIO </w:t>
      </w:r>
      <w:proofErr w:type="gramStart"/>
      <w:r w:rsidRPr="008E2BE8">
        <w:rPr>
          <w:sz w:val="28"/>
          <w:szCs w:val="28"/>
        </w:rPr>
        <w:t>MARCIANO SANTOS</w:t>
      </w:r>
      <w:proofErr w:type="gramEnd"/>
    </w:p>
    <w:p w:rsidR="00787D9E" w:rsidRPr="008E2BE8" w:rsidRDefault="00787D9E" w:rsidP="00787D9E">
      <w:pPr>
        <w:spacing w:after="0" w:line="240" w:lineRule="auto"/>
        <w:jc w:val="center"/>
        <w:rPr>
          <w:sz w:val="28"/>
          <w:szCs w:val="28"/>
        </w:rPr>
      </w:pPr>
    </w:p>
    <w:p w:rsidR="00787D9E" w:rsidRDefault="00787D9E" w:rsidP="00787D9E">
      <w:pPr>
        <w:spacing w:after="0" w:line="240" w:lineRule="auto"/>
        <w:jc w:val="center"/>
        <w:rPr>
          <w:sz w:val="28"/>
          <w:szCs w:val="28"/>
        </w:rPr>
      </w:pPr>
    </w:p>
    <w:p w:rsidR="00787D9E" w:rsidRPr="008E2BE8" w:rsidRDefault="00787D9E" w:rsidP="00787D9E">
      <w:pPr>
        <w:spacing w:after="0" w:line="240" w:lineRule="auto"/>
        <w:jc w:val="center"/>
        <w:rPr>
          <w:sz w:val="28"/>
          <w:szCs w:val="28"/>
        </w:rPr>
      </w:pPr>
    </w:p>
    <w:p w:rsidR="00787D9E" w:rsidRPr="008E2BE8" w:rsidRDefault="00787D9E" w:rsidP="00787D9E">
      <w:pPr>
        <w:spacing w:after="0" w:line="240" w:lineRule="auto"/>
        <w:jc w:val="center"/>
        <w:rPr>
          <w:sz w:val="28"/>
          <w:szCs w:val="28"/>
        </w:rPr>
      </w:pPr>
    </w:p>
    <w:p w:rsidR="00787D9E" w:rsidRPr="008E2BE8" w:rsidRDefault="00787D9E" w:rsidP="00787D9E">
      <w:pPr>
        <w:spacing w:after="0" w:line="240" w:lineRule="auto"/>
        <w:jc w:val="center"/>
        <w:rPr>
          <w:sz w:val="28"/>
          <w:szCs w:val="28"/>
        </w:rPr>
      </w:pPr>
    </w:p>
    <w:p w:rsidR="00787D9E" w:rsidRPr="008E2BE8" w:rsidRDefault="00787D9E" w:rsidP="00787D9E">
      <w:pPr>
        <w:spacing w:after="0" w:line="240" w:lineRule="auto"/>
        <w:jc w:val="center"/>
        <w:rPr>
          <w:sz w:val="28"/>
          <w:szCs w:val="28"/>
        </w:rPr>
      </w:pPr>
    </w:p>
    <w:p w:rsidR="00787D9E" w:rsidRPr="008E2BE8" w:rsidRDefault="00787D9E" w:rsidP="00787D9E">
      <w:pPr>
        <w:spacing w:after="0" w:line="240" w:lineRule="auto"/>
        <w:jc w:val="center"/>
        <w:rPr>
          <w:sz w:val="28"/>
          <w:szCs w:val="28"/>
        </w:rPr>
      </w:pPr>
    </w:p>
    <w:p w:rsidR="00787D9E" w:rsidRPr="008E2BE8" w:rsidRDefault="00787D9E" w:rsidP="00787D9E">
      <w:pPr>
        <w:spacing w:after="0" w:line="240" w:lineRule="auto"/>
        <w:jc w:val="center"/>
        <w:rPr>
          <w:sz w:val="28"/>
          <w:szCs w:val="28"/>
        </w:rPr>
      </w:pPr>
      <w:r w:rsidRPr="008E2BE8">
        <w:rPr>
          <w:sz w:val="28"/>
          <w:szCs w:val="28"/>
        </w:rPr>
        <w:t>VITÓRIA</w:t>
      </w:r>
    </w:p>
    <w:p w:rsidR="00787D9E" w:rsidRPr="008E2BE8" w:rsidRDefault="000E076E" w:rsidP="00787D9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787D9E" w:rsidRDefault="00787D9E" w:rsidP="00787D9E">
      <w:pPr>
        <w:pStyle w:val="Ttulo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Introdução</w:t>
      </w:r>
    </w:p>
    <w:p w:rsidR="00787D9E" w:rsidRPr="00FA7990" w:rsidRDefault="000E076E" w:rsidP="00FA7990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FA7990">
        <w:rPr>
          <w:rFonts w:ascii="Arial" w:hAnsi="Arial" w:cs="Arial"/>
          <w:sz w:val="24"/>
          <w:szCs w:val="24"/>
        </w:rPr>
        <w:t xml:space="preserve">Durante o desenvolvimento de uma rotina para simular o funcionamento de um EDFA, viu-se necessário calcular os coeficientes de overlap </w:t>
      </w:r>
      <w:r w:rsidR="00FA7990">
        <w:rPr>
          <w:rFonts w:ascii="Arial" w:hAnsi="Arial" w:cs="Arial"/>
          <w:sz w:val="24"/>
          <w:szCs w:val="24"/>
        </w:rPr>
        <w:t>do bombeio, do sinal e da ASE</w:t>
      </w:r>
      <w:r w:rsidRPr="00FA7990">
        <w:rPr>
          <w:rFonts w:ascii="Arial" w:hAnsi="Arial" w:cs="Arial"/>
          <w:sz w:val="24"/>
          <w:szCs w:val="24"/>
        </w:rPr>
        <w:t>. Dessa f</w:t>
      </w:r>
      <w:r w:rsidR="00354E29" w:rsidRPr="00FA7990">
        <w:rPr>
          <w:rFonts w:ascii="Arial" w:hAnsi="Arial" w:cs="Arial"/>
          <w:sz w:val="24"/>
          <w:szCs w:val="24"/>
        </w:rPr>
        <w:t>orma, foi desenvolvida</w:t>
      </w:r>
      <w:r w:rsidR="00FA7990">
        <w:rPr>
          <w:rFonts w:ascii="Arial" w:hAnsi="Arial" w:cs="Arial"/>
          <w:sz w:val="24"/>
          <w:szCs w:val="24"/>
        </w:rPr>
        <w:t>,</w:t>
      </w:r>
      <w:r w:rsidR="00354E29" w:rsidRPr="00FA7990">
        <w:rPr>
          <w:rFonts w:ascii="Arial" w:hAnsi="Arial" w:cs="Arial"/>
          <w:sz w:val="24"/>
          <w:szCs w:val="24"/>
        </w:rPr>
        <w:t xml:space="preserve"> em </w:t>
      </w:r>
      <w:proofErr w:type="spellStart"/>
      <w:r w:rsidR="00354E29" w:rsidRPr="00FA7990">
        <w:rPr>
          <w:rFonts w:ascii="Arial" w:hAnsi="Arial" w:cs="Arial"/>
          <w:sz w:val="24"/>
          <w:szCs w:val="24"/>
        </w:rPr>
        <w:t>Matlab</w:t>
      </w:r>
      <w:proofErr w:type="spellEnd"/>
      <w:r w:rsidR="00FA7990">
        <w:rPr>
          <w:rFonts w:ascii="Arial" w:hAnsi="Arial" w:cs="Arial"/>
          <w:sz w:val="24"/>
          <w:szCs w:val="24"/>
        </w:rPr>
        <w:t>,</w:t>
      </w:r>
      <w:r w:rsidRPr="00FA7990">
        <w:rPr>
          <w:rFonts w:ascii="Arial" w:hAnsi="Arial" w:cs="Arial"/>
          <w:sz w:val="24"/>
          <w:szCs w:val="24"/>
        </w:rPr>
        <w:t xml:space="preserve"> uma função com o nome de “</w:t>
      </w:r>
      <w:proofErr w:type="spellStart"/>
      <w:proofErr w:type="gramStart"/>
      <w:r w:rsidRPr="00FA7990">
        <w:rPr>
          <w:rFonts w:ascii="Arial" w:hAnsi="Arial" w:cs="Arial"/>
          <w:sz w:val="24"/>
          <w:szCs w:val="24"/>
        </w:rPr>
        <w:t>Funtion_Overlap</w:t>
      </w:r>
      <w:proofErr w:type="gramEnd"/>
      <w:r w:rsidRPr="00FA7990">
        <w:rPr>
          <w:rFonts w:ascii="Arial" w:hAnsi="Arial" w:cs="Arial"/>
          <w:sz w:val="24"/>
          <w:szCs w:val="24"/>
        </w:rPr>
        <w:t>.m</w:t>
      </w:r>
      <w:proofErr w:type="spellEnd"/>
      <w:r w:rsidRPr="00FA7990">
        <w:rPr>
          <w:rFonts w:ascii="Arial" w:hAnsi="Arial" w:cs="Arial"/>
          <w:sz w:val="24"/>
          <w:szCs w:val="24"/>
        </w:rPr>
        <w:t>”</w:t>
      </w:r>
      <w:r w:rsidR="00FA7990">
        <w:rPr>
          <w:rFonts w:ascii="Arial" w:hAnsi="Arial" w:cs="Arial"/>
          <w:sz w:val="24"/>
          <w:szCs w:val="24"/>
        </w:rPr>
        <w:t xml:space="preserve"> com o objetivo de calcular esses coeficientes</w:t>
      </w:r>
      <w:r w:rsidRPr="00FA7990">
        <w:rPr>
          <w:rFonts w:ascii="Arial" w:hAnsi="Arial" w:cs="Arial"/>
          <w:sz w:val="24"/>
          <w:szCs w:val="24"/>
        </w:rPr>
        <w:t>.</w:t>
      </w:r>
    </w:p>
    <w:p w:rsidR="00322E89" w:rsidRDefault="00322E89" w:rsidP="00787D9E">
      <w:pPr>
        <w:spacing w:after="0"/>
        <w:ind w:firstLine="360"/>
      </w:pPr>
    </w:p>
    <w:p w:rsidR="00322E89" w:rsidRPr="00322E89" w:rsidRDefault="00322E89" w:rsidP="00322E89">
      <w:pPr>
        <w:pStyle w:val="Ttulo1"/>
        <w:numPr>
          <w:ilvl w:val="0"/>
          <w:numId w:val="1"/>
        </w:numPr>
        <w:spacing w:before="0"/>
        <w:rPr>
          <w:sz w:val="24"/>
        </w:rPr>
      </w:pPr>
      <w:r w:rsidRPr="00322E89">
        <w:rPr>
          <w:sz w:val="24"/>
        </w:rPr>
        <w:t>Desenvolvimento</w:t>
      </w:r>
    </w:p>
    <w:p w:rsidR="000E076E" w:rsidRPr="00FA7990" w:rsidRDefault="000E076E" w:rsidP="00FA7990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FA7990">
        <w:rPr>
          <w:rFonts w:ascii="Arial" w:hAnsi="Arial" w:cs="Arial"/>
          <w:sz w:val="24"/>
          <w:szCs w:val="24"/>
        </w:rPr>
        <w:t xml:space="preserve">A fim de saber se a rotina apresenta valores corretos, os </w:t>
      </w:r>
      <w:r w:rsidR="00FA7990">
        <w:rPr>
          <w:rFonts w:ascii="Arial" w:hAnsi="Arial" w:cs="Arial"/>
          <w:sz w:val="24"/>
          <w:szCs w:val="24"/>
        </w:rPr>
        <w:t>cálculos</w:t>
      </w:r>
      <w:r w:rsidRPr="00FA7990">
        <w:rPr>
          <w:rFonts w:ascii="Arial" w:hAnsi="Arial" w:cs="Arial"/>
          <w:sz w:val="24"/>
          <w:szCs w:val="24"/>
        </w:rPr>
        <w:t xml:space="preserve"> foram comparados com os obti</w:t>
      </w:r>
      <w:r w:rsidR="008530F7">
        <w:rPr>
          <w:rFonts w:ascii="Arial" w:hAnsi="Arial" w:cs="Arial"/>
          <w:sz w:val="24"/>
          <w:szCs w:val="24"/>
        </w:rPr>
        <w:t>dos na literatura (BECKER, 1999, pg. 183)</w:t>
      </w:r>
      <w:r w:rsidR="00354E29" w:rsidRPr="00FA7990">
        <w:rPr>
          <w:rFonts w:ascii="Arial" w:hAnsi="Arial" w:cs="Arial"/>
          <w:sz w:val="24"/>
          <w:szCs w:val="24"/>
        </w:rPr>
        <w:t xml:space="preserve">. </w:t>
      </w:r>
      <w:r w:rsidR="008530F7">
        <w:rPr>
          <w:rFonts w:ascii="Arial" w:hAnsi="Arial" w:cs="Arial"/>
          <w:sz w:val="24"/>
          <w:szCs w:val="24"/>
        </w:rPr>
        <w:t>Na</w:t>
      </w:r>
      <w:r w:rsidR="00354E29" w:rsidRPr="00FA7990">
        <w:rPr>
          <w:rFonts w:ascii="Arial" w:hAnsi="Arial" w:cs="Arial"/>
          <w:sz w:val="24"/>
          <w:szCs w:val="24"/>
        </w:rPr>
        <w:t xml:space="preserve"> Figura 1</w:t>
      </w:r>
      <w:r w:rsidR="008530F7">
        <w:rPr>
          <w:rFonts w:ascii="Arial" w:hAnsi="Arial" w:cs="Arial"/>
          <w:sz w:val="24"/>
          <w:szCs w:val="24"/>
        </w:rPr>
        <w:t>, obtida na literatura,</w:t>
      </w:r>
      <w:r w:rsidR="00354E29" w:rsidRPr="00FA7990">
        <w:rPr>
          <w:rFonts w:ascii="Arial" w:hAnsi="Arial" w:cs="Arial"/>
          <w:sz w:val="24"/>
          <w:szCs w:val="24"/>
        </w:rPr>
        <w:t xml:space="preserve"> estão descritas as ondas da intensidade modal do bombeio e do sinal</w:t>
      </w:r>
      <w:r w:rsidR="008530F7">
        <w:rPr>
          <w:rFonts w:ascii="Arial" w:hAnsi="Arial" w:cs="Arial"/>
          <w:sz w:val="24"/>
          <w:szCs w:val="24"/>
        </w:rPr>
        <w:t xml:space="preserve"> </w:t>
      </w:r>
      <w:r w:rsidR="008530F7">
        <w:rPr>
          <w:rFonts w:ascii="Arial" w:hAnsi="Arial" w:cs="Arial"/>
          <w:sz w:val="24"/>
          <w:szCs w:val="24"/>
        </w:rPr>
        <w:t>(BECKER, 1999, pg. 183)</w:t>
      </w:r>
      <w:r w:rsidR="00354E29" w:rsidRPr="00FA7990">
        <w:rPr>
          <w:rFonts w:ascii="Arial" w:hAnsi="Arial" w:cs="Arial"/>
          <w:sz w:val="24"/>
          <w:szCs w:val="24"/>
        </w:rPr>
        <w:t xml:space="preserve">. A mesma curva foi obtida em </w:t>
      </w:r>
      <w:proofErr w:type="spellStart"/>
      <w:r w:rsidR="00354E29" w:rsidRPr="00FA7990">
        <w:rPr>
          <w:rFonts w:ascii="Arial" w:hAnsi="Arial" w:cs="Arial"/>
          <w:sz w:val="24"/>
          <w:szCs w:val="24"/>
        </w:rPr>
        <w:t>Matlab</w:t>
      </w:r>
      <w:proofErr w:type="spellEnd"/>
      <w:r w:rsidR="00FA7990">
        <w:rPr>
          <w:rFonts w:ascii="Arial" w:hAnsi="Arial" w:cs="Arial"/>
          <w:sz w:val="24"/>
          <w:szCs w:val="24"/>
        </w:rPr>
        <w:t>,</w:t>
      </w:r>
      <w:r w:rsidR="00354E29" w:rsidRPr="00FA7990">
        <w:rPr>
          <w:rFonts w:ascii="Arial" w:hAnsi="Arial" w:cs="Arial"/>
          <w:sz w:val="24"/>
          <w:szCs w:val="24"/>
        </w:rPr>
        <w:t xml:space="preserve"> utilizando a função em questão</w:t>
      </w:r>
      <w:r w:rsidR="00FA7990">
        <w:rPr>
          <w:rFonts w:ascii="Arial" w:hAnsi="Arial" w:cs="Arial"/>
          <w:sz w:val="24"/>
          <w:szCs w:val="24"/>
        </w:rPr>
        <w:t>,</w:t>
      </w:r>
      <w:r w:rsidR="00354E29" w:rsidRPr="00FA7990">
        <w:rPr>
          <w:rFonts w:ascii="Arial" w:hAnsi="Arial" w:cs="Arial"/>
          <w:sz w:val="24"/>
          <w:szCs w:val="24"/>
        </w:rPr>
        <w:t xml:space="preserve"> e pode ser encontrada na Figura 2. Ao compararmos as Figuras 1 e 2, pode-se observar que </w:t>
      </w:r>
      <w:r w:rsidR="00FA7990">
        <w:rPr>
          <w:rFonts w:ascii="Arial" w:hAnsi="Arial" w:cs="Arial"/>
          <w:sz w:val="24"/>
          <w:szCs w:val="24"/>
        </w:rPr>
        <w:t>as curvas estão</w:t>
      </w:r>
      <w:r w:rsidR="00354E29" w:rsidRPr="00FA7990">
        <w:rPr>
          <w:rFonts w:ascii="Arial" w:hAnsi="Arial" w:cs="Arial"/>
          <w:sz w:val="24"/>
          <w:szCs w:val="24"/>
        </w:rPr>
        <w:t xml:space="preserve"> idênticas, demonstrando que a função calculou as curvas da intensidade modal de forma eficiente.</w:t>
      </w:r>
    </w:p>
    <w:p w:rsidR="00354E29" w:rsidRPr="00FA7990" w:rsidRDefault="00354E29" w:rsidP="00FA7990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FA7990">
        <w:rPr>
          <w:rFonts w:ascii="Arial" w:hAnsi="Arial" w:cs="Arial"/>
          <w:sz w:val="24"/>
          <w:szCs w:val="24"/>
        </w:rPr>
        <w:t>A Figura 3</w:t>
      </w:r>
      <w:r w:rsidR="00FA7990" w:rsidRPr="00FA7990">
        <w:rPr>
          <w:rFonts w:ascii="Arial" w:hAnsi="Arial" w:cs="Arial"/>
          <w:sz w:val="24"/>
          <w:szCs w:val="24"/>
        </w:rPr>
        <w:t xml:space="preserve"> demonstra</w:t>
      </w:r>
      <w:r w:rsidRPr="00FA7990">
        <w:rPr>
          <w:rFonts w:ascii="Arial" w:hAnsi="Arial" w:cs="Arial"/>
          <w:sz w:val="24"/>
          <w:szCs w:val="24"/>
        </w:rPr>
        <w:t xml:space="preserve"> a função da intensidade modal calculada para o caso em que o raio efetivo de érbio, é igual ao raio do núcleo da fibra (2µm). Nesse caso, a literatura não apresentou a figura para que a </w:t>
      </w:r>
      <w:r w:rsidR="00FA7990">
        <w:rPr>
          <w:rFonts w:ascii="Arial" w:hAnsi="Arial" w:cs="Arial"/>
          <w:sz w:val="24"/>
          <w:szCs w:val="24"/>
        </w:rPr>
        <w:t>comparação pudesse</w:t>
      </w:r>
      <w:r w:rsidRPr="00FA7990">
        <w:rPr>
          <w:rFonts w:ascii="Arial" w:hAnsi="Arial" w:cs="Arial"/>
          <w:sz w:val="24"/>
          <w:szCs w:val="24"/>
        </w:rPr>
        <w:t xml:space="preserve"> ser realizada.</w:t>
      </w:r>
    </w:p>
    <w:p w:rsidR="00354E29" w:rsidRPr="008530F7" w:rsidRDefault="00354E29" w:rsidP="00630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990">
        <w:rPr>
          <w:rFonts w:ascii="Arial" w:hAnsi="Arial" w:cs="Arial"/>
          <w:sz w:val="24"/>
          <w:szCs w:val="24"/>
        </w:rPr>
        <w:t>Ao calcular a integral de overlap, utilizando as curvas presentes nas Figuras 2 e 3,</w:t>
      </w:r>
      <w:r w:rsidR="00FA7990">
        <w:rPr>
          <w:rFonts w:ascii="Arial" w:hAnsi="Arial" w:cs="Arial"/>
          <w:sz w:val="24"/>
          <w:szCs w:val="24"/>
        </w:rPr>
        <w:t xml:space="preserve"> encontrou</w:t>
      </w:r>
      <w:r w:rsidRPr="00FA7990">
        <w:rPr>
          <w:rFonts w:ascii="Arial" w:hAnsi="Arial" w:cs="Arial"/>
          <w:sz w:val="24"/>
          <w:szCs w:val="24"/>
        </w:rPr>
        <w:t>-se o valor do coeficiente de overlap das ondas. A literatura forneceu os valores para os dois</w:t>
      </w:r>
      <w:r w:rsidR="00630DDF">
        <w:rPr>
          <w:rFonts w:ascii="Arial" w:hAnsi="Arial" w:cs="Arial"/>
          <w:sz w:val="24"/>
          <w:szCs w:val="24"/>
        </w:rPr>
        <w:t xml:space="preserve"> </w:t>
      </w:r>
      <w:r w:rsidR="008530F7">
        <w:rPr>
          <w:rFonts w:ascii="Arial" w:hAnsi="Arial" w:cs="Arial"/>
          <w:sz w:val="24"/>
          <w:szCs w:val="24"/>
        </w:rPr>
        <w:t xml:space="preserve">casos das Figuras 2 e 3 </w:t>
      </w:r>
      <w:r w:rsidR="008530F7">
        <w:rPr>
          <w:rFonts w:ascii="Arial" w:hAnsi="Arial" w:cs="Arial"/>
          <w:sz w:val="24"/>
          <w:szCs w:val="24"/>
        </w:rPr>
        <w:t>(BECKER, 1999, pg. 183)</w:t>
      </w:r>
      <w:r w:rsidRPr="00FA7990">
        <w:rPr>
          <w:rFonts w:ascii="Arial" w:hAnsi="Arial" w:cs="Arial"/>
          <w:sz w:val="24"/>
          <w:szCs w:val="24"/>
        </w:rPr>
        <w:t>. Os valores apresentados na literatura e os valores calculados pela função em análise</w:t>
      </w:r>
      <w:r w:rsidR="00322E89" w:rsidRPr="00FA7990">
        <w:rPr>
          <w:rFonts w:ascii="Arial" w:hAnsi="Arial" w:cs="Arial"/>
          <w:sz w:val="24"/>
          <w:szCs w:val="24"/>
        </w:rPr>
        <w:t xml:space="preserve"> podem</w:t>
      </w:r>
      <w:r w:rsidRPr="00FA7990">
        <w:rPr>
          <w:rFonts w:ascii="Arial" w:hAnsi="Arial" w:cs="Arial"/>
          <w:sz w:val="24"/>
          <w:szCs w:val="24"/>
        </w:rPr>
        <w:t xml:space="preserve"> ser encontrados na Tabela 1 para que uma comparação possa ser realizada</w:t>
      </w:r>
      <w:r>
        <w:t>.</w:t>
      </w:r>
    </w:p>
    <w:p w:rsidR="00354E29" w:rsidRDefault="00354E29" w:rsidP="00787D9E">
      <w:pPr>
        <w:spacing w:after="0"/>
        <w:ind w:firstLine="36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2780"/>
        <w:gridCol w:w="3024"/>
      </w:tblGrid>
      <w:tr w:rsidR="00354E29" w:rsidTr="00322E89">
        <w:tc>
          <w:tcPr>
            <w:tcW w:w="9242" w:type="dxa"/>
            <w:gridSpan w:val="3"/>
            <w:tcBorders>
              <w:bottom w:val="single" w:sz="4" w:space="0" w:color="auto"/>
            </w:tcBorders>
          </w:tcPr>
          <w:p w:rsidR="00354E29" w:rsidRPr="00FA7990" w:rsidRDefault="00354E29" w:rsidP="00354E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7990">
              <w:rPr>
                <w:rFonts w:ascii="Arial" w:hAnsi="Arial" w:cs="Arial"/>
                <w:b/>
                <w:sz w:val="20"/>
                <w:szCs w:val="20"/>
              </w:rPr>
              <w:t>Tabela 1 – Coeficientes de Overlap calculados pela função “</w:t>
            </w:r>
            <w:proofErr w:type="gramStart"/>
            <w:r w:rsidRPr="00FA7990">
              <w:rPr>
                <w:rFonts w:ascii="Arial" w:hAnsi="Arial" w:cs="Arial"/>
                <w:b/>
                <w:sz w:val="20"/>
                <w:szCs w:val="20"/>
              </w:rPr>
              <w:t>Function_Overlap</w:t>
            </w:r>
            <w:proofErr w:type="gramEnd"/>
            <w:r w:rsidRPr="00FA7990">
              <w:rPr>
                <w:rFonts w:ascii="Arial" w:hAnsi="Arial" w:cs="Arial"/>
                <w:b/>
                <w:sz w:val="20"/>
                <w:szCs w:val="20"/>
              </w:rPr>
              <w:t xml:space="preserve">.m” e os resultados apresentados na literatura </w:t>
            </w:r>
            <w:r w:rsidR="008530F7" w:rsidRPr="008530F7">
              <w:rPr>
                <w:rFonts w:ascii="Arial" w:hAnsi="Arial" w:cs="Arial"/>
                <w:b/>
                <w:sz w:val="20"/>
                <w:szCs w:val="24"/>
              </w:rPr>
              <w:t>(BECKER, 1999, pg. 183)</w:t>
            </w:r>
            <w:r w:rsidR="008530F7" w:rsidRPr="008530F7">
              <w:rPr>
                <w:rFonts w:ascii="Arial" w:hAnsi="Arial" w:cs="Arial"/>
                <w:b/>
                <w:sz w:val="20"/>
                <w:szCs w:val="24"/>
              </w:rPr>
              <w:t>.</w:t>
            </w:r>
          </w:p>
        </w:tc>
      </w:tr>
      <w:tr w:rsidR="00354E29" w:rsidTr="00322E89">
        <w:tc>
          <w:tcPr>
            <w:tcW w:w="3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354E29" w:rsidRDefault="008530F7" w:rsidP="00322E8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oMath>
            <w:r w:rsidR="00322E89">
              <w:rPr>
                <w:rFonts w:eastAsiaTheme="minorEastAsia"/>
              </w:rPr>
              <w:t xml:space="preserve"> = Raio efetivo do érbio</w:t>
            </w:r>
          </w:p>
        </w:tc>
        <w:tc>
          <w:tcPr>
            <w:tcW w:w="2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354E29" w:rsidRDefault="00354E29" w:rsidP="00322E89">
            <w:pPr>
              <w:jc w:val="center"/>
            </w:pPr>
            <w:r>
              <w:t>Livro Pág. 183 [1]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354E29" w:rsidRDefault="00354E29" w:rsidP="00322E89">
            <w:pPr>
              <w:jc w:val="center"/>
            </w:pPr>
            <w:r>
              <w:t>Function_Overl</w:t>
            </w:r>
            <w:r w:rsidR="00322E89">
              <w:t>a</w:t>
            </w:r>
            <w:r>
              <w:t>p.m</w:t>
            </w:r>
          </w:p>
        </w:tc>
      </w:tr>
      <w:tr w:rsidR="00354E29" w:rsidTr="00322E89">
        <w:tc>
          <w:tcPr>
            <w:tcW w:w="3438" w:type="dxa"/>
            <w:tcBorders>
              <w:top w:val="single" w:sz="4" w:space="0" w:color="auto"/>
            </w:tcBorders>
          </w:tcPr>
          <w:p w:rsidR="00354E29" w:rsidRDefault="008530F7" w:rsidP="00322E8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oMath>
            <w:r w:rsidR="00322E89">
              <w:rPr>
                <w:rFonts w:eastAsiaTheme="minorEastAsia"/>
              </w:rPr>
              <w:t xml:space="preserve"> =</w:t>
            </w:r>
            <w:proofErr w:type="gramStart"/>
            <w:r w:rsidR="00322E89">
              <w:rPr>
                <w:rFonts w:eastAsiaTheme="minorEastAsia"/>
              </w:rPr>
              <w:t xml:space="preserve">  </w:t>
            </w:r>
            <w:proofErr w:type="gramEnd"/>
            <w:r w:rsidR="00354E29">
              <w:t>1</w:t>
            </w:r>
            <w:r w:rsidR="00322E89">
              <w:t xml:space="preserve">  µ</w:t>
            </w:r>
            <w:r w:rsidR="00354E29">
              <w:t>m</w:t>
            </w:r>
            <w:r w:rsidR="00322E89">
              <w:t xml:space="preserve">  (Overlap do Sinal)</w:t>
            </w:r>
          </w:p>
        </w:tc>
        <w:tc>
          <w:tcPr>
            <w:tcW w:w="2780" w:type="dxa"/>
            <w:tcBorders>
              <w:top w:val="single" w:sz="4" w:space="0" w:color="auto"/>
            </w:tcBorders>
          </w:tcPr>
          <w:p w:rsidR="00354E29" w:rsidRDefault="00354E29" w:rsidP="00322E89">
            <w:pPr>
              <w:jc w:val="center"/>
            </w:pPr>
            <w:r>
              <w:t>0.10</w:t>
            </w:r>
          </w:p>
        </w:tc>
        <w:tc>
          <w:tcPr>
            <w:tcW w:w="3024" w:type="dxa"/>
            <w:tcBorders>
              <w:top w:val="single" w:sz="4" w:space="0" w:color="auto"/>
            </w:tcBorders>
          </w:tcPr>
          <w:p w:rsidR="00354E29" w:rsidRDefault="00354E29" w:rsidP="00322E89">
            <w:pPr>
              <w:jc w:val="center"/>
            </w:pPr>
            <w:r>
              <w:t>0.1025</w:t>
            </w:r>
          </w:p>
        </w:tc>
      </w:tr>
      <w:tr w:rsidR="00354E29" w:rsidTr="00322E89">
        <w:tc>
          <w:tcPr>
            <w:tcW w:w="3438" w:type="dxa"/>
          </w:tcPr>
          <w:p w:rsidR="00354E29" w:rsidRDefault="008530F7" w:rsidP="00322E8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oMath>
            <w:r w:rsidR="00322E89">
              <w:rPr>
                <w:rFonts w:eastAsiaTheme="minorEastAsia"/>
              </w:rPr>
              <w:t xml:space="preserve"> =</w:t>
            </w:r>
            <w:proofErr w:type="gramStart"/>
            <w:r w:rsidR="00322E89">
              <w:rPr>
                <w:rFonts w:eastAsiaTheme="minorEastAsia"/>
              </w:rPr>
              <w:t xml:space="preserve"> </w:t>
            </w:r>
            <w:r w:rsidR="00322E89">
              <w:t xml:space="preserve"> </w:t>
            </w:r>
            <w:proofErr w:type="gramEnd"/>
            <w:r w:rsidR="00322E89">
              <w:t>1 µ</w:t>
            </w:r>
            <w:r w:rsidR="00354E29">
              <w:t>m</w:t>
            </w:r>
            <w:r w:rsidR="00322E89">
              <w:t xml:space="preserve">  (Overlap do Bombeio)</w:t>
            </w:r>
          </w:p>
        </w:tc>
        <w:tc>
          <w:tcPr>
            <w:tcW w:w="2780" w:type="dxa"/>
          </w:tcPr>
          <w:p w:rsidR="00354E29" w:rsidRDefault="00354E29" w:rsidP="00322E89">
            <w:pPr>
              <w:jc w:val="center"/>
            </w:pPr>
            <w:r>
              <w:t>0.26</w:t>
            </w:r>
          </w:p>
        </w:tc>
        <w:tc>
          <w:tcPr>
            <w:tcW w:w="3024" w:type="dxa"/>
          </w:tcPr>
          <w:p w:rsidR="00354E29" w:rsidRDefault="00354E29" w:rsidP="00322E89">
            <w:pPr>
              <w:jc w:val="center"/>
            </w:pPr>
            <w:r>
              <w:t>0.2723</w:t>
            </w:r>
          </w:p>
        </w:tc>
      </w:tr>
      <w:tr w:rsidR="00354E29" w:rsidTr="00322E89">
        <w:tc>
          <w:tcPr>
            <w:tcW w:w="3438" w:type="dxa"/>
          </w:tcPr>
          <w:p w:rsidR="00354E29" w:rsidRDefault="008530F7" w:rsidP="00322E8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oMath>
            <w:r w:rsidR="00322E89">
              <w:rPr>
                <w:rFonts w:eastAsiaTheme="minorEastAsia"/>
              </w:rPr>
              <w:t xml:space="preserve"> =</w:t>
            </w:r>
            <w:proofErr w:type="gramStart"/>
            <w:r w:rsidR="00322E89">
              <w:rPr>
                <w:rFonts w:eastAsiaTheme="minorEastAsia"/>
              </w:rPr>
              <w:t xml:space="preserve"> </w:t>
            </w:r>
            <w:r w:rsidR="00322E89">
              <w:t xml:space="preserve"> </w:t>
            </w:r>
            <w:proofErr w:type="gramEnd"/>
            <w:r w:rsidR="00322E89">
              <w:t>2 µm  (Overlap do Sinal)</w:t>
            </w:r>
          </w:p>
        </w:tc>
        <w:tc>
          <w:tcPr>
            <w:tcW w:w="2780" w:type="dxa"/>
          </w:tcPr>
          <w:p w:rsidR="00354E29" w:rsidRDefault="00354E29" w:rsidP="00322E89">
            <w:pPr>
              <w:jc w:val="center"/>
            </w:pPr>
            <w:r>
              <w:t>0.31</w:t>
            </w:r>
          </w:p>
        </w:tc>
        <w:tc>
          <w:tcPr>
            <w:tcW w:w="3024" w:type="dxa"/>
          </w:tcPr>
          <w:p w:rsidR="00354E29" w:rsidRDefault="00354E29" w:rsidP="00322E89">
            <w:pPr>
              <w:jc w:val="center"/>
            </w:pPr>
            <w:r>
              <w:t>0.3202</w:t>
            </w:r>
          </w:p>
        </w:tc>
      </w:tr>
      <w:tr w:rsidR="00354E29" w:rsidTr="00322E89">
        <w:tc>
          <w:tcPr>
            <w:tcW w:w="3438" w:type="dxa"/>
            <w:tcBorders>
              <w:bottom w:val="single" w:sz="4" w:space="0" w:color="auto"/>
            </w:tcBorders>
          </w:tcPr>
          <w:p w:rsidR="00354E29" w:rsidRDefault="008530F7" w:rsidP="00322E8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oMath>
            <w:r w:rsidR="00322E89">
              <w:rPr>
                <w:rFonts w:eastAsiaTheme="minorEastAsia"/>
              </w:rPr>
              <w:t xml:space="preserve"> =</w:t>
            </w:r>
            <w:proofErr w:type="gramStart"/>
            <w:r w:rsidR="00322E89">
              <w:rPr>
                <w:rFonts w:eastAsiaTheme="minorEastAsia"/>
              </w:rPr>
              <w:t xml:space="preserve"> </w:t>
            </w:r>
            <w:r w:rsidR="00322E89">
              <w:t xml:space="preserve"> </w:t>
            </w:r>
            <w:proofErr w:type="gramEnd"/>
            <w:r w:rsidR="00322E89">
              <w:t>2 µ</w:t>
            </w:r>
            <w:r w:rsidR="00354E29">
              <w:t xml:space="preserve">m </w:t>
            </w:r>
            <w:r w:rsidR="00322E89">
              <w:t xml:space="preserve"> (Overlap do Bombeio)</w:t>
            </w: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:rsidR="00354E29" w:rsidRDefault="00354E29" w:rsidP="00322E89">
            <w:pPr>
              <w:jc w:val="center"/>
            </w:pPr>
            <w:r>
              <w:t>0.70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:rsidR="00354E29" w:rsidRDefault="00354E29" w:rsidP="00322E89">
            <w:pPr>
              <w:jc w:val="center"/>
            </w:pPr>
            <w:r>
              <w:t>0.7180</w:t>
            </w:r>
          </w:p>
        </w:tc>
      </w:tr>
    </w:tbl>
    <w:p w:rsidR="00322E89" w:rsidRDefault="00322E89" w:rsidP="00322E89">
      <w:pPr>
        <w:spacing w:after="0"/>
        <w:rPr>
          <w:sz w:val="24"/>
        </w:rPr>
      </w:pPr>
    </w:p>
    <w:p w:rsidR="00787D9E" w:rsidRDefault="00322E89" w:rsidP="00B72DDF">
      <w:pPr>
        <w:pStyle w:val="Ttulo1"/>
        <w:numPr>
          <w:ilvl w:val="0"/>
          <w:numId w:val="1"/>
        </w:numPr>
        <w:spacing w:before="0"/>
      </w:pPr>
      <w:r w:rsidRPr="00322E89">
        <w:t>Conclusão</w:t>
      </w:r>
    </w:p>
    <w:p w:rsidR="00322E89" w:rsidRPr="00FA7990" w:rsidRDefault="00B72DDF" w:rsidP="00FA7990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FA7990">
        <w:rPr>
          <w:rFonts w:ascii="Arial" w:hAnsi="Arial" w:cs="Arial"/>
          <w:sz w:val="24"/>
          <w:szCs w:val="24"/>
        </w:rPr>
        <w:t>Ao comparar as Figura 1 e 2, pode-se observar que as funções da intensidade modal estão sendo calculadas de forma coerente conforme a literatura BECKER [1].</w:t>
      </w:r>
    </w:p>
    <w:p w:rsidR="00B72DDF" w:rsidRPr="00FA7990" w:rsidRDefault="00B72DDF" w:rsidP="00FA7990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FA7990">
        <w:rPr>
          <w:rFonts w:ascii="Arial" w:hAnsi="Arial" w:cs="Arial"/>
          <w:sz w:val="24"/>
          <w:szCs w:val="24"/>
        </w:rPr>
        <w:t>Realizando-se o calculo da integral de overlap utilizando-se a função desenvolvida pode-se observar que os valores encontrados para o coeficiente de overlap nas duas situações descritas 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eff</m:t>
            </m:r>
          </m:sub>
        </m:sSub>
      </m:oMath>
      <w:r w:rsidRPr="00FA7990">
        <w:rPr>
          <w:rFonts w:ascii="Arial" w:eastAsiaTheme="minorEastAsia" w:hAnsi="Arial" w:cs="Arial"/>
          <w:sz w:val="24"/>
          <w:szCs w:val="24"/>
        </w:rPr>
        <w:t xml:space="preserve"> =</w:t>
      </w:r>
      <w:proofErr w:type="gramStart"/>
      <w:r w:rsidRPr="00FA7990">
        <w:rPr>
          <w:rFonts w:ascii="Arial" w:eastAsiaTheme="minorEastAsia" w:hAnsi="Arial" w:cs="Arial"/>
          <w:sz w:val="24"/>
          <w:szCs w:val="24"/>
        </w:rPr>
        <w:t xml:space="preserve">  </w:t>
      </w:r>
      <w:proofErr w:type="gramEnd"/>
      <w:r w:rsidRPr="00FA7990">
        <w:rPr>
          <w:rFonts w:ascii="Arial" w:hAnsi="Arial" w:cs="Arial"/>
          <w:sz w:val="24"/>
          <w:szCs w:val="24"/>
        </w:rPr>
        <w:t xml:space="preserve">1  µm   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eff</m:t>
            </m:r>
          </m:sub>
        </m:sSub>
      </m:oMath>
      <w:r w:rsidRPr="00FA7990">
        <w:rPr>
          <w:rFonts w:ascii="Arial" w:eastAsiaTheme="minorEastAsia" w:hAnsi="Arial" w:cs="Arial"/>
          <w:sz w:val="24"/>
          <w:szCs w:val="24"/>
        </w:rPr>
        <w:t xml:space="preserve"> =  </w:t>
      </w:r>
      <w:r w:rsidRPr="00FA7990">
        <w:rPr>
          <w:rFonts w:ascii="Arial" w:hAnsi="Arial" w:cs="Arial"/>
          <w:sz w:val="24"/>
          <w:szCs w:val="24"/>
        </w:rPr>
        <w:t>2  µm ) são coerentes</w:t>
      </w:r>
      <w:r w:rsidR="008530F7">
        <w:rPr>
          <w:rFonts w:ascii="Arial" w:hAnsi="Arial" w:cs="Arial"/>
          <w:sz w:val="24"/>
          <w:szCs w:val="24"/>
        </w:rPr>
        <w:t xml:space="preserve"> </w:t>
      </w:r>
      <w:r w:rsidR="008530F7">
        <w:rPr>
          <w:rFonts w:ascii="Arial" w:hAnsi="Arial" w:cs="Arial"/>
          <w:sz w:val="24"/>
          <w:szCs w:val="24"/>
        </w:rPr>
        <w:t>(BECKER, 1999, pg. 183)</w:t>
      </w:r>
      <w:r w:rsidRPr="00FA7990">
        <w:rPr>
          <w:rFonts w:ascii="Arial" w:hAnsi="Arial" w:cs="Arial"/>
          <w:sz w:val="24"/>
          <w:szCs w:val="24"/>
        </w:rPr>
        <w:t>. Essa comparação pode ser encontrada na Tabela 1.</w:t>
      </w:r>
    </w:p>
    <w:p w:rsidR="00322E89" w:rsidRPr="00F01384" w:rsidRDefault="00B72DDF" w:rsidP="00FA7990">
      <w:pPr>
        <w:spacing w:after="0"/>
        <w:ind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FA7990">
        <w:rPr>
          <w:rFonts w:ascii="Arial" w:hAnsi="Arial" w:cs="Arial"/>
          <w:sz w:val="24"/>
          <w:szCs w:val="24"/>
        </w:rPr>
        <w:t>Dessa forma, pode-se concluir que a função desenvolvida (</w:t>
      </w:r>
      <w:proofErr w:type="spellStart"/>
      <w:proofErr w:type="gramStart"/>
      <w:r w:rsidRPr="00FA7990">
        <w:rPr>
          <w:rFonts w:ascii="Arial" w:hAnsi="Arial" w:cs="Arial"/>
          <w:sz w:val="24"/>
          <w:szCs w:val="24"/>
        </w:rPr>
        <w:t>Funtion_Overlap</w:t>
      </w:r>
      <w:proofErr w:type="gramEnd"/>
      <w:r w:rsidRPr="00FA7990">
        <w:rPr>
          <w:rFonts w:ascii="Arial" w:hAnsi="Arial" w:cs="Arial"/>
          <w:sz w:val="24"/>
          <w:szCs w:val="24"/>
        </w:rPr>
        <w:t>.m</w:t>
      </w:r>
      <w:proofErr w:type="spellEnd"/>
      <w:r w:rsidRPr="00FA7990">
        <w:rPr>
          <w:rFonts w:ascii="Arial" w:hAnsi="Arial" w:cs="Arial"/>
          <w:sz w:val="24"/>
          <w:szCs w:val="24"/>
        </w:rPr>
        <w:t>) cumpre o papel de calcular os coeficientes desejados , sendo confiável para ser utilizada em simulações de amplificadores ópticos.</w:t>
      </w:r>
    </w:p>
    <w:p w:rsidR="00322E89" w:rsidRDefault="00322E89" w:rsidP="00322E89">
      <w:pPr>
        <w:spacing w:after="0"/>
        <w:rPr>
          <w:sz w:val="24"/>
        </w:rPr>
      </w:pPr>
    </w:p>
    <w:p w:rsidR="00322E89" w:rsidRDefault="00322E89" w:rsidP="00322E89">
      <w:pPr>
        <w:spacing w:after="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6"/>
      </w:tblGrid>
      <w:tr w:rsidR="009F58A0" w:rsidTr="00FA7990">
        <w:tc>
          <w:tcPr>
            <w:tcW w:w="9166" w:type="dxa"/>
          </w:tcPr>
          <w:p w:rsidR="009F58A0" w:rsidRDefault="009260BC" w:rsidP="009260BC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2BF83F09" wp14:editId="6D970300">
                  <wp:extent cx="5239482" cy="3524742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2" cy="352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8A0" w:rsidTr="00FA7990">
        <w:tc>
          <w:tcPr>
            <w:tcW w:w="9166" w:type="dxa"/>
          </w:tcPr>
          <w:p w:rsidR="009F58A0" w:rsidRPr="008530F7" w:rsidRDefault="00B72DDF" w:rsidP="00B72DDF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A7990">
              <w:rPr>
                <w:rFonts w:ascii="Arial" w:hAnsi="Arial" w:cs="Arial"/>
                <w:b/>
                <w:sz w:val="20"/>
                <w:szCs w:val="20"/>
              </w:rPr>
              <w:t xml:space="preserve">Figura 1 – Intensidade Modal do Bombeio e do Sinal para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eff</m:t>
                  </m:r>
                </m:sub>
              </m:sSub>
            </m:oMath>
            <w:r w:rsidRPr="00FA7990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=</w:t>
            </w:r>
            <w:proofErr w:type="gramStart"/>
            <w:r w:rsidRPr="00FA7990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 </w:t>
            </w:r>
            <w:proofErr w:type="gramEnd"/>
            <w:r w:rsidRPr="00FA7990">
              <w:rPr>
                <w:rFonts w:ascii="Arial" w:hAnsi="Arial" w:cs="Arial"/>
                <w:b/>
                <w:sz w:val="20"/>
                <w:szCs w:val="20"/>
              </w:rPr>
              <w:t xml:space="preserve">1  µm. Imagem obtida na literatura </w:t>
            </w:r>
            <w:r w:rsidR="008530F7" w:rsidRPr="008530F7">
              <w:rPr>
                <w:rFonts w:ascii="Arial" w:hAnsi="Arial" w:cs="Arial"/>
                <w:b/>
                <w:sz w:val="20"/>
                <w:szCs w:val="24"/>
              </w:rPr>
              <w:t>(BECKER, 1999, pg. 183).</w:t>
            </w:r>
          </w:p>
        </w:tc>
      </w:tr>
      <w:tr w:rsidR="009F58A0" w:rsidTr="00FA7990">
        <w:tc>
          <w:tcPr>
            <w:tcW w:w="9166" w:type="dxa"/>
          </w:tcPr>
          <w:p w:rsidR="009F58A0" w:rsidRDefault="009260BC" w:rsidP="009260BC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A06F33C" wp14:editId="47ADEAC9">
                  <wp:extent cx="5334000" cy="40005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b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9F58A0" w:rsidTr="00FA7990">
        <w:tc>
          <w:tcPr>
            <w:tcW w:w="9166" w:type="dxa"/>
          </w:tcPr>
          <w:p w:rsidR="009F58A0" w:rsidRPr="00FA7990" w:rsidRDefault="00B72DDF" w:rsidP="00FA79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7990">
              <w:rPr>
                <w:rFonts w:ascii="Arial" w:hAnsi="Arial" w:cs="Arial"/>
                <w:b/>
                <w:sz w:val="20"/>
                <w:szCs w:val="20"/>
              </w:rPr>
              <w:t xml:space="preserve">Figura 2 – Intensidade Modal do Bombeio e do Sinal para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eff</m:t>
                  </m:r>
                </m:sub>
              </m:sSub>
            </m:oMath>
            <w:r w:rsidRPr="00FA7990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=</w:t>
            </w:r>
            <w:proofErr w:type="gramStart"/>
            <w:r w:rsidRPr="00FA7990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 </w:t>
            </w:r>
            <w:proofErr w:type="gramEnd"/>
            <w:r w:rsidRPr="00FA7990">
              <w:rPr>
                <w:rFonts w:ascii="Arial" w:hAnsi="Arial" w:cs="Arial"/>
                <w:b/>
                <w:sz w:val="20"/>
                <w:szCs w:val="20"/>
              </w:rPr>
              <w:t xml:space="preserve">1  µm. Gráfico obtido utilizando a função </w:t>
            </w:r>
            <w:proofErr w:type="spellStart"/>
            <w:proofErr w:type="gramStart"/>
            <w:r w:rsidRPr="00FA7990">
              <w:rPr>
                <w:rFonts w:ascii="Arial" w:hAnsi="Arial" w:cs="Arial"/>
                <w:b/>
                <w:sz w:val="20"/>
                <w:szCs w:val="20"/>
              </w:rPr>
              <w:t>Funtion_Overlap</w:t>
            </w:r>
            <w:proofErr w:type="gramEnd"/>
            <w:r w:rsidRPr="00FA7990">
              <w:rPr>
                <w:rFonts w:ascii="Arial" w:hAnsi="Arial" w:cs="Arial"/>
                <w:b/>
                <w:sz w:val="20"/>
                <w:szCs w:val="20"/>
              </w:rPr>
              <w:t>.m</w:t>
            </w:r>
            <w:proofErr w:type="spellEnd"/>
            <w:r w:rsidRPr="00FA7990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9260BC" w:rsidTr="00FA7990">
        <w:tc>
          <w:tcPr>
            <w:tcW w:w="9166" w:type="dxa"/>
          </w:tcPr>
          <w:p w:rsidR="009260BC" w:rsidRDefault="009260BC"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07B1948B" wp14:editId="429C5B7B">
                  <wp:extent cx="5334000" cy="40005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0BC" w:rsidTr="00FA7990">
        <w:tc>
          <w:tcPr>
            <w:tcW w:w="9166" w:type="dxa"/>
          </w:tcPr>
          <w:p w:rsidR="009260BC" w:rsidRPr="00FA7990" w:rsidRDefault="00B72DDF" w:rsidP="00FA79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7990">
              <w:rPr>
                <w:rFonts w:ascii="Arial" w:hAnsi="Arial" w:cs="Arial"/>
                <w:b/>
                <w:sz w:val="20"/>
                <w:szCs w:val="20"/>
              </w:rPr>
              <w:t xml:space="preserve">Figura 3 – Intensidade Modal do Bombeio e do Sinal para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eff</m:t>
                  </m:r>
                </m:sub>
              </m:sSub>
            </m:oMath>
            <w:r w:rsidRPr="00FA7990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=</w:t>
            </w:r>
            <w:proofErr w:type="gramStart"/>
            <w:r w:rsidRPr="00FA7990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 </w:t>
            </w:r>
            <w:proofErr w:type="gramEnd"/>
            <w:r w:rsidRPr="00FA7990">
              <w:rPr>
                <w:rFonts w:ascii="Arial" w:hAnsi="Arial" w:cs="Arial"/>
                <w:b/>
                <w:sz w:val="20"/>
                <w:szCs w:val="20"/>
              </w:rPr>
              <w:t xml:space="preserve">2  µm. Gráfico obtido utilizando a função </w:t>
            </w:r>
            <w:proofErr w:type="spellStart"/>
            <w:proofErr w:type="gramStart"/>
            <w:r w:rsidRPr="00FA7990">
              <w:rPr>
                <w:rFonts w:ascii="Arial" w:hAnsi="Arial" w:cs="Arial"/>
                <w:b/>
                <w:sz w:val="20"/>
                <w:szCs w:val="20"/>
              </w:rPr>
              <w:t>Funtion_Overlap</w:t>
            </w:r>
            <w:proofErr w:type="gramEnd"/>
            <w:r w:rsidRPr="00FA7990">
              <w:rPr>
                <w:rFonts w:ascii="Arial" w:hAnsi="Arial" w:cs="Arial"/>
                <w:b/>
                <w:sz w:val="20"/>
                <w:szCs w:val="20"/>
              </w:rPr>
              <w:t>.m</w:t>
            </w:r>
            <w:proofErr w:type="spellEnd"/>
            <w:r w:rsidRPr="00FA7990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</w:tbl>
    <w:p w:rsidR="00184233" w:rsidRDefault="008530F7"/>
    <w:p w:rsidR="00FA7990" w:rsidRDefault="00FA7990"/>
    <w:p w:rsidR="00FA7990" w:rsidRDefault="00FA7990"/>
    <w:p w:rsidR="00FA7990" w:rsidRDefault="00FA7990"/>
    <w:p w:rsidR="00FA7990" w:rsidRDefault="00FA7990"/>
    <w:p w:rsidR="009F58A0" w:rsidRDefault="00B72DDF" w:rsidP="00B72DDF">
      <w:pPr>
        <w:pStyle w:val="Ttulo1"/>
        <w:numPr>
          <w:ilvl w:val="0"/>
          <w:numId w:val="1"/>
        </w:numPr>
        <w:rPr>
          <w:sz w:val="24"/>
        </w:rPr>
      </w:pPr>
      <w:r w:rsidRPr="00B72DDF">
        <w:rPr>
          <w:sz w:val="24"/>
        </w:rPr>
        <w:t>Referências Bibliográficas</w:t>
      </w:r>
    </w:p>
    <w:p w:rsidR="00FA7990" w:rsidRPr="00FA7990" w:rsidRDefault="00FA7990" w:rsidP="00FA7990"/>
    <w:p w:rsidR="00B72DDF" w:rsidRPr="00FA7990" w:rsidRDefault="00B72DDF" w:rsidP="00B72D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4"/>
          <w:lang w:val="en-US"/>
        </w:rPr>
      </w:pPr>
      <w:r w:rsidRPr="00FA7990">
        <w:rPr>
          <w:rFonts w:ascii="Arial" w:hAnsi="Arial" w:cs="Arial"/>
          <w:sz w:val="24"/>
          <w:szCs w:val="20"/>
          <w:lang w:val="en-US"/>
        </w:rPr>
        <w:t>[1</w:t>
      </w:r>
      <w:r w:rsidR="00FA7990">
        <w:rPr>
          <w:rFonts w:ascii="Arial" w:hAnsi="Arial" w:cs="Arial"/>
          <w:sz w:val="24"/>
          <w:szCs w:val="20"/>
          <w:lang w:val="en-US"/>
        </w:rPr>
        <w:t xml:space="preserve">] </w:t>
      </w:r>
      <w:r w:rsidRPr="00FA7990">
        <w:rPr>
          <w:rFonts w:ascii="Arial" w:hAnsi="Arial" w:cs="Arial"/>
          <w:sz w:val="24"/>
          <w:szCs w:val="20"/>
          <w:lang w:val="en-US"/>
        </w:rPr>
        <w:t>P. C. Becker, N.A. Olsson, and J. R. Simpson. "Erbium-Doped</w:t>
      </w:r>
      <w:r w:rsidRPr="00FA7990">
        <w:rPr>
          <w:rFonts w:ascii="Arial" w:hAnsi="Arial" w:cs="Arial"/>
          <w:sz w:val="32"/>
          <w:szCs w:val="24"/>
          <w:lang w:val="en-US"/>
        </w:rPr>
        <w:t xml:space="preserve"> </w:t>
      </w:r>
      <w:r w:rsidRPr="00FA7990">
        <w:rPr>
          <w:rFonts w:ascii="Arial" w:hAnsi="Arial" w:cs="Arial"/>
          <w:sz w:val="24"/>
          <w:szCs w:val="20"/>
          <w:lang w:val="en-US"/>
        </w:rPr>
        <w:t xml:space="preserve">Fiber Amplifiers: Fundamentals and Technology". </w:t>
      </w:r>
      <w:proofErr w:type="gramStart"/>
      <w:r w:rsidRPr="00FA7990">
        <w:rPr>
          <w:rFonts w:ascii="Arial" w:hAnsi="Arial" w:cs="Arial"/>
          <w:sz w:val="24"/>
          <w:szCs w:val="20"/>
          <w:lang w:val="en-US"/>
        </w:rPr>
        <w:t>Optics and</w:t>
      </w:r>
      <w:r w:rsidRPr="00FA7990">
        <w:rPr>
          <w:rFonts w:ascii="Arial" w:hAnsi="Arial" w:cs="Arial"/>
          <w:sz w:val="32"/>
          <w:szCs w:val="24"/>
          <w:lang w:val="en-US"/>
        </w:rPr>
        <w:t xml:space="preserve"> </w:t>
      </w:r>
      <w:proofErr w:type="spellStart"/>
      <w:r w:rsidRPr="00FA7990">
        <w:rPr>
          <w:rFonts w:ascii="Arial" w:hAnsi="Arial" w:cs="Arial"/>
          <w:sz w:val="24"/>
          <w:szCs w:val="20"/>
        </w:rPr>
        <w:t>Photonics</w:t>
      </w:r>
      <w:proofErr w:type="spellEnd"/>
      <w:r w:rsidRPr="00FA7990">
        <w:rPr>
          <w:rFonts w:ascii="Arial" w:hAnsi="Arial" w:cs="Arial"/>
          <w:sz w:val="24"/>
          <w:szCs w:val="20"/>
        </w:rPr>
        <w:t>, 1999.</w:t>
      </w:r>
      <w:proofErr w:type="gramEnd"/>
    </w:p>
    <w:p w:rsidR="00B72DDF" w:rsidRPr="00B72DDF" w:rsidRDefault="00B72DDF" w:rsidP="00B72DDF"/>
    <w:sectPr w:rsidR="00B72DDF" w:rsidRPr="00B72D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9F3"/>
    <w:multiLevelType w:val="multilevel"/>
    <w:tmpl w:val="011E4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8A0"/>
    <w:rsid w:val="000711CA"/>
    <w:rsid w:val="000E076E"/>
    <w:rsid w:val="001D16D5"/>
    <w:rsid w:val="00322E89"/>
    <w:rsid w:val="00354E29"/>
    <w:rsid w:val="00630DDF"/>
    <w:rsid w:val="0064234F"/>
    <w:rsid w:val="00787D9E"/>
    <w:rsid w:val="008530F7"/>
    <w:rsid w:val="009260BC"/>
    <w:rsid w:val="009F58A0"/>
    <w:rsid w:val="00B72DDF"/>
    <w:rsid w:val="00E30926"/>
    <w:rsid w:val="00F01384"/>
    <w:rsid w:val="00FA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7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F5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26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60B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87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322E89"/>
    <w:rPr>
      <w:color w:val="808080"/>
    </w:rPr>
  </w:style>
  <w:style w:type="paragraph" w:styleId="PargrafodaLista">
    <w:name w:val="List Paragraph"/>
    <w:basedOn w:val="Normal"/>
    <w:uiPriority w:val="34"/>
    <w:qFormat/>
    <w:rsid w:val="00322E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7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F5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26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60B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87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322E89"/>
    <w:rPr>
      <w:color w:val="808080"/>
    </w:rPr>
  </w:style>
  <w:style w:type="paragraph" w:styleId="PargrafodaLista">
    <w:name w:val="List Paragraph"/>
    <w:basedOn w:val="Normal"/>
    <w:uiPriority w:val="34"/>
    <w:qFormat/>
    <w:rsid w:val="00322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Santos</dc:creator>
  <cp:lastModifiedBy>Caio Santos</cp:lastModifiedBy>
  <cp:revision>5</cp:revision>
  <cp:lastPrinted>2016-03-21T17:13:00Z</cp:lastPrinted>
  <dcterms:created xsi:type="dcterms:W3CDTF">2016-03-15T18:39:00Z</dcterms:created>
  <dcterms:modified xsi:type="dcterms:W3CDTF">2016-03-21T17:14:00Z</dcterms:modified>
</cp:coreProperties>
</file>