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Regulatory Intermediaries in EU Green-Transition Legislation</w:t>
      </w:r>
    </w:p>
    <w:p>
      <w:pPr>
        <w:pStyle w:val="Author"/>
      </w:pPr>
      <w:r>
        <w:t xml:space="preserve">Igor Caires Machado — Postdoctoral Researcher, ENAP · ORCID 0009-0008-9547-5223</w:t>
      </w:r>
    </w:p>
    <w:p>
      <w:pPr>
        <w:pStyle w:val="Date"/>
      </w:pPr>
      <w:r>
        <w:t xml:space="preserve">5 September 2026</w:t>
      </w:r>
    </w:p>
    <w:bookmarkStart w:id="9" w:name="purpose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note reports on work done in response to the call for a research</w:t>
      </w:r>
      <w:r>
        <w:t xml:space="preserve"> </w:t>
      </w:r>
      <w:r>
        <w:t xml:space="preserve">assistant/partner to help code intermediaries in EU legislation on the green</w:t>
      </w:r>
      <w:r>
        <w:t xml:space="preserve"> </w:t>
      </w:r>
      <w:r>
        <w:t xml:space="preserve">transition (</w:t>
      </w:r>
      <w:r>
        <w:t xml:space="preserve">“Governance by and of Intermediaries”</w:t>
      </w:r>
      <w:r>
        <w:t xml:space="preserve">). It presents a two-stage</w:t>
      </w:r>
      <w:r>
        <w:t xml:space="preserve"> </w:t>
      </w:r>
      <w:r>
        <w:t xml:space="preserve">pipeline — a reproducible screening layer that locates candidate</w:t>
      </w:r>
      <w:r>
        <w:t xml:space="preserve"> </w:t>
      </w:r>
      <w:r>
        <w:t xml:space="preserve">intermediation provisions, and a substantive coding layer that converts</w:t>
      </w:r>
      <w:r>
        <w:t xml:space="preserve"> </w:t>
      </w:r>
      <w:r>
        <w:t xml:space="preserve">those provisions into theoretically grounded observations of who the</w:t>
      </w:r>
      <w:r>
        <w:t xml:space="preserve"> </w:t>
      </w:r>
      <w:r>
        <w:t xml:space="preserve">intermediary is, between which regulator and target it operates, and under</w:t>
      </w:r>
      <w:r>
        <w:t xml:space="preserve"> </w:t>
      </w:r>
      <w:r>
        <w:t xml:space="preserve">what institutional design. The screening layer accelerates corpus analysis;</w:t>
      </w:r>
      <w:r>
        <w:t xml:space="preserve"> </w:t>
      </w:r>
      <w:r>
        <w:t xml:space="preserve">it does not replace substantive coding. Full technical detail (patterns,</w:t>
      </w:r>
      <w:r>
        <w:t xml:space="preserve"> </w:t>
      </w:r>
      <w:r>
        <w:t xml:space="preserve">counts, validation, code) is kept in four short annexes rather than in this</w:t>
      </w:r>
      <w:r>
        <w:t xml:space="preserve"> </w:t>
      </w:r>
      <w:r>
        <w:t xml:space="preserve">note, so this stays a working document, not a technical report.</w:t>
      </w:r>
    </w:p>
    <w:bookmarkEnd w:id="9"/>
    <w:bookmarkStart w:id="10" w:name="the-theoretical-problem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The theoretical problem</w:t>
      </w:r>
    </w:p>
    <w:p>
      <w:pPr>
        <w:pStyle w:val="FirstParagraph"/>
      </w:pPr>
      <w:r>
        <w:t xml:space="preserve">The proposal (</w:t>
      </w:r>
      <w:r>
        <w:t xml:space="preserve">“Can Intermediaries Save Liberal Governance?”</w:t>
      </w:r>
      <w:r>
        <w:t xml:space="preserve">) argues that the</w:t>
      </w:r>
      <w:r>
        <w:t xml:space="preserve"> </w:t>
      </w:r>
      <w:r>
        <w:t xml:space="preserve">democratic-reform agenda should turn to</w:t>
      </w:r>
      <w:r>
        <w:t xml:space="preserve"> </w:t>
      </w:r>
      <w:r>
        <w:rPr>
          <w:b/>
          <w:bCs/>
        </w:rPr>
        <w:t xml:space="preserve">regulatory intermediaries</w:t>
      </w:r>
      <w:r>
        <w:t xml:space="preserve"> </w:t>
      </w:r>
      <w:r>
        <w:t xml:space="preserve">— the</w:t>
      </w:r>
      <w:r>
        <w:t xml:space="preserve"> </w:t>
      </w:r>
      <w:r>
        <w:t xml:space="preserve">rule-brokers between rule-makers and rule-takers. Regulation scholarship</w:t>
      </w:r>
      <w:r>
        <w:t xml:space="preserve"> </w:t>
      </w:r>
      <w:r>
        <w:t xml:space="preserve">still treats this relation as bipartite, leaving who certifies, audits,</w:t>
      </w:r>
      <w:r>
        <w:t xml:space="preserve"> </w:t>
      </w:r>
      <w:r>
        <w:t xml:space="preserve">ranks and reports under-theorised. The proposal identifies four gaps</w:t>
      </w:r>
      <w:r>
        <w:t xml:space="preserve"> </w:t>
      </w:r>
      <w:r>
        <w:t xml:space="preserve">(attention, conceptualisation, proliferation, subtheorisation) and three</w:t>
      </w:r>
      <w:r>
        <w:t xml:space="preserve"> </w:t>
      </w:r>
      <w:r>
        <w:t xml:space="preserve">aims: mapping and measuring intermediaries and mechanisms; explaining their</w:t>
      </w:r>
      <w:r>
        <w:t xml:space="preserve"> </w:t>
      </w:r>
      <w:r>
        <w:t xml:space="preserve">diffusion; and connecting intermediation design to democratic theory</w:t>
      </w:r>
      <w:r>
        <w:t xml:space="preserve"> </w:t>
      </w:r>
      <w:r>
        <w:t xml:space="preserve">(mono/polycentric governance). Four primary mechanisms structure the</w:t>
      </w:r>
      <w:r>
        <w:t xml:space="preserve"> </w:t>
      </w:r>
      <w:r>
        <w:t xml:space="preserve">empirical work packages (WP2–WP5):</w:t>
      </w:r>
      <w:r>
        <w:t xml:space="preserve"> </w:t>
      </w:r>
      <w:r>
        <w:rPr>
          <w:b/>
          <w:bCs/>
        </w:rPr>
        <w:t xml:space="preserve">reporting</w:t>
      </w:r>
      <w:r>
        <w:t xml:space="preserve"> </w:t>
      </w:r>
      <w:r>
        <w:t xml:space="preserve">(state-led),</w:t>
      </w:r>
      <w:r>
        <w:t xml:space="preserve"> </w:t>
      </w:r>
      <w:r>
        <w:rPr>
          <w:b/>
          <w:bCs/>
        </w:rPr>
        <w:t xml:space="preserve">certification</w:t>
      </w:r>
      <w:r>
        <w:t xml:space="preserve"> </w:t>
      </w:r>
      <w:r>
        <w:t xml:space="preserve">(NGO-led),</w:t>
      </w:r>
      <w:r>
        <w:t xml:space="preserve"> </w:t>
      </w:r>
      <w:r>
        <w:rPr>
          <w:b/>
          <w:bCs/>
        </w:rPr>
        <w:t xml:space="preserve">ranking/rating</w:t>
      </w:r>
      <w:r>
        <w:t xml:space="preserve"> </w:t>
      </w:r>
      <w:r>
        <w:t xml:space="preserve">(business-led), and</w:t>
      </w:r>
      <w: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(profession-led).</w:t>
      </w:r>
    </w:p>
    <w:bookmarkEnd w:id="10"/>
    <w:bookmarkStart w:id="11" w:name="stage-a-screening-layer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Stage A — screening layer</w:t>
      </w:r>
    </w:p>
    <w:p>
      <w:pPr>
        <w:pStyle w:val="FirstParagraph"/>
      </w:pPr>
      <w:r>
        <w:t xml:space="preserve">Four EU acts were collected in full text from EUR-Lex by CELEX number, one</w:t>
      </w:r>
      <w:r>
        <w:t xml:space="preserve"> </w:t>
      </w:r>
      <w:r>
        <w:t xml:space="preserve">per mechanism, chosen because each is a known anchor case: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CELEX</w:t>
            </w:r>
          </w:p>
        </w:tc>
        <w:tc>
          <w:tcPr/>
          <w:p>
            <w:pPr>
              <w:pStyle w:val="Compact"/>
            </w:pPr>
            <w:r>
              <w:t xml:space="preserve">Target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 Sustainability Reporting Directive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32022L2464</w:t>
            </w:r>
          </w:p>
        </w:tc>
        <w:tc>
          <w:tcPr/>
          <w:p>
            <w:pPr>
              <w:pStyle w:val="Compact"/>
            </w:pPr>
            <w:r>
              <w:t xml:space="preserve">reporting +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Ecolabel Regulation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32010R0066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 Benchmarks Regulation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32019R2089</w:t>
            </w:r>
          </w:p>
        </w:tc>
        <w:tc>
          <w:tcPr/>
          <w:p>
            <w:pPr>
              <w:pStyle w:val="Compact"/>
            </w:pPr>
            <w:r>
              <w:t xml:space="preserve">ranking/rating (conditional — 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ETS Verification &amp; Accreditation Regulation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32018R2067</w:t>
            </w:r>
          </w:p>
        </w:tc>
        <w:tc>
          <w:tcPr/>
          <w:p>
            <w:pPr>
              <w:pStyle w:val="Compact"/>
            </w:pPr>
            <w:r>
              <w:t xml:space="preserve">audit (+ certification)</w:t>
            </w:r>
          </w:p>
        </w:tc>
      </w:tr>
    </w:tbl>
    <w:p>
      <w:pPr>
        <w:pStyle w:val="BodyText"/>
      </w:pPr>
      <w:r>
        <w:t xml:space="preserve">Each paragraph was screened with a two-tier lexical rule set per mechanism</w:t>
      </w:r>
      <w:r>
        <w:t xml:space="preserve"> </w:t>
      </w:r>
      <w:r>
        <w:t xml:space="preserve">(anchor patterns confirm the mechanism on their own; weak patterns are</w:t>
      </w:r>
      <w:r>
        <w:t xml:space="preserve"> </w:t>
      </w:r>
      <w:r>
        <w:t xml:space="preserve">generic and need review; exclusion patterns discard known false-positive</w:t>
      </w:r>
      <w:r>
        <w:t xml:space="preserve"> </w:t>
      </w:r>
      <w:r>
        <w:t xml:space="preserve">contexts). The output records</w:t>
      </w:r>
      <w:r>
        <w:t xml:space="preserve"> </w:t>
      </w:r>
      <w:r>
        <w:rPr>
          <w:rStyle w:val="VerbatimChar"/>
        </w:rPr>
        <w:t xml:space="preserve">screening_confidence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high</w:t>
      </w:r>
      <w:r>
        <w:t xml:space="preserve">/</w:t>
      </w:r>
      <w:r>
        <w:rPr>
          <w:rStyle w:val="VerbatimChar"/>
        </w:rPr>
        <w:t xml:space="preserve">low</w:t>
      </w:r>
      <w:r>
        <w:t xml:space="preserve">) rather</w:t>
      </w:r>
      <w:r>
        <w:t xml:space="preserve"> </w:t>
      </w:r>
      <w:r>
        <w:t xml:space="preserve">than</w:t>
      </w:r>
      <w:r>
        <w:t xml:space="preserve"> </w:t>
      </w:r>
      <w:r>
        <w:t xml:space="preserve">“confirmed”</w:t>
      </w:r>
      <w:r>
        <w:t xml:space="preserve"> </w:t>
      </w:r>
      <w:r>
        <w:t xml:space="preserve">— a lexical match is a strong textual signal, not</w:t>
      </w:r>
      <w:r>
        <w:t xml:space="preserve"> </w:t>
      </w:r>
      <w:r>
        <w:t xml:space="preserve">confirmation that an R-I-T (Regulator–Intermediary–Target) structure is</w:t>
      </w:r>
      <w:r>
        <w:t xml:space="preserve"> </w:t>
      </w:r>
      <w:r>
        <w:t xml:space="preserve">present. It also records</w:t>
      </w:r>
      <w:r>
        <w:t xml:space="preserve"> </w:t>
      </w:r>
      <w:r>
        <w:rPr>
          <w:rStyle w:val="VerbatimChar"/>
        </w:rPr>
        <w:t xml:space="preserve">provision_type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recital</w:t>
      </w:r>
      <w:r>
        <w:t xml:space="preserve">/</w:t>
      </w:r>
      <w:r>
        <w:rPr>
          <w:rStyle w:val="VerbatimChar"/>
        </w:rPr>
        <w:t xml:space="preserve">article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amended_act</w:t>
      </w:r>
      <w:r>
        <w:t xml:space="preserve"> </w:t>
      </w:r>
      <w:r>
        <w:t xml:space="preserve">(the directive actually being amended, for amending acts like</w:t>
      </w:r>
      <w:r>
        <w:t xml:space="preserve"> </w:t>
      </w:r>
      <w:r>
        <w:t xml:space="preserve">the CSRD, distinct from the source CELEX processed).</w:t>
      </w:r>
    </w:p>
    <w:p>
      <w:pPr>
        <w:pStyle w:val="BodyText"/>
      </w:pPr>
      <w:r>
        <w:t xml:space="preserve">Result: 1,079 paragraph-level hits, 71%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confidence, 29%</w:t>
      </w:r>
      <w:r>
        <w:t xml:space="preserve"> </w:t>
      </w:r>
      <w:r>
        <w:rPr>
          <w:rStyle w:val="VerbatimChar"/>
        </w:rPr>
        <w:t xml:space="preserve">low</w:t>
      </w:r>
      <w:r>
        <w:t xml:space="preserve">. Each</w:t>
      </w:r>
      <w:r>
        <w:t xml:space="preserve"> </w:t>
      </w:r>
      <w:r>
        <w:t xml:space="preserve">act shows a clearly dominant, coherent mechanism. One unplanned finding: in</w:t>
      </w:r>
      <w:r>
        <w:t xml:space="preserve"> </w:t>
      </w:r>
      <w:r>
        <w:t xml:space="preserve">the ETS act, the dominant hits are not</w:t>
      </w:r>
      <w:r>
        <w:t xml:space="preserve"> </w:t>
      </w:r>
      <w:r>
        <w:t xml:space="preserve">“audit”</w:t>
      </w:r>
      <w:r>
        <w:t xml:space="preserve"> </w:t>
      </w:r>
      <w:r>
        <w:t xml:space="preserve">(87) but</w:t>
      </w:r>
      <w:r>
        <w:t xml:space="preserve"> </w:t>
      </w:r>
      <w:r>
        <w:t xml:space="preserve">“certification”</w:t>
      </w:r>
      <w:r>
        <w:t xml:space="preserve"> </w:t>
      </w:r>
      <w:r>
        <w:t xml:space="preserve">(149, mostly</w:t>
      </w:r>
      <w:r>
        <w:t xml:space="preserve"> </w:t>
      </w:r>
      <w:r>
        <w:t xml:space="preserve">“accreditation”</w:t>
      </w:r>
      <w:r>
        <w:t xml:space="preserve">) — the regime creates an auditor who is itself</w:t>
      </w:r>
      <w:r>
        <w:t xml:space="preserve"> </w:t>
      </w:r>
      <w:r>
        <w:t xml:space="preserve">accredited by another intermediary, two mechanisms stacked in one act (see</w:t>
      </w:r>
      <w:r>
        <w:t xml:space="preserve"> </w:t>
      </w:r>
      <w:r>
        <w:t xml:space="preserve">Stage B, §4). Full pattern list, per-pattern counts and an actor/mechanism/</w:t>
      </w:r>
      <w:r>
        <w:t xml:space="preserve"> </w:t>
      </w:r>
      <w:r>
        <w:t xml:space="preserve">instrument tag for every pattern are in</w:t>
      </w:r>
      <w:r>
        <w:t xml:space="preserve"> </w:t>
      </w:r>
      <w:r>
        <w:rPr>
          <w:b/>
          <w:bCs/>
        </w:rPr>
        <w:t xml:space="preserve">Annex A — Codebook</w:t>
      </w:r>
      <w:r>
        <w:t xml:space="preserve">.</w:t>
      </w:r>
    </w:p>
    <w:bookmarkEnd w:id="11"/>
    <w:bookmarkStart w:id="12" w:name="stage-b-r-i-t-coding"/>
    <w:p>
      <w:pPr>
        <w:pStyle w:val="Heading2"/>
      </w:pPr>
      <w:r>
        <w:rPr>
          <w:rStyle w:val="SectionNumber"/>
        </w:rPr>
        <w:t xml:space="preserve">4</w:t>
      </w:r>
      <w:r>
        <w:tab/>
      </w:r>
      <w:r>
        <w:t xml:space="preserve">Stage B — R-I-T coding</w:t>
      </w:r>
    </w:p>
    <w:p>
      <w:pPr>
        <w:pStyle w:val="FirstParagraph"/>
      </w:pPr>
      <w:r>
        <w:t xml:space="preserve">For one key provision per act, I read the full text and coded the</w:t>
      </w:r>
      <w:r>
        <w:t xml:space="preserve"> </w:t>
      </w:r>
      <w:r>
        <w:t xml:space="preserve">Regulator–Intermediary–Target structure explicitly, together with legal</w:t>
      </w:r>
      <w:r>
        <w:t xml:space="preserve"> </w:t>
      </w:r>
      <w:r>
        <w:t xml:space="preserve">nature, sector, independence and accreditation requirements — the</w:t>
      </w:r>
      <w:r>
        <w:t xml:space="preserve"> </w:t>
      </w:r>
      <w:r>
        <w:t xml:space="preserve">attributes the proposal itself asks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CSRD, Art. 27a (assurance of consolidated sustainability reporting):</w:t>
      </w:r>
      <w:r>
        <w:t xml:space="preserve"> </w:t>
      </w:r>
      <w:r>
        <w:t xml:space="preserve">R = Member State competent authority; I = group auditor, itself</w:t>
      </w:r>
      <w:r>
        <w:t xml:space="preserve"> </w:t>
      </w:r>
      <w:r>
        <w:t xml:space="preserve">supervising a chain of independent assurance services providers,</w:t>
      </w:r>
      <w:r>
        <w:t xml:space="preserve"> </w:t>
      </w:r>
      <w:r>
        <w:t xml:space="preserve">statutory auditors and audit firms; T = undertaking/group. Mandatory,</w:t>
      </w:r>
      <w:r>
        <w:t xml:space="preserve"> </w:t>
      </w:r>
      <w:r>
        <w:t xml:space="preserve">independence required, approval required. The article shows one</w:t>
      </w:r>
      <w:r>
        <w:t xml:space="preserve"> </w:t>
      </w:r>
      <w:r>
        <w:t xml:space="preserve">intermediary supervising others — a layered chain, not a flat triad.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Ecolabel, Art. 9 (award of the EU Ecolabel):</w:t>
      </w:r>
      <w:r>
        <w:t xml:space="preserve"> </w:t>
      </w:r>
      <w:r>
        <w:t xml:space="preserve">R = European Commission</w:t>
      </w:r>
      <w:r>
        <w:t xml:space="preserve"> </w:t>
      </w:r>
      <w:r>
        <w:t xml:space="preserve">(sets criteria, maintains the public register); I = competent body</w:t>
      </w:r>
      <w:r>
        <w:t xml:space="preserve"> </w:t>
      </w:r>
      <w:r>
        <w:t xml:space="preserve">(designated per Member State); T = operator/applicant. Voluntary, hybrid</w:t>
      </w:r>
      <w:r>
        <w:t xml:space="preserve"> </w:t>
      </w:r>
      <w:r>
        <w:t xml:space="preserve">sector, partial reliance on accredited testing bodies.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Climate Benchmarks, Art. 19b — conditional case:</w:t>
      </w:r>
      <w:r>
        <w:t xml:space="preserve"> </w:t>
      </w:r>
      <w:r>
        <w:t xml:space="preserve">I = benchmark</w:t>
      </w:r>
      <w:r>
        <w:t xml:space="preserve"> </w:t>
      </w:r>
      <w:r>
        <w:t xml:space="preserve">administrator; T is dual and indirect (constituent companies scored for</w:t>
      </w:r>
      <w:r>
        <w:t xml:space="preserve"> </w:t>
      </w:r>
      <w:r>
        <w:t xml:space="preserve">inclusion/weighting; asset managers who use the label). R is not named in</w:t>
      </w:r>
      <w:r>
        <w:t xml:space="preserve"> </w:t>
      </w:r>
      <w:r>
        <w:t xml:space="preserve">this article — it sits elsewhere in Regulation (EU) 2016/1011. A climate</w:t>
      </w:r>
      <w:r>
        <w:t xml:space="preserve"> </w:t>
      </w:r>
      <w:r>
        <w:t xml:space="preserve">benchmark is not automatically a</w:t>
      </w:r>
      <w:r>
        <w:t xml:space="preserve"> </w:t>
      </w:r>
      <w:r>
        <w:t xml:space="preserve">“rating”</w:t>
      </w:r>
      <w:r>
        <w:t xml:space="preserve"> </w:t>
      </w:r>
      <w:r>
        <w:t xml:space="preserve">in the proposal’s regulatory</w:t>
      </w:r>
      <w:r>
        <w:t xml:space="preserve"> </w:t>
      </w:r>
      <w:r>
        <w:t xml:space="preserve">sense; it may just be a reference index for financial comparison. I keep</w:t>
      </w:r>
      <w:r>
        <w:t xml:space="preserve"> </w:t>
      </w:r>
      <w:r>
        <w:t xml:space="preserve">the case but mark construct validity as</w:t>
      </w:r>
      <w:r>
        <w:t xml:space="preserve"> </w:t>
      </w:r>
      <w:r>
        <w:rPr>
          <w:b/>
          <w:bCs/>
        </w:rPr>
        <w:t xml:space="preserve">conditional</w:t>
      </w:r>
      <w:r>
        <w:t xml:space="preserve">, not confirmed —</w:t>
      </w:r>
      <w:r>
        <w:t xml:space="preserve"> </w:t>
      </w:r>
      <w:r>
        <w:t xml:space="preserve">worth asking David directly whether this counts, or whether a more direct</w:t>
      </w:r>
      <w:r>
        <w:t xml:space="preserve"> </w:t>
      </w:r>
      <w:r>
        <w:t xml:space="preserve">case (e.g. credit rating agencies) should anchor this mechanism instead.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ETS Verification, Art. 27 (verification report):</w:t>
      </w:r>
      <w:r>
        <w:t xml:space="preserve"> </w:t>
      </w:r>
      <w:r>
        <w:t xml:space="preserve">R = competent</w:t>
      </w:r>
      <w:r>
        <w:t xml:space="preserve"> </w:t>
      </w:r>
      <w:r>
        <w:t xml:space="preserve">authority; I = verifier (with internal role differentiation: lead auditor,</w:t>
      </w:r>
      <w:r>
        <w:t xml:space="preserve"> </w:t>
      </w:r>
      <w:r>
        <w:t xml:space="preserve">auditor, independent reviewer, technical expert); T = operator/aircraft</w:t>
      </w:r>
      <w:r>
        <w:t xml:space="preserve"> </w:t>
      </w:r>
      <w:r>
        <w:t xml:space="preserve">operator. This article names all three positions explicitly in the same</w:t>
      </w:r>
      <w:r>
        <w:t xml:space="preserve"> </w:t>
      </w:r>
      <w:r>
        <w:t xml:space="preserve">sentence —</w:t>
      </w:r>
      <w:r>
        <w:t xml:space="preserve"> </w:t>
      </w:r>
      <w:r>
        <w:t xml:space="preserve">“the responsibilities of the operator or aircraft operator, the</w:t>
      </w:r>
      <w:r>
        <w:t xml:space="preserve"> </w:t>
      </w:r>
      <w:r>
        <w:t xml:space="preserve">competent authority and the verifier”</w:t>
      </w:r>
      <w:r>
        <w:t xml:space="preserve"> </w:t>
      </w:r>
      <w:r>
        <w:t xml:space="preserve">— the clearest R-I-T statement found</w:t>
      </w:r>
      <w:r>
        <w:t xml:space="preserve"> </w:t>
      </w:r>
      <w:r>
        <w:t xml:space="preserve">in the sample.</w:t>
      </w:r>
    </w:p>
    <w:p>
      <w:pPr>
        <w:pStyle w:val="FirstParagraph"/>
      </w:pPr>
      <w:r>
        <w:t xml:space="preserve">Full coding table:</w:t>
      </w:r>
      <w:r>
        <w:t xml:space="preserve"> </w:t>
      </w:r>
      <w:r>
        <w:rPr>
          <w:b/>
          <w:bCs/>
        </w:rPr>
        <w:t xml:space="preserve">Annex B — R-I-T coding</w:t>
      </w:r>
      <w:r>
        <w:t xml:space="preserve">.</w:t>
      </w:r>
    </w:p>
    <w:bookmarkEnd w:id="12"/>
    <w:bookmarkStart w:id="13" w:name="validation"/>
    <w:p>
      <w:pPr>
        <w:pStyle w:val="Heading2"/>
      </w:pPr>
      <w:r>
        <w:rPr>
          <w:rStyle w:val="SectionNumber"/>
        </w:rPr>
        <w:t xml:space="preserve">5</w:t>
      </w:r>
      <w:r>
        <w:tab/>
      </w:r>
      <w:r>
        <w:t xml:space="preserve">Validation</w:t>
      </w:r>
    </w:p>
    <w:p>
      <w:pPr>
        <w:pStyle w:val="FirstParagraph"/>
      </w:pPr>
      <w:r>
        <w:t xml:space="preserve">Screening hits alone only test false positives. For the same four</w:t>
      </w:r>
      <w:r>
        <w:t xml:space="preserve"> </w:t>
      </w:r>
      <w:r>
        <w:t xml:space="preserve">provisions, I read every paragraph manually, without regex, marking whether</w:t>
      </w:r>
      <w:r>
        <w:t xml:space="preserve"> </w:t>
      </w:r>
      <w:r>
        <w:t xml:space="preserve">it substantively concerns an intermediation relationship — the gold</w:t>
      </w:r>
      <w:r>
        <w:t xml:space="preserve"> </w:t>
      </w:r>
      <w:r>
        <w:t xml:space="preserve">standard — then compared it against what the screening layer actually</w:t>
      </w:r>
      <w:r>
        <w:t xml:space="preserve"> </w:t>
      </w:r>
      <w:r>
        <w:t xml:space="preserve">caught in those paragraphs.</w:t>
      </w:r>
    </w:p>
    <w:p>
      <w:pPr>
        <w:pStyle w:val="BodyText"/>
      </w:pPr>
      <w:r>
        <w:rPr>
          <w:b/>
          <w:bCs/>
        </w:rPr>
        <w:t xml:space="preserve">Result (35 judged units): precision 100% (33/33), recall 94.3% (33/35),</w:t>
      </w:r>
      <w:r>
        <w:rPr>
          <w:b/>
          <w:bCs/>
        </w:rPr>
        <w:t xml:space="preserve"> </w:t>
      </w:r>
      <w:r>
        <w:rPr>
          <w:b/>
          <w:bCs/>
        </w:rPr>
        <w:t xml:space="preserve">F1 97.1%.</w:t>
      </w:r>
      <w:r>
        <w:t xml:space="preserve"> </w:t>
      </w:r>
      <w:r>
        <w:t xml:space="preserve">No false positives in the sample. The two misses share one</w:t>
      </w:r>
      <w:r>
        <w:t xml:space="preserve"> </w:t>
      </w:r>
      <w:r>
        <w:t xml:space="preserve">cause: the paragraph describes the same relationship from the regulator’s or</w:t>
      </w:r>
      <w:r>
        <w:t xml:space="preserve"> </w:t>
      </w:r>
      <w:r>
        <w:t xml:space="preserve">the target’s side, without repeating the intermediary’s own name (e.g. </w:t>
      </w:r>
      <w:r>
        <w:t xml:space="preserve">“the</w:t>
      </w:r>
      <w:r>
        <w:t xml:space="preserve"> </w:t>
      </w:r>
      <w:r>
        <w:t xml:space="preserve">operator may place the EU Ecolabel on the product only after conclusion of</w:t>
      </w:r>
      <w:r>
        <w:t xml:space="preserve"> </w:t>
      </w:r>
      <w:r>
        <w:t xml:space="preserve">the contract”</w:t>
      </w:r>
      <w:r>
        <w:t xml:space="preserve"> </w:t>
      </w:r>
      <w:r>
        <w:t xml:space="preserve">— describes the target’s resulting right, never says</w:t>
      </w:r>
      <w:r>
        <w:t xml:space="preserve"> </w:t>
      </w:r>
      <w:r>
        <w:t xml:space="preserve">“competent body”</w:t>
      </w:r>
      <w:r>
        <w:t xml:space="preserve">). This is not fixed by adding synonyms; it needs a</w:t>
      </w:r>
      <w:r>
        <w:t xml:space="preserve"> </w:t>
      </w:r>
      <w:r>
        <w:t xml:space="preserve">paragraph-adjacency rule (flag paragraphs next to a high-confidence hit for</w:t>
      </w:r>
      <w:r>
        <w:t xml:space="preserve"> </w:t>
      </w:r>
      <w:r>
        <w:t xml:space="preserve">review, even without their own lexical match) — not yet implemented, logged</w:t>
      </w:r>
      <w:r>
        <w:t xml:space="preserve"> </w:t>
      </w:r>
      <w:r>
        <w:t xml:space="preserve">as the best-supported next design change. This is a small, non-random</w:t>
      </w:r>
      <w:r>
        <w:t xml:space="preserve"> </w:t>
      </w:r>
      <w:r>
        <w:t xml:space="preserve">sample (the richest article per act) — an optimistic ceiling, not a</w:t>
      </w:r>
      <w:r>
        <w:t xml:space="preserve"> </w:t>
      </w:r>
      <w:r>
        <w:t xml:space="preserve">corpus-wide estimate. Full method and both misses:</w:t>
      </w:r>
      <w:r>
        <w:t xml:space="preserve"> </w:t>
      </w:r>
      <w:r>
        <w:rPr>
          <w:b/>
          <w:bCs/>
        </w:rPr>
        <w:t xml:space="preserve">Annex C — Gold-standard</w:t>
      </w:r>
      <w:r>
        <w:rPr>
          <w:b/>
          <w:bCs/>
        </w:rPr>
        <w:t xml:space="preserve"> </w:t>
      </w:r>
      <w:r>
        <w:rPr>
          <w:b/>
          <w:bCs/>
        </w:rPr>
        <w:t xml:space="preserve">validation</w:t>
      </w:r>
      <w:r>
        <w:t xml:space="preserve">.</w:t>
      </w:r>
    </w:p>
    <w:bookmarkEnd w:id="13"/>
    <w:bookmarkStart w:id="14" w:name="methodological-grounding"/>
    <w:p>
      <w:pPr>
        <w:pStyle w:val="Heading2"/>
      </w:pPr>
      <w:r>
        <w:rPr>
          <w:rStyle w:val="SectionNumber"/>
        </w:rPr>
        <w:t xml:space="preserve">6</w:t>
      </w:r>
      <w:r>
        <w:tab/>
      </w:r>
      <w:r>
        <w:t xml:space="preserve">Methodological grounding</w:t>
      </w:r>
    </w:p>
    <w:p>
      <w:pPr>
        <w:pStyle w:val="FirstParagraph"/>
      </w:pPr>
      <w:r>
        <w:t xml:space="preserve">The design choices above — confidence tiering, evidence-anchored coding,</w:t>
      </w:r>
      <w:r>
        <w:t xml:space="preserve"> </w:t>
      </w:r>
      <w:r>
        <w:t xml:space="preserve">and calibrating rules against a read sample rather than a priori — draw on</w:t>
      </w:r>
      <w:r>
        <w:t xml:space="preserve"> </w:t>
      </w:r>
      <w:r>
        <w:t xml:space="preserve">my prior experience building evidence-anchored, iteratively validated</w:t>
      </w:r>
      <w:r>
        <w:t xml:space="preserve"> </w:t>
      </w:r>
      <w:r>
        <w:t xml:space="preserve">codebooks in the ARENAS research programme, where I code spatial elements</w:t>
      </w:r>
      <w:r>
        <w:t xml:space="preserve"> </w:t>
      </w:r>
      <w:r>
        <w:t xml:space="preserve">and sociomaterial mechanisms of policy implementation.</w:t>
      </w:r>
    </w:p>
    <w:bookmarkEnd w:id="14"/>
    <w:bookmarkStart w:id="15" w:name="limitations"/>
    <w:p>
      <w:pPr>
        <w:pStyle w:val="Heading2"/>
      </w:pPr>
      <w:r>
        <w:rPr>
          <w:rStyle w:val="SectionNumber"/>
        </w:rPr>
        <w:t xml:space="preserve">7</w:t>
      </w:r>
      <w:r>
        <w:tab/>
      </w:r>
      <w:r>
        <w:t xml:space="preserve">Limitations</w:t>
      </w:r>
    </w:p>
    <w:p>
      <w:pPr>
        <w:pStyle w:val="Compact"/>
        <w:numPr>
          <w:ilvl w:val="0"/>
          <w:numId w:val="1002"/>
        </w:numPr>
      </w:pPr>
      <w:r>
        <w:t xml:space="preserve">Screening’s 29%</w:t>
      </w:r>
      <w:r>
        <w:t xml:space="preserve"> </w:t>
      </w:r>
      <w:r>
        <w:rPr>
          <w:rStyle w:val="VerbatimChar"/>
        </w:rPr>
        <w:t xml:space="preserve">low</w:t>
      </w:r>
      <w:r>
        <w:t xml:space="preserve">-confidence hits outside the four coded provisions</w:t>
      </w:r>
      <w:r>
        <w:t xml:space="preserve"> </w:t>
      </w:r>
      <w:r>
        <w:t xml:space="preserve">remain an unreviewed queue, not a final result.</w:t>
      </w:r>
    </w:p>
    <w:p>
      <w:pPr>
        <w:pStyle w:val="Compact"/>
        <w:numPr>
          <w:ilvl w:val="0"/>
          <w:numId w:val="1002"/>
        </w:numPr>
      </w:pPr>
      <w:r>
        <w:t xml:space="preserve">The validation sample is small and non-random (§5).</w:t>
      </w:r>
    </w:p>
    <w:p>
      <w:pPr>
        <w:pStyle w:val="Compact"/>
        <w:numPr>
          <w:ilvl w:val="0"/>
          <w:numId w:val="1002"/>
        </w:numPr>
      </w:pPr>
      <w:r>
        <w:t xml:space="preserve">Collection uses EUR-Lex’s per-CELEX HTML page, workable for four</w:t>
      </w:r>
      <w:r>
        <w:t xml:space="preserve"> </w:t>
      </w:r>
      <w:r>
        <w:t xml:space="preserve">hand-picked acts, not for identifying the relevant population at scale.</w:t>
      </w:r>
    </w:p>
    <w:p>
      <w:pPr>
        <w:pStyle w:val="Compact"/>
        <w:numPr>
          <w:ilvl w:val="0"/>
          <w:numId w:val="1002"/>
        </w:numPr>
      </w:pPr>
      <w:r>
        <w:t xml:space="preserve">Stage B covers four provisions, proving the step is executable from Stage</w:t>
      </w:r>
      <w:r>
        <w:t xml:space="preserve"> </w:t>
      </w:r>
      <w:r>
        <w:t xml:space="preserve">A’s output — not a corpus-scale coding exercise.</w:t>
      </w:r>
    </w:p>
    <w:bookmarkEnd w:id="15"/>
    <w:bookmarkStart w:id="16" w:name="next-steps"/>
    <w:p>
      <w:pPr>
        <w:pStyle w:val="Heading2"/>
      </w:pPr>
      <w:r>
        <w:rPr>
          <w:rStyle w:val="SectionNumber"/>
        </w:rPr>
        <w:t xml:space="preserve">8</w:t>
      </w:r>
      <w:r>
        <w:tab/>
      </w:r>
      <w:r>
        <w:t xml:space="preserve">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Define the population before querying Cellar/SPARQL.</w:t>
      </w:r>
      <w:r>
        <w:t xml:space="preserve"> </w:t>
      </w:r>
      <w:r>
        <w:t xml:space="preserve">SPARQL solves</w:t>
      </w:r>
      <w:r>
        <w:t xml:space="preserve"> </w:t>
      </w:r>
      <w:r>
        <w:t xml:space="preserve">retrieval, not population definition — the order should be: population</w:t>
      </w:r>
      <w:r>
        <w:t xml:space="preserve"> </w:t>
      </w:r>
      <w:r>
        <w:t xml:space="preserve">definition → inclusion/exclusion criteria → sampling frame → SPARQL query</w:t>
      </w:r>
      <w:r>
        <w:t xml:space="preserve"> </w:t>
      </w:r>
      <w:r>
        <w:t xml:space="preserve">→ screening → coding.</w:t>
      </w:r>
    </w:p>
    <w:p>
      <w:pPr>
        <w:pStyle w:val="Compact"/>
        <w:numPr>
          <w:ilvl w:val="0"/>
          <w:numId w:val="1003"/>
        </w:numPr>
      </w:pPr>
      <w:r>
        <w:t xml:space="preserve">Implement the paragraph-adjacency review rule identified in §5.</w:t>
      </w:r>
    </w:p>
    <w:p>
      <w:pPr>
        <w:pStyle w:val="Compact"/>
        <w:numPr>
          <w:ilvl w:val="0"/>
          <w:numId w:val="1003"/>
        </w:numPr>
      </w:pPr>
      <w:r>
        <w:t xml:space="preserve">Use the validated sample as a reference to calibrate a second coder</w:t>
      </w:r>
      <w:r>
        <w:t xml:space="preserve"> </w:t>
      </w:r>
      <w:r>
        <w:t xml:space="preserve">(human or NLP-assisted) and measure agreement.</w:t>
      </w:r>
    </w:p>
    <w:p>
      <w:pPr>
        <w:pStyle w:val="Compact"/>
        <w:numPr>
          <w:ilvl w:val="0"/>
          <w:numId w:val="1003"/>
        </w:numPr>
      </w:pPr>
      <w:r>
        <w:t xml:space="preserve">Expand Stage B’s attributes (formality, voluntariness, level, sphere,</w:t>
      </w:r>
      <w:r>
        <w:t xml:space="preserve"> </w:t>
      </w:r>
      <w:r>
        <w:t xml:space="preserve">motivation, mode of operation, centrality, degree of separation) as</w:t>
      </w:r>
      <w:r>
        <w:t xml:space="preserve"> </w:t>
      </w:r>
      <w:r>
        <w:t xml:space="preserve">coding columns, not as new screening patterns.</w:t>
      </w:r>
    </w:p>
    <w:p>
      <w:pPr>
        <w:pStyle w:val="Compact"/>
        <w:numPr>
          <w:ilvl w:val="0"/>
          <w:numId w:val="1003"/>
        </w:numPr>
      </w:pPr>
      <w:r>
        <w:t xml:space="preserve">Resolve the Climate Benchmarks construct-validity question directly with</w:t>
      </w:r>
      <w:r>
        <w:t xml:space="preserve"> </w:t>
      </w:r>
      <w:r>
        <w:t xml:space="preserve">David before treating it as the canonical ranking/rating case.</w:t>
      </w:r>
    </w:p>
    <w:bookmarkEnd w:id="16"/>
    <w:bookmarkStart w:id="17" w:name="conclusion"/>
    <w:p>
      <w:pPr>
        <w:pStyle w:val="Heading2"/>
      </w:pPr>
      <w:r>
        <w:rPr>
          <w:rStyle w:val="SectionNumber"/>
        </w:rPr>
        <w:t xml:space="preserve">9</w:t>
      </w:r>
      <w:r>
        <w:tab/>
      </w:r>
      <w:r>
        <w:t xml:space="preserve">Conclusion</w:t>
      </w:r>
    </w:p>
    <w:p>
      <w:pPr>
        <w:pStyle w:val="FirstParagraph"/>
      </w:pPr>
      <w:r>
        <w:t xml:space="preserve">I first built a reproducible screening layer to locate candidate</w:t>
      </w:r>
      <w:r>
        <w:t xml:space="preserve"> </w:t>
      </w:r>
      <w:r>
        <w:t xml:space="preserve">intermediation provisions. I then convert those provisions into</w:t>
      </w:r>
      <w:r>
        <w:t xml:space="preserve"> </w:t>
      </w:r>
      <w:r>
        <w:t xml:space="preserve">theoretically grounded R-I-T observations, identifying the intermediary,</w:t>
      </w:r>
      <w:r>
        <w:t xml:space="preserve"> </w:t>
      </w:r>
      <w:r>
        <w:t xml:space="preserve">mechanism, legal basis, institutional attributes and verbatim evidence. The</w:t>
      </w:r>
      <w:r>
        <w:t xml:space="preserve"> </w:t>
      </w:r>
      <w:r>
        <w:t xml:space="preserve">screening layer accelerates corpus analysis; it does not replace substantive</w:t>
      </w:r>
      <w:r>
        <w:t xml:space="preserve"> </w:t>
      </w:r>
      <w:r>
        <w:t xml:space="preserve">coding. The architecture, documentation, traceability and codebook</w:t>
      </w:r>
      <w:r>
        <w:t xml:space="preserve"> </w:t>
      </w:r>
      <w:r>
        <w:t xml:space="preserve">demonstrate the research-organisation capacity the call asks for; the R-I-T</w:t>
      </w:r>
      <w:r>
        <w:t xml:space="preserve"> </w:t>
      </w:r>
      <w:r>
        <w:t xml:space="preserve">layer is what makes the output speak directly to the theory being tested.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Annexes</w:t>
      </w:r>
      <w:r>
        <w:t xml:space="preserve"> </w:t>
      </w:r>
      <w:r>
        <w:t xml:space="preserve">(separate files): A — Codebook (</w:t>
      </w:r>
      <w:r>
        <w:rPr>
          <w:rStyle w:val="VerbatimChar"/>
        </w:rPr>
        <w:t xml:space="preserve">CODEBOOK.md</w:t>
      </w:r>
      <w:r>
        <w:t xml:space="preserve">); B — R-I-T coding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RIT_CODING.md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data/rit_coded_sample.csv</w:t>
      </w:r>
      <w:r>
        <w:t xml:space="preserve">); C — Gold-standard 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GOLD_STANDARD_VALIDATION.md</w:t>
      </w:r>
      <w:r>
        <w:t xml:space="preserve">); D — Methodology and design rationale</w:t>
      </w:r>
      <w:r>
        <w:t xml:space="preserve"> </w:t>
      </w:r>
      <w:r>
        <w:t xml:space="preserve">(</w:t>
      </w:r>
      <w:r>
        <w:rPr>
          <w:rStyle w:val="VerbatimChar"/>
        </w:rPr>
        <w:t xml:space="preserve">METODOLOGIA.md</w:t>
      </w:r>
      <w:r>
        <w:t xml:space="preserve">).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Regulatory Intermediaries in EU Green-Transition Legislation</dc:title>
  <dc:creator>Igor Caires Machado — Postdoctoral Researcher, ENAP · ORCID 0009-0008-9547-5223</dc:creator>
  <dc:language>en</dc:language>
  <cp:keywords/>
  <dcterms:created xsi:type="dcterms:W3CDTF">2026-09-05T21:19:53Z</dcterms:created>
  <dcterms:modified xsi:type="dcterms:W3CDTF">2026-09-05T21:19:53Z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September 2026</vt:lpwstr>
  </property>
</Properties>
</file>