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Coding Regulatory Intermediaries in EU Green-Transition Legislation (v3)</w:t>
      </w:r>
    </w:p>
    <w:p>
      <w:pPr>
        <w:pStyle w:val="Author"/>
      </w:pPr>
      <w:r>
        <w:t xml:space="preserve">Igor Caires Machado — Postdoctoral Researcher, ENAP · ORCID 0009-0008-9547-5223</w:t>
      </w:r>
    </w:p>
    <w:p>
      <w:pPr>
        <w:pStyle w:val="Date"/>
      </w:pPr>
      <w:r>
        <w:t xml:space="preserve">5 September 2026</w:t>
      </w:r>
    </w:p>
    <w:bookmarkStart w:id="9" w:name="purpose"/>
    <w:p>
      <w:pPr>
        <w:pStyle w:val="Heading2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is the third iteration of a response to the call for a research</w:t>
      </w:r>
      <w:r>
        <w:t xml:space="preserve"> </w:t>
      </w:r>
      <w:r>
        <w:t xml:space="preserve">assistant/partner to help code intermediaries in EU legislation on the</w:t>
      </w:r>
      <w:r>
        <w:t xml:space="preserve"> </w:t>
      </w:r>
      <w:r>
        <w:t xml:space="preserve">green transition. Each iteration corrected a specific limitation: v1 built</w:t>
      </w:r>
      <w:r>
        <w:t xml:space="preserve"> </w:t>
      </w:r>
      <w:r>
        <w:t xml:space="preserve">a lexical mechanism-screening pipeline and mistook it for intermediary</w:t>
      </w:r>
      <w:r>
        <w:t xml:space="preserve"> </w:t>
      </w:r>
      <w:r>
        <w:t xml:space="preserve">coding; v2 introduced the R-I-T relational unit but mixed units of analysis</w:t>
      </w:r>
      <w:r>
        <w:t xml:space="preserve"> </w:t>
      </w:r>
      <w:r>
        <w:t xml:space="preserve">in one dataset and left at least one relationship insufficiently</w:t>
      </w:r>
      <w:r>
        <w:t xml:space="preserve"> </w:t>
      </w:r>
      <w:r>
        <w:t xml:space="preserve">normalized. This version separates the pipeline into three stages, each</w:t>
      </w:r>
      <w:r>
        <w:t xml:space="preserve"> </w:t>
      </w:r>
      <w:r>
        <w:t xml:space="preserve">with its own dataset, and enforces one rule throughout:</w:t>
      </w:r>
      <w:r>
        <w:t xml:space="preserve"> </w:t>
      </w:r>
      <w:r>
        <w:rPr>
          <w:b/>
          <w:bCs/>
        </w:rPr>
        <w:t xml:space="preserve">a dataset row must</w:t>
      </w:r>
      <w:r>
        <w:rPr>
          <w:b/>
          <w:bCs/>
        </w:rPr>
        <w:t xml:space="preserve"> </w:t>
      </w:r>
      <w:r>
        <w:rPr>
          <w:b/>
          <w:bCs/>
        </w:rPr>
        <w:t xml:space="preserve">correspond to exactly one analytical unit</w:t>
      </w:r>
      <w:r>
        <w:t xml:space="preserve"> </w:t>
      </w:r>
      <w:r>
        <w:t xml:space="preserve">— one screening signal, one</w:t>
      </w:r>
      <w:r>
        <w:t xml:space="preserve"> </w:t>
      </w:r>
      <w:r>
        <w:t xml:space="preserve">adjudicated candidate, or one fully individuated regulatory relationship,</w:t>
      </w:r>
      <w:r>
        <w:t xml:space="preserve"> </w:t>
      </w:r>
      <w:r>
        <w:t xml:space="preserve">never a blend.</w:t>
      </w:r>
    </w:p>
    <w:bookmarkEnd w:id="9"/>
    <w:bookmarkStart w:id="10" w:name="conceptual-framework"/>
    <w:p>
      <w:pPr>
        <w:pStyle w:val="Heading2"/>
      </w:pPr>
      <w:r>
        <w:rPr>
          <w:rStyle w:val="SectionNumber"/>
        </w:rPr>
        <w:t xml:space="preserve">2</w:t>
      </w:r>
      <w:r>
        <w:tab/>
      </w:r>
      <w:r>
        <w:t xml:space="preserve">Conceptual framework</w:t>
      </w:r>
    </w:p>
    <w:p>
      <w:pPr>
        <w:pStyle w:val="SourceCode"/>
      </w:pPr>
      <w:r>
        <w:rPr>
          <w:rStyle w:val="VerbatimChar"/>
        </w:rPr>
        <w:t xml:space="preserve">Regulatory context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Regulatory architecture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R - I - T relationship  &lt;-- coded now (Stage C)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Regulatory intermediation: actors + mechanisms + strategies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Intermediary institutional design  &lt;-- partially coded now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Autonomy / accountability indicators  &lt;-- defined, mostly deferred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Failure risks / safeguards  &lt;-- defined, deferred</w:t>
      </w:r>
      <w:r>
        <w:br/>
      </w:r>
      <w:r>
        <w:rPr>
          <w:rStyle w:val="VerbatimChar"/>
        </w:rPr>
        <w:t xml:space="preserve">       | - - - - - - - - - - - - - - - - - - - - - -  (boundary of this coding layer)</w:t>
      </w:r>
      <w:r>
        <w:br/>
      </w:r>
      <w:r>
        <w:rPr>
          <w:rStyle w:val="VerbatimChar"/>
        </w:rPr>
        <w:t xml:space="preserve">[future] Effectiveness / legitimacy / trust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[future] Monocentric &lt;-&gt; polycentric governance (regime-level)</w:t>
      </w:r>
    </w:p>
    <w:p>
      <w:pPr>
        <w:pStyle w:val="FirstParagraph"/>
      </w:pPr>
      <w:r>
        <w:t xml:space="preserve">Only theoretical constructs Levi-Faur’s proposal actually sustains are</w:t>
      </w:r>
      <w:r>
        <w:t xml:space="preserve"> </w:t>
      </w:r>
      <w:r>
        <w:t xml:space="preserve">attributed to it; operationalisations proposed here for this dataset, and</w:t>
      </w:r>
      <w:r>
        <w:t xml:space="preserve"> </w:t>
      </w:r>
      <w:r>
        <w:t xml:space="preserve">possibilities reserved for future analysis, are labelled as such throughout</w:t>
      </w:r>
      <w:r>
        <w:t xml:space="preserve"> </w:t>
      </w:r>
      <w:r>
        <w:t xml:space="preserve">the annexes (</w:t>
      </w:r>
      <w:r>
        <w:rPr>
          <w:rStyle w:val="VerbatimChar"/>
        </w:rPr>
        <w:t xml:space="preserve">DATA_DICTIONARY_v3.md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VARIABLE_MAP_v3.md</w:t>
      </w:r>
      <w:r>
        <w:t xml:space="preserve">).</w:t>
      </w:r>
    </w:p>
    <w:bookmarkEnd w:id="10"/>
    <w:bookmarkStart w:id="11" w:name="X3ade0e476d3d9ad6aae24b927c57387a554fa87"/>
    <w:p>
      <w:pPr>
        <w:pStyle w:val="Heading2"/>
      </w:pPr>
      <w:r>
        <w:rPr>
          <w:rStyle w:val="SectionNumber"/>
        </w:rPr>
        <w:t xml:space="preserve">3</w:t>
      </w:r>
      <w:r>
        <w:tab/>
      </w:r>
      <w:r>
        <w:t xml:space="preserve">Operational model — three stages, three datasets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Candidate detection</w:t>
            </w:r>
          </w:p>
        </w:tc>
        <w:tc>
          <w:tcPr/>
          <w:p>
            <w:pPr>
              <w:pStyle w:val="Compact"/>
            </w:pPr>
            <w:r>
              <w:t xml:space="preserve">Does this provision contain textual evidence potentially associated with intermediation?</w:t>
            </w:r>
          </w:p>
        </w:tc>
        <w:tc>
          <w:tcPr/>
          <w:p>
            <w:pPr>
              <w:pStyle w:val="Compact"/>
            </w:pPr>
            <w:r>
              <w:t xml:space="preserve">provision × lexical signal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screening_hits_v3.csv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Relational adjudication</w:t>
            </w:r>
          </w:p>
        </w:tc>
        <w:tc>
          <w:tcPr/>
          <w:p>
            <w:pPr>
              <w:pStyle w:val="Compact"/>
            </w:pPr>
            <w:r>
              <w:t xml:space="preserve">Does the evidence support an analytically distinct R-I-T relationship?</w:t>
            </w:r>
          </w:p>
        </w:tc>
        <w:tc>
          <w:tcPr/>
          <w:p>
            <w:pPr>
              <w:pStyle w:val="Compact"/>
            </w:pPr>
            <w:r>
              <w:t xml:space="preserve">candidate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candidate_adjudications_v3.csv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Institutional coding</w:t>
            </w:r>
          </w:p>
        </w:tc>
        <w:tc>
          <w:tcPr/>
          <w:p>
            <w:pPr>
              <w:pStyle w:val="Compact"/>
            </w:pPr>
            <w:r>
              <w:t xml:space="preserve">What kind of intermediation is this, and how is it designed?</w:t>
            </w:r>
          </w:p>
        </w:tc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rit_relationships_v3.csv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actors_v3.csv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Full coding manual:</w:t>
      </w:r>
      <w:r>
        <w:t xml:space="preserve"> </w:t>
      </w:r>
      <w:r>
        <w:rPr>
          <w:rStyle w:val="VerbatimChar"/>
        </w:rPr>
        <w:t xml:space="preserve">RIT_CODEBOOK_v3.md</w:t>
      </w:r>
      <w:r>
        <w:t xml:space="preserve">. Full pattern reference:</w:t>
      </w:r>
      <w:r>
        <w:t xml:space="preserve"> </w:t>
      </w:r>
      <w:r>
        <w:rPr>
          <w:rStyle w:val="VerbatimChar"/>
        </w:rPr>
        <w:t xml:space="preserve">SCREENING_CODEBOOK_v3.md</w:t>
      </w:r>
      <w:r>
        <w:t xml:space="preserve">.</w:t>
      </w:r>
    </w:p>
    <w:bookmarkEnd w:id="11"/>
    <w:bookmarkStart w:id="12" w:name="pilot-evidence"/>
    <w:p>
      <w:pPr>
        <w:pStyle w:val="Heading2"/>
      </w:pPr>
      <w:r>
        <w:rPr>
          <w:rStyle w:val="SectionNumber"/>
        </w:rPr>
        <w:t xml:space="preserve">4</w:t>
      </w:r>
      <w:r>
        <w:tab/>
      </w:r>
      <w:r>
        <w:t xml:space="preserve">Pilot evidence</w:t>
      </w:r>
    </w:p>
    <w:p>
      <w:pPr>
        <w:pStyle w:val="FirstParagraph"/>
      </w:pPr>
      <w:r>
        <w:t xml:space="preserve">Same four acts as before (CSRD, Ecolabel, Climate Benchmarks, ETS</w:t>
      </w:r>
      <w:r>
        <w:t xml:space="preserve"> </w:t>
      </w:r>
      <w:r>
        <w:t xml:space="preserve">Verification) — no new corpus collection this round. Stage A: 1,079</w:t>
      </w:r>
      <w:r>
        <w:t xml:space="preserve"> </w:t>
      </w:r>
      <w:r>
        <w:t xml:space="preserve">screening hits (unchanged in total from the previous round; the underlying</w:t>
      </w:r>
      <w:r>
        <w:t xml:space="preserve"> </w:t>
      </w:r>
      <w:r>
        <w:t xml:space="preserve">lexical patterns were corrected for ontology-mixing, with identical</w:t>
      </w:r>
      <w:r>
        <w:t xml:space="preserve"> </w:t>
      </w:r>
      <w:r>
        <w:t xml:space="preserve">matching results). Stage B:</w:t>
      </w:r>
      <w:r>
        <w:t xml:space="preserve"> </w:t>
      </w:r>
      <w:r>
        <w:rPr>
          <w:b/>
          <w:bCs/>
        </w:rPr>
        <w:t xml:space="preserve">ten adjudicated candidates — seven positive,</w:t>
      </w:r>
      <w:r>
        <w:rPr>
          <w:b/>
          <w:bCs/>
        </w:rPr>
        <w:t xml:space="preserve"> </w:t>
      </w:r>
      <w:r>
        <w:rPr>
          <w:b/>
          <w:bCs/>
        </w:rPr>
        <w:t xml:space="preserve">two negative, one conditional.</w:t>
      </w:r>
      <w:r>
        <w:t xml:space="preserve"> </w:t>
      </w:r>
      <w:r>
        <w:t xml:space="preserve">Stage C:</w:t>
      </w:r>
      <w:r>
        <w:t xml:space="preserve"> </w:t>
      </w:r>
      <w:r>
        <w:rPr>
          <w:b/>
          <w:bCs/>
        </w:rPr>
        <w:t xml:space="preserve">seven fully individuated</w:t>
      </w:r>
      <w:r>
        <w:rPr>
          <w:b/>
          <w:bCs/>
        </w:rPr>
        <w:t xml:space="preserve"> </w:t>
      </w:r>
      <w:r>
        <w:rPr>
          <w:b/>
          <w:bCs/>
        </w:rPr>
        <w:t xml:space="preserve">regulatory intermediation relationships</w:t>
      </w:r>
      <w:r>
        <w:t xml:space="preserve">, including:</w:t>
      </w:r>
    </w:p>
    <w:p>
      <w:pPr>
        <w:pStyle w:val="Compact"/>
        <w:numPr>
          <w:ilvl w:val="0"/>
          <w:numId w:val="1001"/>
        </w:numPr>
      </w:pPr>
      <w:r>
        <w:t xml:space="preserve">Two chains demonstrating meta-regulation (CSRD: a group auditor</w:t>
      </w:r>
      <w:r>
        <w:t xml:space="preserve"> </w:t>
      </w:r>
      <w:r>
        <w:t xml:space="preserve">supervising a subsidiary-level assurance provider; ETS: a national</w:t>
      </w:r>
      <w:r>
        <w:t xml:space="preserve"> </w:t>
      </w:r>
      <w:r>
        <w:t xml:space="preserve">accreditation body itself overseen by an EU-level peer-evaluation body</w:t>
      </w:r>
      <w:r>
        <w:t xml:space="preserve"> </w:t>
      </w:r>
      <w:r>
        <w:t xml:space="preserve">before it accredits a verifier).</w:t>
      </w:r>
    </w:p>
    <w:p>
      <w:pPr>
        <w:pStyle w:val="Compact"/>
        <w:numPr>
          <w:ilvl w:val="0"/>
          <w:numId w:val="1001"/>
        </w:numPr>
      </w:pPr>
      <w:r>
        <w:t xml:space="preserve">One case of role multiplicity: the ETS verifier is the intermediary in</w:t>
      </w:r>
      <w:r>
        <w:t xml:space="preserve"> </w:t>
      </w:r>
      <w:r>
        <w:t xml:space="preserve">one relationship (between the competent authority and the operator) and</w:t>
      </w:r>
      <w:r>
        <w:t xml:space="preserve"> </w:t>
      </w:r>
      <w:r>
        <w:t xml:space="preserve">the target in the linked accreditation relationship.</w:t>
      </w:r>
    </w:p>
    <w:p>
      <w:pPr>
        <w:pStyle w:val="Compact"/>
        <w:numPr>
          <w:ilvl w:val="0"/>
          <w:numId w:val="1001"/>
        </w:numPr>
      </w:pPr>
      <w:r>
        <w:t xml:space="preserve">Two deliberate negative controls: a direct CSRD reporting duty with no</w:t>
      </w:r>
      <w:r>
        <w:t xml:space="preserve"> </w:t>
      </w:r>
      <w:r>
        <w:t xml:space="preserve">mediating actor, and an EU Ecolabel advisory board that fails the</w:t>
      </w:r>
      <w:r>
        <w:t xml:space="preserve"> </w:t>
      </w:r>
      <w:r>
        <w:t xml:space="preserve">relational test (it advises the regulator; it does not mediate an</w:t>
      </w:r>
      <w:r>
        <w:t xml:space="preserve"> </w:t>
      </w:r>
      <w:r>
        <w:t xml:space="preserve">existing regulator-target relationship).</w:t>
      </w:r>
    </w:p>
    <w:p>
      <w:pPr>
        <w:pStyle w:val="FirstParagraph"/>
      </w:pPr>
      <w:r>
        <w:t xml:space="preserve">Ten adjudicated cases, not thousands of hits, is deliberate: the priority is</w:t>
      </w:r>
      <w:r>
        <w:t xml:space="preserve"> </w:t>
      </w:r>
      <w:r>
        <w:t xml:space="preserve">demonstrating that every rule in the codebook has been exercised at least</w:t>
      </w:r>
      <w:r>
        <w:t xml:space="preserve"> </w:t>
      </w:r>
      <w:r>
        <w:t xml:space="preserve">once, not corpus coverage.</w:t>
      </w:r>
    </w:p>
    <w:bookmarkEnd w:id="12"/>
    <w:bookmarkStart w:id="13" w:name="construct-validity-tests"/>
    <w:p>
      <w:pPr>
        <w:pStyle w:val="Heading2"/>
      </w:pPr>
      <w:r>
        <w:rPr>
          <w:rStyle w:val="SectionNumber"/>
        </w:rPr>
        <w:t xml:space="preserve">5</w:t>
      </w:r>
      <w:r>
        <w:tab/>
      </w:r>
      <w:r>
        <w:t xml:space="preserve">Construct-validity tests</w:t>
      </w:r>
    </w:p>
    <w:p>
      <w:pPr>
        <w:pStyle w:val="FirstParagraph"/>
      </w:pPr>
      <w:r>
        <w:t xml:space="preserve">Two cases required explicit scrutiny rather than default acceptance: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Climate Benchmarks</w:t>
      </w:r>
      <w:r>
        <w:t xml:space="preserve"> </w:t>
      </w:r>
      <w:r>
        <w:t xml:space="preserve">(quarantined as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, not promoted to</w:t>
      </w:r>
      <w:r>
        <w:t xml:space="preserve"> </w:t>
      </w:r>
      <w:r>
        <w:t xml:space="preserve">Stage C): the administrator selects, weights and excludes assets against</w:t>
      </w:r>
      <w:r>
        <w:t xml:space="preserve"> </w:t>
      </w:r>
      <w:r>
        <w:t xml:space="preserve">a predefined decarbonisation standard — rating-like — but the regulator</w:t>
      </w:r>
      <w:r>
        <w:t xml:space="preserve"> </w:t>
      </w:r>
      <w:r>
        <w:t xml:space="preserve">is not named in the specific provision read, and the target is dual and</w:t>
      </w:r>
      <w:r>
        <w:t xml:space="preserve"> </w:t>
      </w:r>
      <w:r>
        <w:t xml:space="preserve">indirect (scored companies; separately, asset managers who use the</w:t>
      </w:r>
      <w:r>
        <w:t xml:space="preserve"> </w:t>
      </w:r>
      <w:r>
        <w:t xml:space="preserve">label). Held for direct discussion with David rather than force-included.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ETS accreditation relationship</w:t>
      </w:r>
      <w:r>
        <w:t xml:space="preserve">: an initial reading treated the</w:t>
      </w:r>
      <w:r>
        <w:t xml:space="preserve"> </w:t>
      </w:r>
      <w:r>
        <w:t xml:space="preserve">national accreditation body as the regulator with no distinct</w:t>
      </w:r>
      <w:r>
        <w:t xml:space="preserve"> </w:t>
      </w:r>
      <w:r>
        <w:t xml:space="preserve">intermediary — a dyadic misread that would have undermined the</w:t>
      </w:r>
      <w:r>
        <w:t xml:space="preserve"> </w:t>
      </w:r>
      <w:r>
        <w:t xml:space="preserve">role-multiplicity claim built on it. Re-reading the Article-14</w:t>
      </w:r>
      <w:r>
        <w:t xml:space="preserve"> </w:t>
      </w:r>
      <w:r>
        <w:t xml:space="preserve">peer-evaluation evidence already on file corrected this. Documented, not</w:t>
      </w:r>
      <w:r>
        <w:t xml:space="preserve"> </w:t>
      </w:r>
      <w:r>
        <w:t xml:space="preserve">silently fixed (</w:t>
      </w:r>
      <w:r>
        <w:rPr>
          <w:rStyle w:val="VerbatimChar"/>
        </w:rPr>
        <w:t xml:space="preserve">METHODOLOGY_v3.md</w:t>
      </w:r>
      <w:r>
        <w:t xml:space="preserve">).</w:t>
      </w:r>
    </w:p>
    <w:bookmarkEnd w:id="13"/>
    <w:bookmarkStart w:id="14" w:name="validation"/>
    <w:p>
      <w:pPr>
        <w:pStyle w:val="Heading2"/>
      </w:pPr>
      <w:r>
        <w:rPr>
          <w:rStyle w:val="SectionNumber"/>
        </w:rPr>
        <w:t xml:space="preserve">6</w:t>
      </w:r>
      <w:r>
        <w:tab/>
      </w:r>
      <w:r>
        <w:t xml:space="preserve">Validation</w:t>
      </w:r>
    </w:p>
    <w:p>
      <w:pPr>
        <w:pStyle w:val="FirstParagraph"/>
      </w:pPr>
      <w:r>
        <w:t xml:space="preserve">Stage A: precision 100%, recall 94.3%, F1 97.1% over a 35-paragraph</w:t>
      </w:r>
      <w:r>
        <w:t xml:space="preserve"> </w:t>
      </w:r>
      <w:r>
        <w:rPr>
          <w:b/>
          <w:bCs/>
        </w:rPr>
        <w:t xml:space="preserve">manually adjudicated pilot reference sample</w:t>
      </w:r>
      <w:r>
        <w:t xml:space="preserve"> </w:t>
      </w:r>
      <w:r>
        <w:t xml:space="preserve">(not a</w:t>
      </w:r>
      <w:r>
        <w:t xml:space="preserve"> </w:t>
      </w:r>
      <w:r>
        <w:t xml:space="preserve">“gold standard”</w:t>
      </w:r>
      <w:r>
        <w:t xml:space="preserve"> </w:t>
      </w:r>
      <w:r>
        <w:t xml:space="preserve">—</w:t>
      </w:r>
      <w:r>
        <w:t xml:space="preserve"> </w:t>
      </w:r>
      <w:r>
        <w:t xml:space="preserve">retired for good). Stage B/C:</w:t>
      </w:r>
      <w:r>
        <w:t xml:space="preserve"> </w:t>
      </w:r>
      <w:r>
        <w:rPr>
          <w:b/>
          <w:bCs/>
        </w:rPr>
        <w:t xml:space="preserve">not yet validated by a second coder</w:t>
      </w:r>
      <w:r>
        <w:t xml:space="preserve"> </w:t>
      </w:r>
      <w:r>
        <w:t xml:space="preserve">— a</w:t>
      </w:r>
      <w:r>
        <w:t xml:space="preserve"> </w:t>
      </w:r>
      <w:r>
        <w:t xml:space="preserve">full protocol is written (</w:t>
      </w:r>
      <w:r>
        <w:rPr>
          <w:rStyle w:val="VerbatimChar"/>
        </w:rPr>
        <w:t xml:space="preserve">RELATIONSHIP_VALIDATION_PROTOCOL_v3.md</w:t>
      </w:r>
      <w:r>
        <w:t xml:space="preserve">) and is</w:t>
      </w:r>
      <w:r>
        <w:t xml:space="preserve"> </w:t>
      </w:r>
      <w:r>
        <w:t xml:space="preserve">the next concrete task, not a formality to skip.</w:t>
      </w:r>
    </w:p>
    <w:bookmarkEnd w:id="14"/>
    <w:bookmarkStart w:id="15" w:name="Xb6f8f292eeca1d4b37b5c25a2169c4a3c527855"/>
    <w:p>
      <w:pPr>
        <w:pStyle w:val="Heading2"/>
      </w:pPr>
      <w:r>
        <w:rPr>
          <w:rStyle w:val="SectionNumber"/>
        </w:rPr>
        <w:t xml:space="preserve">7</w:t>
      </w:r>
      <w:r>
        <w:tab/>
      </w:r>
      <w:r>
        <w:t xml:space="preserve">What legal-text coding can and cannot measure</w:t>
      </w:r>
    </w:p>
    <w:p>
      <w:pPr>
        <w:pStyle w:val="FirstParagraph"/>
      </w:pPr>
      <w:r>
        <w:t xml:space="preserve">Directly codeable from the provisions read: actor identity, R-I-T role</w:t>
      </w:r>
      <w:r>
        <w:t xml:space="preserve"> </w:t>
      </w:r>
      <w:r>
        <w:t xml:space="preserve">assignment, mechanism, a partial set of institutional-design attributes</w:t>
      </w:r>
      <w:r>
        <w:t xml:space="preserve"> </w:t>
      </w:r>
      <w:r>
        <w:t xml:space="preserve">(formal role, voluntarism, level, sphere, mode of operation,</w:t>
      </w:r>
      <w:r>
        <w:t xml:space="preserve"> </w:t>
      </w:r>
      <w:r>
        <w:t xml:space="preserve">organisational separation), and two governance indicators (independence</w:t>
      </w:r>
      <w:r>
        <w:t xml:space="preserve"> </w:t>
      </w:r>
      <w:r>
        <w:t xml:space="preserve">requirement, supervision).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measured by this layer, and not claimed</w:t>
      </w:r>
      <w:r>
        <w:t xml:space="preserve"> </w:t>
      </w:r>
      <w:r>
        <w:t xml:space="preserve">to be: motivation, institutional centrality, the full autonomy and</w:t>
      </w:r>
      <w:r>
        <w:t xml:space="preserve"> </w:t>
      </w:r>
      <w:r>
        <w:t xml:space="preserve">accountability indicator batteries, intermediation strategy, and any</w:t>
      </w:r>
      <w:r>
        <w:t xml:space="preserve"> </w:t>
      </w:r>
      <w:r>
        <w:t xml:space="preserve">regime-level polycentricity classification — all defined operationally in</w:t>
      </w:r>
      <w:r>
        <w:t xml:space="preserve"> </w:t>
      </w:r>
      <w:r>
        <w:rPr>
          <w:rStyle w:val="VerbatimChar"/>
        </w:rPr>
        <w:t xml:space="preserve">DATA_DICTIONARY_v3.md</w:t>
      </w:r>
      <w:r>
        <w:t xml:space="preserve"> </w:t>
      </w:r>
      <w:r>
        <w:t xml:space="preserve">for a future round with a second coder, none</w:t>
      </w:r>
      <w:r>
        <w:t xml:space="preserve"> </w:t>
      </w:r>
      <w:r>
        <w:t xml:space="preserve">fabricated here. Effectiveness, legitimacy and trust are treated as</w:t>
      </w:r>
      <w:r>
        <w:t xml:space="preserve"> </w:t>
      </w:r>
      <w:r>
        <w:t xml:space="preserve">downstream theoretical outcomes outside this layer’s evidentiary reach; text</w:t>
      </w:r>
      <w:r>
        <w:t xml:space="preserve"> </w:t>
      </w:r>
      <w:r>
        <w:t xml:space="preserve">invoking them is coded as a stated regulatory objective, never as evidence</w:t>
      </w:r>
      <w:r>
        <w:t xml:space="preserve"> </w:t>
      </w:r>
      <w:r>
        <w:t xml:space="preserve">of an achieved result.</w:t>
      </w:r>
    </w:p>
    <w:bookmarkEnd w:id="15"/>
    <w:bookmarkStart w:id="16" w:name="next-steps"/>
    <w:p>
      <w:pPr>
        <w:pStyle w:val="Heading2"/>
      </w:pPr>
      <w:r>
        <w:rPr>
          <w:rStyle w:val="SectionNumber"/>
        </w:rPr>
        <w:t xml:space="preserve">8</w:t>
      </w:r>
      <w:r>
        <w:tab/>
      </w: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t xml:space="preserve">Define the population and sampling frame in writing before any</w:t>
      </w:r>
      <w:r>
        <w:t xml:space="preserve"> </w:t>
      </w:r>
      <w:r>
        <w:t xml:space="preserve">SPARQL/Cellar query at scale.</w:t>
      </w:r>
    </w:p>
    <w:p>
      <w:pPr>
        <w:pStyle w:val="Compact"/>
        <w:numPr>
          <w:ilvl w:val="0"/>
          <w:numId w:val="1003"/>
        </w:numPr>
      </w:pPr>
      <w:r>
        <w:t xml:space="preserve">Run the Stage B/C inter-coder validation protocol with a second coder.</w:t>
      </w:r>
    </w:p>
    <w:p>
      <w:pPr>
        <w:pStyle w:val="Compact"/>
        <w:numPr>
          <w:ilvl w:val="0"/>
          <w:numId w:val="1003"/>
        </w:numPr>
      </w:pPr>
      <w:r>
        <w:t xml:space="preserve">Resolve the Climate Benchmarks construct-validity question with David.</w:t>
      </w:r>
    </w:p>
    <w:p>
      <w:pPr>
        <w:pStyle w:val="Compact"/>
        <w:numPr>
          <w:ilvl w:val="0"/>
          <w:numId w:val="1003"/>
        </w:numPr>
      </w:pPr>
      <w:r>
        <w:t xml:space="preserve">Populate the deferred autonomy, accountability and strategy batteries</w:t>
      </w:r>
      <w:r>
        <w:t xml:space="preserve"> </w:t>
      </w:r>
      <w:r>
        <w:t xml:space="preserve">once a second coder is in place.</w:t>
      </w:r>
    </w:p>
    <w:bookmarkEnd w:id="16"/>
    <w:bookmarkStart w:id="17" w:name="conclusion"/>
    <w:p>
      <w:pPr>
        <w:pStyle w:val="Heading2"/>
      </w:pPr>
      <w:r>
        <w:rPr>
          <w:rStyle w:val="SectionNumber"/>
        </w:rPr>
        <w:t xml:space="preserve">9</w:t>
      </w:r>
      <w:r>
        <w:tab/>
      </w:r>
      <w:r>
        <w:t xml:space="preserve">Conclusion</w:t>
      </w:r>
    </w:p>
    <w:p>
      <w:pPr>
        <w:pStyle w:val="FirstParagraph"/>
      </w:pPr>
      <w:r>
        <w:t xml:space="preserve">Regulatory intermediation is operationalised here as a relational</w:t>
      </w:r>
      <w:r>
        <w:t xml:space="preserve"> </w:t>
      </w:r>
      <w:r>
        <w:t xml:space="preserve">construct, not a lexical category. Screening identifies candidates;</w:t>
      </w:r>
      <w:r>
        <w:t xml:space="preserve"> </w:t>
      </w:r>
      <w:r>
        <w:t xml:space="preserve">relational adjudication determines whether a genuine R-I-T structure</w:t>
      </w:r>
      <w:r>
        <w:t xml:space="preserve"> </w:t>
      </w:r>
      <w:r>
        <w:t xml:space="preserve">exists, with negative and conditional outcomes preserved as evidence of</w:t>
      </w:r>
      <w:r>
        <w:t xml:space="preserve"> </w:t>
      </w:r>
      <w:r>
        <w:t xml:space="preserve">discriminant validity, not discarded; institutional coding then records</w:t>
      </w:r>
      <w:r>
        <w:t xml:space="preserve"> </w:t>
      </w:r>
      <w:r>
        <w:t xml:space="preserve">mechanisms and the attributes the text can actually support, while autonomy,</w:t>
      </w:r>
      <w:r>
        <w:t xml:space="preserve"> </w:t>
      </w:r>
      <w:r>
        <w:t xml:space="preserve">accountability and strategy remain decomposed into explicitly deferred</w:t>
      </w:r>
      <w:r>
        <w:t xml:space="preserve"> </w:t>
      </w:r>
      <w:r>
        <w:t xml:space="preserve">indicators rather than premature indices. Effectiveness, legitimacy, trust</w:t>
      </w:r>
      <w:r>
        <w:t xml:space="preserve"> </w:t>
      </w:r>
      <w:r>
        <w:t xml:space="preserve">and polycentric governance are reserved for later empirical and aggregate</w:t>
      </w:r>
      <w:r>
        <w:t xml:space="preserve"> </w:t>
      </w:r>
      <w:r>
        <w:t xml:space="preserve">analysis that this layer is not designed to perform.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Annexes</w:t>
      </w:r>
      <w:r>
        <w:t xml:space="preserve"> </w:t>
      </w:r>
      <w:r>
        <w:t xml:space="preserve">(separate files):</w:t>
      </w:r>
      <w:r>
        <w:t xml:space="preserve"> </w:t>
      </w:r>
      <w:r>
        <w:rPr>
          <w:rStyle w:val="VerbatimChar"/>
        </w:rPr>
        <w:t xml:space="preserve">RIT_CODEBOOK_v3.md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SCREENING_CODEBOOK_v3.md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DATA_DICTIONARY_v3.md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VARIABLE_MAP_v3.md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METHODOLOGY_v3.md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SCREENING_VALIDATION_v3.md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RELATIONSHIP_VALIDATION_PROTOCOL_v3.md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CHANGELOG_v3.md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data/screening_hits_v3.csv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data/candidate_adjudications_v3.csv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data/rit_relationships_v3.csv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data/actors_v3.csv</w:t>
      </w:r>
      <w:r>
        <w:t xml:space="preserve">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Regulatory Intermediaries in EU Green-Transition Legislation (v3)</dc:title>
  <dc:creator>Igor Caires Machado — Postdoctoral Researcher, ENAP · ORCID 0009-0008-9547-5223</dc:creator>
  <dc:language>en</dc:language>
  <cp:keywords/>
  <dcterms:created xsi:type="dcterms:W3CDTF">2026-09-05T22:20:13Z</dcterms:created>
  <dcterms:modified xsi:type="dcterms:W3CDTF">2026-09-05T22:20:13Z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5 September 2026</vt:lpwstr>
  </property>
</Properties>
</file>