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Codificação de Intermediários Regulatórios na Legislação da UE sobre Transição Verde</w:t>
      </w:r>
    </w:p>
    <w:p>
      <w:pPr>
        <w:pStyle w:val="Subtitle"/>
      </w:pPr>
      <w:r>
        <w:t xml:space="preserve">Compreensão conceitual, operacionalização e proposta de codificação — relatório preparado para discussão com o Prof. David Levi-Faur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5 de setembro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bjetivo-deste-documento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Objetivo deste documento</w:t>
      </w:r>
    </w:p>
    <w:p>
      <w:pPr>
        <w:pStyle w:val="FirstParagraph"/>
      </w:pPr>
      <w:r>
        <w:t xml:space="preserve">Este relatório apresenta, de forma consolidada, o trabalho realizado em resposta</w:t>
      </w:r>
      <w:r>
        <w:t xml:space="preserve"> </w:t>
      </w:r>
      <w:r>
        <w:t xml:space="preserve">à chamada do Prof. David Levi-Faur por um assistente/parceiro de pesquisa para</w:t>
      </w:r>
      <w:r>
        <w:t xml:space="preserve"> </w:t>
      </w:r>
      <w:r>
        <w:t xml:space="preserve">codificar intermediários na legislação da UE sobre transição verde</w:t>
      </w:r>
      <w:r>
        <w:t xml:space="preserve"> </w:t>
      </w:r>
      <w:r>
        <w:t xml:space="preserve">(</w:t>
      </w:r>
      <w:r>
        <w:t xml:space="preserve">“Governance by and of Intermediaries”</w:t>
      </w:r>
      <w:r>
        <w:t xml:space="preserve">). Cobre quatro frentes: (1) a</w:t>
      </w:r>
      <w:r>
        <w:t xml:space="preserve"> </w:t>
      </w:r>
      <w:r>
        <w:t xml:space="preserve">compreensão do tema e do problema teórico proposto; (2) a compreensão</w:t>
      </w:r>
      <w:r>
        <w:t xml:space="preserve"> </w:t>
      </w:r>
      <w:r>
        <w:t xml:space="preserve">conceitual dos mecanismos de intermediação; (3) como isso foi operacionalizado</w:t>
      </w:r>
      <w:r>
        <w:t xml:space="preserve"> </w:t>
      </w:r>
      <w:r>
        <w:t xml:space="preserve">numa prova de conceito (PoC) empírica; e (4) a proposta de codificação</w:t>
      </w:r>
      <w:r>
        <w:t xml:space="preserve"> </w:t>
      </w:r>
      <w:r>
        <w:t xml:space="preserve">resultante, fundamentada não apenas na teoria do próprio David, mas também na</w:t>
      </w:r>
      <w:r>
        <w:t xml:space="preserve"> </w:t>
      </w:r>
      <w:r>
        <w:t xml:space="preserve">minha experiência prévia de construção de codebooks no programa de pesquisa</w:t>
      </w:r>
      <w:r>
        <w:t xml:space="preserve"> </w:t>
      </w:r>
      <w:r>
        <w:t xml:space="preserve">ARENAS, onde codifico elementos espaciais e mecanismos sociomateriais de</w:t>
      </w:r>
      <w:r>
        <w:t xml:space="preserve"> </w:t>
      </w:r>
      <w:r>
        <w:t xml:space="preserve">implementação de políticas públicas há vários ciclos de pesquisa.</w:t>
      </w:r>
    </w:p>
    <w:bookmarkEnd w:id="9"/>
    <w:bookmarkStart w:id="10" w:name="Xf79c182d37f6a92d64d0d6ccb7bcfe8c4fcd123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Compreensão do tema e do problema teórico</w:t>
      </w:r>
    </w:p>
    <w:p>
      <w:pPr>
        <w:pStyle w:val="FirstParagraph"/>
      </w:pPr>
      <w:r>
        <w:t xml:space="preserve">A proposta de pesquisa do Prof. Levi-Faur (</w:t>
      </w:r>
      <w:r>
        <w:t xml:space="preserve">“Can Intermediaries Save Liberal</w:t>
      </w:r>
      <w:r>
        <w:t xml:space="preserve"> </w:t>
      </w:r>
      <w:r>
        <w:t xml:space="preserve">Governance? Toward Effective and Legitimate Regulatory Intermediation”</w:t>
      </w:r>
      <w:r>
        <w:t xml:space="preserve">) parte</w:t>
      </w:r>
      <w:r>
        <w:t xml:space="preserve"> </w:t>
      </w:r>
      <w:r>
        <w:t xml:space="preserve">da premissa de que a agenda de reforma democrática deve se voltar para os</w:t>
      </w:r>
      <w:r>
        <w:t xml:space="preserve"> </w:t>
      </w:r>
      <w:r>
        <w:rPr>
          <w:b/>
          <w:bCs/>
        </w:rPr>
        <w:t xml:space="preserve">intermediários regulatórios</w:t>
      </w:r>
      <w:r>
        <w:t xml:space="preserve"> </w:t>
      </w:r>
      <w:r>
        <w:t xml:space="preserve">— os</w:t>
      </w:r>
      <w:r>
        <w:t xml:space="preserve"> </w:t>
      </w:r>
      <w:r>
        <w:t xml:space="preserve">“corretores de regras”</w:t>
      </w:r>
      <w:r>
        <w:t xml:space="preserve"> </w:t>
      </w:r>
      <w:r>
        <w:t xml:space="preserve">entre reguladores</w:t>
      </w:r>
      <w:r>
        <w:t xml:space="preserve"> </w:t>
      </w:r>
      <w:r>
        <w:t xml:space="preserve">(rule-makers) e regulados (rule-takers). A literatura de regulação ainda trata</w:t>
      </w:r>
      <w:r>
        <w:t xml:space="preserve"> </w:t>
      </w:r>
      <w:r>
        <w:t xml:space="preserve">essa relação como bipartite, deixando de teorizar quem certifica, audita,</w:t>
      </w:r>
      <w:r>
        <w:t xml:space="preserve"> </w:t>
      </w:r>
      <w:r>
        <w:t xml:space="preserve">classifica, rotula e reporta. Quando os intermediários funcionam bem, aumentam</w:t>
      </w:r>
      <w:r>
        <w:t xml:space="preserve"> </w:t>
      </w:r>
      <w:r>
        <w:t xml:space="preserve">a capacidade de resolver problemas e a disposição a cumprir regras; quando</w:t>
      </w:r>
      <w:r>
        <w:t xml:space="preserve"> </w:t>
      </w:r>
      <w:r>
        <w:t xml:space="preserve">falham, corroem a legitimidade da governança.</w:t>
      </w:r>
    </w:p>
    <w:p>
      <w:pPr>
        <w:pStyle w:val="BodyText"/>
      </w:pPr>
      <w:r>
        <w:t xml:space="preserve">A proposta identifica quatro lacunas na literatura (de atenção, de</w:t>
      </w:r>
      <w:r>
        <w:t xml:space="preserve"> </w:t>
      </w:r>
      <w:r>
        <w:t xml:space="preserve">conceitualização, de proliferação e de subteorização) e formula três</w:t>
      </w:r>
      <w:r>
        <w:t xml:space="preserve"> </w:t>
      </w:r>
      <w:r>
        <w:t xml:space="preserve">objetivos: (1) mapear e medir intermediários e mecanismos; (2) explicar sua</w:t>
      </w:r>
      <w:r>
        <w:t xml:space="preserve"> </w:t>
      </w:r>
      <w:r>
        <w:t xml:space="preserve">difusão entre temas, países e no tempo; (3) ligar o desenho da intermediação à</w:t>
      </w:r>
      <w:r>
        <w:t xml:space="preserve"> </w:t>
      </w:r>
      <w:r>
        <w:t xml:space="preserve">teoria democrática (regimes mono/policêntricos). O projeto se organiza em oito</w:t>
      </w:r>
      <w:r>
        <w:t xml:space="preserve"> </w:t>
      </w:r>
      <w:r>
        <w:t xml:space="preserve">pacotes de trabalho, quatro deles (WP2–WP5) dedicados cada um a um mecanismo</w:t>
      </w:r>
      <w:r>
        <w:t xml:space="preserve"> </w:t>
      </w:r>
      <w:r>
        <w:t xml:space="preserve">primário de intermediação. A chamada específica a que respondo — codificar</w:t>
      </w:r>
      <w:r>
        <w:t xml:space="preserve"> </w:t>
      </w:r>
      <w:r>
        <w:t xml:space="preserve">intermediários na legislação da UE sobre transição verde — é uma aplicação</w:t>
      </w:r>
      <w:r>
        <w:t xml:space="preserve"> </w:t>
      </w:r>
      <w:r>
        <w:t xml:space="preserve">empírica direta desse desenho teórico a um domínio concreto.</w:t>
      </w:r>
    </w:p>
    <w:bookmarkEnd w:id="10"/>
    <w:bookmarkStart w:id="11" w:name="compreensão-conceitual-dos-mecanismo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Compreensão conceitual dos mecanismos</w:t>
      </w:r>
    </w:p>
    <w:p>
      <w:pPr>
        <w:pStyle w:val="FirstParagraph"/>
      </w:pPr>
      <w:r>
        <w:t xml:space="preserve">A proposta define a intermediação como uma tríade</w:t>
      </w:r>
      <w:r>
        <w:t xml:space="preserve"> </w:t>
      </w:r>
      <w:r>
        <w:rPr>
          <w:b/>
          <w:bCs/>
        </w:rPr>
        <w:t xml:space="preserve">atores + mecanismos +</w:t>
      </w:r>
      <w:r>
        <w:rPr>
          <w:b/>
          <w:bCs/>
        </w:rPr>
        <w:t xml:space="preserve"> </w:t>
      </w:r>
      <w:r>
        <w:rPr>
          <w:b/>
          <w:bCs/>
        </w:rPr>
        <w:t xml:space="preserve">estratégias</w:t>
      </w:r>
      <w:r>
        <w:t xml:space="preserve">, com quatro mecanismos primários, cada um associado a um modo de</w:t>
      </w:r>
      <w:r>
        <w:t xml:space="preserve"> </w:t>
      </w:r>
      <w:r>
        <w:t xml:space="preserve">governança predominante: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Dever de reportar</w:t>
      </w:r>
      <w:r>
        <w:t xml:space="preserve"> </w:t>
      </w:r>
      <w:r>
        <w:t xml:space="preserve">(report duty) — tipicamente liderado pelo Estado.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Certificação</w:t>
      </w:r>
      <w:r>
        <w:t xml:space="preserve"> </w:t>
      </w:r>
      <w:r>
        <w:t xml:space="preserve">(certification) — tipicamente liderado por ONGs.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Ranking/rating</w:t>
      </w:r>
      <w:r>
        <w:t xml:space="preserve"> </w:t>
      </w:r>
      <w:r>
        <w:t xml:space="preserve">— tipicamente liderado por empresas.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Auditoria</w:t>
      </w:r>
      <w:r>
        <w:t xml:space="preserve"> </w:t>
      </w:r>
      <w:r>
        <w:t xml:space="preserve">(audit) — tipicamente liderado pela profissão.</w:t>
      </w:r>
    </w:p>
    <w:p>
      <w:pPr>
        <w:pStyle w:val="FirstParagraph"/>
      </w:pPr>
      <w:r>
        <w:t xml:space="preserve">A proposta também especifica atributos dos intermediários (formalidade,</w:t>
      </w:r>
      <w:r>
        <w:t xml:space="preserve"> </w:t>
      </w:r>
      <w:r>
        <w:t xml:space="preserve">voluntarismo, nível, esfera, motivação, modo de operação, centralidade, grau</w:t>
      </w:r>
      <w:r>
        <w:t xml:space="preserve"> </w:t>
      </w:r>
      <w:r>
        <w:t xml:space="preserve">de separação) e quatro tipos de falha (subcomprometimento,</w:t>
      </w:r>
      <w:r>
        <w:t xml:space="preserve"> </w:t>
      </w:r>
      <w:r>
        <w:t xml:space="preserve">sobrecomprometimento, captura, incompetência). Adotei esses quatro mecanismos</w:t>
      </w:r>
      <w:r>
        <w:t xml:space="preserve"> </w:t>
      </w:r>
      <w:r>
        <w:t xml:space="preserve">— e não uma taxonomia externa mais granular (como a de Abbott, Levi-Faur &amp;</w:t>
      </w:r>
      <w:r>
        <w:t xml:space="preserve"> </w:t>
      </w:r>
      <w:r>
        <w:t xml:space="preserve">Snidal, 2017, que também considerei inicialmente) — como esqueleto do</w:t>
      </w:r>
      <w:r>
        <w:t xml:space="preserve"> </w:t>
      </w:r>
      <w:r>
        <w:t xml:space="preserve">codebook, por três razões: (a) é o vocabulário que o próprio projeto usa para</w:t>
      </w:r>
      <w:r>
        <w:t xml:space="preserve"> </w:t>
      </w:r>
      <w:r>
        <w:t xml:space="preserve">organizar seus pacotes de trabalho empíricos; (b) mapeia diretamente para</w:t>
      </w:r>
      <w:r>
        <w:t xml:space="preserve"> </w:t>
      </w:r>
      <w:r>
        <w:t xml:space="preserve">WP2–WP5, facilitando comparação futura; (c) uma taxonomia mais simples é mais</w:t>
      </w:r>
      <w:r>
        <w:t xml:space="preserve"> </w:t>
      </w:r>
      <w:r>
        <w:t xml:space="preserve">fácil de operacionalizar e validar numa primeira rodada.</w:t>
      </w:r>
    </w:p>
    <w:bookmarkEnd w:id="11"/>
    <w:bookmarkStart w:id="12" w:name="operacionalização-empírica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Operacionalização empírica</w:t>
      </w:r>
    </w:p>
    <w:p>
      <w:pPr>
        <w:pStyle w:val="FirstParagraph"/>
      </w:pPr>
      <w:r>
        <w:t xml:space="preserve">Para testar se o método funciona antes de propor uma escala maior, construí</w:t>
      </w:r>
      <w:r>
        <w:t xml:space="preserve"> </w:t>
      </w:r>
      <w:r>
        <w:t xml:space="preserve">uma prova de conceito com dados reais (não simulados) de quatro atos</w:t>
      </w:r>
      <w:r>
        <w:t xml:space="preserve"> </w:t>
      </w:r>
      <w:r>
        <w:t xml:space="preserve">legislativos da UE, cada um escolhido como âncora de um dos quatro mecanismos: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</w:t>
            </w:r>
          </w:p>
        </w:tc>
        <w:tc>
          <w:tcPr/>
          <w:p>
            <w:pPr>
              <w:pStyle w:val="Compact"/>
            </w:pPr>
            <w:r>
              <w:t xml:space="preserve">Mecanismo-alvo</w:t>
            </w:r>
          </w:p>
        </w:tc>
        <w:tc>
          <w:tcPr/>
          <w:p>
            <w:pPr>
              <w:pStyle w:val="Compact"/>
            </w:pPr>
            <w:r>
              <w:t xml:space="preserve">Por que este 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Sustainability Reporting Directive (CELEX 32022L2464)</w:t>
            </w:r>
          </w:p>
        </w:tc>
        <w:tc>
          <w:tcPr/>
          <w:p>
            <w:pPr>
              <w:pStyle w:val="Compact"/>
            </w:pPr>
            <w:r>
              <w:t xml:space="preserve">reportar + auditoria</w:t>
            </w:r>
          </w:p>
        </w:tc>
        <w:tc>
          <w:tcPr/>
          <w:p>
            <w:pPr>
              <w:pStyle w:val="Compact"/>
            </w:pPr>
            <w:r>
              <w:t xml:space="preserve">Obriga reporte de sustentabilidade e sua garantia (assurance) por auditor/provedor independente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Rótulo Ecológico da UE (CELEX 32010R0066)</w:t>
            </w:r>
          </w:p>
        </w:tc>
        <w:tc>
          <w:tcPr/>
          <w:p>
            <w:pPr>
              <w:pStyle w:val="Compact"/>
            </w:pPr>
            <w:r>
              <w:t xml:space="preserve">certificação</w:t>
            </w:r>
          </w:p>
        </w:tc>
        <w:tc>
          <w:tcPr/>
          <w:p>
            <w:pPr>
              <w:pStyle w:val="Compact"/>
            </w:pPr>
            <w:r>
              <w:t xml:space="preserve">“Competent Bodies”</w:t>
            </w:r>
            <w:r>
              <w:t xml:space="preserve"> </w:t>
            </w:r>
            <w:r>
              <w:t xml:space="preserve">certificam produtos com base em critérios ambientais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Regulamento de Referenciais Climáticos (CELEX 32019R2089)</w:t>
            </w:r>
          </w:p>
        </w:tc>
        <w:tc>
          <w:tcPr/>
          <w:p>
            <w:pPr>
              <w:pStyle w:val="Compact"/>
            </w:pPr>
            <w:r>
              <w:t xml:space="preserve">ranking/rating</w:t>
            </w:r>
          </w:p>
        </w:tc>
        <w:tc>
          <w:tcPr/>
          <w:p>
            <w:pPr>
              <w:pStyle w:val="Compact"/>
            </w:pPr>
            <w:r>
              <w:t xml:space="preserve">Requisitos de metodologia para administradores de índices de referência climáticos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e Acreditação no EU ETS (CELEX 32018R2067)</w:t>
            </w:r>
          </w:p>
        </w:tc>
        <w:tc>
          <w:tcPr/>
          <w:p>
            <w:pPr>
              <w:pStyle w:val="Compact"/>
            </w:pPr>
            <w:r>
              <w:t xml:space="preserve">auditoria (+ certificação)</w:t>
            </w:r>
          </w:p>
        </w:tc>
        <w:tc>
          <w:tcPr/>
          <w:p>
            <w:pPr>
              <w:pStyle w:val="Compact"/>
            </w:pPr>
            <w:r>
              <w:t xml:space="preserve">Regula verificadores de emissões de gases de efeito estufa e sua acreditação</w:t>
            </w:r>
          </w:p>
        </w:tc>
      </w:tr>
    </w:tbl>
    <w:p>
      <w:pPr>
        <w:pStyle w:val="BodyText"/>
      </w:pPr>
      <w:r>
        <w:t xml:space="preserve">O texto integral de cada ato foi coletado programaticamente da EUR-Lex por</w:t>
      </w:r>
      <w:r>
        <w:t xml:space="preserve"> </w:t>
      </w:r>
      <w:r>
        <w:t xml:space="preserve">número CELEX (não por busca textual livre no site, que devolveria ruído</w:t>
      </w:r>
      <w:r>
        <w:t xml:space="preserve"> </w:t>
      </w:r>
      <w:r>
        <w:t xml:space="preserve">incontrolável) e processado parágrafo a parágrafo, com rastreamento do artigo</w:t>
      </w:r>
      <w:r>
        <w:t xml:space="preserve"> </w:t>
      </w:r>
      <w:r>
        <w:t xml:space="preserve">de origem de cada trecho — a mesma exigência de rastreabilidade que utilizo em</w:t>
      </w:r>
      <w:r>
        <w:t xml:space="preserve"> </w:t>
      </w:r>
      <w:r>
        <w:t xml:space="preserve">qualquer corpus documental que construo (ver seção 6). O resultado desta</w:t>
      </w:r>
      <w:r>
        <w:t xml:space="preserve"> </w:t>
      </w:r>
      <w:r>
        <w:t xml:space="preserve">rodada: 1.079 parágrafos com sinal de algum mecanismo, distribuídos de forma</w:t>
      </w:r>
      <w:r>
        <w:t xml:space="preserve"> </w:t>
      </w:r>
      <w:r>
        <w:t xml:space="preserve">coerente com o motivo da escolha de cada ato — inclusive um achado não</w:t>
      </w:r>
      <w:r>
        <w:t xml:space="preserve"> </w:t>
      </w:r>
      <w:r>
        <w:t xml:space="preserve">buscado deliberadamente: no ato do EU ETS, o mecanismo dominante nos hits foi</w:t>
      </w:r>
      <w:r>
        <w:t xml:space="preserve"> </w:t>
      </w:r>
      <w:r>
        <w:t xml:space="preserve">“certificação”</w:t>
      </w:r>
      <w:r>
        <w:t xml:space="preserve"> </w:t>
      </w:r>
      <w:r>
        <w:t xml:space="preserve">(via acreditação), não</w:t>
      </w:r>
      <w:r>
        <w:t xml:space="preserve"> </w:t>
      </w:r>
      <w:r>
        <w:t xml:space="preserve">“auditoria”</w:t>
      </w:r>
      <w:r>
        <w:t xml:space="preserve">, porque o regime cria um</w:t>
      </w:r>
      <w:r>
        <w:t xml:space="preserve"> </w:t>
      </w:r>
      <w:r>
        <w:t xml:space="preserve">auditor que é, ele próprio, credenciado por um organismo de acreditação — os</w:t>
      </w:r>
      <w:r>
        <w:t xml:space="preserve"> </w:t>
      </w:r>
      <w:r>
        <w:t xml:space="preserve">dois mecanismos aparecem empilhados no mesmo ato.</w:t>
      </w:r>
    </w:p>
    <w:bookmarkEnd w:id="12"/>
    <w:bookmarkStart w:id="13" w:name="proposta-de-codificação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Proposta de codificação</w:t>
      </w:r>
    </w:p>
    <w:p>
      <w:pPr>
        <w:pStyle w:val="FirstParagraph"/>
      </w:pPr>
      <w:r>
        <w:t xml:space="preserve">O codebook resultante classifica cada parágrafo, por mecanismo, em três</w:t>
      </w:r>
      <w:r>
        <w:t xml:space="preserve"> </w:t>
      </w:r>
      <w:r>
        <w:t xml:space="preserve">camadas de regras: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Âncora</w:t>
      </w:r>
      <w:r>
        <w:t xml:space="preserve"> </w:t>
      </w:r>
      <w:r>
        <w:t xml:space="preserve">— termos ou frases de papel/função específicos o suficiente para</w:t>
      </w:r>
      <w:r>
        <w:t xml:space="preserve"> </w:t>
      </w:r>
      <w:r>
        <w:t xml:space="preserve">confirmar o mecanismo sozinhos (ex.:</w:t>
      </w:r>
      <w:r>
        <w:t xml:space="preserve"> </w:t>
      </w:r>
      <w:r>
        <w:t xml:space="preserve">“statutory auditor”</w:t>
      </w:r>
      <w:r>
        <w:t xml:space="preserve">,</w:t>
      </w:r>
      <w:r>
        <w:t xml:space="preserve"> </w:t>
      </w:r>
      <w:r>
        <w:t xml:space="preserve">“national</w:t>
      </w:r>
      <w:r>
        <w:t xml:space="preserve"> </w:t>
      </w:r>
      <w:r>
        <w:t xml:space="preserve">accreditation body”</w:t>
      </w:r>
      <w:r>
        <w:t xml:space="preserve">,</w:t>
      </w:r>
      <w:r>
        <w:t xml:space="preserve"> </w:t>
      </w:r>
      <w:r>
        <w:t xml:space="preserve">“benchmark administrator”</w:t>
      </w:r>
      <w:r>
        <w:t xml:space="preserve">). Gera</w:t>
      </w:r>
      <w:r>
        <w:t xml:space="preserve"> </w:t>
      </w:r>
      <w:r>
        <w:rPr>
          <w:rStyle w:val="VerbatimChar"/>
        </w:rPr>
        <w:t xml:space="preserve">status = confirmado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Fraca</w:t>
      </w:r>
      <w:r>
        <w:t xml:space="preserve"> </w:t>
      </w:r>
      <w:r>
        <w:t xml:space="preserve">— termos genéricos isolados que também ocorrem fora do sentido de</w:t>
      </w:r>
      <w:r>
        <w:t xml:space="preserve"> </w:t>
      </w:r>
      <w:r>
        <w:t xml:space="preserve">intermediação (ex.:</w:t>
      </w:r>
      <w:r>
        <w:t xml:space="preserve"> </w:t>
      </w:r>
      <w:r>
        <w:t xml:space="preserve">“report”</w:t>
      </w:r>
      <w:r>
        <w:t xml:space="preserve">,</w:t>
      </w:r>
      <w:r>
        <w:t xml:space="preserve"> </w:t>
      </w:r>
      <w:r>
        <w:t xml:space="preserve">“audit”</w:t>
      </w:r>
      <w:r>
        <w:t xml:space="preserve"> </w:t>
      </w:r>
      <w:r>
        <w:t xml:space="preserve">solto,</w:t>
      </w:r>
      <w:r>
        <w:t xml:space="preserve"> </w:t>
      </w:r>
      <w:r>
        <w:t xml:space="preserve">“rating”</w:t>
      </w:r>
      <w:r>
        <w:t xml:space="preserve"> </w:t>
      </w:r>
      <w:r>
        <w:t xml:space="preserve">solto). Gera</w:t>
      </w:r>
      <w:r>
        <w:t xml:space="preserve"> </w:t>
      </w:r>
      <w:r>
        <w:rPr>
          <w:rStyle w:val="VerbatimChar"/>
        </w:rPr>
        <w:t xml:space="preserve">status = candidato</w:t>
      </w:r>
      <w:r>
        <w:t xml:space="preserve">, com sinalização explícita de necessidade de</w:t>
      </w:r>
      <w:r>
        <w:t xml:space="preserve"> </w:t>
      </w:r>
      <w:r>
        <w:t xml:space="preserve">verificação humana.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Exclusão</w:t>
      </w:r>
      <w:r>
        <w:t xml:space="preserve"> </w:t>
      </w:r>
      <w:r>
        <w:t xml:space="preserve">— padrões de contexto que descartam o match mesmo com âncora ou</w:t>
      </w:r>
      <w:r>
        <w:t xml:space="preserve"> </w:t>
      </w:r>
      <w:r>
        <w:t xml:space="preserve">termo fraco presente (ex.: cláusulas genéricas de revisão ao Parlamento</w:t>
      </w:r>
      <w:r>
        <w:t xml:space="preserve"> </w:t>
      </w:r>
      <w:r>
        <w:t xml:space="preserve">Europeu;</w:t>
      </w:r>
      <w:r>
        <w:t xml:space="preserve"> </w:t>
      </w:r>
      <w:r>
        <w:t xml:space="preserve">“Court of Auditors”</w:t>
      </w:r>
      <w:r>
        <w:t xml:space="preserve">, instituição da UE e não um intermediário</w:t>
      </w:r>
      <w:r>
        <w:t xml:space="preserve"> </w:t>
      </w:r>
      <w:r>
        <w:t xml:space="preserve">regulatório no sentido da teoria).</w:t>
      </w:r>
    </w:p>
    <w:p>
      <w:pPr>
        <w:pStyle w:val="FirstParagraph"/>
      </w:pPr>
      <w:r>
        <w:t xml:space="preserve">Cada linha do dataset carrega, além do mecanismo e do status: o ato e o</w:t>
      </w:r>
      <w:r>
        <w:t xml:space="preserve"> </w:t>
      </w:r>
      <w:r>
        <w:t xml:space="preserve">artigo de origem, o padrão que disparou o código, e o trecho de texto exato</w:t>
      </w:r>
      <w:r>
        <w:t xml:space="preserve"> </w:t>
      </w:r>
      <w:r>
        <w:t xml:space="preserve">que gerou o match — nunca um código sem a evidência que o sustenta. Na rodada</w:t>
      </w:r>
      <w:r>
        <w:t xml:space="preserve"> </w:t>
      </w:r>
      <w:r>
        <w:t xml:space="preserve">atual (4 atos, 1.079 linhas), 71% dos códigos são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(sem</w:t>
      </w:r>
      <w:r>
        <w:t xml:space="preserve"> </w:t>
      </w:r>
      <w:r>
        <w:t xml:space="preserve">necessidade de revisão humana) e 29% ficam como</w:t>
      </w:r>
      <w:r>
        <w:t xml:space="preserve"> </w:t>
      </w:r>
      <w:r>
        <w:rPr>
          <w:rStyle w:val="VerbatimChar"/>
        </w:rPr>
        <w:t xml:space="preserve">candidato</w:t>
      </w:r>
      <w:r>
        <w:t xml:space="preserve">. A verificação</w:t>
      </w:r>
      <w:r>
        <w:t xml:space="preserve"> </w:t>
      </w:r>
      <w:r>
        <w:t xml:space="preserve">humana foi deliberadamente desenhada como último recurso, não como padrão —</w:t>
      </w:r>
      <w:r>
        <w:t xml:space="preserve"> </w:t>
      </w:r>
      <w:r>
        <w:t xml:space="preserve">princípio detalhado na seção seguinte.</w:t>
      </w:r>
    </w:p>
    <w:bookmarkEnd w:id="13"/>
    <w:bookmarkStart w:id="14" w:name="X9f01bc461d796401a7fb57c8c3cca1b8ede9e15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Fundamentação metodológica: experiência prévia no modelo ARENAS</w:t>
      </w:r>
    </w:p>
    <w:p>
      <w:pPr>
        <w:pStyle w:val="FirstParagraph"/>
      </w:pPr>
      <w:r>
        <w:t xml:space="preserve">As escolhas de desenho acima não partiram do zero. Elas replicam, adaptados a</w:t>
      </w:r>
      <w:r>
        <w:t xml:space="preserve"> </w:t>
      </w:r>
      <w:r>
        <w:t xml:space="preserve">um novo domínio teórico e empírico, princípios que já uso e testo no programa</w:t>
      </w:r>
      <w:r>
        <w:t xml:space="preserve"> </w:t>
      </w:r>
      <w:r>
        <w:t xml:space="preserve">de pesquisa ARENAS, onde codifico elementos espaciais e mecanismos</w:t>
      </w:r>
      <w:r>
        <w:t xml:space="preserve"> </w:t>
      </w:r>
      <w:r>
        <w:t xml:space="preserve">sociomateriais de implementação de políticas públicas.</w:t>
      </w:r>
    </w:p>
    <w:p>
      <w:pPr>
        <w:pStyle w:val="BodyText"/>
      </w:pPr>
      <w:r>
        <w:rPr>
          <w:b/>
          <w:bCs/>
        </w:rPr>
        <w:t xml:space="preserve">6.1 — Classificação de saliência em camadas.</w:t>
      </w:r>
      <w:r>
        <w:t xml:space="preserve"> </w:t>
      </w:r>
      <w:r>
        <w:t xml:space="preserve">No programa ARENAS, uso uma</w:t>
      </w:r>
      <w:r>
        <w:t xml:space="preserve"> </w:t>
      </w:r>
      <w:r>
        <w:t xml:space="preserve">classificação de saliência N1/N2/N3 para determinar o quanto um documento ou</w:t>
      </w:r>
      <w:r>
        <w:t xml:space="preserve"> </w:t>
      </w:r>
      <w:r>
        <w:t xml:space="preserve">observação trata a materialidade (espaço, objetos, infraestrutura) como</w:t>
      </w:r>
      <w:r>
        <w:t xml:space="preserve"> </w:t>
      </w:r>
      <w:r>
        <w:t xml:space="preserve">constitutiva do mecanismo, como variável secundária, ou como contexto passivo</w:t>
      </w:r>
      <w:r>
        <w:t xml:space="preserve"> </w:t>
      </w:r>
      <w:r>
        <w:t xml:space="preserve">sem papel analítico — com uma taxa de tratamento ativo (N1/(N1+N2+N3)) como</w:t>
      </w:r>
      <w:r>
        <w:t xml:space="preserve"> </w:t>
      </w:r>
      <w:r>
        <w:t xml:space="preserve">indicador-síntese. A divisão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/</w:t>
      </w:r>
      <w:r>
        <w:rPr>
          <w:rStyle w:val="VerbatimChar"/>
        </w:rPr>
        <w:t xml:space="preserve">candidato</w:t>
      </w:r>
      <w:r>
        <w:t xml:space="preserve"> </w:t>
      </w:r>
      <w:r>
        <w:t xml:space="preserve">proposta aqui para os</w:t>
      </w:r>
      <w:r>
        <w:t xml:space="preserve"> </w:t>
      </w:r>
      <w:r>
        <w:t xml:space="preserve">intermediários é uma adaptação direta desse princípio: em vez de tratar todo</w:t>
      </w:r>
      <w:r>
        <w:t xml:space="preserve"> </w:t>
      </w:r>
      <w:r>
        <w:t xml:space="preserve">match de palavra-chave como equivalente, distingo sinais que, por si só,</w:t>
      </w:r>
      <w:r>
        <w:t xml:space="preserve"> </w:t>
      </w:r>
      <w:r>
        <w:t xml:space="preserve">constituem evidência forte (equivalente a N1) de sinais que exigem contexto</w:t>
      </w:r>
      <w:r>
        <w:t xml:space="preserve"> </w:t>
      </w:r>
      <w:r>
        <w:t xml:space="preserve">adicional para interpretar (equivalente a N2/N3, aqui operacionalizado como</w:t>
      </w:r>
      <w:r>
        <w:t xml:space="preserve"> </w:t>
      </w:r>
      <w:r>
        <w:t xml:space="preserve">alerta de revisão humana).</w:t>
      </w:r>
    </w:p>
    <w:p>
      <w:pPr>
        <w:pStyle w:val="BodyText"/>
      </w:pPr>
      <w:r>
        <w:rPr>
          <w:b/>
          <w:bCs/>
        </w:rPr>
        <w:t xml:space="preserve">6.2 — Codificação ancorada em evidência verbatim.</w:t>
      </w:r>
      <w:r>
        <w:t xml:space="preserve"> </w:t>
      </w:r>
      <w:r>
        <w:t xml:space="preserve">O protocolo de</w:t>
      </w:r>
      <w:r>
        <w:t xml:space="preserve"> </w:t>
      </w:r>
      <w:r>
        <w:t xml:space="preserve">observação sociomaterial que uso em campo no ARENAS exige que cada código</w:t>
      </w:r>
      <w:r>
        <w:t xml:space="preserve"> </w:t>
      </w:r>
      <w:r>
        <w:t xml:space="preserve">(mecanismo A–E, ator, fricção, recurso) seja registrado junto com um campo de</w:t>
      </w:r>
      <w:r>
        <w:t xml:space="preserve"> </w:t>
      </w:r>
      <w:r>
        <w:t xml:space="preserve">evidência explícito (nota de campo, foto, fala transcrita, documento ou</w:t>
      </w:r>
      <w:r>
        <w:t xml:space="preserve"> </w:t>
      </w:r>
      <w:r>
        <w:t xml:space="preserve">medida ambiental) — nunca um rótulo sem o dado bruto que o sustenta. É o</w:t>
      </w:r>
      <w:r>
        <w:t xml:space="preserve"> </w:t>
      </w:r>
      <w:r>
        <w:t xml:space="preserve">mesmo princípio que apliquei ao dataset de intermediários: cada linha carrega</w:t>
      </w:r>
      <w:r>
        <w:t xml:space="preserve"> </w:t>
      </w:r>
      <w:r>
        <w:t xml:space="preserve">o trecho de texto exato que motivou o código, permitindo auditoria e</w:t>
      </w:r>
      <w:r>
        <w:t xml:space="preserve"> </w:t>
      </w:r>
      <w:r>
        <w:t xml:space="preserve">recodificação por qualquer pessoa da equipe, sem depender da minha leitura</w:t>
      </w:r>
      <w:r>
        <w:t xml:space="preserve"> </w:t>
      </w:r>
      <w:r>
        <w:t xml:space="preserve">original.</w:t>
      </w:r>
    </w:p>
    <w:p>
      <w:pPr>
        <w:pStyle w:val="BodyText"/>
      </w:pPr>
      <w:r>
        <w:rPr>
          <w:b/>
          <w:bCs/>
        </w:rPr>
        <w:t xml:space="preserve">6.3 — Ancoragem teórica explícita dos mecanismos, não taxonomia genérica.</w:t>
      </w:r>
      <w:r>
        <w:t xml:space="preserve"> </w:t>
      </w:r>
      <w:r>
        <w:t xml:space="preserve">A matriz de mecanismos ARENAS (A. Tradução e instrumentação espacial; B.</w:t>
      </w:r>
      <w:r>
        <w:t xml:space="preserve"> </w:t>
      </w:r>
      <w:r>
        <w:t xml:space="preserve">Mediação do trabalho; C. Mediação da experiência; D. Legibilidade</w:t>
      </w:r>
      <w:r>
        <w:t xml:space="preserve"> </w:t>
      </w:r>
      <w:r>
        <w:t xml:space="preserve">institucional; E. Aprendizagem e redesenho) define, para cada mecanismo, sua</w:t>
      </w:r>
      <w:r>
        <w:t xml:space="preserve"> </w:t>
      </w:r>
      <w:r>
        <w:t xml:space="preserve">“ancoragem teórica principal”</w:t>
      </w:r>
      <w:r>
        <w:t xml:space="preserve"> </w:t>
      </w:r>
      <w:r>
        <w:t xml:space="preserve">e sua</w:t>
      </w:r>
      <w:r>
        <w:t xml:space="preserve"> </w:t>
      </w:r>
      <w:r>
        <w:t xml:space="preserve">“evidência esperada”</w:t>
      </w:r>
      <w:r>
        <w:t xml:space="preserve"> </w:t>
      </w:r>
      <w:r>
        <w:t xml:space="preserve">— de modo que a</w:t>
      </w:r>
      <w:r>
        <w:t xml:space="preserve"> </w:t>
      </w:r>
      <w:r>
        <w:t xml:space="preserve">codificação empírica sempre remete de volta à teoria que a justifica, não a</w:t>
      </w:r>
      <w:r>
        <w:t xml:space="preserve"> </w:t>
      </w:r>
      <w:r>
        <w:t xml:space="preserve">uma lista de sinônimos construída ad hoc. Apliquei a mesma lógica aqui:</w:t>
      </w:r>
      <w:r>
        <w:t xml:space="preserve"> </w:t>
      </w:r>
      <w:r>
        <w:t xml:space="preserve">escolhi ancorar o codebook nos quatro mecanismos que já estruturam a própria</w:t>
      </w:r>
      <w:r>
        <w:t xml:space="preserve"> </w:t>
      </w:r>
      <w:r>
        <w:t xml:space="preserve">proposta do David (não numa tipologia externa mais granular), justamente para</w:t>
      </w:r>
      <w:r>
        <w:t xml:space="preserve"> </w:t>
      </w:r>
      <w:r>
        <w:t xml:space="preserve">que cada código remeta diretamente à teoria que está sendo testada.</w:t>
      </w:r>
    </w:p>
    <w:p>
      <w:pPr>
        <w:pStyle w:val="BodyText"/>
      </w:pPr>
      <w:r>
        <w:rPr>
          <w:b/>
          <w:bCs/>
        </w:rPr>
        <w:t xml:space="preserve">6.4 — Validação incremental, não codificação exaustiva de partida.</w:t>
      </w:r>
      <w:r>
        <w:t xml:space="preserve"> </w:t>
      </w:r>
      <w:r>
        <w:t xml:space="preserve">Os</w:t>
      </w:r>
      <w:r>
        <w:t xml:space="preserve"> </w:t>
      </w:r>
      <w:r>
        <w:t xml:space="preserve">codebooks do programa ARENAS são tratados explicitamente como protocolos</w:t>
      </w:r>
      <w:r>
        <w:t xml:space="preserve"> </w:t>
      </w:r>
      <w:r>
        <w:t xml:space="preserve">vivos: definem padrão de confiabilidade esperado (concordância entre</w:t>
      </w:r>
      <w:r>
        <w:t xml:space="preserve"> </w:t>
      </w:r>
      <w:r>
        <w:t xml:space="preserve">codificadores, kappa mínimo antes de prosseguir para codificação em escala),</w:t>
      </w:r>
      <w:r>
        <w:t xml:space="preserve"> </w:t>
      </w:r>
      <w:r>
        <w:t xml:space="preserve">mas a aplicação plena é faseada — primeiro se valida o método numa amostra</w:t>
      </w:r>
      <w:r>
        <w:t xml:space="preserve"> </w:t>
      </w:r>
      <w:r>
        <w:t xml:space="preserve">calibrada, só depois se codifica o corpus inteiro. Segui o mesmo princípio</w:t>
      </w:r>
      <w:r>
        <w:t xml:space="preserve"> </w:t>
      </w:r>
      <w:r>
        <w:t xml:space="preserve">aqui: as regras de âncora, termo fraco e exclusão desta PoC foram calibradas a</w:t>
      </w:r>
      <w:r>
        <w:t xml:space="preserve"> </w:t>
      </w:r>
      <w:r>
        <w:t xml:space="preserve">partir da leitura manual de uma amostra real de hits (não definidas a priori),</w:t>
      </w:r>
      <w:r>
        <w:t xml:space="preserve"> </w:t>
      </w:r>
      <w:r>
        <w:t xml:space="preserve">e a validação desta rodada foi por amostragem dirigida — suficiente para</w:t>
      </w:r>
      <w:r>
        <w:t xml:space="preserve"> </w:t>
      </w:r>
      <w:r>
        <w:t xml:space="preserve">propor o método, não para declará-lo pronto para aplicação em escala a toda a</w:t>
      </w:r>
      <w:r>
        <w:t xml:space="preserve"> </w:t>
      </w:r>
      <w:r>
        <w:t xml:space="preserve">legislação de transição verde.</w:t>
      </w:r>
    </w:p>
    <w:bookmarkEnd w:id="14"/>
    <w:bookmarkStart w:id="15" w:name="limitações-reconhecidas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Limitações reconhecidas</w:t>
      </w:r>
    </w:p>
    <w:p>
      <w:pPr>
        <w:pStyle w:val="Compact"/>
        <w:numPr>
          <w:ilvl w:val="0"/>
          <w:numId w:val="1003"/>
        </w:numPr>
      </w:pPr>
      <w:r>
        <w:t xml:space="preserve">A atribuição ao artigo de origem fica vazia para trechos do preâmbulo dos</w:t>
      </w:r>
      <w:r>
        <w:t xml:space="preserve"> </w:t>
      </w:r>
      <w:r>
        <w:t xml:space="preserve">atos (antes do primeiro</w:t>
      </w:r>
      <w:r>
        <w:t xml:space="preserve"> </w:t>
      </w:r>
      <w:r>
        <w:t xml:space="preserve">“Article”</w:t>
      </w:r>
      <w:r>
        <w:t xml:space="preserve">), onde recai boa parte dos códigos —</w:t>
      </w:r>
      <w:r>
        <w:t xml:space="preserve"> </w:t>
      </w:r>
      <w:r>
        <w:t xml:space="preserve">corrigível rastreando também a numeração dos considerandos.</w:t>
      </w:r>
    </w:p>
    <w:p>
      <w:pPr>
        <w:pStyle w:val="Compact"/>
        <w:numPr>
          <w:ilvl w:val="0"/>
          <w:numId w:val="1003"/>
        </w:numPr>
      </w:pPr>
      <w:r>
        <w:t xml:space="preserve">Os 29% de códigos</w:t>
      </w:r>
      <w:r>
        <w:t xml:space="preserve"> </w:t>
      </w:r>
      <w:r>
        <w:rPr>
          <w:rStyle w:val="VerbatimChar"/>
        </w:rPr>
        <w:t xml:space="preserve">candidato</w:t>
      </w:r>
      <w:r>
        <w:t xml:space="preserve"> </w:t>
      </w:r>
      <w:r>
        <w:t xml:space="preserve">ainda não foram revisados um a um; são a fila</w:t>
      </w:r>
      <w:r>
        <w:t xml:space="preserve"> </w:t>
      </w:r>
      <w:r>
        <w:t xml:space="preserve">de verificação humana, não um resultado final.</w:t>
      </w:r>
    </w:p>
    <w:p>
      <w:pPr>
        <w:pStyle w:val="Compact"/>
        <w:numPr>
          <w:ilvl w:val="0"/>
          <w:numId w:val="1003"/>
        </w:numPr>
      </w:pPr>
      <w:r>
        <w:t xml:space="preserve">A coleta usa a página de texto integral da EUR-Lex por número CELEX</w:t>
      </w:r>
      <w:r>
        <w:t xml:space="preserve"> </w:t>
      </w:r>
      <w:r>
        <w:t xml:space="preserve">conhecido, adequada para um punhado de atos escolhidos a dedo — não para</w:t>
      </w:r>
      <w:r>
        <w:t xml:space="preserve"> </w:t>
      </w:r>
      <w:r>
        <w:t xml:space="preserve">identificar automaticamente centenas de atos relevantes, o que exigiria</w:t>
      </w:r>
      <w:r>
        <w:t xml:space="preserve"> </w:t>
      </w:r>
      <w:r>
        <w:t xml:space="preserve">migrar para a API SPARQL/Cellar.</w:t>
      </w:r>
    </w:p>
    <w:p>
      <w:pPr>
        <w:pStyle w:val="Compact"/>
        <w:numPr>
          <w:ilvl w:val="0"/>
          <w:numId w:val="1003"/>
        </w:numPr>
      </w:pPr>
      <w:r>
        <w:t xml:space="preserve">Um mecanismo pode aparecer empilhado sobre outro no mesmo trecho de texto</w:t>
      </w:r>
      <w:r>
        <w:t xml:space="preserve"> </w:t>
      </w:r>
      <w:r>
        <w:t xml:space="preserve">(como no caso do EU ETS) — o codebook atual permite múltiplos mecanismos por</w:t>
      </w:r>
      <w:r>
        <w:t xml:space="preserve"> </w:t>
      </w:r>
      <w:r>
        <w:t xml:space="preserve">parágrafo, mas não modela formalmente a relação de dependência entre eles.</w:t>
      </w:r>
    </w:p>
    <w:bookmarkEnd w:id="15"/>
    <w:bookmarkStart w:id="16" w:name="próximos-passos-propostos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Próximos passos propostos</w:t>
      </w:r>
    </w:p>
    <w:p>
      <w:pPr>
        <w:pStyle w:val="Compact"/>
        <w:numPr>
          <w:ilvl w:val="0"/>
          <w:numId w:val="1004"/>
        </w:numPr>
      </w:pPr>
      <w:r>
        <w:t xml:space="preserve">Migrar a seleção de atos de</w:t>
      </w:r>
      <w:r>
        <w:t xml:space="preserve"> </w:t>
      </w:r>
      <w:r>
        <w:t xml:space="preserve">“escolha a dedo”</w:t>
      </w:r>
      <w:r>
        <w:t xml:space="preserve"> </w:t>
      </w:r>
      <w:r>
        <w:t xml:space="preserve">para consulta programática à</w:t>
      </w:r>
      <w:r>
        <w:t xml:space="preserve"> </w:t>
      </w:r>
      <w:r>
        <w:t xml:space="preserve">API SPARQL/Cellar, por critérios temáticos e temporais.</w:t>
      </w:r>
    </w:p>
    <w:p>
      <w:pPr>
        <w:pStyle w:val="Compact"/>
        <w:numPr>
          <w:ilvl w:val="0"/>
          <w:numId w:val="1004"/>
        </w:numPr>
      </w:pPr>
      <w:r>
        <w:t xml:space="preserve">Rastrear a numeração dos considerandos, não só dos artigos, para fechar a</w:t>
      </w:r>
      <w:r>
        <w:t xml:space="preserve"> </w:t>
      </w:r>
      <w:r>
        <w:t xml:space="preserve">lacuna de atribuição de origem no preâmbulo.</w:t>
      </w:r>
    </w:p>
    <w:p>
      <w:pPr>
        <w:pStyle w:val="Compact"/>
        <w:numPr>
          <w:ilvl w:val="0"/>
          <w:numId w:val="1004"/>
        </w:numPr>
      </w:pPr>
      <w:r>
        <w:t xml:space="preserve">Usar a amostra já validada como referência para calibrar um segundo</w:t>
      </w:r>
      <w:r>
        <w:t xml:space="preserve"> </w:t>
      </w:r>
      <w:r>
        <w:t xml:space="preserve">codificador (humano ou assistido por NLP) e medir concordância — nos</w:t>
      </w:r>
      <w:r>
        <w:t xml:space="preserve"> </w:t>
      </w:r>
      <w:r>
        <w:t xml:space="preserve">mesmos moldes do padrão de kappa que já utilizo no ARENAS.</w:t>
      </w:r>
    </w:p>
    <w:p>
      <w:pPr>
        <w:pStyle w:val="Compact"/>
        <w:numPr>
          <w:ilvl w:val="0"/>
          <w:numId w:val="1004"/>
        </w:numPr>
      </w:pPr>
      <w:r>
        <w:t xml:space="preserve">Expandir o codebook com os atributos dos intermediários definidos na</w:t>
      </w:r>
      <w:r>
        <w:t xml:space="preserve"> </w:t>
      </w:r>
      <w:r>
        <w:t xml:space="preserve">proposta (formalidade, voluntarismo, nível, esfera, motivação, modo de</w:t>
      </w:r>
      <w:r>
        <w:t xml:space="preserve"> </w:t>
      </w:r>
      <w:r>
        <w:t xml:space="preserve">operação, centralidade, grau de separação), hoje ainda não codificados.</w:t>
      </w:r>
    </w:p>
    <w:p>
      <w:pPr>
        <w:pStyle w:val="Compact"/>
        <w:numPr>
          <w:ilvl w:val="0"/>
          <w:numId w:val="1004"/>
        </w:numPr>
      </w:pPr>
      <w:r>
        <w:t xml:space="preserve">Discutir com o Prof. Levi-Faur o escopo definitivo do corpus e o formato de</w:t>
      </w:r>
      <w:r>
        <w:t xml:space="preserve"> </w:t>
      </w:r>
      <w:r>
        <w:t xml:space="preserve">entrega esperado, para calibrar as próximas rodadas a partir de seu</w:t>
      </w:r>
      <w:r>
        <w:t xml:space="preserve"> </w:t>
      </w:r>
      <w:r>
        <w:t xml:space="preserve">retorno.</w:t>
      </w:r>
    </w:p>
    <w:bookmarkEnd w:id="16"/>
    <w:bookmarkStart w:id="17" w:name="conclusão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Conclusão</w:t>
      </w:r>
    </w:p>
    <w:p>
      <w:pPr>
        <w:pStyle w:val="FirstParagraph"/>
      </w:pPr>
      <w:r>
        <w:t xml:space="preserve">O trabalho apresentado demonstra compreensão do problema teórico proposto,</w:t>
      </w:r>
      <w:r>
        <w:t xml:space="preserve"> </w:t>
      </w:r>
      <w:r>
        <w:t xml:space="preserve">uma operacionalização empírica funcional (não apenas conceitual) sobre texto</w:t>
      </w:r>
      <w:r>
        <w:t xml:space="preserve"> </w:t>
      </w:r>
      <w:r>
        <w:t xml:space="preserve">legal real, e uma proposta de codificação que já resolve a maior parte dos</w:t>
      </w:r>
      <w:r>
        <w:t xml:space="preserve"> </w:t>
      </w:r>
      <w:r>
        <w:t xml:space="preserve">casos sem intervenção humana, reservando o alerta de verificação humana para</w:t>
      </w:r>
      <w:r>
        <w:t xml:space="preserve"> </w:t>
      </w:r>
      <w:r>
        <w:t xml:space="preserve">os casos genuinamente ambíguos. As escolhas de desenho — classificação em</w:t>
      </w:r>
      <w:r>
        <w:t xml:space="preserve"> </w:t>
      </w:r>
      <w:r>
        <w:t xml:space="preserve">camadas de confiança, exigência de evidência verbatim, ancoragem teórica</w:t>
      </w:r>
      <w:r>
        <w:t xml:space="preserve"> </w:t>
      </w:r>
      <w:r>
        <w:t xml:space="preserve">explícita e validação incremental — não são arbitrárias: replicam princípios</w:t>
      </w:r>
      <w:r>
        <w:t xml:space="preserve"> </w:t>
      </w:r>
      <w:r>
        <w:t xml:space="preserve">já testados e refinados ao longo de vários ciclos do meu programa de pesquisa</w:t>
      </w:r>
      <w:r>
        <w:t xml:space="preserve"> </w:t>
      </w:r>
      <w:r>
        <w:t xml:space="preserve">ARENAS, aplicados agora a um novo domínio empírico e a uma nova teoria.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Codificação de Intermediários Regulatórios na Legislação da UE sobre Transição Verde</dc:title>
  <dc:creator>Igor Caires Machado — Postdoctoral Researcher, ENAP · ORCID 0009-0008-9547-5223</dc:creator>
  <dc:language>pt-BR</dc:language>
  <cp:keywords/>
  <dcterms:created xsi:type="dcterms:W3CDTF">2026-09-05T19:58:40Z</dcterms:created>
  <dcterms:modified xsi:type="dcterms:W3CDTF">2026-09-05T19:58:40Z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de setembro de 2026</vt:lpwstr>
  </property>
  <property fmtid="{D5CDD505-2E9C-101B-9397-08002B2CF9AE}" pid="3" name="subtitle">
    <vt:lpwstr>Compreensão conceitual, operacionalização e proposta de codificação — relatório preparado para discussão com o Prof. David Levi-Faur</vt:lpwstr>
  </property>
</Properties>
</file>