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成都暴雨灾害深度研究测试文档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用于 SkyGuard Agent 深度研究 / GraphRAG / 风险评估流程测试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一、事件概况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2026年7月上旬，成都市出现一次持续性强降雨过程，降雨主要影响中心城区、龙泉山西侧、天府新区、双流区、郫都区、新都区以及都江堰—彭州—崇州一带山前区域。本文档为测试材料，部分数值为模拟值，用于检验系统在灾害分析场景下的意图识别、联网检索、GraphRAG构建、人口暴露估算和报告生成能力。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本次过程具有短时雨强大、局地累积雨量高、城市内涝风险与山洪地质灾害风险并存的特点。建议 Agent 在分析时主动区分“已确认事实”“待核查信息”和“模型推断”。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二、关键观测与模拟数据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DEBE7"/>
            <w:vAlign w:val="center"/>
          </w:tcPr>
          <w:p>
            <w:r>
              <w:t>区域</w:t>
            </w:r>
          </w:p>
        </w:tc>
        <w:tc>
          <w:tcPr>
            <w:tcW w:type="dxa" w:w="1930"/>
            <w:shd w:fill="DDEBE7"/>
            <w:vAlign w:val="center"/>
          </w:tcPr>
          <w:p>
            <w:r>
              <w:t>累计雨量</w:t>
            </w:r>
          </w:p>
        </w:tc>
        <w:tc>
          <w:tcPr>
            <w:tcW w:type="dxa" w:w="1930"/>
            <w:shd w:fill="DDEBE7"/>
            <w:vAlign w:val="center"/>
          </w:tcPr>
          <w:p>
            <w:r>
              <w:t>最大小时雨强</w:t>
            </w:r>
          </w:p>
        </w:tc>
        <w:tc>
          <w:tcPr>
            <w:tcW w:type="dxa" w:w="1930"/>
            <w:shd w:fill="DDEBE7"/>
            <w:vAlign w:val="center"/>
          </w:tcPr>
          <w:p>
            <w:r>
              <w:t>主要风险</w:t>
            </w:r>
          </w:p>
        </w:tc>
        <w:tc>
          <w:tcPr>
            <w:tcW w:type="dxa" w:w="1930"/>
            <w:shd w:fill="DDEBE7"/>
            <w:vAlign w:val="center"/>
          </w:tcPr>
          <w:p>
            <w:r>
              <w:t>备注</w:t>
            </w:r>
          </w:p>
        </w:tc>
      </w:tr>
      <w:tr>
        <w:tc>
          <w:tcPr>
            <w:tcW w:type="dxa" w:w="1930"/>
            <w:vAlign w:val="center"/>
          </w:tcPr>
          <w:p>
            <w:r>
              <w:t>锦江区—青羊区—武侯区</w:t>
            </w:r>
          </w:p>
        </w:tc>
        <w:tc>
          <w:tcPr>
            <w:tcW w:type="dxa" w:w="1930"/>
            <w:vAlign w:val="center"/>
          </w:tcPr>
          <w:p>
            <w:r>
              <w:t>80—130 mm</w:t>
            </w:r>
          </w:p>
        </w:tc>
        <w:tc>
          <w:tcPr>
            <w:tcW w:type="dxa" w:w="1930"/>
            <w:vAlign w:val="center"/>
          </w:tcPr>
          <w:p>
            <w:r>
              <w:t>45 mm/h</w:t>
            </w:r>
          </w:p>
        </w:tc>
        <w:tc>
          <w:tcPr>
            <w:tcW w:type="dxa" w:w="1930"/>
            <w:vAlign w:val="center"/>
          </w:tcPr>
          <w:p>
            <w:r>
              <w:t>道路积水、地下空间倒灌</w:t>
            </w:r>
          </w:p>
        </w:tc>
        <w:tc>
          <w:tcPr>
            <w:tcW w:type="dxa" w:w="1930"/>
            <w:vAlign w:val="center"/>
          </w:tcPr>
          <w:p>
            <w:r>
              <w:t>人口密集，交通影响敏感</w:t>
            </w:r>
          </w:p>
        </w:tc>
      </w:tr>
      <w:tr>
        <w:tc>
          <w:tcPr>
            <w:tcW w:type="dxa" w:w="1930"/>
            <w:vAlign w:val="center"/>
          </w:tcPr>
          <w:p>
            <w:r>
              <w:t>双流区—天府新区</w:t>
            </w:r>
          </w:p>
        </w:tc>
        <w:tc>
          <w:tcPr>
            <w:tcW w:type="dxa" w:w="1930"/>
            <w:vAlign w:val="center"/>
          </w:tcPr>
          <w:p>
            <w:r>
              <w:t>100—160 mm</w:t>
            </w:r>
          </w:p>
        </w:tc>
        <w:tc>
          <w:tcPr>
            <w:tcW w:type="dxa" w:w="1930"/>
            <w:vAlign w:val="center"/>
          </w:tcPr>
          <w:p>
            <w:r>
              <w:t>55 mm/h</w:t>
            </w:r>
          </w:p>
        </w:tc>
        <w:tc>
          <w:tcPr>
            <w:tcW w:type="dxa" w:w="1930"/>
            <w:vAlign w:val="center"/>
          </w:tcPr>
          <w:p>
            <w:r>
              <w:t>低洼片区内涝、机场周边交通延误</w:t>
            </w:r>
          </w:p>
        </w:tc>
        <w:tc>
          <w:tcPr>
            <w:tcW w:type="dxa" w:w="1930"/>
            <w:vAlign w:val="center"/>
          </w:tcPr>
          <w:p>
            <w:r>
              <w:t>需关注机场高速、成雅高速</w:t>
            </w:r>
          </w:p>
        </w:tc>
      </w:tr>
      <w:tr>
        <w:tc>
          <w:tcPr>
            <w:tcW w:type="dxa" w:w="1930"/>
            <w:vAlign w:val="center"/>
          </w:tcPr>
          <w:p>
            <w:r>
              <w:t>都江堰—彭州—崇州</w:t>
            </w:r>
          </w:p>
        </w:tc>
        <w:tc>
          <w:tcPr>
            <w:tcW w:type="dxa" w:w="1930"/>
            <w:vAlign w:val="center"/>
          </w:tcPr>
          <w:p>
            <w:r>
              <w:t>120—210 mm</w:t>
            </w:r>
          </w:p>
        </w:tc>
        <w:tc>
          <w:tcPr>
            <w:tcW w:type="dxa" w:w="1930"/>
            <w:vAlign w:val="center"/>
          </w:tcPr>
          <w:p>
            <w:r>
              <w:t>70 mm/h</w:t>
            </w:r>
          </w:p>
        </w:tc>
        <w:tc>
          <w:tcPr>
            <w:tcW w:type="dxa" w:w="1930"/>
            <w:vAlign w:val="center"/>
          </w:tcPr>
          <w:p>
            <w:r>
              <w:t>山洪、滑坡、泥石流</w:t>
            </w:r>
          </w:p>
        </w:tc>
        <w:tc>
          <w:tcPr>
            <w:tcW w:type="dxa" w:w="1930"/>
            <w:vAlign w:val="center"/>
          </w:tcPr>
          <w:p>
            <w:r>
              <w:t>山前地带风险较高</w:t>
            </w:r>
          </w:p>
        </w:tc>
      </w:tr>
      <w:tr>
        <w:tc>
          <w:tcPr>
            <w:tcW w:type="dxa" w:w="1930"/>
            <w:vAlign w:val="center"/>
          </w:tcPr>
          <w:p>
            <w:r>
              <w:t>龙泉驿区</w:t>
            </w:r>
          </w:p>
        </w:tc>
        <w:tc>
          <w:tcPr>
            <w:tcW w:type="dxa" w:w="1930"/>
            <w:vAlign w:val="center"/>
          </w:tcPr>
          <w:p>
            <w:r>
              <w:t>90—150 mm</w:t>
            </w:r>
          </w:p>
        </w:tc>
        <w:tc>
          <w:tcPr>
            <w:tcW w:type="dxa" w:w="1930"/>
            <w:vAlign w:val="center"/>
          </w:tcPr>
          <w:p>
            <w:r>
              <w:t>50 mm/h</w:t>
            </w:r>
          </w:p>
        </w:tc>
        <w:tc>
          <w:tcPr>
            <w:tcW w:type="dxa" w:w="1930"/>
            <w:vAlign w:val="center"/>
          </w:tcPr>
          <w:p>
            <w:r>
              <w:t>城市径流、坡面汇流</w:t>
            </w:r>
          </w:p>
        </w:tc>
        <w:tc>
          <w:tcPr>
            <w:tcW w:type="dxa" w:w="1930"/>
            <w:vAlign w:val="center"/>
          </w:tcPr>
          <w:p>
            <w:r>
              <w:t>龙泉山附近需重点巡查</w:t>
            </w:r>
          </w:p>
        </w:tc>
      </w:tr>
      <w:tr>
        <w:tc>
          <w:tcPr>
            <w:tcW w:type="dxa" w:w="1930"/>
            <w:vAlign w:val="center"/>
          </w:tcPr>
          <w:p>
            <w:r>
              <w:t>新都区—郫都区</w:t>
            </w:r>
          </w:p>
        </w:tc>
        <w:tc>
          <w:tcPr>
            <w:tcW w:type="dxa" w:w="1930"/>
            <w:vAlign w:val="center"/>
          </w:tcPr>
          <w:p>
            <w:r>
              <w:t>70—120 mm</w:t>
            </w:r>
          </w:p>
        </w:tc>
        <w:tc>
          <w:tcPr>
            <w:tcW w:type="dxa" w:w="1930"/>
            <w:vAlign w:val="center"/>
          </w:tcPr>
          <w:p>
            <w:r>
              <w:t>40 mm/h</w:t>
            </w:r>
          </w:p>
        </w:tc>
        <w:tc>
          <w:tcPr>
            <w:tcW w:type="dxa" w:w="1930"/>
            <w:vAlign w:val="center"/>
          </w:tcPr>
          <w:p>
            <w:r>
              <w:t>农田渍涝、道路积水</w:t>
            </w:r>
          </w:p>
        </w:tc>
        <w:tc>
          <w:tcPr>
            <w:tcW w:type="dxa" w:w="1930"/>
            <w:vAlign w:val="center"/>
          </w:tcPr>
          <w:p>
            <w:r>
              <w:t>需关注排水泵站能力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三、已发现影响</w:t>
      </w:r>
    </w:p>
    <w:p>
      <w:pPr>
        <w:pStyle w:val="ListBullet"/>
      </w:pPr>
      <w:r>
        <w:t>部分主干道出现短时积水，低洼路段通行效率下降，公交线路可能出现临时绕行。</w:t>
      </w:r>
    </w:p>
    <w:p>
      <w:pPr>
        <w:pStyle w:val="ListBullet"/>
      </w:pPr>
      <w:r>
        <w:t>地下车库、下穿隧道、地铁出入口周边存在雨水倒灌风险，需要重点排查排水设施。</w:t>
      </w:r>
    </w:p>
    <w:p>
      <w:pPr>
        <w:pStyle w:val="ListBullet"/>
      </w:pPr>
      <w:r>
        <w:t>山前区域在强降雨叠加土壤含水量升高后，存在小型滑坡、崩塌和泥石流风险。</w:t>
      </w:r>
    </w:p>
    <w:p>
      <w:pPr>
        <w:pStyle w:val="ListBullet"/>
      </w:pPr>
      <w:r>
        <w:t>河道、水库、排洪沟渠水位可能快速上涨，应关注锦江、府河、沙河及其支流沿线风险点。</w:t>
      </w:r>
    </w:p>
    <w:p>
      <w:pPr>
        <w:pStyle w:val="ListBullet"/>
      </w:pPr>
      <w:r>
        <w:t>人口密集社区、学校、医院、养老机构和大型商业综合体需要纳入重点影响对象。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四、需要 Agent 主动检索核查的问题</w:t>
      </w:r>
    </w:p>
    <w:p>
      <w:pPr>
        <w:pStyle w:val="ListNumber"/>
      </w:pPr>
      <w:r>
        <w:t>成都市气象台是否发布暴雨黄色、橙色或红色预警？预警发布时间和覆盖区域是什么？</w:t>
      </w:r>
    </w:p>
    <w:p>
      <w:pPr>
        <w:pStyle w:val="ListNumber"/>
      </w:pPr>
      <w:r>
        <w:t>成都市应急管理、交通运输、水务或住建部门是否发布积水点、交通管制或避险转移信息？</w:t>
      </w:r>
    </w:p>
    <w:p>
      <w:pPr>
        <w:pStyle w:val="ListNumber"/>
      </w:pPr>
      <w:r>
        <w:t>最近24小时真实雷达回波、降雨站点数据和未来6小时临近预报如何？</w:t>
      </w:r>
    </w:p>
    <w:p>
      <w:pPr>
        <w:pStyle w:val="ListNumber"/>
      </w:pPr>
      <w:r>
        <w:t>本次降雨与历史典型成都暴雨过程相比处于什么等级？</w:t>
      </w:r>
    </w:p>
    <w:p>
      <w:pPr>
        <w:pStyle w:val="ListNumber"/>
      </w:pPr>
      <w:r>
        <w:t>是否存在需要截图保存的权威网页、地图或公告页面？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五、风险评估提示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建议将风险分为城市内涝风险、山洪地质灾害风险、交通运行风险、重点人群暴露风险和次生灾害风险五类。若系统可读取本地人口密度缓存，应优先估算灾害点周边3公里、5公里、10公里范围内的暴露人口，并结合风险等级折算潜在受影响人口。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对于成都场景，中心城区人口密度较高，短时积水即可能造成较大社会影响；西部山地及山前地带虽然人口密度相对较低，但滑坡、泥石流等突发性风险更高，应在报告中分别表达。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六、建议处置措施</w:t>
      </w:r>
    </w:p>
    <w:p>
      <w:pPr>
        <w:pStyle w:val="ListBullet"/>
      </w:pPr>
      <w:r>
        <w:t>加强下穿隧道、地铁出入口、地下车库、低洼院落和老旧小区排水巡查。</w:t>
      </w:r>
    </w:p>
    <w:p>
      <w:pPr>
        <w:pStyle w:val="ListBullet"/>
      </w:pPr>
      <w:r>
        <w:t>对山洪沟、地质灾害隐患点、临坡临崖道路和旅游景区开展临时管控。</w:t>
      </w:r>
    </w:p>
    <w:p>
      <w:pPr>
        <w:pStyle w:val="ListBullet"/>
      </w:pPr>
      <w:r>
        <w:t>通过短信、政务新媒体、社区网格和交通诱导屏发布避险与绕行提示。</w:t>
      </w:r>
    </w:p>
    <w:p>
      <w:pPr>
        <w:pStyle w:val="ListBullet"/>
      </w:pPr>
      <w:r>
        <w:t>对医院、学校、养老机构、避难场所和应急物资仓库进行重点保障。</w:t>
      </w:r>
    </w:p>
    <w:p>
      <w:pPr>
        <w:pStyle w:val="ListBullet"/>
      </w:pPr>
      <w:r>
        <w:t>保留权威预警、降雨实况、交通管制和灾情核查信息作为报告证据。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七、测试期望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上传本文档后，深度研究工具应能够识别这是“灾害分析/深度研究”场景，而不是普通问答；应调用文档读取、GraphRAG/知识抽取、联网搜索、必要网页截图、风险评估和报告草稿生成相关能力。若需要生成正式报告，应先询问用户输出 Word 还是 PDF，并展示阶段性进度。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测试重点：是否能从文档抽取地点、灾害类型、影响对象、风险因素、待核查问题；是否能把对话记录与文档证据合并；是否能避免把模拟数据当作权威事实。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sz w:val="18"/>
      </w:rPr>
      <w:t>SkyGuard 测试文档｜模拟材料，仅用于系统功能验证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