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PoV验证方案</w:t>
      </w:r>
    </w:p>
    <w:p>
      <w:r>
        <w:t>这是一份【PoV验证方案】模板，占位符将在文档生成时替换。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enterprise.enterprise_code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验证目标</w:t>
      </w:r>
    </w:p>
    <w:p>
      <w:r>
        <w:t>{{ project.name }}——验证目标：</w:t>
      </w:r>
    </w:p>
    <w:p>
      <w:pPr>
        <w:pStyle w:val="Heading3"/>
      </w:pPr>
      <w:r>
        <w:t>验证场景</w:t>
      </w:r>
    </w:p>
    <w:p>
      <w:r>
        <w:t>{{ project.name }}——验证场景：</w:t>
      </w:r>
    </w:p>
    <w:p>
      <w:pPr>
        <w:pStyle w:val="Heading3"/>
      </w:pPr>
      <w:r>
        <w:t>数据准备</w:t>
      </w:r>
    </w:p>
    <w:p>
      <w:r>
        <w:t>{{ project.name }}——数据准备：</w:t>
      </w:r>
    </w:p>
    <w:p>
      <w:pPr>
        <w:pStyle w:val="Heading3"/>
      </w:pPr>
      <w:r>
        <w:t>验收标准</w:t>
      </w:r>
    </w:p>
    <w:p>
      <w:r>
        <w:t>{{ project.name }}——验收标准：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