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Preliminary Development Assessment &amp; Co-Development Proposal</w:t>
      </w:r>
    </w:p>
    <w:p>
      <w:pPr>
        <w:spacing w:after="160"/>
      </w:pPr>
      <w:r>
        <w:rPr>
          <w:color w:val="404040"/>
          <w:sz w:val="22"/>
          <w:szCs w:val="22"/>
        </w:rPr>
        <w:t xml:space="preserve">Port Lincoln SA 5606  ·  approx. 24 allotments  ·  City of Port Lincoln  ·  registered encumbrance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Prepared for</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Zen Hartree, Property Consultant — Harris Real Estate (Eyre Peninsula)</w:t>
            </w:r>
          </w:p>
          <w:p>
            <w:pPr>
              <w:spacing w:after="0"/>
            </w:pPr>
            <w:r>
              <w:rPr>
                <w:sz w:val="20"/>
                <w:szCs w:val="20"/>
              </w:rPr>
              <w:t xml:space="preserve">E: zenh@harrisre.com.au    P: 0427 182 198</w:t>
            </w:r>
          </w:p>
        </w:tc>
      </w:tr>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On behalf of</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The registered owner(s) of the site (Zen’s vendor client)</w:t>
            </w:r>
          </w:p>
        </w:tc>
      </w:tr>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Prepared by</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Factory2Key — Dennis McMahon, Director</w:t>
            </w:r>
          </w:p>
          <w:p>
            <w:pPr>
              <w:spacing w:after="0"/>
            </w:pPr>
            <w:r>
              <w:rPr>
                <w:sz w:val="20"/>
                <w:szCs w:val="20"/>
              </w:rPr>
              <w:t xml:space="preserve">E: dennis@factory2key.com.au    P: 0402612471</w:t>
            </w:r>
          </w:p>
        </w:tc>
      </w:tr>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Date</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5 June 2026</w:t>
            </w:r>
          </w:p>
        </w:tc>
      </w:tr>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Status</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Commercial-in-confidence — indicative only</w:t>
            </w:r>
          </w:p>
        </w:tc>
      </w:tr>
    </w:tbl>
    <w:p>
      <w:pPr>
        <w:spacing w:after="80" w:line="320" w:lineRule="atLeast"/>
      </w:pPr>
      <w:r>
        <w:t xml:space="preserve"/>
      </w:r>
    </w:p>
    <w:p>
      <w:pPr>
        <w:pStyle w:val="Heading1"/>
        <w:pBdr>
          <w:bottom w:val="single" w:color="2E75B6" w:sz="6" w:space="2"/>
        </w:pBdr>
        <w:spacing w:after="120" w:before="240"/>
      </w:pPr>
      <w:r>
        <w:t xml:space="preserve">Purpose</w:t>
      </w:r>
    </w:p>
    <w:p>
      <w:pPr>
        <w:spacing w:after="80" w:line="320" w:lineRule="atLeast"/>
      </w:pPr>
      <w:r>
        <w:t xml:space="preserve">At your request, f2k has completed a rapid preliminary assessment of the above site, including a review of the registered encumbrance, and set out the strategic delivery options below for the owner’s consideration.</w:t>
      </w:r>
    </w:p>
    <w:p>
      <w:pPr>
        <w:spacing w:after="80" w:line="320" w:lineRule="atLeast"/>
      </w:pPr>
      <w:r>
        <w:t xml:space="preserve">This is an active, registered estate — the fastest path to market of the larger sites — but it is governed by an encumbrance that warrants careful product specification. f2k’s interest is to co-develop in partnership with the owner and to resolve the encumbrance pathway for all buyers.</w:t>
      </w:r>
    </w:p>
    <w:p>
      <w:pPr>
        <w:spacing w:after="80" w:line="320" w:lineRule="atLeast"/>
      </w:pPr>
      <w:r>
        <w:rPr>
          <w:i/>
          <w:iCs/>
          <w:color w:val="595959"/>
          <w:sz w:val="20"/>
          <w:szCs w:val="20"/>
        </w:rPr>
        <w:t xml:space="preserve">This is a high-level overview. The detailed feasibility modelling, concept yield/siting plans, indicative price list and costings that sit behind it can be shared with the owner under an appropriate engagement.</w:t>
      </w:r>
    </w:p>
    <w:p>
      <w:pPr>
        <w:pStyle w:val="Heading1"/>
        <w:pBdr>
          <w:bottom w:val="single" w:color="2E75B6" w:sz="6" w:space="2"/>
        </w:pBdr>
        <w:spacing w:after="120" w:before="240"/>
      </w:pPr>
      <w:r>
        <w:t xml:space="preserve">Site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Address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Oscar Drive, Port Lincoln SA 5606</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Local government</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City of Port Lincoln</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Planning system</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SA Planning and Design Code (PlanSA / SAPPA)</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Indicative zone</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Suburban Neighbourhood Zone (to be confirmed via SAPPA)</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Configuration</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Approx. 24 allotments (Lots 404–427), approx. 427–1,439 m² (wide size range)</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Title controls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Registered encumbrance / covenant on the allotments (draft Version 1.0 reviewed)</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Status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Active, registered estate — selling now</w:t>
            </w:r>
          </w:p>
        </w:tc>
      </w:tr>
    </w:tbl>
    <w:p>
      <w:pPr>
        <w:pStyle w:val="Heading1"/>
        <w:pBdr>
          <w:bottom w:val="single" w:color="2E75B6" w:sz="6" w:space="2"/>
        </w:pBdr>
        <w:spacing w:after="120" w:before="240"/>
      </w:pPr>
      <w:r>
        <w:t xml:space="preserve">Planning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Zone &amp; use</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The Suburban Neighbourhood Zone anticipates detached and semi-detached/group dwellings; f2k’s product is an anticipated use (to confirm via PlanSA).</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Encumbrance — the key item</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f2k has reviewed the draft. As drafted, Clause 5.1 prohibits transportable buildings and Clause 6.2 prohibits any dwelling part that is portable/transportable or raised on piles or stilts. Critically, Clause 6.2 also requires permanently-affixed, new, non-reflective external materials in render, timber or brick — which f2k’s Class 1a modular product meets.</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Verdict &amp; solution</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f2k product is deliverable here provided homes are installed on a slab / engineered footings (not piers or stilts) and finished in render/brick/timber per the encumbrance. A short “approved-product” clause (amending Clause 6 with a carve-out to Clause 5) would put the matter beyond doubt; Clause 13.1 already gives the encumbrancee discretion to approve. f2k can provide draft wording for the vendor’s solicitor.</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Spec note</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The base Koala70 specification (timber + Colorbond, no garage) would be substituted for the covenant-compliant variant: slab, render/brick facade and integrated garage.</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Yield controls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Encumbrance anticipates one main dwelling per lot, a mandatory garage/carport, no street-facing front fence, no further subdivision, a 10-year sunset and a rent-charge annuity (amount to be confirmed).</w:t>
            </w:r>
          </w:p>
        </w:tc>
      </w:tr>
    </w:tbl>
    <w:p>
      <w:pPr>
        <w:pStyle w:val="Heading1"/>
        <w:pBdr>
          <w:bottom w:val="single" w:color="2E75B6" w:sz="6" w:space="2"/>
        </w:pBdr>
        <w:spacing w:after="120" w:before="240"/>
      </w:pPr>
      <w:r>
        <w:t xml:space="preserve">Strategic delivery options</w:t>
      </w:r>
    </w:p>
    <w:p>
      <w:pPr>
        <w:spacing w:after="80" w:line="320" w:lineRule="atLeast"/>
      </w:pPr>
      <w:r>
        <w:t xml:space="preserve">Framed by what each optimises; most projects blend two. f2k’s feasibility work would recommend a preferred structure and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526"/>
        <w:gridCol w:w="140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top"/>
          </w:tcPr>
          <w:p>
            <w:pPr>
              <w:spacing w:after="0"/>
            </w:pPr>
            <w:r>
              <w:rPr>
                <w:b/>
                <w:bCs/>
                <w:color w:val="FFFFFF"/>
                <w:sz w:val="20"/>
                <w:szCs w:val="20"/>
              </w:rPr>
              <w:t xml:space="preserve">Option</w:t>
            </w:r>
          </w:p>
        </w:tc>
        <w:tc>
          <w:tcPr>
            <w:tcW w:type="dxa" w:w="19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top"/>
          </w:tcPr>
          <w:p>
            <w:pPr>
              <w:spacing w:after="0"/>
            </w:pPr>
            <w:r>
              <w:rPr>
                <w:b/>
                <w:bCs/>
                <w:color w:val="FFFFFF"/>
                <w:sz w:val="20"/>
                <w:szCs w:val="20"/>
              </w:rPr>
              <w:t xml:space="preserve">Optimises for</w:t>
            </w:r>
          </w:p>
        </w:tc>
        <w:tc>
          <w:tcPr>
            <w:tcW w:type="dxa" w:w="3526"/>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top"/>
          </w:tcPr>
          <w:p>
            <w:pPr>
              <w:spacing w:after="0"/>
            </w:pPr>
            <w:r>
              <w:rPr>
                <w:b/>
                <w:bCs/>
                <w:color w:val="FFFFFF"/>
                <w:sz w:val="20"/>
                <w:szCs w:val="20"/>
              </w:rPr>
              <w:t xml:space="preserve">Indicative profile</w:t>
            </w:r>
          </w:p>
        </w:tc>
        <w:tc>
          <w:tcPr>
            <w:tcW w:type="dxa" w:w="14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top"/>
          </w:tcPr>
          <w:p>
            <w:pPr>
              <w:spacing w:after="0"/>
            </w:pPr>
            <w:r>
              <w:rPr>
                <w:b/>
                <w:bCs/>
                <w:color w:val="FFFFFF"/>
                <w:sz w:val="20"/>
                <w:szCs w:val="20"/>
              </w:rPr>
              <w:t xml:space="preserve">Speed / risk</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1. Three-typology match</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Market fit</w:t>
            </w:r>
          </w:p>
        </w:tc>
        <w:tc>
          <w:tcPr>
            <w:tcW w:type="dxa" w:w="35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Compact (427–600 m²), mid (600–900 m²) and large/premium (1,000–1,439 m²) modular types matched to the lot bands</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Active estate; product-led; moderate</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2. Covenant-compliant spec</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De-risking</w:t>
            </w:r>
          </w:p>
        </w:tc>
        <w:tc>
          <w:tcPr>
            <w:tcW w:type="dxa" w:w="35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Slab + render/brick facade + integrated garage designed to satisfy the encumbrance from day one</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Removes title risk per home</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3. f2k-led covenant variation</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Certainty for all buyers</w:t>
            </w:r>
          </w:p>
        </w:tc>
        <w:tc>
          <w:tcPr>
            <w:tcW w:type="dxa" w:w="35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f2k drafts the approved-product clause and works it through the encumbrancee / solicitor</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Clears transportable ambiguity estate-wide</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4. House &amp; land packages</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Absorption</w:t>
            </w:r>
          </w:p>
        </w:tc>
        <w:tc>
          <w:tcPr>
            <w:tcW w:type="dxa" w:w="35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f2k build + Abacus / Unison finance + Harris sales</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Fast take-up on an active estate</w:t>
            </w:r>
          </w:p>
        </w:tc>
      </w:tr>
    </w:tbl>
    <w:p>
      <w:pPr>
        <w:spacing w:after="60"/>
      </w:pPr>
      <w:r>
        <w:t xml:space="preserve"/>
      </w:r>
    </w:p>
    <w:p>
      <w:pPr>
        <w:spacing w:after="60" w:before="60"/>
      </w:pPr>
      <w:r>
        <w:rPr>
          <w:b/>
          <w:bCs/>
          <w:sz w:val="22"/>
          <w:szCs w:val="22"/>
        </w:rPr>
        <w:t xml:space="preserve">Positioning. </w:t>
      </w:r>
      <w:r>
        <w:rPr>
          <w:sz w:val="22"/>
          <w:szCs w:val="22"/>
        </w:rPr>
        <w:t xml:space="preserve">Oscar Drive is the most ready of the larger sites, but it is covenant-gated. f2k’s ability to deliver a compliant modular spec and to draft the covenant variation is the differentiator that unlocks it.</w:t>
      </w:r>
    </w:p>
    <w:p>
      <w:pPr>
        <w:pStyle w:val="Heading1"/>
        <w:pBdr>
          <w:bottom w:val="single" w:color="2E75B6" w:sz="6" w:space="2"/>
        </w:pBdr>
        <w:spacing w:after="120" w:before="240"/>
      </w:pPr>
      <w:r>
        <w:t xml:space="preserve">Why f2k — and the co-development offer</w:t>
      </w:r>
    </w:p>
    <w:p>
      <w:pPr>
        <w:spacing w:after="80" w:line="320" w:lineRule="atLeast"/>
      </w:pPr>
      <w:r>
        <w:t xml:space="preserve">This assessment was turned around in days, which speaks to how f2k works: fast, evidence-based, and ready to move. We propose to partner with the owner, not simply advise:</w:t>
      </w:r>
    </w:p>
    <w:p>
      <w:pPr>
        <w:pStyle w:val="ListParagraph"/>
        <w:numPr>
          <w:ilvl w:val="0"/>
          <w:numId w:val="2"/>
        </w:numPr>
        <w:spacing w:after="60"/>
      </w:pPr>
      <w:r>
        <w:rPr>
          <w:b/>
          <w:bCs/>
          <w:sz w:val="22"/>
          <w:szCs w:val="22"/>
        </w:rPr>
        <w:t xml:space="preserve">Rapid mobilisation — </w:t>
      </w:r>
      <w:r>
        <w:rPr>
          <w:sz w:val="22"/>
          <w:szCs w:val="22"/>
        </w:rPr>
        <w:t xml:space="preserve">site reviewed, council and planning framework confirmed, and the build pathway screened at speed, as evidenced by this document.</w:t>
      </w:r>
    </w:p>
    <w:p>
      <w:pPr>
        <w:pStyle w:val="ListParagraph"/>
        <w:numPr>
          <w:ilvl w:val="0"/>
          <w:numId w:val="2"/>
        </w:numPr>
        <w:spacing w:after="60"/>
      </w:pPr>
      <w:r>
        <w:rPr>
          <w:b/>
          <w:bCs/>
          <w:sz w:val="22"/>
          <w:szCs w:val="22"/>
        </w:rPr>
        <w:t xml:space="preserve">Modular delivery advantage — </w:t>
      </w:r>
      <w:r>
        <w:rPr>
          <w:sz w:val="22"/>
          <w:szCs w:val="22"/>
        </w:rPr>
        <w:t xml:space="preserve">factory-built Class 1a homes (7-star, fixed-price, quality-controlled) installed rapidly on site, compressing the build programme and de-risking trades and weather in a regional market.</w:t>
      </w:r>
    </w:p>
    <w:p>
      <w:pPr>
        <w:pStyle w:val="ListParagraph"/>
        <w:numPr>
          <w:ilvl w:val="0"/>
          <w:numId w:val="2"/>
        </w:numPr>
        <w:spacing w:after="60"/>
      </w:pPr>
      <w:r>
        <w:rPr>
          <w:b/>
          <w:bCs/>
          <w:sz w:val="22"/>
          <w:szCs w:val="22"/>
        </w:rPr>
        <w:t xml:space="preserve">End-to-end capability — </w:t>
      </w:r>
      <w:r>
        <w:rPr>
          <w:sz w:val="22"/>
          <w:szCs w:val="22"/>
        </w:rPr>
        <w:t xml:space="preserve">planning strategy, development application management, civil and delivery oversight, and project management under one roof.</w:t>
      </w:r>
    </w:p>
    <w:p>
      <w:pPr>
        <w:pStyle w:val="ListParagraph"/>
        <w:numPr>
          <w:ilvl w:val="0"/>
          <w:numId w:val="2"/>
        </w:numPr>
        <w:spacing w:after="60"/>
      </w:pPr>
      <w:r>
        <w:rPr>
          <w:b/>
          <w:bCs/>
          <w:sz w:val="22"/>
          <w:szCs w:val="22"/>
        </w:rPr>
        <w:t xml:space="preserve">A genuine co-development structure — </w:t>
      </w:r>
      <w:r>
        <w:rPr>
          <w:sz w:val="22"/>
          <w:szCs w:val="22"/>
        </w:rPr>
        <w:t xml:space="preserve">f2k can co-invest and co-deliver alongside the owner (joint venture, development management or profit-share), so the owner shares in the value uplift rather than selling raw land.</w:t>
      </w:r>
    </w:p>
    <w:p>
      <w:pPr>
        <w:pStyle w:val="ListParagraph"/>
        <w:numPr>
          <w:ilvl w:val="0"/>
          <w:numId w:val="2"/>
        </w:numPr>
        <w:spacing w:after="60"/>
      </w:pPr>
      <w:r>
        <w:rPr>
          <w:b/>
          <w:bCs/>
          <w:sz w:val="22"/>
          <w:szCs w:val="22"/>
        </w:rPr>
        <w:t xml:space="preserve">Finance and sales alignment — </w:t>
      </w:r>
      <w:r>
        <w:rPr>
          <w:sz w:val="22"/>
          <w:szCs w:val="22"/>
        </w:rPr>
        <w:t xml:space="preserve">readily integrated with the Abacus / Unison / f2k modular-finance model on funding, and with Harris Real Estate on disposition.</w:t>
      </w:r>
    </w:p>
    <w:p>
      <w:pPr>
        <w:spacing w:after="60" w:before="120"/>
      </w:pPr>
      <w:r>
        <w:rPr>
          <w:b/>
          <w:bCs/>
          <w:sz w:val="22"/>
          <w:szCs w:val="22"/>
        </w:rPr>
        <w:t xml:space="preserve">Recent comparable work:</w:t>
      </w:r>
    </w:p>
    <w:p>
      <w:pPr>
        <w:pStyle w:val="ListParagraph"/>
        <w:numPr>
          <w:ilvl w:val="0"/>
          <w:numId w:val="3"/>
        </w:numPr>
        <w:spacing w:after="60"/>
      </w:pPr>
      <w:r>
        <w:rPr>
          <w:b/>
          <w:bCs/>
          <w:sz w:val="22"/>
          <w:szCs w:val="22"/>
        </w:rPr>
        <w:t xml:space="preserve">f2k developments: </w:t>
      </w:r>
      <w:r>
        <w:rPr>
          <w:sz w:val="22"/>
          <w:szCs w:val="22"/>
        </w:rPr>
        <w:t xml:space="preserve">Seafields — 141 lots, Waggrakine (Geraldton WA); 224 Branscombe Road, Claremont (TAS) — a live 37-dwelling modular community.</w:t>
      </w:r>
    </w:p>
    <w:p>
      <w:pPr>
        <w:pStyle w:val="ListParagraph"/>
        <w:numPr>
          <w:ilvl w:val="0"/>
          <w:numId w:val="3"/>
        </w:numPr>
        <w:spacing w:after="60"/>
      </w:pPr>
      <w:r>
        <w:rPr>
          <w:b/>
          <w:bCs/>
          <w:sz w:val="22"/>
          <w:szCs w:val="22"/>
        </w:rPr>
        <w:t xml:space="preserve">Property Friends developments: </w:t>
      </w:r>
      <w:r>
        <w:rPr>
          <w:sz w:val="22"/>
          <w:szCs w:val="22"/>
        </w:rPr>
        <w:t xml:space="preserve">Magnetic Island (Townsville); Lot 442 Half Moon Drive, Waggrakine; Lot 91 Brownlie Road, Wavecrest (Geraldton).</w:t>
      </w:r>
    </w:p>
    <w:p>
      <w:pPr>
        <w:pStyle w:val="Heading1"/>
        <w:pBdr>
          <w:bottom w:val="single" w:color="2E75B6" w:sz="6" w:space="2"/>
        </w:pBdr>
        <w:spacing w:after="120" w:before="240"/>
      </w:pPr>
      <w:r>
        <w:t xml:space="preserve">Proposed next steps</w:t>
      </w:r>
    </w:p>
    <w:p>
      <w:pPr>
        <w:pStyle w:val="ListParagraph"/>
        <w:numPr>
          <w:ilvl w:val="0"/>
          <w:numId w:val="4"/>
        </w:numPr>
        <w:spacing w:after="60"/>
      </w:pPr>
      <w:r>
        <w:rPr>
          <w:sz w:val="22"/>
          <w:szCs w:val="22"/>
        </w:rPr>
        <w:t xml:space="preserve">A brief introductory call with you and the owner to align on objectives and confirm appetite for a co-development structure.</w:t>
      </w:r>
    </w:p>
    <w:p>
      <w:pPr>
        <w:pStyle w:val="ListParagraph"/>
        <w:numPr>
          <w:ilvl w:val="0"/>
          <w:numId w:val="4"/>
        </w:numPr>
        <w:spacing w:after="60"/>
      </w:pPr>
      <w:r>
        <w:rPr>
          <w:sz w:val="22"/>
          <w:szCs w:val="22"/>
        </w:rPr>
        <w:t xml:space="preserve">A light engagement for f2k to coordinate confirming due diligence — a PlanSA property report (zone, overlays and any Technical &amp; Numeric Variations), detail survey, geotechnical advice for footing classification, and a title / encumbrance search.</w:t>
      </w:r>
    </w:p>
    <w:p>
      <w:pPr>
        <w:pStyle w:val="ListParagraph"/>
        <w:numPr>
          <w:ilvl w:val="0"/>
          <w:numId w:val="4"/>
        </w:numPr>
        <w:spacing w:after="60"/>
      </w:pPr>
      <w:r>
        <w:rPr>
          <w:sz w:val="22"/>
          <w:szCs w:val="22"/>
        </w:rPr>
        <w:t xml:space="preserve">f2k to deliver a costed feasibility, concept yield / siting plan and indicative price list for the preferred option(s).</w:t>
      </w:r>
    </w:p>
    <w:p>
      <w:pPr>
        <w:pStyle w:val="ListParagraph"/>
        <w:numPr>
          <w:ilvl w:val="0"/>
          <w:numId w:val="4"/>
        </w:numPr>
        <w:spacing w:after="60"/>
      </w:pPr>
      <w:r>
        <w:rPr>
          <w:sz w:val="22"/>
          <w:szCs w:val="22"/>
        </w:rPr>
        <w:t xml:space="preserve">Agree the co-development structure, commercial terms and programme.</w:t>
      </w:r>
    </w:p>
    <w:p>
      <w:pPr>
        <w:spacing w:after="160" w:before="120"/>
      </w:pPr>
      <w:r>
        <w:rPr>
          <w:b/>
          <w:bCs/>
          <w:sz w:val="22"/>
          <w:szCs w:val="22"/>
        </w:rPr>
        <w:t xml:space="preserve">f2k is in a position to commence immediately on the owner’s instruction.</w:t>
      </w:r>
    </w:p>
    <w:p>
      <w:pPr>
        <w:pBdr>
          <w:top w:val="single" w:sz="18" w:space="8" w:color="2E75B6"/>
          <w:bottom w:val="single" w:sz="18" w:space="8" w:color="2E75B6"/>
        </w:pBdr>
        <w:spacing w:before="240" w:after="160"/>
      </w:pPr>
      <w:r>
        <w:rPr>
          <w:b/>
          <w:bCs/>
          <w:color w:val="1F3864"/>
          <w:sz w:val="22"/>
          <w:szCs w:val="22"/>
        </w:rPr>
        <w:t xml:space="preserve">IMPORTANT NOTICE — DESKTOP ASSESSMENT ONLY. This document is a high-level desktop assessment, presented for indicative purposes only. It is not a design, engineering, survey or statutory planning document, and must not be relied upon as a basis for design, detailed costing, construction, sale or financial commitment without further in-depth, site-specific assessment by appropriately qualified professionals (including detail survey, geotechnical investigation, title and encumbrance search, and statutory planning assessment). This document and its contents are the intellectual property of Factory2Key (f2k) and must not be disseminated, published or released to any third party without the express written approval of the directors of Factory2Key.</w:t>
      </w:r>
    </w:p>
    <w:p>
      <w:pPr>
        <w:spacing w:after="80" w:line="320" w:lineRule="atLeast"/>
      </w:pPr>
      <w:r>
        <w:rPr>
          <w:i/>
          <w:iCs/>
          <w:color w:val="595959"/>
          <w:sz w:val="20"/>
          <w:szCs w:val="20"/>
        </w:rPr>
        <w:t xml:space="preserve">This proposal is indicative and prepared from a desktop review of publicly available planning information current at the date of issue (the South Australian Planning and Design Code, via the PlanSA portal and the SA Property and Planning Atlas). It is not a development approval, valuation, or legal, financial or planning advice. All areas, lot counts, yields, finishes, prices and outcomes are preliminary and subject to confirmation via PlanSA/SAPPA, detail survey, geotechnical investigation, title and encumbrance search, statutory assessment and detailed feasibility. Commercial-in-confidence — not for distribution beyond the intended recipient and the owner. (Site: Oscar Drive, Port Lincoln.)</w:t>
      </w:r>
    </w:p>
    <w:sectPr>
      <w:headerReference w:type="default" r:id="rId9"/>
      <w:footerReference w:type="default" r:id="rId7"/>
      <w:pgSz w:w="11906" w:h="16838" w:orient="portrait"/>
      <w:pgMar w:top="1800" w:right="1440" w:bottom="1440" w:left="1440" w:header="567"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6"/>
        <w:szCs w:val="16"/>
      </w:rPr>
      <w:t xml:space="preserve">f2k   |   Commercial-in-confidence   |   Oscar Drive, Port Lincoln</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inline distT="0" distB="0" distL="0" distR="0">
          <wp:extent cx="1371600" cy="631270"/>
          <wp:effectExtent l="0" t="0" r="0" b="0"/>
          <wp:docPr id="100" name="Factory2Key logo"/>
          <wp:cNvGraphicFramePr>
            <a:graphicFrameLocks noChangeAspect="1"/>
          </wp:cNvGraphicFramePr>
          <a:graphic>
            <a:graphicData uri="http://schemas.openxmlformats.org/drawingml/2006/picture">
              <pic:pic>
                <pic:nvPicPr>
                  <pic:cNvPr id="100" name="Factory2Key logo"/>
                  <pic:cNvPicPr/>
                </pic:nvPicPr>
                <pic:blipFill>
                  <a:blip r:embed="rId1"/>
                  <a:stretch>
                    <a:fillRect/>
                  </a:stretch>
                </pic:blipFill>
                <pic:spPr>
                  <a:xfrm>
                    <a:off x="0" y="0"/>
                    <a:ext cx="1371600" cy="6312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before="0" w:after="80" w:line="320"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f2k</dc:creator>
  <cp:lastModifiedBy>Un-named</cp:lastModifiedBy>
  <cp:revision>1</cp:revision>
  <dcterms:created xsi:type="dcterms:W3CDTF">2026-06-05T09:48:33.943Z</dcterms:created>
  <dcterms:modified xsi:type="dcterms:W3CDTF">2026-06-05T09:48:33.944Z</dcterms:modified>
</cp:coreProperties>
</file>

<file path=docProps/custom.xml><?xml version="1.0" encoding="utf-8"?>
<Properties xmlns="http://schemas.openxmlformats.org/officeDocument/2006/custom-properties" xmlns:vt="http://schemas.openxmlformats.org/officeDocument/2006/docPropsVTypes"/>
</file>