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</w:pPr>
      <w:r>
        <w:rPr>
          <w:rFonts w:ascii="PingFang SC" w:hAnsi="PingFang SC" w:eastAsia="PingFang SC"/>
          <w:b/>
          <w:color w:val="0B1220"/>
          <w:sz w:val="36"/>
        </w:rPr>
        <w:t>企微群「家庭医生 Agent」项目概述（汇报版）</w:t>
      </w:r>
    </w:p>
    <w:p>
      <w:pPr>
        <w:ind w:left="227"/>
      </w:pPr>
      <w:r>
        <w:rPr>
          <w:rFonts w:ascii="PingFang SC" w:hAnsi="PingFang SC" w:eastAsia="PingFang SC"/>
          <w:b/>
          <w:color w:val="1E3A5F"/>
          <w:sz w:val="21"/>
        </w:rPr>
        <w:t>一句话</w:t>
      </w:r>
      <w:r>
        <w:rPr>
          <w:rFonts w:ascii="PingFang SC" w:hAnsi="PingFang SC" w:eastAsia="PingFang SC"/>
          <w:color w:val="1E3A5F"/>
          <w:sz w:val="21"/>
        </w:rPr>
        <w:t>：在患者已有的企微服务群里，用「硬安全门控 + 多轮问诊」生成一张真人医生审核过的</w:t>
      </w:r>
      <w:r>
        <w:rPr>
          <w:rFonts w:ascii="PingFang SC" w:hAnsi="PingFang SC" w:eastAsia="PingFang SC"/>
          <w:b/>
          <w:color w:val="1E3A5F"/>
          <w:sz w:val="21"/>
        </w:rPr>
        <w:t>就医规划卡</w:t>
      </w:r>
      <w:r>
        <w:rPr>
          <w:rFonts w:ascii="PingFang SC" w:hAnsi="PingFang SC" w:eastAsia="PingFang SC"/>
          <w:color w:val="1E3A5F"/>
          <w:sz w:val="21"/>
        </w:rPr>
        <w:t>——什么时候、去哪家医院、做什么、花多少钱，一目了然；轻症转居家观察闭环，重症立即升级。</w:t>
      </w:r>
    </w:p>
    <w:p>
      <w:pPr>
        <w:spacing w:before="280" w:after="120"/>
      </w:pPr>
      <w:r>
        <w:rPr>
          <w:rFonts w:ascii="PingFang SC" w:hAnsi="PingFang SC" w:eastAsia="PingFang SC"/>
          <w:b/>
          <w:color w:val="0B1220"/>
          <w:sz w:val="27"/>
        </w:rPr>
        <w:t>30 秒版</w:t>
      </w:r>
    </w:p>
    <w:p>
      <w:pPr>
        <w:ind w:left="454" w:hanging="340"/>
      </w:pPr>
      <w:r>
        <w:rPr>
          <w:rFonts w:ascii="PingFang SC" w:hAnsi="PingFang SC" w:eastAsia="PingFang SC"/>
        </w:rPr>
        <w:t xml:space="preserve">• </w:t>
      </w:r>
      <w:r>
        <w:rPr>
          <w:rFonts w:ascii="PingFang SC" w:hAnsi="PingFang SC" w:eastAsia="PingFang SC"/>
          <w:b/>
        </w:rPr>
        <w:t>是什么</w:t>
      </w:r>
      <w:r>
        <w:rPr>
          <w:rFonts w:ascii="PingFang SC" w:hAnsi="PingFang SC" w:eastAsia="PingFang SC"/>
        </w:rPr>
        <w:t>：企微群里的 AI 家庭医生——把一句话咨询变成可执行的就医安排，而不是一句“建议就医”。</w:t>
      </w:r>
    </w:p>
    <w:p>
      <w:pPr>
        <w:ind w:left="454" w:hanging="340"/>
      </w:pPr>
      <w:r>
        <w:rPr>
          <w:rFonts w:ascii="PingFang SC" w:hAnsi="PingFang SC" w:eastAsia="PingFang SC"/>
        </w:rPr>
        <w:t xml:space="preserve">• </w:t>
      </w:r>
      <w:r>
        <w:rPr>
          <w:rFonts w:ascii="PingFang SC" w:hAnsi="PingFang SC" w:eastAsia="PingFang SC"/>
          <w:b/>
        </w:rPr>
        <w:t>到哪了</w:t>
      </w:r>
      <w:r>
        <w:rPr>
          <w:rFonts w:ascii="PingFang SC" w:hAnsi="PingFang SC" w:eastAsia="PingFang SC"/>
        </w:rPr>
        <w:t>：Demo 已完成，10 个分级样例群真实跑通，355 项测试、34 个评测用例；患者端手机卡片已可体验。</w:t>
      </w:r>
    </w:p>
    <w:p>
      <w:pPr>
        <w:ind w:left="454" w:hanging="340"/>
      </w:pPr>
      <w:r>
        <w:rPr>
          <w:rFonts w:ascii="PingFang SC" w:hAnsi="PingFang SC" w:eastAsia="PingFang SC"/>
        </w:rPr>
        <w:t xml:space="preserve">• </w:t>
      </w:r>
      <w:r>
        <w:rPr>
          <w:rFonts w:ascii="PingFang SC" w:hAnsi="PingFang SC" w:eastAsia="PingFang SC"/>
          <w:b/>
        </w:rPr>
        <w:t>为什么值得投</w:t>
      </w:r>
      <w:r>
        <w:rPr>
          <w:rFonts w:ascii="PingFang SC" w:hAnsi="PingFang SC" w:eastAsia="PingFang SC"/>
        </w:rPr>
        <w:t>：安全可控（红旗硬门控 + 真人医生审核）、能省钱（同方案下合理分流）、可规模化（每张卡片都是一次可追踪的服务履约）。</w:t>
      </w:r>
    </w:p>
    <w:p>
      <w:pPr>
        <w:ind w:left="454" w:hanging="340"/>
      </w:pPr>
      <w:r>
        <w:rPr>
          <w:rFonts w:ascii="PingFang SC" w:hAnsi="PingFang SC" w:eastAsia="PingFang SC"/>
        </w:rPr>
        <w:t xml:space="preserve">• </w:t>
      </w:r>
      <w:r>
        <w:rPr>
          <w:rFonts w:ascii="PingFang SC" w:hAnsi="PingFang SC" w:eastAsia="PingFang SC"/>
          <w:b/>
        </w:rPr>
        <w:t>需要支持</w:t>
      </w:r>
      <w:r>
        <w:rPr>
          <w:rFonts w:ascii="PingFang SC" w:hAnsi="PingFang SC" w:eastAsia="PingFang SC"/>
        </w:rPr>
        <w:t>：① 安排医学组审核规则与路径；② 批准 1–2 个真实群灰度试点；③ 协调机构/号源/医保数据接入。</w:t>
      </w:r>
    </w:p>
    <w:p>
      <w:pPr>
        <w:spacing w:before="280" w:after="120"/>
      </w:pPr>
      <w:r>
        <w:rPr>
          <w:rFonts w:ascii="PingFang SC" w:hAnsi="PingFang SC" w:eastAsia="PingFang SC"/>
          <w:b/>
          <w:color w:val="0B1220"/>
          <w:sz w:val="27"/>
        </w:rPr>
        <w:t>一、要解决的问题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986"/>
        <w:gridCol w:w="4986"/>
      </w:tblGrid>
      <w:tr>
        <w:tc>
          <w:tcPr>
            <w:tcW w:type="dxa" w:w="4986"/>
            <w:shd w:val="clear" w:fill="F2F4F7"/>
          </w:tcPr>
          <w:p>
            <w:r>
              <w:rPr>
                <w:rFonts w:ascii="PingFang SC" w:hAnsi="PingFang SC" w:eastAsia="PingFang SC"/>
                <w:b/>
                <w:sz w:val="19"/>
              </w:rPr>
              <w:t>现状痛点</w:t>
            </w:r>
          </w:p>
        </w:tc>
        <w:tc>
          <w:tcPr>
            <w:tcW w:type="dxa" w:w="4986"/>
            <w:shd w:val="clear" w:fill="F2F4F7"/>
          </w:tcPr>
          <w:p>
            <w:r>
              <w:rPr>
                <w:rFonts w:ascii="PingFang SC" w:hAnsi="PingFang SC" w:eastAsia="PingFang SC"/>
                <w:b/>
                <w:sz w:val="19"/>
              </w:rPr>
              <w:t>后果</w:t>
            </w:r>
          </w:p>
        </w:tc>
      </w:tr>
      <w:tr>
        <w:tc>
          <w:tcPr>
            <w:tcW w:type="dxa" w:w="4986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群里咨询靠人工凭经验回复，质量不稳定</w:t>
            </w:r>
          </w:p>
        </w:tc>
        <w:tc>
          <w:tcPr>
            <w:tcW w:type="dxa" w:w="4986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回复不一致、不可审计，患者体验差</w:t>
            </w:r>
          </w:p>
        </w:tc>
      </w:tr>
      <w:tr>
        <w:tc>
          <w:tcPr>
            <w:tcW w:type="dxa" w:w="4986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患者不知道「去哪一级医院、做什么检查」</w:t>
            </w:r>
          </w:p>
        </w:tc>
        <w:tc>
          <w:tcPr>
            <w:tcW w:type="dxa" w:w="4986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小病挤三甲、大病被拖延，医疗资源错配</w:t>
            </w:r>
          </w:p>
        </w:tc>
      </w:tr>
      <w:tr>
        <w:tc>
          <w:tcPr>
            <w:tcW w:type="dxa" w:w="4986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费用不透明，不知道医保能报多少</w:t>
            </w:r>
          </w:p>
        </w:tc>
        <w:tc>
          <w:tcPr>
            <w:tcW w:type="dxa" w:w="4986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患者多花冤枉钱，服务方难以证明价值</w:t>
            </w:r>
          </w:p>
        </w:tc>
      </w:tr>
      <w:tr>
        <w:tc>
          <w:tcPr>
            <w:tcW w:type="dxa" w:w="4986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群消息 7×24 无人即时响应</w:t>
            </w:r>
          </w:p>
        </w:tc>
        <w:tc>
          <w:tcPr>
            <w:tcW w:type="dxa" w:w="4986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延误风险 + 病历经理人力被重复问题占满</w:t>
            </w:r>
          </w:p>
        </w:tc>
      </w:tr>
    </w:tbl>
    <w:p/>
    <w:p>
      <w:pPr>
        <w:spacing w:before="280" w:after="120"/>
      </w:pPr>
      <w:r>
        <w:rPr>
          <w:rFonts w:ascii="PingFang SC" w:hAnsi="PingFang SC" w:eastAsia="PingFang SC"/>
          <w:b/>
          <w:color w:val="0B1220"/>
          <w:sz w:val="27"/>
        </w:rPr>
        <w:t>二、产品是什么</w:t>
      </w:r>
    </w:p>
    <w:p>
      <w:r>
        <w:rPr>
          <w:rFonts w:ascii="PingFang SC" w:hAnsi="PingFang SC" w:eastAsia="PingFang SC"/>
        </w:rPr>
        <w:t>给患者的不是一句「建议就医」，而是一张</w:t>
      </w:r>
      <w:r>
        <w:rPr>
          <w:rFonts w:ascii="PingFang SC" w:hAnsi="PingFang SC" w:eastAsia="PingFang SC"/>
          <w:b/>
        </w:rPr>
        <w:t>可执行的就医规划卡</w:t>
      </w:r>
      <w:r>
        <w:rPr>
          <w:rFonts w:ascii="PingFang SC" w:hAnsi="PingFang SC" w:eastAsia="PingFang SC"/>
        </w:rPr>
        <w:t>（见文末配图）：</w:t>
      </w:r>
    </w:p>
    <w:p>
      <w:pPr>
        <w:ind w:left="454" w:hanging="340"/>
      </w:pPr>
      <w:r>
        <w:rPr>
          <w:rFonts w:ascii="PingFang SC" w:hAnsi="PingFang SC" w:eastAsia="PingFang SC"/>
        </w:rPr>
        <w:t xml:space="preserve">1. </w:t>
      </w:r>
      <w:r>
        <w:rPr>
          <w:rFonts w:ascii="PingFang SC" w:hAnsi="PingFang SC" w:eastAsia="PingFang SC"/>
          <w:b/>
        </w:rPr>
        <w:t>首屏决策</w:t>
      </w:r>
      <w:r>
        <w:rPr>
          <w:rFonts w:ascii="PingFang SC" w:hAnsi="PingFang SC" w:eastAsia="PingFang SC"/>
        </w:rPr>
        <w:t>：一句建议（含具体医院名）+ 关键事实（级别/距离/医保/预约状态）</w:t>
      </w:r>
    </w:p>
    <w:p>
      <w:pPr>
        <w:ind w:left="454" w:hanging="340"/>
      </w:pPr>
      <w:r>
        <w:rPr>
          <w:rFonts w:ascii="PingFang SC" w:hAnsi="PingFang SC" w:eastAsia="PingFang SC"/>
        </w:rPr>
        <w:t xml:space="preserve">2. </w:t>
      </w:r>
      <w:r>
        <w:rPr>
          <w:rFonts w:ascii="PingFang SC" w:hAnsi="PingFang SC" w:eastAsia="PingFang SC"/>
          <w:b/>
        </w:rPr>
        <w:t>任务清单</w:t>
      </w:r>
      <w:r>
        <w:rPr>
          <w:rFonts w:ascii="PingFang SC" w:hAnsi="PingFang SC" w:eastAsia="PingFang SC"/>
        </w:rPr>
        <w:t>：每条任务都必须讲清</w:t>
      </w:r>
      <w:r>
        <w:rPr>
          <w:rFonts w:ascii="PingFang SC" w:hAnsi="PingFang SC" w:eastAsia="PingFang SC"/>
          <w:b/>
        </w:rPr>
        <w:t>四要素</w:t>
      </w:r>
      <w:r>
        <w:rPr>
          <w:rFonts w:ascii="PingFang SC" w:hAnsi="PingFang SC" w:eastAsia="PingFang SC"/>
        </w:rPr>
        <w:t>——任务、时间、地点、花费；预约入口可一键复制</w:t>
      </w:r>
    </w:p>
    <w:p>
      <w:pPr>
        <w:ind w:left="454" w:hanging="340"/>
      </w:pPr>
      <w:r>
        <w:rPr>
          <w:rFonts w:ascii="PingFang SC" w:hAnsi="PingFang SC" w:eastAsia="PingFang SC"/>
        </w:rPr>
        <w:t xml:space="preserve">3. </w:t>
      </w:r>
      <w:r>
        <w:rPr>
          <w:rFonts w:ascii="PingFang SC" w:hAnsi="PingFang SC" w:eastAsia="PingFang SC"/>
          <w:b/>
        </w:rPr>
        <w:t>安全底线</w:t>
      </w:r>
      <w:r>
        <w:rPr>
          <w:rFonts w:ascii="PingFang SC" w:hAnsi="PingFang SC" w:eastAsia="PingFang SC"/>
        </w:rPr>
        <w:t>：风险信号合并去重后按「立即 120 / 今天内 / 尽快」分级展示</w:t>
      </w:r>
    </w:p>
    <w:p>
      <w:pPr>
        <w:ind w:left="454" w:hanging="340"/>
      </w:pPr>
      <w:r>
        <w:rPr>
          <w:rFonts w:ascii="PingFang SC" w:hAnsi="PingFang SC" w:eastAsia="PingFang SC"/>
        </w:rPr>
        <w:t xml:space="preserve">4. </w:t>
      </w:r>
      <w:r>
        <w:rPr>
          <w:rFonts w:ascii="PingFang SC" w:hAnsi="PingFang SC" w:eastAsia="PingFang SC"/>
          <w:b/>
        </w:rPr>
        <w:t>在哪看更划算</w:t>
      </w:r>
      <w:r>
        <w:rPr>
          <w:rFonts w:ascii="PingFang SC" w:hAnsi="PingFang SC" w:eastAsia="PingFang SC"/>
        </w:rPr>
        <w:t>：推荐机构与升级机构做四维对照（医学能力 / 检查方案 / 路程 / 个人自付），并给出「少花 X 元」结论</w:t>
      </w:r>
    </w:p>
    <w:p>
      <w:pPr>
        <w:ind w:left="454" w:hanging="340"/>
      </w:pPr>
      <w:r>
        <w:rPr>
          <w:rFonts w:ascii="PingFang SC" w:hAnsi="PingFang SC" w:eastAsia="PingFang SC"/>
        </w:rPr>
        <w:t xml:space="preserve">5. </w:t>
      </w:r>
      <w:r>
        <w:rPr>
          <w:rFonts w:ascii="PingFang SC" w:hAnsi="PingFang SC" w:eastAsia="PingFang SC"/>
          <w:b/>
        </w:rPr>
        <w:t>依据可查</w:t>
      </w:r>
      <w:r>
        <w:rPr>
          <w:rFonts w:ascii="PingFang SC" w:hAnsi="PingFang SC" w:eastAsia="PingFang SC"/>
        </w:rPr>
        <w:t>：疑似诊断及依据、重点排除风险、如何确诊、为什么这样安排——折叠展示，点开即有</w:t>
      </w:r>
    </w:p>
    <w:p>
      <w:pPr>
        <w:spacing w:before="280" w:after="120"/>
      </w:pPr>
      <w:r>
        <w:rPr>
          <w:rFonts w:ascii="PingFang SC" w:hAnsi="PingFang SC" w:eastAsia="PingFang SC"/>
          <w:b/>
          <w:color w:val="0B1220"/>
          <w:sz w:val="27"/>
        </w:rPr>
        <w:t>三、核心机制（为什么可信）</w:t>
      </w:r>
    </w:p>
    <w:p>
      <w:pPr>
        <w:ind w:left="454" w:hanging="340"/>
      </w:pPr>
      <w:r>
        <w:rPr>
          <w:rFonts w:ascii="PingFang SC" w:hAnsi="PingFang SC" w:eastAsia="PingFang SC"/>
        </w:rPr>
        <w:t xml:space="preserve">1. </w:t>
      </w:r>
      <w:r>
        <w:rPr>
          <w:rFonts w:ascii="PingFang SC" w:hAnsi="PingFang SC" w:eastAsia="PingFang SC"/>
          <w:b/>
        </w:rPr>
        <w:t>硬安全门控</w:t>
      </w:r>
      <w:r>
        <w:rPr>
          <w:rFonts w:ascii="PingFang SC" w:hAnsi="PingFang SC" w:eastAsia="PingFang SC"/>
        </w:rPr>
        <w:t>：28 条红旗规则确定性筛查，先于大模型判断；模型不得把紧急程度降级（服务端强制），命中高危不等待模型直接给已审行动</w:t>
      </w:r>
    </w:p>
    <w:p>
      <w:pPr>
        <w:ind w:left="454" w:hanging="340"/>
      </w:pPr>
      <w:r>
        <w:rPr>
          <w:rFonts w:ascii="PingFang SC" w:hAnsi="PingFang SC" w:eastAsia="PingFang SC"/>
        </w:rPr>
        <w:t xml:space="preserve">2. </w:t>
      </w:r>
      <w:r>
        <w:rPr>
          <w:rFonts w:ascii="PingFang SC" w:hAnsi="PingFang SC" w:eastAsia="PingFang SC"/>
          <w:b/>
        </w:rPr>
        <w:t>多轮问诊</w:t>
      </w:r>
      <w:r>
        <w:rPr>
          <w:rFonts w:ascii="PingFang SC" w:hAnsi="PingFang SC" w:eastAsia="PingFang SC"/>
        </w:rPr>
        <w:t>：普通病例至少 2 轮、最多 4 轮追问后才给结论，信息不足时只问"最能改变去向"的问题</w:t>
      </w:r>
    </w:p>
    <w:p>
      <w:pPr>
        <w:ind w:left="454" w:hanging="340"/>
      </w:pPr>
      <w:r>
        <w:rPr>
          <w:rFonts w:ascii="PingFang SC" w:hAnsi="PingFang SC" w:eastAsia="PingFang SC"/>
        </w:rPr>
        <w:t xml:space="preserve">3. </w:t>
      </w:r>
      <w:r>
        <w:rPr>
          <w:rFonts w:ascii="PingFang SC" w:hAnsi="PingFang SC" w:eastAsia="PingFang SC"/>
          <w:b/>
        </w:rPr>
        <w:t>确定性患者视图</w:t>
      </w:r>
      <w:r>
        <w:rPr>
          <w:rFonts w:ascii="PingFang SC" w:hAnsi="PingFang SC" w:eastAsia="PingFang SC"/>
        </w:rPr>
        <w:t>：卡片内容由服务端从结构化计划</w:t>
      </w:r>
      <w:r>
        <w:rPr>
          <w:rFonts w:ascii="PingFang SC" w:hAnsi="PingFang SC" w:eastAsia="PingFang SC"/>
          <w:b/>
        </w:rPr>
        <w:t>投影生成</w:t>
      </w:r>
      <w:r>
        <w:rPr>
          <w:rFonts w:ascii="PingFang SC" w:hAnsi="PingFang SC" w:eastAsia="PingFang SC"/>
        </w:rPr>
        <w:t>，模型不重写临床方案，并通过语义一致性门控校验</w:t>
      </w:r>
    </w:p>
    <w:p>
      <w:pPr>
        <w:ind w:left="454" w:hanging="340"/>
      </w:pPr>
      <w:r>
        <w:rPr>
          <w:rFonts w:ascii="PingFang SC" w:hAnsi="PingFang SC" w:eastAsia="PingFang SC"/>
        </w:rPr>
        <w:t xml:space="preserve">4. </w:t>
      </w:r>
      <w:r>
        <w:rPr>
          <w:rFonts w:ascii="PingFang SC" w:hAnsi="PingFang SC" w:eastAsia="PingFang SC"/>
          <w:b/>
        </w:rPr>
        <w:t>闭环与可追溯</w:t>
      </w:r>
      <w:r>
        <w:rPr>
          <w:rFonts w:ascii="PingFang SC" w:hAnsi="PingFang SC" w:eastAsia="PingFang SC"/>
        </w:rPr>
        <w:t>：轻症创建居家观察任务（到点主动回访、未回复催办、超期强制复评）；消息发送幂等、断点续跑、全链路执行留痕</w:t>
      </w:r>
    </w:p>
    <w:p>
      <w:pPr>
        <w:spacing w:before="280" w:after="120"/>
      </w:pPr>
      <w:r>
        <w:rPr>
          <w:rFonts w:ascii="PingFang SC" w:hAnsi="PingFang SC" w:eastAsia="PingFang SC"/>
          <w:b/>
          <w:color w:val="0B1220"/>
          <w:sz w:val="27"/>
        </w:rPr>
        <w:t>四、当前进展（可演示、可验证）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986"/>
        <w:gridCol w:w="4986"/>
      </w:tblGrid>
      <w:tr>
        <w:tc>
          <w:tcPr>
            <w:tcW w:type="dxa" w:w="4986"/>
            <w:shd w:val="clear" w:fill="F2F4F7"/>
          </w:tcPr>
          <w:p>
            <w:r>
              <w:rPr>
                <w:rFonts w:ascii="PingFang SC" w:hAnsi="PingFang SC" w:eastAsia="PingFang SC"/>
                <w:b/>
                <w:sz w:val="19"/>
              </w:rPr>
              <w:t>维度</w:t>
            </w:r>
          </w:p>
        </w:tc>
        <w:tc>
          <w:tcPr>
            <w:tcW w:type="dxa" w:w="4986"/>
            <w:shd w:val="clear" w:fill="F2F4F7"/>
          </w:tcPr>
          <w:p>
            <w:r>
              <w:rPr>
                <w:rFonts w:ascii="PingFang SC" w:hAnsi="PingFang SC" w:eastAsia="PingFang SC"/>
                <w:b/>
                <w:sz w:val="19"/>
              </w:rPr>
              <w:t>进展</w:t>
            </w:r>
          </w:p>
        </w:tc>
      </w:tr>
      <w:tr>
        <w:tc>
          <w:tcPr>
            <w:tcW w:type="dxa" w:w="4986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分级能力</w:t>
            </w:r>
          </w:p>
        </w:tc>
        <w:tc>
          <w:tcPr>
            <w:tcW w:type="dxa" w:w="4986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覆盖 E0 立即急救 / E1 尽快急诊 / E2 当日 / E3 限时 / E4 门诊·观察 / E5 复诊 / EU 人工复核</w:t>
            </w:r>
          </w:p>
        </w:tc>
      </w:tr>
      <w:tr>
        <w:tc>
          <w:tcPr>
            <w:tcW w:type="dxa" w:w="4986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样例群</w:t>
            </w:r>
          </w:p>
        </w:tc>
        <w:tc>
          <w:tcPr>
            <w:tcW w:type="dxa" w:w="4986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10 个样例群</w:t>
            </w:r>
            <w:r>
              <w:rPr>
                <w:rFonts w:ascii="PingFang SC" w:hAnsi="PingFang SC" w:eastAsia="PingFang SC"/>
                <w:b w:val="0"/>
                <w:sz w:val="19"/>
              </w:rPr>
              <w:t>已用真实模型完整跑通（含 3 个急救、2 个居家观察带主动回访）</w:t>
            </w:r>
          </w:p>
        </w:tc>
      </w:tr>
      <w:tr>
        <w:tc>
          <w:tcPr>
            <w:tcW w:type="dxa" w:w="4986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自动化测试</w:t>
            </w:r>
          </w:p>
        </w:tc>
        <w:tc>
          <w:tcPr>
            <w:tcW w:type="dxa" w:w="4986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355 项</w:t>
            </w:r>
            <w:r>
              <w:rPr>
                <w:rFonts w:ascii="PingFang SC" w:hAnsi="PingFang SC" w:eastAsia="PingFang SC"/>
                <w:b w:val="0"/>
                <w:sz w:val="19"/>
              </w:rPr>
              <w:t>测试（含前端渲染器、安全门控、契约不变量、去重与旧消息回退）</w:t>
            </w:r>
          </w:p>
        </w:tc>
      </w:tr>
      <w:tr>
        <w:tc>
          <w:tcPr>
            <w:tcW w:type="dxa" w:w="4986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评测体系</w:t>
            </w:r>
          </w:p>
        </w:tc>
        <w:tc>
          <w:tcPr>
            <w:tcW w:type="dxa" w:w="4986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34 个评测用例</w:t>
            </w:r>
            <w:r>
              <w:rPr>
                <w:rFonts w:ascii="PingFang SC" w:hAnsi="PingFang SC" w:eastAsia="PingFang SC"/>
                <w:b w:val="0"/>
                <w:sz w:val="19"/>
              </w:rPr>
              <w:t>（企微 13 + 问诊/山区 21），支持批量跑批与回归</w:t>
            </w:r>
          </w:p>
        </w:tc>
      </w:tr>
      <w:tr>
        <w:tc>
          <w:tcPr>
            <w:tcW w:type="dxa" w:w="4986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知识资产</w:t>
            </w:r>
          </w:p>
        </w:tc>
        <w:tc>
          <w:tcPr>
            <w:tcW w:type="dxa" w:w="4986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28 条红旗规则、3 条已批准低风险路径、21 类风险→危险信号知识表（均标注审批状态）</w:t>
            </w:r>
          </w:p>
        </w:tc>
      </w:tr>
      <w:tr>
        <w:tc>
          <w:tcPr>
            <w:tcW w:type="dxa" w:w="4986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交付链路</w:t>
            </w:r>
          </w:p>
        </w:tc>
        <w:tc>
          <w:tcPr>
            <w:tcW w:type="dxa" w:w="4986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企微发送端 webhook（结构化卡片 + 患者 H5 链接）、患者端 H5、群内测试页三端同源</w:t>
            </w:r>
          </w:p>
        </w:tc>
      </w:tr>
      <w:tr>
        <w:tc>
          <w:tcPr>
            <w:tcW w:type="dxa" w:w="4986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体验验证</w:t>
            </w:r>
          </w:p>
        </w:tc>
        <w:tc>
          <w:tcPr>
            <w:tcW w:type="dxa" w:w="4986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390px 手机实机渲染、任务勾选与复制交互、卡片导出为图片（见附件）</w:t>
            </w:r>
          </w:p>
        </w:tc>
      </w:tr>
    </w:tbl>
    <w:p/>
    <w:p>
      <w:pPr>
        <w:spacing w:before="280" w:after="120"/>
      </w:pPr>
      <w:r>
        <w:rPr>
          <w:rFonts w:ascii="PingFang SC" w:hAnsi="PingFang SC" w:eastAsia="PingFang SC"/>
          <w:b/>
          <w:color w:val="0B1220"/>
          <w:sz w:val="27"/>
        </w:rPr>
        <w:t>五、价值</w:t>
      </w:r>
    </w:p>
    <w:p>
      <w:r>
        <w:rPr>
          <w:rFonts w:ascii="PingFang SC" w:hAnsi="PingFang SC" w:eastAsia="PingFang SC"/>
          <w:b/>
        </w:rPr>
        <w:t>对患者</w:t>
      </w:r>
    </w:p>
    <w:p>
      <w:pPr>
        <w:ind w:left="454" w:hanging="340"/>
      </w:pPr>
      <w:r>
        <w:rPr>
          <w:rFonts w:ascii="PingFang SC" w:hAnsi="PingFang SC" w:eastAsia="PingFang SC"/>
        </w:rPr>
        <w:t>• 知道「现在做什么、去哪、花多少」，不再两头跑</w:t>
      </w:r>
    </w:p>
    <w:p>
      <w:pPr>
        <w:ind w:left="454" w:hanging="340"/>
      </w:pPr>
      <w:r>
        <w:rPr>
          <w:rFonts w:ascii="PingFang SC" w:hAnsi="PingFang SC" w:eastAsia="PingFang SC"/>
        </w:rPr>
        <w:t>• 安全底线直接可见（出现什么症状立即 120），不会因等回复耽误</w:t>
      </w:r>
    </w:p>
    <w:p>
      <w:pPr>
        <w:ind w:left="454" w:hanging="340"/>
      </w:pPr>
      <w:r>
        <w:rPr>
          <w:rFonts w:ascii="PingFang SC" w:hAnsi="PingFang SC" w:eastAsia="PingFang SC"/>
        </w:rPr>
        <w:t>• 示例：同一次门诊，推荐二级医院自付 ¥130，升级三级 ¥230——</w:t>
      </w:r>
      <w:r>
        <w:rPr>
          <w:rFonts w:ascii="PingFang SC" w:hAnsi="PingFang SC" w:eastAsia="PingFang SC"/>
          <w:b/>
        </w:rPr>
        <w:t>方案一致，少花 ¥100</w:t>
      </w:r>
      <w:r>
        <w:rPr>
          <w:rFonts w:ascii="PingFang SC" w:hAnsi="PingFang SC" w:eastAsia="PingFang SC"/>
        </w:rPr>
        <w:t>（演示医保参数）</w:t>
      </w:r>
    </w:p>
    <w:p>
      <w:r>
        <w:rPr>
          <w:rFonts w:ascii="PingFang SC" w:hAnsi="PingFang SC" w:eastAsia="PingFang SC"/>
          <w:b/>
        </w:rPr>
        <w:t>对服务方（业务）</w:t>
      </w:r>
    </w:p>
    <w:p>
      <w:pPr>
        <w:ind w:left="454" w:hanging="340"/>
      </w:pPr>
      <w:r>
        <w:rPr>
          <w:rFonts w:ascii="PingFang SC" w:hAnsi="PingFang SC" w:eastAsia="PingFang SC"/>
        </w:rPr>
        <w:t>• 病历经理从重复答疑中解放，聚焦高价值人工介入</w:t>
      </w:r>
    </w:p>
    <w:p>
      <w:pPr>
        <w:ind w:left="454" w:hanging="340"/>
      </w:pPr>
      <w:r>
        <w:rPr>
          <w:rFonts w:ascii="PingFang SC" w:hAnsi="PingFang SC" w:eastAsia="PingFang SC"/>
        </w:rPr>
        <w:t>• 回复标准统一、可审计，服务质量可控</w:t>
      </w:r>
    </w:p>
    <w:p>
      <w:pPr>
        <w:ind w:left="454" w:hanging="340"/>
      </w:pPr>
      <w:r>
        <w:rPr>
          <w:rFonts w:ascii="PingFang SC" w:hAnsi="PingFang SC" w:eastAsia="PingFang SC"/>
        </w:rPr>
        <w:t>• 每张卡片都是一次可追踪的服务履约，便于续费与增值</w:t>
      </w:r>
    </w:p>
    <w:p>
      <w:r>
        <w:rPr>
          <w:rFonts w:ascii="PingFang SC" w:hAnsi="PingFang SC" w:eastAsia="PingFang SC"/>
          <w:b/>
        </w:rPr>
        <w:t>对支付方 / 客户价值主张</w:t>
      </w:r>
    </w:p>
    <w:p>
      <w:pPr>
        <w:ind w:left="454" w:hanging="340"/>
      </w:pPr>
      <w:r>
        <w:rPr>
          <w:rFonts w:ascii="PingFang SC" w:hAnsi="PingFang SC" w:eastAsia="PingFang SC"/>
        </w:rPr>
        <w:t>• 合理分流：能力够用的场景不去高级别医院，降低整体医疗支出</w:t>
      </w:r>
    </w:p>
    <w:p>
      <w:pPr>
        <w:ind w:left="454" w:hanging="340"/>
      </w:pPr>
      <w:r>
        <w:rPr>
          <w:rFonts w:ascii="PingFang SC" w:hAnsi="PingFang SC" w:eastAsia="PingFang SC"/>
        </w:rPr>
        <w:t>• VBC 分级诊疗从理念变成可执行的触达工具（卡片即干预点）</w:t>
      </w:r>
    </w:p>
    <w:p>
      <w:pPr>
        <w:spacing w:before="280" w:after="120"/>
      </w:pPr>
      <w:r>
        <w:rPr>
          <w:rFonts w:ascii="PingFang SC" w:hAnsi="PingFang SC" w:eastAsia="PingFang SC"/>
          <w:b/>
          <w:color w:val="0B1220"/>
          <w:sz w:val="27"/>
        </w:rPr>
        <w:t>六、合规边界（明确不做什么）</w:t>
      </w:r>
    </w:p>
    <w:p>
      <w:pPr>
        <w:ind w:left="454" w:hanging="340"/>
      </w:pPr>
      <w:r>
        <w:rPr>
          <w:rFonts w:ascii="PingFang SC" w:hAnsi="PingFang SC" w:eastAsia="PingFang SC"/>
        </w:rPr>
        <w:t xml:space="preserve">• </w:t>
      </w:r>
      <w:r>
        <w:rPr>
          <w:rFonts w:ascii="PingFang SC" w:hAnsi="PingFang SC" w:eastAsia="PingFang SC"/>
          <w:b/>
        </w:rPr>
        <w:t>不诊断、不调药、不编造</w:t>
      </w:r>
      <w:r>
        <w:rPr>
          <w:rFonts w:ascii="PingFang SC" w:hAnsi="PingFang SC" w:eastAsia="PingFang SC"/>
        </w:rPr>
        <w:t>医院/号源/费用；推荐机构与医保参数当前为</w:t>
      </w:r>
      <w:r>
        <w:rPr>
          <w:rFonts w:ascii="PingFang SC" w:hAnsi="PingFang SC" w:eastAsia="PingFang SC"/>
          <w:b/>
        </w:rPr>
        <w:t>演示数据</w:t>
      </w:r>
      <w:r>
        <w:rPr>
          <w:rFonts w:ascii="PingFang SC" w:hAnsi="PingFang SC" w:eastAsia="PingFang SC"/>
        </w:rPr>
        <w:t>，卡片带免责说明</w:t>
      </w:r>
    </w:p>
    <w:p>
      <w:pPr>
        <w:ind w:left="454" w:hanging="340"/>
      </w:pPr>
      <w:r>
        <w:rPr>
          <w:rFonts w:ascii="PingFang SC" w:hAnsi="PingFang SC" w:eastAsia="PingFang SC"/>
        </w:rPr>
        <w:t>• 红旗规则、低风险路径、风险信号知识表当前为演示版本，状态：</w:t>
      </w:r>
      <w:r>
        <w:rPr>
          <w:rFonts w:ascii="Menlo" w:hAnsi="Menlo" w:eastAsia="Menlo"/>
          <w:color w:val="0F559E"/>
        </w:rPr>
        <w:t>DEMO_PENDING_CLINICAL_REVIEW</w:t>
      </w:r>
      <w:r>
        <w:rPr>
          <w:rFonts w:ascii="PingFang SC" w:hAnsi="PingFang SC" w:eastAsia="PingFang SC"/>
        </w:rPr>
        <w:t>，</w:t>
      </w:r>
      <w:r>
        <w:rPr>
          <w:rFonts w:ascii="PingFang SC" w:hAnsi="PingFang SC" w:eastAsia="PingFang SC"/>
          <w:b/>
        </w:rPr>
        <w:t>上线前必须医学组审核</w:t>
      </w:r>
    </w:p>
    <w:p>
      <w:pPr>
        <w:ind w:left="454" w:hanging="340"/>
      </w:pPr>
      <w:r>
        <w:rPr>
          <w:rFonts w:ascii="PingFang SC" w:hAnsi="PingFang SC" w:eastAsia="PingFang SC"/>
        </w:rPr>
        <w:t>• 非急症结论标记「已提交平台医生审核」，不引导患者另行线上问诊</w:t>
      </w:r>
    </w:p>
    <w:p>
      <w:pPr>
        <w:spacing w:before="280" w:after="120"/>
      </w:pPr>
      <w:r>
        <w:rPr>
          <w:rFonts w:ascii="PingFang SC" w:hAnsi="PingFang SC" w:eastAsia="PingFang SC"/>
          <w:b/>
          <w:color w:val="0B1220"/>
          <w:sz w:val="27"/>
        </w:rPr>
        <w:t>七、下一步与需要的支持</w:t>
      </w:r>
    </w:p>
    <w:p>
      <w:r>
        <w:rPr>
          <w:rFonts w:ascii="PingFang SC" w:hAnsi="PingFang SC" w:eastAsia="PingFang SC"/>
          <w:b/>
        </w:rPr>
        <w:t>需要您拍板的三件事</w:t>
      </w:r>
      <w:r>
        <w:rPr>
          <w:rFonts w:ascii="PingFang SC" w:hAnsi="PingFang SC" w:eastAsia="PingFang SC"/>
        </w:rPr>
        <w:t>：</w:t>
      </w:r>
    </w:p>
    <w:p>
      <w:pPr>
        <w:ind w:left="454" w:hanging="340"/>
      </w:pPr>
      <w:r>
        <w:rPr>
          <w:rFonts w:ascii="PingFang SC" w:hAnsi="PingFang SC" w:eastAsia="PingFang SC"/>
        </w:rPr>
        <w:t xml:space="preserve">1. </w:t>
      </w:r>
      <w:r>
        <w:rPr>
          <w:rFonts w:ascii="PingFang SC" w:hAnsi="PingFang SC" w:eastAsia="PingFang SC"/>
          <w:b/>
        </w:rPr>
        <w:t>安排医学审核资源</w:t>
      </w:r>
      <w:r>
        <w:rPr>
          <w:rFonts w:ascii="PingFang SC" w:hAnsi="PingFang SC" w:eastAsia="PingFang SC"/>
        </w:rPr>
        <w:t>：审核 28 条红旗规则、3 条观察路径、21 类危险信号（当前为演示版，未审不能放行）；</w:t>
      </w:r>
    </w:p>
    <w:p>
      <w:pPr>
        <w:ind w:left="454" w:hanging="340"/>
      </w:pPr>
      <w:r>
        <w:rPr>
          <w:rFonts w:ascii="PingFang SC" w:hAnsi="PingFang SC" w:eastAsia="PingFang SC"/>
        </w:rPr>
        <w:t xml:space="preserve">2. </w:t>
      </w:r>
      <w:r>
        <w:rPr>
          <w:rFonts w:ascii="PingFang SC" w:hAnsi="PingFang SC" w:eastAsia="PingFang SC"/>
          <w:b/>
        </w:rPr>
        <w:t>批准试点</w:t>
      </w:r>
      <w:r>
        <w:rPr>
          <w:rFonts w:ascii="PingFang SC" w:hAnsi="PingFang SC" w:eastAsia="PingFang SC"/>
        </w:rPr>
        <w:t>：选 1–2 个真实企微群灰度（SHADOW 只记录不发送 → 医生协助 → 正式放行）；</w:t>
      </w:r>
    </w:p>
    <w:p>
      <w:pPr>
        <w:ind w:left="454" w:hanging="340"/>
      </w:pPr>
      <w:r>
        <w:rPr>
          <w:rFonts w:ascii="PingFang SC" w:hAnsi="PingFang SC" w:eastAsia="PingFang SC"/>
        </w:rPr>
        <w:t xml:space="preserve">3. </w:t>
      </w:r>
      <w:r>
        <w:rPr>
          <w:rFonts w:ascii="PingFang SC" w:hAnsi="PingFang SC" w:eastAsia="PingFang SC"/>
          <w:b/>
        </w:rPr>
        <w:t>协调数据接入</w:t>
      </w:r>
      <w:r>
        <w:rPr>
          <w:rFonts w:ascii="PingFang SC" w:hAnsi="PingFang SC" w:eastAsia="PingFang SC"/>
        </w:rPr>
        <w:t>：当地机构能力目录、号源/预约入口、医保报销参数（当前为演示数据，接入后才能给出真实推荐与测算）。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F2F4F7"/>
          </w:tcPr>
          <w:p>
            <w:r>
              <w:rPr>
                <w:rFonts w:ascii="PingFang SC" w:hAnsi="PingFang SC" w:eastAsia="PingFang SC"/>
                <w:b/>
                <w:sz w:val="19"/>
              </w:rPr>
              <w:t>事项</w:t>
            </w:r>
          </w:p>
        </w:tc>
        <w:tc>
          <w:tcPr>
            <w:tcW w:type="dxa" w:w="3324"/>
            <w:shd w:val="clear" w:fill="F2F4F7"/>
          </w:tcPr>
          <w:p>
            <w:r>
              <w:rPr>
                <w:rFonts w:ascii="PingFang SC" w:hAnsi="PingFang SC" w:eastAsia="PingFang SC"/>
                <w:b/>
                <w:sz w:val="19"/>
              </w:rPr>
              <w:t>需要谁</w:t>
            </w:r>
          </w:p>
        </w:tc>
        <w:tc>
          <w:tcPr>
            <w:tcW w:type="dxa" w:w="3324"/>
            <w:shd w:val="clear" w:fill="F2F4F7"/>
          </w:tcPr>
          <w:p>
            <w:r>
              <w:rPr>
                <w:rFonts w:ascii="PingFang SC" w:hAnsi="PingFang SC" w:eastAsia="PingFang SC"/>
                <w:b/>
                <w:sz w:val="19"/>
              </w:rPr>
              <w:t>说明</w:t>
            </w:r>
          </w:p>
        </w:tc>
      </w:tr>
      <w:tr>
        <w:tc>
          <w:tcPr>
            <w:tcW w:type="dxa" w:w="332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① 医学审核</w:t>
            </w:r>
          </w:p>
        </w:tc>
        <w:tc>
          <w:tcPr>
            <w:tcW w:type="dxa" w:w="332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医学组</w:t>
            </w:r>
          </w:p>
        </w:tc>
        <w:tc>
          <w:tcPr>
            <w:tcW w:type="dxa" w:w="332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决定能否从 Demo 进入试点</w:t>
            </w:r>
          </w:p>
        </w:tc>
      </w:tr>
      <w:tr>
        <w:tc>
          <w:tcPr>
            <w:tcW w:type="dxa" w:w="332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② 数据接入</w:t>
            </w:r>
          </w:p>
        </w:tc>
        <w:tc>
          <w:tcPr>
            <w:tcW w:type="dxa" w:w="332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商务/数据</w:t>
            </w:r>
          </w:p>
        </w:tc>
        <w:tc>
          <w:tcPr>
            <w:tcW w:type="dxa" w:w="332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替换演示机构与医保参数</w:t>
            </w:r>
          </w:p>
        </w:tc>
      </w:tr>
      <w:tr>
        <w:tc>
          <w:tcPr>
            <w:tcW w:type="dxa" w:w="332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③ 试点灰度</w:t>
            </w:r>
          </w:p>
        </w:tc>
        <w:tc>
          <w:tcPr>
            <w:tcW w:type="dxa" w:w="332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产品/运营</w:t>
            </w:r>
          </w:p>
        </w:tc>
        <w:tc>
          <w:tcPr>
            <w:tcW w:type="dxa" w:w="332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真实群分阶段放行，先观察再发送</w:t>
            </w:r>
          </w:p>
        </w:tc>
      </w:tr>
      <w:tr>
        <w:tc>
          <w:tcPr>
            <w:tcW w:type="dxa" w:w="332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④ 发送端对接</w:t>
            </w:r>
          </w:p>
        </w:tc>
        <w:tc>
          <w:tcPr>
            <w:tcW w:type="dxa" w:w="332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研发</w:t>
            </w:r>
          </w:p>
        </w:tc>
        <w:tc>
          <w:tcPr>
            <w:tcW w:type="dxa" w:w="332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 xml:space="preserve">企微发送端按 </w:t>
            </w:r>
            <w:r>
              <w:rPr>
                <w:rFonts w:ascii="PingFang SC" w:hAnsi="PingFang SC" w:eastAsia="PingFang SC"/>
                <w:b w:val="0"/>
                <w:color w:val="0F559E"/>
                <w:sz w:val="19"/>
              </w:rPr>
              <w:t>card</w:t>
            </w:r>
            <w:r>
              <w:rPr>
                <w:rFonts w:ascii="PingFang SC" w:hAnsi="PingFang SC" w:eastAsia="PingFang SC"/>
                <w:b w:val="0"/>
                <w:sz w:val="19"/>
              </w:rPr>
              <w:t xml:space="preserve"> 字段渲染，或直接使用 </w:t>
            </w:r>
            <w:r>
              <w:rPr>
                <w:rFonts w:ascii="PingFang SC" w:hAnsi="PingFang SC" w:eastAsia="PingFang SC"/>
                <w:b w:val="0"/>
                <w:color w:val="0F559E"/>
                <w:sz w:val="19"/>
              </w:rPr>
              <w:t>card.url</w:t>
            </w:r>
            <w:r>
              <w:rPr>
                <w:rFonts w:ascii="PingFang SC" w:hAnsi="PingFang SC" w:eastAsia="PingFang SC"/>
                <w:b w:val="0"/>
                <w:sz w:val="19"/>
              </w:rPr>
              <w:t xml:space="preserve"> 患者 H5</w:t>
            </w:r>
          </w:p>
        </w:tc>
      </w:tr>
      <w:tr>
        <w:tc>
          <w:tcPr>
            <w:tcW w:type="dxa" w:w="332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⑤ 指标定义</w:t>
            </w:r>
          </w:p>
        </w:tc>
        <w:tc>
          <w:tcPr>
            <w:tcW w:type="dxa" w:w="332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产品/医学</w:t>
            </w:r>
          </w:p>
        </w:tc>
        <w:tc>
          <w:tcPr>
            <w:tcW w:type="dxa" w:w="332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分流准确率、漏升级率、就医依从率、人均医疗支出变化、回复时效</w:t>
            </w:r>
          </w:p>
        </w:tc>
      </w:tr>
    </w:tbl>
    <w:p/>
    <w:p>
      <w:r>
        <w:rPr>
          <w:rFonts w:ascii="PingFang SC" w:hAnsi="PingFang SC" w:eastAsia="PingFang SC"/>
          <w:b/>
        </w:rPr>
        <w:t>里程碑</w:t>
      </w:r>
      <w:r>
        <w:rPr>
          <w:rFonts w:ascii="PingFang SC" w:hAnsi="PingFang SC" w:eastAsia="PingFang SC"/>
        </w:rPr>
        <w:t>：Demo（已完成，可演示）→ 医学审核与数据接入（进行中）→ 试点群灰度 → 放行与规模化。</w:t>
      </w:r>
    </w:p>
    <w:p>
      <w:pPr>
        <w:spacing w:before="280" w:after="120"/>
      </w:pPr>
      <w:r>
        <w:rPr>
          <w:rFonts w:ascii="PingFang SC" w:hAnsi="PingFang SC" w:eastAsia="PingFang SC"/>
          <w:b/>
          <w:color w:val="0B1220"/>
          <w:sz w:val="27"/>
        </w:rPr>
        <w:t>附：如何查看演示</w:t>
      </w:r>
    </w:p>
    <w:p>
      <w:pPr>
        <w:ind w:left="454" w:hanging="340"/>
      </w:pPr>
      <w:r>
        <w:rPr>
          <w:rFonts w:ascii="PingFang SC" w:hAnsi="PingFang SC" w:eastAsia="PingFang SC"/>
        </w:rPr>
        <w:t>• 患者端卡片（手机）：</w:t>
      </w:r>
      <w:r>
        <w:rPr>
          <w:rFonts w:ascii="Menlo" w:hAnsi="Menlo" w:eastAsia="Menlo"/>
          <w:color w:val="0F559E"/>
        </w:rPr>
        <w:t>http://&lt;本机局域网IP&gt;:8000/wecom-card/&lt;消息ID&gt;</w:t>
      </w:r>
    </w:p>
    <w:p>
      <w:pPr>
        <w:ind w:left="454" w:hanging="340"/>
      </w:pPr>
      <w:r>
        <w:rPr>
          <w:rFonts w:ascii="PingFang SC" w:hAnsi="PingFang SC" w:eastAsia="PingFang SC"/>
        </w:rPr>
        <w:t>• 企微群测试页：</w:t>
      </w:r>
      <w:r>
        <w:rPr>
          <w:rFonts w:ascii="Menlo" w:hAnsi="Menlo" w:eastAsia="Menlo"/>
          <w:color w:val="0F559E"/>
        </w:rPr>
        <w:t>http://&lt;本机局域网IP&gt;:8000/wecom</w:t>
      </w:r>
      <w:r>
        <w:rPr>
          <w:rFonts w:ascii="PingFang SC" w:hAnsi="PingFang SC" w:eastAsia="PingFang SC"/>
        </w:rPr>
        <w:t>（桌面）</w:t>
      </w:r>
    </w:p>
    <w:p>
      <w:pPr>
        <w:ind w:left="454" w:hanging="340"/>
      </w:pPr>
      <w:r>
        <w:rPr>
          <w:rFonts w:ascii="PingFang SC" w:hAnsi="PingFang SC" w:eastAsia="PingFang SC"/>
        </w:rPr>
        <w:t>• 卡片样式预览：</w:t>
      </w:r>
      <w:r>
        <w:rPr>
          <w:rFonts w:ascii="Menlo" w:hAnsi="Menlo" w:eastAsia="Menlo"/>
          <w:color w:val="0F559E"/>
        </w:rPr>
        <w:t>http://&lt;本机局域网IP&gt;:8000/wecom-plan</w:t>
      </w:r>
    </w:p>
    <w:p>
      <w:pPr>
        <w:ind w:left="454" w:hanging="340"/>
      </w:pPr>
      <w:r>
        <w:rPr>
          <w:rFonts w:ascii="PingFang SC" w:hAnsi="PingFang SC" w:eastAsia="PingFang SC"/>
        </w:rPr>
        <w:t>• 汇报配图：</w:t>
      </w:r>
      <w:r>
        <w:rPr>
          <w:rFonts w:ascii="Menlo" w:hAnsi="Menlo" w:eastAsia="Menlo"/>
          <w:color w:val="0F559E"/>
        </w:rPr>
        <w:t>docs/assets/plan-card-e3.png</w:t>
      </w:r>
      <w:r>
        <w:rPr>
          <w:rFonts w:ascii="PingFang SC" w:hAnsi="PingFang SC" w:eastAsia="PingFang SC"/>
        </w:rPr>
        <w:t>（默认视图）、</w:t>
      </w:r>
      <w:r>
        <w:rPr>
          <w:rFonts w:ascii="Menlo" w:hAnsi="Menlo" w:eastAsia="Menlo"/>
          <w:color w:val="0F559E"/>
        </w:rPr>
        <w:t>docs/assets/plan-card-e3-expanded.png</w:t>
      </w:r>
      <w:r>
        <w:rPr>
          <w:rFonts w:ascii="PingFang SC" w:hAnsi="PingFang SC" w:eastAsia="PingFang SC"/>
        </w:rPr>
        <w:t>（展开全量细节）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8000" cy="104340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-card-e3-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10434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color w:val="98A2B3"/>
          <w:sz w:val="17"/>
        </w:rPr>
        <w:t>图：真实样例 E3 卡片首屏（完整版见 docs/assets 图片）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