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coda</w:t>
      </w:r>
      <w:r>
        <w:t xml:space="preserve"> </w:t>
      </w:r>
      <w:r>
        <w:t xml:space="preserve">club</w:t>
      </w:r>
      <w:r>
        <w:t xml:space="preserve"> </w:t>
      </w:r>
      <w:r>
        <w:t xml:space="preserve">live</w:t>
      </w:r>
    </w:p>
    <w:p>
      <w:pPr>
        <w:pStyle w:val="Author"/>
      </w:pPr>
      <w:r>
        <w:t xml:space="preserve">coda</w:t>
      </w:r>
      <w:r>
        <w:t xml:space="preserve"> </w:t>
      </w:r>
      <w:r>
        <w:t xml:space="preserve">club</w:t>
      </w:r>
    </w:p>
    <w:p>
      <w:pPr>
        <w:pStyle w:val="Date"/>
      </w:pPr>
      <w:r>
        <w:t xml:space="preserve">2022-09-21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2" w:name="rmarkdown-references-cheatsheets-etc"/>
    <w:p>
      <w:pPr>
        <w:pStyle w:val="Heading1"/>
      </w:pPr>
      <w:r>
        <w:t xml:space="preserve">rmarkdown references (cheatsheets etc)</w:t>
      </w:r>
    </w:p>
    <w:p>
      <w:pPr>
        <w:numPr>
          <w:ilvl w:val="0"/>
          <w:numId w:val="1001"/>
        </w:numPr>
        <w:pStyle w:val="Compact"/>
      </w:pPr>
      <w:hyperlink r:id="rId20">
        <w:r>
          <w:rPr>
            <w:rStyle w:val="Hyperlink"/>
          </w:rPr>
          <w:t xml:space="preserve">https://shiny.rstudio.com/articles/rm-cheatsheet.html</w:t>
        </w:r>
      </w:hyperlink>
      <w:r>
        <w:t xml:space="preserve">.</w:t>
      </w:r>
    </w:p>
    <w:p>
      <w:pPr>
        <w:numPr>
          <w:ilvl w:val="0"/>
          <w:numId w:val="1001"/>
        </w:numPr>
        <w:pStyle w:val="Compact"/>
      </w:pPr>
      <w:hyperlink r:id="rId21">
        <w:r>
          <w:rPr>
            <w:rStyle w:val="Hyperlink"/>
          </w:rPr>
          <w:t xml:space="preserve">reference guide (pdf)</w:t>
        </w:r>
      </w:hyperlink>
    </w:p>
    <w:bookmarkEnd w:id="22"/>
    <w:bookmarkStart w:id="25" w:name="this-is-a-title"/>
    <w:p>
      <w:pPr>
        <w:pStyle w:val="Heading1"/>
      </w:pPr>
      <w:r>
        <w:t xml:space="preserve">this is a title</w:t>
      </w:r>
    </w:p>
    <w:bookmarkStart w:id="24" w:name="my-third-heading"/>
    <w:p>
      <w:pPr>
        <w:pStyle w:val="Heading5"/>
      </w:pPr>
      <w:r>
        <w:t xml:space="preserve">My third heading</w:t>
      </w:r>
    </w:p>
    <w:p>
      <w:pPr>
        <w:pStyle w:val="FirstParagraph"/>
      </w:pPr>
      <w:r>
        <w:t xml:space="preserve">These are some of my favourite papers:</w:t>
      </w:r>
      <w:r>
        <w:t xml:space="preserve"> </w:t>
      </w:r>
      <w:r>
        <w:t xml:space="preserve">[1,2]</w:t>
      </w:r>
      <w:r>
        <w:t xml:space="preserve"> </w:t>
      </w:r>
      <w:r>
        <w:t xml:space="preserve">as well as</w:t>
      </w:r>
      <w:r>
        <w:t xml:space="preserve"> </w:t>
      </w:r>
      <w:r>
        <w:t xml:space="preserve">[3]</w:t>
      </w:r>
      <w:r>
        <w:t xml:space="preserve"> </w:t>
      </w:r>
      <w:r>
        <w:t xml:space="preserve">and</w:t>
      </w:r>
      <w:r>
        <w:t xml:space="preserve"> </w:t>
      </w:r>
      <w:r>
        <w:t xml:space="preserve">[4–9]</w:t>
      </w:r>
      <w:r>
        <w:t xml:space="preserve">.</w:t>
      </w:r>
    </w:p>
    <w:p>
      <w:pPr>
        <w:pStyle w:val="BodyText"/>
      </w:pPr>
      <w:r>
        <w:t xml:space="preserve">This is a website that definitely exists:</w:t>
      </w:r>
      <w:r>
        <w:t xml:space="preserve"> </w:t>
      </w:r>
      <w:hyperlink r:id="rId23">
        <w:r>
          <w:rPr>
            <w:rStyle w:val="Hyperlink"/>
          </w:rPr>
          <w:t xml:space="preserve">github yo</w:t>
        </w:r>
      </w:hyperlink>
      <w:r>
        <w:t xml:space="preserve">.</w:t>
      </w:r>
    </w:p>
    <w:p>
      <w:pPr>
        <w:pStyle w:val="BodyText"/>
      </w:pPr>
      <w:r>
        <w:rPr>
          <w:bCs/>
          <w:b/>
        </w:rPr>
        <w:t xml:space="preserve">bold text</w:t>
      </w:r>
    </w:p>
    <w:p>
      <w:pPr>
        <w:pStyle w:val="BodyText"/>
      </w:pPr>
      <w:r>
        <w:rPr>
          <w:iCs/>
          <w:i/>
        </w:rPr>
        <w:t xml:space="preserve">italic</w:t>
      </w:r>
    </w:p>
    <w:bookmarkEnd w:id="24"/>
    <w:bookmarkEnd w:id="25"/>
    <w:bookmarkStart w:id="27" w:name="dot-points-numbered-lists"/>
    <w:p>
      <w:pPr>
        <w:pStyle w:val="Heading1"/>
      </w:pPr>
      <w:r>
        <w:t xml:space="preserve">dot points, numbered lists</w:t>
      </w:r>
    </w:p>
    <w:p>
      <w:pPr>
        <w:numPr>
          <w:ilvl w:val="0"/>
          <w:numId w:val="1002"/>
        </w:numPr>
        <w:pStyle w:val="Compact"/>
      </w:pPr>
      <w:r>
        <w:rPr>
          <w:iCs/>
          <w:i/>
        </w:rPr>
        <w:t xml:space="preserve">kdjgfkjgfds</w:t>
      </w:r>
    </w:p>
    <w:p>
      <w:pPr>
        <w:numPr>
          <w:ilvl w:val="0"/>
          <w:numId w:val="1002"/>
        </w:numPr>
        <w:pStyle w:val="Compact"/>
      </w:pPr>
      <w:r>
        <w:t xml:space="preserve">dfkjlsgsfd;lkg</w:t>
      </w:r>
    </w:p>
    <w:p>
      <w:pPr>
        <w:numPr>
          <w:ilvl w:val="0"/>
          <w:numId w:val="1002"/>
        </w:numPr>
        <w:pStyle w:val="Compact"/>
      </w:pPr>
      <w:r>
        <w:t xml:space="preserve">fjkgslgh</w:t>
      </w:r>
    </w:p>
    <w:p>
      <w:pPr>
        <w:numPr>
          <w:ilvl w:val="0"/>
          <w:numId w:val="1003"/>
        </w:numPr>
        <w:pStyle w:val="Compact"/>
      </w:pPr>
      <w:r>
        <w:t xml:space="preserve">dfgdfgs</w:t>
      </w:r>
    </w:p>
    <w:p>
      <w:pPr>
        <w:numPr>
          <w:ilvl w:val="0"/>
          <w:numId w:val="1003"/>
        </w:numPr>
        <w:pStyle w:val="Compact"/>
      </w:pPr>
      <w:r>
        <w:t xml:space="preserve">dfggdf</w:t>
      </w:r>
    </w:p>
    <w:p>
      <w:pPr>
        <w:numPr>
          <w:ilvl w:val="0"/>
          <w:numId w:val="1003"/>
        </w:numPr>
        <w:pStyle w:val="Compact"/>
      </w:pPr>
      <w:r>
        <w:t xml:space="preserve">dfgdfg</w:t>
      </w:r>
    </w:p>
    <w:bookmarkStart w:id="26" w:name="tables"/>
    <w:p>
      <w:pPr>
        <w:pStyle w:val="Heading2"/>
      </w:pPr>
      <w:r>
        <w:t xml:space="preserve">tables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stat</w:t>
            </w:r>
          </w:p>
        </w:tc>
        <w:tc>
          <w:tcPr/>
          <w:p>
            <w:pPr>
              <w:pStyle w:val="Compact"/>
              <w:jc w:val="center"/>
            </w:pPr>
            <w:r>
              <w:t xml:space="preserve">value</w:t>
            </w:r>
          </w:p>
        </w:tc>
      </w:tr>
      <w:tr>
        <w:tc>
          <w:tcPr/>
          <w:p>
            <w:pPr>
              <w:pStyle w:val="Compact"/>
              <w:jc w:val="center"/>
            </w:pPr>
            <w:r>
              <w:rPr>
                <w:rStyle w:val="VerbatimChar"/>
              </w:rPr>
              <w:t xml:space="preserve">dfggf</w:t>
            </w:r>
          </w:p>
        </w:tc>
        <w:tc>
          <w:tcPr/>
          <w:p>
            <w:pPr>
              <w:pStyle w:val="Compact"/>
              <w:jc w:val="center"/>
            </w:pPr>
            <w:r>
              <w:t xml:space="preserve">456546</w:t>
            </w:r>
          </w:p>
        </w:tc>
      </w:tr>
      <w:tr>
        <w:tc>
          <w:tcPr/>
          <w:p>
            <w:pPr>
              <w:pStyle w:val="Compact"/>
              <w:jc w:val="center"/>
            </w:pPr>
            <w:r>
              <w:rPr>
                <w:rStyle w:val="VerbatimChar"/>
              </w:rPr>
              <w:t xml:space="preserve">dfggf2</w:t>
            </w:r>
          </w:p>
        </w:tc>
        <w:tc>
          <w:tcPr/>
          <w:p>
            <w:pPr>
              <w:pStyle w:val="Compact"/>
              <w:jc w:val="center"/>
            </w:pPr>
            <w:r>
              <w:t xml:space="preserve">456546+2</w:t>
            </w:r>
          </w:p>
        </w:tc>
      </w:tr>
    </w:tbl>
    <w:bookmarkEnd w:id="26"/>
    <w:bookmarkEnd w:id="27"/>
    <w:bookmarkStart w:id="28" w:name="monospace"/>
    <w:p>
      <w:pPr>
        <w:pStyle w:val="Heading1"/>
      </w:pPr>
      <w:r>
        <w:t xml:space="preserve">monospace</w:t>
      </w:r>
    </w:p>
    <w:p>
      <w:pPr>
        <w:pStyle w:val="FirstParagraph"/>
      </w:pPr>
      <w:r>
        <w:t xml:space="preserve">code looking text</w:t>
      </w:r>
      <w:r>
        <w:t xml:space="preserve"> </w:t>
      </w:r>
      <w:r>
        <w:rPr>
          <w:rStyle w:val="VerbatimChar"/>
        </w:rPr>
        <w:t xml:space="preserve">code_variables_etc</w:t>
      </w:r>
    </w:p>
    <w:bookmarkEnd w:id="28"/>
    <w:bookmarkStart w:id="32" w:name="lets-look-at-some-code"/>
    <w:p>
      <w:pPr>
        <w:pStyle w:val="Heading1"/>
      </w:pPr>
      <w:r>
        <w:t xml:space="preserve">let’s look at some code</w:t>
      </w:r>
    </w:p>
    <w:p>
      <w:pPr>
        <w:pStyle w:val="FirstParagraph"/>
      </w:pPr>
      <w:r>
        <w:t xml:space="preserve">Hey Ash, you already know this, but this is storing 10 in a variable</w:t>
      </w:r>
      <w:r>
        <w:t xml:space="preserve"> </w:t>
      </w:r>
      <w:r>
        <w:rPr>
          <w:rStyle w:val="VerbatimChar"/>
        </w:rPr>
        <w:t xml:space="preserve">x</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10</w:t>
      </w:r>
      <w:r>
        <w:br/>
      </w:r>
      <w:r>
        <w:rPr>
          <w:rStyle w:val="NormalTok"/>
        </w:rPr>
        <w:t xml:space="preserve">x</w:t>
      </w:r>
    </w:p>
    <w:p>
      <w:pPr>
        <w:pStyle w:val="SourceCode"/>
      </w:pPr>
      <w:r>
        <w:rPr>
          <w:rStyle w:val="VerbatimChar"/>
        </w:rPr>
        <w:t xml:space="preserve">## [1] 10</w:t>
      </w:r>
    </w:p>
    <w:p>
      <w:pPr>
        <w:pStyle w:val="FirstParagraph"/>
      </w:pPr>
      <w:r>
        <w:t xml:space="preserve">Another chunk reading in data dynamically and doing stuff</w:t>
      </w:r>
    </w:p>
    <w:p>
      <w:pPr>
        <w:pStyle w:val="SourceCode"/>
      </w:pPr>
      <w:r>
        <w:rPr>
          <w:rStyle w:val="FunctionTok"/>
        </w:rPr>
        <w:t xml:space="preserve">library</w:t>
      </w:r>
      <w:r>
        <w:rPr>
          <w:rStyle w:val="NormalTok"/>
        </w:rPr>
        <w:t xml:space="preserve">(</w:t>
      </w:r>
      <w:r>
        <w:rPr>
          <w:rStyle w:val="StringTok"/>
        </w:rPr>
        <w:t xml:space="preserve">"readr"</w:t>
      </w:r>
      <w:r>
        <w:rPr>
          <w:rStyle w:val="NormalTok"/>
        </w:rPr>
        <w:t xml:space="preserve">)</w:t>
      </w:r>
      <w:r>
        <w:br/>
      </w:r>
      <w:r>
        <w:rPr>
          <w:rStyle w:val="FunctionTok"/>
        </w:rPr>
        <w:t xml:space="preserve">library</w:t>
      </w:r>
      <w:r>
        <w:rPr>
          <w:rStyle w:val="NormalTok"/>
        </w:rPr>
        <w:t xml:space="preserve">(</w:t>
      </w:r>
      <w:r>
        <w:rPr>
          <w:rStyle w:val="StringTok"/>
        </w:rPr>
        <w:t xml:space="preserve">"knitr"</w:t>
      </w:r>
      <w:r>
        <w:rPr>
          <w:rStyle w:val="NormalTok"/>
        </w:rPr>
        <w:t xml:space="preserve">)</w:t>
      </w:r>
      <w:r>
        <w:br/>
      </w:r>
      <w:r>
        <w:br/>
      </w:r>
      <w:r>
        <w:rPr>
          <w:rStyle w:val="NormalTok"/>
        </w:rPr>
        <w:t xml:space="preserve">hsb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"dat/hsb2.csv"</w:t>
      </w:r>
      <w:r>
        <w:rPr>
          <w:rStyle w:val="NormalTok"/>
        </w:rPr>
        <w:t xml:space="preserve">, </w:t>
      </w:r>
      <w:r>
        <w:rPr>
          <w:rStyle w:val="AttributeTok"/>
        </w:rPr>
        <w:t xml:space="preserve">col_names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Rows: 200 Columns: 11</w:t>
      </w:r>
      <w:r>
        <w:br/>
      </w:r>
      <w:r>
        <w:rPr>
          <w:rStyle w:val="VerbatimChar"/>
        </w:rPr>
        <w:t xml:space="preserve">## -- Column specification --------------------------------------------------------</w:t>
      </w:r>
      <w:r>
        <w:br/>
      </w:r>
      <w:r>
        <w:rPr>
          <w:rStyle w:val="VerbatimChar"/>
        </w:rPr>
        <w:t xml:space="preserve">## Delimiter: ","</w:t>
      </w:r>
      <w:r>
        <w:br/>
      </w:r>
      <w:r>
        <w:rPr>
          <w:rStyle w:val="VerbatimChar"/>
        </w:rPr>
        <w:t xml:space="preserve">## dbl (11): X1, X2, X3, X4, X5, X6, X7, X8, X9, X10, X11</w:t>
      </w:r>
      <w:r>
        <w:br/>
      </w:r>
      <w:r>
        <w:rPr>
          <w:rStyle w:val="VerbatimChar"/>
        </w:rPr>
        <w:t xml:space="preserve">## </w:t>
      </w:r>
      <w:r>
        <w:br/>
      </w:r>
      <w:r>
        <w:rPr>
          <w:rStyle w:val="VerbatimChar"/>
        </w:rPr>
        <w:t xml:space="preserve">## i Use `spec()` to retrieve the full column specification for this data.</w:t>
      </w:r>
      <w:r>
        <w:br/>
      </w:r>
      <w:r>
        <w:rPr>
          <w:rStyle w:val="VerbatimChar"/>
        </w:rPr>
        <w:t xml:space="preserve">## i Specify the column types or set `show_col_types = FALSE` to quiet this message.</w:t>
      </w:r>
    </w:p>
    <w:p>
      <w:pPr>
        <w:pStyle w:val="SourceCode"/>
      </w:pPr>
      <w:r>
        <w:rPr>
          <w:rStyle w:val="NormalTok"/>
        </w:rPr>
        <w:t xml:space="preserve">hsb</w:t>
      </w:r>
    </w:p>
    <w:p>
      <w:pPr>
        <w:pStyle w:val="SourceCode"/>
      </w:pPr>
      <w:r>
        <w:rPr>
          <w:rStyle w:val="VerbatimChar"/>
        </w:rPr>
        <w:t xml:space="preserve">## # A tibble: 200 x 11</w:t>
      </w:r>
      <w:r>
        <w:br/>
      </w:r>
      <w:r>
        <w:rPr>
          <w:rStyle w:val="VerbatimChar"/>
        </w:rPr>
        <w:t xml:space="preserve">##       X1    X2    X3    X4    X5    X6    X7    X8    X9   X10   X11</w:t>
      </w:r>
      <w:r>
        <w:br/>
      </w:r>
      <w:r>
        <w:rPr>
          <w:rStyle w:val="VerbatimChar"/>
        </w:rPr>
        <w:t xml:space="preserve">##    &lt;dbl&gt; &lt;dbl&gt; &lt;dbl&gt; &lt;dbl&gt; &lt;dbl&gt; &lt;dbl&gt; &lt;dbl&gt; &lt;dbl&gt; &lt;dbl&gt; &lt;dbl&gt; &lt;dbl&gt;</w:t>
      </w:r>
      <w:r>
        <w:br/>
      </w:r>
      <w:r>
        <w:rPr>
          <w:rStyle w:val="VerbatimChar"/>
        </w:rPr>
        <w:t xml:space="preserve">##  1    70     0     4     1     1     1    57    52    41    47    57</w:t>
      </w:r>
      <w:r>
        <w:br/>
      </w:r>
      <w:r>
        <w:rPr>
          <w:rStyle w:val="VerbatimChar"/>
        </w:rPr>
        <w:t xml:space="preserve">##  2   121     1     4     2     1     3    68    59    53    63    61</w:t>
      </w:r>
      <w:r>
        <w:br/>
      </w:r>
      <w:r>
        <w:rPr>
          <w:rStyle w:val="VerbatimChar"/>
        </w:rPr>
        <w:t xml:space="preserve">##  3    86     0     4     3     1     1    44    33    54    58    31</w:t>
      </w:r>
      <w:r>
        <w:br/>
      </w:r>
      <w:r>
        <w:rPr>
          <w:rStyle w:val="VerbatimChar"/>
        </w:rPr>
        <w:t xml:space="preserve">##  4   141     0     4     3     1     3    63    44    47    53    56</w:t>
      </w:r>
      <w:r>
        <w:br/>
      </w:r>
      <w:r>
        <w:rPr>
          <w:rStyle w:val="VerbatimChar"/>
        </w:rPr>
        <w:t xml:space="preserve">##  5   172     0     4     2     1     2    47    52    57    53    61</w:t>
      </w:r>
      <w:r>
        <w:br/>
      </w:r>
      <w:r>
        <w:rPr>
          <w:rStyle w:val="VerbatimChar"/>
        </w:rPr>
        <w:t xml:space="preserve">##  6   113     0     4     2     1     2    44    52    51    63    61</w:t>
      </w:r>
      <w:r>
        <w:br/>
      </w:r>
      <w:r>
        <w:rPr>
          <w:rStyle w:val="VerbatimChar"/>
        </w:rPr>
        <w:t xml:space="preserve">##  7    50     0     3     2     1     1    50    59    42    53    61</w:t>
      </w:r>
      <w:r>
        <w:br/>
      </w:r>
      <w:r>
        <w:rPr>
          <w:rStyle w:val="VerbatimChar"/>
        </w:rPr>
        <w:t xml:space="preserve">##  8    11     0     1     2     1     2    34    46    45    39    36</w:t>
      </w:r>
      <w:r>
        <w:br/>
      </w:r>
      <w:r>
        <w:rPr>
          <w:rStyle w:val="VerbatimChar"/>
        </w:rPr>
        <w:t xml:space="preserve">##  9    84     0     4     2     1     1    63    57    54    58    51</w:t>
      </w:r>
      <w:r>
        <w:br/>
      </w:r>
      <w:r>
        <w:rPr>
          <w:rStyle w:val="VerbatimChar"/>
        </w:rPr>
        <w:t xml:space="preserve">## 10    48     0     3     2     1     2    57    55    52    50    51</w:t>
      </w:r>
      <w:r>
        <w:br/>
      </w:r>
      <w:r>
        <w:rPr>
          <w:rStyle w:val="VerbatimChar"/>
        </w:rPr>
        <w:t xml:space="preserve">## # ... with 190 more rows</w:t>
      </w:r>
    </w:p>
    <w:p>
      <w:pPr>
        <w:pStyle w:val="SourceCode"/>
      </w:pPr>
      <w:r>
        <w:rPr>
          <w:rStyle w:val="FunctionTok"/>
        </w:rPr>
        <w:t xml:space="preserve">boxplot</w:t>
      </w:r>
      <w:r>
        <w:rPr>
          <w:rStyle w:val="NormalTok"/>
        </w:rPr>
        <w:t xml:space="preserve">(hsb</w:t>
      </w:r>
      <w:r>
        <w:rPr>
          <w:rStyle w:val="SpecialCharTok"/>
        </w:rPr>
        <w:t xml:space="preserve">$</w:t>
      </w:r>
      <w:r>
        <w:rPr>
          <w:rStyle w:val="NormalTok"/>
        </w:rPr>
        <w:t xml:space="preserve">X2, hsb</w:t>
      </w:r>
      <w:r>
        <w:rPr>
          <w:rStyle w:val="SpecialCharTok"/>
        </w:rPr>
        <w:t xml:space="preserve">$</w:t>
      </w:r>
      <w:r>
        <w:rPr>
          <w:rStyle w:val="NormalTok"/>
        </w:rPr>
        <w:t xml:space="preserve">X3)</w:t>
      </w:r>
    </w:p>
    <w:p>
      <w:pPr>
        <w:pStyle w:val="FirstParagraph"/>
      </w:pPr>
      <w:r>
        <w:drawing>
          <wp:inline>
            <wp:extent cx="2772075" cy="3696101"/>
            <wp:effectExtent b="0" l="0" r="0" t="0"/>
            <wp:docPr descr="" title="" id="30" name="Picture"/>
            <a:graphic>
              <a:graphicData uri="http://schemas.openxmlformats.org/drawingml/2006/picture">
                <pic:pic>
                  <pic:nvPicPr>
                    <pic:cNvPr descr="rmarkdown-run-thru_files/figure-docx/unnamed-chunk-2-1.png" id="31" name="Picture"/>
                    <pic:cNvPicPr>
                      <a:picLocks noChangeArrowheads="1" noChangeAspect="1"/>
                    </pic:cNvPicPr>
                  </pic:nvPicPr>
                  <pic:blipFill>
                    <a:blip r:embed="rId29"/>
                    <a:stretch>
                      <a:fillRect/>
                    </a:stretch>
                  </pic:blipFill>
                  <pic:spPr bwMode="auto">
                    <a:xfrm>
                      <a:off x="0" y="0"/>
                      <a:ext cx="2772075" cy="3696101"/>
                    </a:xfrm>
                    <a:prstGeom prst="rect">
                      <a:avLst/>
                    </a:prstGeom>
                    <a:noFill/>
                    <a:ln w="9525">
                      <a:noFill/>
                      <a:headEnd/>
                      <a:tailEnd/>
                    </a:ln>
                  </pic:spPr>
                </pic:pic>
              </a:graphicData>
            </a:graphic>
          </wp:inline>
        </w:drawing>
      </w:r>
    </w:p>
    <w:p>
      <w:pPr>
        <w:pStyle w:val="BodyText"/>
      </w:pPr>
      <w:r>
        <w:t xml:space="preserve">The third column has a mean of 3.43 (units are kgs)</w:t>
      </w:r>
    </w:p>
    <w:p>
      <w:pPr>
        <w:pStyle w:val="SourceCode"/>
      </w:pPr>
      <w:r>
        <w:rPr>
          <w:rStyle w:val="NormalTok"/>
        </w:rPr>
        <w:t xml:space="preserve">sub_hsb </w:t>
      </w:r>
      <w:r>
        <w:rPr>
          <w:rStyle w:val="OtherTok"/>
        </w:rPr>
        <w:t xml:space="preserve">&lt;-</w:t>
      </w:r>
      <w:r>
        <w:rPr>
          <w:rStyle w:val="NormalTok"/>
        </w:rPr>
        <w:t xml:space="preserve"> hsb[</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rPr>
          <w:rStyle w:val="NormalTok"/>
        </w:rPr>
        <w:t xml:space="preserve">sub_hsb</w:t>
      </w:r>
    </w:p>
    <w:p>
      <w:pPr>
        <w:pStyle w:val="SourceCode"/>
      </w:pPr>
      <w:r>
        <w:rPr>
          <w:rStyle w:val="VerbatimChar"/>
        </w:rPr>
        <w:t xml:space="preserve">## # A tibble: 10 x 4</w:t>
      </w:r>
      <w:r>
        <w:br/>
      </w:r>
      <w:r>
        <w:rPr>
          <w:rStyle w:val="VerbatimChar"/>
        </w:rPr>
        <w:t xml:space="preserve">##       X1    X2    X3    X4</w:t>
      </w:r>
      <w:r>
        <w:br/>
      </w:r>
      <w:r>
        <w:rPr>
          <w:rStyle w:val="VerbatimChar"/>
        </w:rPr>
        <w:t xml:space="preserve">##    &lt;dbl&gt; &lt;dbl&gt; &lt;dbl&gt; &lt;dbl&gt;</w:t>
      </w:r>
      <w:r>
        <w:br/>
      </w:r>
      <w:r>
        <w:rPr>
          <w:rStyle w:val="VerbatimChar"/>
        </w:rPr>
        <w:t xml:space="preserve">##  1    70     0     4     1</w:t>
      </w:r>
      <w:r>
        <w:br/>
      </w:r>
      <w:r>
        <w:rPr>
          <w:rStyle w:val="VerbatimChar"/>
        </w:rPr>
        <w:t xml:space="preserve">##  2   121     1     4     2</w:t>
      </w:r>
      <w:r>
        <w:br/>
      </w:r>
      <w:r>
        <w:rPr>
          <w:rStyle w:val="VerbatimChar"/>
        </w:rPr>
        <w:t xml:space="preserve">##  3    86     0     4     3</w:t>
      </w:r>
      <w:r>
        <w:br/>
      </w:r>
      <w:r>
        <w:rPr>
          <w:rStyle w:val="VerbatimChar"/>
        </w:rPr>
        <w:t xml:space="preserve">##  4   141     0     4     3</w:t>
      </w:r>
      <w:r>
        <w:br/>
      </w:r>
      <w:r>
        <w:rPr>
          <w:rStyle w:val="VerbatimChar"/>
        </w:rPr>
        <w:t xml:space="preserve">##  5   172     0     4     2</w:t>
      </w:r>
      <w:r>
        <w:br/>
      </w:r>
      <w:r>
        <w:rPr>
          <w:rStyle w:val="VerbatimChar"/>
        </w:rPr>
        <w:t xml:space="preserve">##  6   113     0     4     2</w:t>
      </w:r>
      <w:r>
        <w:br/>
      </w:r>
      <w:r>
        <w:rPr>
          <w:rStyle w:val="VerbatimChar"/>
        </w:rPr>
        <w:t xml:space="preserve">##  7    50     0     3     2</w:t>
      </w:r>
      <w:r>
        <w:br/>
      </w:r>
      <w:r>
        <w:rPr>
          <w:rStyle w:val="VerbatimChar"/>
        </w:rPr>
        <w:t xml:space="preserve">##  8    11     0     1     2</w:t>
      </w:r>
      <w:r>
        <w:br/>
      </w:r>
      <w:r>
        <w:rPr>
          <w:rStyle w:val="VerbatimChar"/>
        </w:rPr>
        <w:t xml:space="preserve">##  9    84     0     4     2</w:t>
      </w:r>
      <w:r>
        <w:br/>
      </w:r>
      <w:r>
        <w:rPr>
          <w:rStyle w:val="VerbatimChar"/>
        </w:rPr>
        <w:t xml:space="preserve">## 10    48     0     3     2</w:t>
      </w:r>
    </w:p>
    <w:p>
      <w:pPr>
        <w:pStyle w:val="SourceCode"/>
      </w:pPr>
      <w:r>
        <w:rPr>
          <w:rStyle w:val="FunctionTok"/>
        </w:rPr>
        <w:t xml:space="preserve">kable</w:t>
      </w:r>
      <w:r>
        <w:rPr>
          <w:rStyle w:val="NormalTok"/>
        </w:rPr>
        <w:t xml:space="preserve">(sub_hsb)</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right"/>
            </w:pPr>
            <w:r>
              <w:t xml:space="preserve">X1</w:t>
            </w:r>
          </w:p>
        </w:tc>
        <w:tc>
          <w:tcPr/>
          <w:p>
            <w:pPr>
              <w:pStyle w:val="Compact"/>
              <w:jc w:val="right"/>
            </w:pPr>
            <w:r>
              <w:t xml:space="preserve">X2</w:t>
            </w:r>
          </w:p>
        </w:tc>
        <w:tc>
          <w:tcPr/>
          <w:p>
            <w:pPr>
              <w:pStyle w:val="Compact"/>
              <w:jc w:val="right"/>
            </w:pPr>
            <w:r>
              <w:t xml:space="preserve">X3</w:t>
            </w:r>
          </w:p>
        </w:tc>
        <w:tc>
          <w:tcPr/>
          <w:p>
            <w:pPr>
              <w:pStyle w:val="Compact"/>
              <w:jc w:val="right"/>
            </w:pPr>
            <w:r>
              <w:t xml:space="preserve">X4</w:t>
            </w:r>
          </w:p>
        </w:tc>
      </w:tr>
      <w:tr>
        <w:tc>
          <w:tcPr/>
          <w:p>
            <w:pPr>
              <w:pStyle w:val="Compact"/>
              <w:jc w:val="right"/>
            </w:pPr>
            <w:r>
              <w:t xml:space="preserve">70</w:t>
            </w:r>
          </w:p>
        </w:tc>
        <w:tc>
          <w:tcPr/>
          <w:p>
            <w:pPr>
              <w:pStyle w:val="Compact"/>
              <w:jc w:val="right"/>
            </w:pPr>
            <w:r>
              <w:t xml:space="preserve">0</w:t>
            </w:r>
          </w:p>
        </w:tc>
        <w:tc>
          <w:tcPr/>
          <w:p>
            <w:pPr>
              <w:pStyle w:val="Compact"/>
              <w:jc w:val="right"/>
            </w:pPr>
            <w:r>
              <w:t xml:space="preserve">4</w:t>
            </w:r>
          </w:p>
        </w:tc>
        <w:tc>
          <w:tcPr/>
          <w:p>
            <w:pPr>
              <w:pStyle w:val="Compact"/>
              <w:jc w:val="right"/>
            </w:pPr>
            <w:r>
              <w:t xml:space="preserve">1</w:t>
            </w:r>
          </w:p>
        </w:tc>
      </w:tr>
      <w:tr>
        <w:tc>
          <w:tcPr/>
          <w:p>
            <w:pPr>
              <w:pStyle w:val="Compact"/>
              <w:jc w:val="right"/>
            </w:pPr>
            <w:r>
              <w:t xml:space="preserve">121</w:t>
            </w:r>
          </w:p>
        </w:tc>
        <w:tc>
          <w:tcPr/>
          <w:p>
            <w:pPr>
              <w:pStyle w:val="Compact"/>
              <w:jc w:val="right"/>
            </w:pPr>
            <w:r>
              <w:t xml:space="preserve">1</w:t>
            </w:r>
          </w:p>
        </w:tc>
        <w:tc>
          <w:tcPr/>
          <w:p>
            <w:pPr>
              <w:pStyle w:val="Compact"/>
              <w:jc w:val="right"/>
            </w:pPr>
            <w:r>
              <w:t xml:space="preserve">4</w:t>
            </w:r>
          </w:p>
        </w:tc>
        <w:tc>
          <w:tcPr/>
          <w:p>
            <w:pPr>
              <w:pStyle w:val="Compact"/>
              <w:jc w:val="right"/>
            </w:pPr>
            <w:r>
              <w:t xml:space="preserve">2</w:t>
            </w:r>
          </w:p>
        </w:tc>
      </w:tr>
      <w:tr>
        <w:tc>
          <w:tcPr/>
          <w:p>
            <w:pPr>
              <w:pStyle w:val="Compact"/>
              <w:jc w:val="right"/>
            </w:pPr>
            <w:r>
              <w:t xml:space="preserve">86</w:t>
            </w:r>
          </w:p>
        </w:tc>
        <w:tc>
          <w:tcPr/>
          <w:p>
            <w:pPr>
              <w:pStyle w:val="Compact"/>
              <w:jc w:val="right"/>
            </w:pPr>
            <w:r>
              <w:t xml:space="preserve">0</w:t>
            </w:r>
          </w:p>
        </w:tc>
        <w:tc>
          <w:tcPr/>
          <w:p>
            <w:pPr>
              <w:pStyle w:val="Compact"/>
              <w:jc w:val="right"/>
            </w:pPr>
            <w:r>
              <w:t xml:space="preserve">4</w:t>
            </w:r>
          </w:p>
        </w:tc>
        <w:tc>
          <w:tcPr/>
          <w:p>
            <w:pPr>
              <w:pStyle w:val="Compact"/>
              <w:jc w:val="right"/>
            </w:pPr>
            <w:r>
              <w:t xml:space="preserve">3</w:t>
            </w:r>
          </w:p>
        </w:tc>
      </w:tr>
      <w:tr>
        <w:tc>
          <w:tcPr/>
          <w:p>
            <w:pPr>
              <w:pStyle w:val="Compact"/>
              <w:jc w:val="right"/>
            </w:pPr>
            <w:r>
              <w:t xml:space="preserve">141</w:t>
            </w:r>
          </w:p>
        </w:tc>
        <w:tc>
          <w:tcPr/>
          <w:p>
            <w:pPr>
              <w:pStyle w:val="Compact"/>
              <w:jc w:val="right"/>
            </w:pPr>
            <w:r>
              <w:t xml:space="preserve">0</w:t>
            </w:r>
          </w:p>
        </w:tc>
        <w:tc>
          <w:tcPr/>
          <w:p>
            <w:pPr>
              <w:pStyle w:val="Compact"/>
              <w:jc w:val="right"/>
            </w:pPr>
            <w:r>
              <w:t xml:space="preserve">4</w:t>
            </w:r>
          </w:p>
        </w:tc>
        <w:tc>
          <w:tcPr/>
          <w:p>
            <w:pPr>
              <w:pStyle w:val="Compact"/>
              <w:jc w:val="right"/>
            </w:pPr>
            <w:r>
              <w:t xml:space="preserve">3</w:t>
            </w:r>
          </w:p>
        </w:tc>
      </w:tr>
      <w:tr>
        <w:tc>
          <w:tcPr/>
          <w:p>
            <w:pPr>
              <w:pStyle w:val="Compact"/>
              <w:jc w:val="right"/>
            </w:pPr>
            <w:r>
              <w:t xml:space="preserve">172</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right"/>
            </w:pPr>
            <w:r>
              <w:t xml:space="preserve">113</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right"/>
            </w:pPr>
            <w:r>
              <w:t xml:space="preserve">50</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r>
        <w:tc>
          <w:tcPr/>
          <w:p>
            <w:pPr>
              <w:pStyle w:val="Compact"/>
              <w:jc w:val="right"/>
            </w:pPr>
            <w:r>
              <w:t xml:space="preserve">11</w:t>
            </w:r>
          </w:p>
        </w:tc>
        <w:tc>
          <w:tcPr/>
          <w:p>
            <w:pPr>
              <w:pStyle w:val="Compact"/>
              <w:jc w:val="right"/>
            </w:pPr>
            <w:r>
              <w:t xml:space="preserve">0</w:t>
            </w:r>
          </w:p>
        </w:tc>
        <w:tc>
          <w:tcPr/>
          <w:p>
            <w:pPr>
              <w:pStyle w:val="Compact"/>
              <w:jc w:val="right"/>
            </w:pPr>
            <w:r>
              <w:t xml:space="preserve">1</w:t>
            </w:r>
          </w:p>
        </w:tc>
        <w:tc>
          <w:tcPr/>
          <w:p>
            <w:pPr>
              <w:pStyle w:val="Compact"/>
              <w:jc w:val="right"/>
            </w:pPr>
            <w:r>
              <w:t xml:space="preserve">2</w:t>
            </w:r>
          </w:p>
        </w:tc>
      </w:tr>
      <w:tr>
        <w:tc>
          <w:tcPr/>
          <w:p>
            <w:pPr>
              <w:pStyle w:val="Compact"/>
              <w:jc w:val="right"/>
            </w:pPr>
            <w:r>
              <w:t xml:space="preserve">84</w:t>
            </w:r>
          </w:p>
        </w:tc>
        <w:tc>
          <w:tcPr/>
          <w:p>
            <w:pPr>
              <w:pStyle w:val="Compact"/>
              <w:jc w:val="right"/>
            </w:pPr>
            <w:r>
              <w:t xml:space="preserve">0</w:t>
            </w:r>
          </w:p>
        </w:tc>
        <w:tc>
          <w:tcPr/>
          <w:p>
            <w:pPr>
              <w:pStyle w:val="Compact"/>
              <w:jc w:val="right"/>
            </w:pPr>
            <w:r>
              <w:t xml:space="preserve">4</w:t>
            </w:r>
          </w:p>
        </w:tc>
        <w:tc>
          <w:tcPr/>
          <w:p>
            <w:pPr>
              <w:pStyle w:val="Compact"/>
              <w:jc w:val="right"/>
            </w:pPr>
            <w:r>
              <w:t xml:space="preserve">2</w:t>
            </w:r>
          </w:p>
        </w:tc>
      </w:tr>
      <w:tr>
        <w:tc>
          <w:tcPr/>
          <w:p>
            <w:pPr>
              <w:pStyle w:val="Compact"/>
              <w:jc w:val="right"/>
            </w:pPr>
            <w:r>
              <w:t xml:space="preserve">48</w:t>
            </w:r>
          </w:p>
        </w:tc>
        <w:tc>
          <w:tcPr/>
          <w:p>
            <w:pPr>
              <w:pStyle w:val="Compact"/>
              <w:jc w:val="right"/>
            </w:pPr>
            <w:r>
              <w:t xml:space="preserve">0</w:t>
            </w:r>
          </w:p>
        </w:tc>
        <w:tc>
          <w:tcPr/>
          <w:p>
            <w:pPr>
              <w:pStyle w:val="Compact"/>
              <w:jc w:val="right"/>
            </w:pPr>
            <w:r>
              <w:t xml:space="preserve">3</w:t>
            </w:r>
          </w:p>
        </w:tc>
        <w:tc>
          <w:tcPr/>
          <w:p>
            <w:pPr>
              <w:pStyle w:val="Compact"/>
              <w:jc w:val="right"/>
            </w:pPr>
            <w:r>
              <w:t xml:space="preserve">2</w:t>
            </w:r>
          </w:p>
        </w:tc>
      </w:tr>
    </w:tbl>
    <w:bookmarkEnd w:id="32"/>
    <w:bookmarkStart w:id="43" w:name="references"/>
    <w:p>
      <w:pPr>
        <w:pStyle w:val="Heading1"/>
      </w:pPr>
      <w:r>
        <w:t xml:space="preserve">References</w:t>
      </w:r>
    </w:p>
    <w:bookmarkStart w:id="42" w:name="refs"/>
    <w:bookmarkStart w:id="33" w:name="ref-smith2014"/>
    <w:p>
      <w:pPr>
        <w:pStyle w:val="Bibliography"/>
      </w:pPr>
      <w:r>
        <w:t xml:space="preserve">[1]</w:t>
      </w:r>
      <w:r>
        <w:t xml:space="preserve"> </w:t>
      </w:r>
      <w:r>
        <w:t xml:space="preserve">	</w:t>
      </w:r>
      <w:r>
        <w:t xml:space="preserve">Smith AE, Goldsworthy MR, Garside T, Wood FM, Ridding MC. The influence of a single bout of aerobic exercise on short-interval intracortical excitability. Experimental Brain Research 2014;232:1875–82.</w:t>
      </w:r>
    </w:p>
    <w:bookmarkEnd w:id="33"/>
    <w:bookmarkStart w:id="34" w:name="ref-dumuid2018"/>
    <w:p>
      <w:pPr>
        <w:pStyle w:val="Bibliography"/>
      </w:pPr>
      <w:r>
        <w:t xml:space="preserve">[2]</w:t>
      </w:r>
      <w:r>
        <w:t xml:space="preserve"> </w:t>
      </w:r>
      <w:r>
        <w:t xml:space="preserve">	</w:t>
      </w:r>
      <w:r>
        <w:t xml:space="preserve">Dumuid D, Stanford TE, Martin-Fernández J-A, Pedišić Ž, Maher CA, Lewis LK, et al. Compositional data analysis for physical activity, sedentary time and sleep research. Statistical Methods in Medical Research 2018;27:3726–38.</w:t>
      </w:r>
    </w:p>
    <w:bookmarkEnd w:id="34"/>
    <w:bookmarkStart w:id="35" w:name="ref-mellow2022"/>
    <w:p>
      <w:pPr>
        <w:pStyle w:val="Bibliography"/>
      </w:pPr>
      <w:r>
        <w:t xml:space="preserve">[3]</w:t>
      </w:r>
      <w:r>
        <w:t xml:space="preserve"> </w:t>
      </w:r>
      <w:r>
        <w:t xml:space="preserve">	</w:t>
      </w:r>
      <w:r>
        <w:t xml:space="preserve">Mellow ML, Crozier AJ, Dumuid D, Wade AT, Goldsworthy MR, Dorrian J, et al. How are combinations of physical activity, sedentary behaviour and sleep related to cognitive function in older adults? A systematic review. Experimental Gerontology 2022:111698.</w:t>
      </w:r>
    </w:p>
    <w:bookmarkEnd w:id="35"/>
    <w:bookmarkStart w:id="36" w:name="ref-howlett2021"/>
    <w:p>
      <w:pPr>
        <w:pStyle w:val="Bibliography"/>
      </w:pPr>
      <w:r>
        <w:t xml:space="preserve">[4]</w:t>
      </w:r>
      <w:r>
        <w:t xml:space="preserve"> </w:t>
      </w:r>
      <w:r>
        <w:t xml:space="preserve">	</w:t>
      </w:r>
      <w:r>
        <w:t xml:space="preserve">Howlett CA, Wewege MA, Berryman C, Oldach A, Jennings E, Moore E, et al. Same room-different windows? A systematic review and meta-analysis of the relationship between self-report and neuropsychological tests of cognitive flexibility in healthy adults. Clinical Psychology Review 2021;88:102061.</w:t>
      </w:r>
    </w:p>
    <w:bookmarkEnd w:id="36"/>
    <w:bookmarkStart w:id="37" w:name="ref-ridgers2012"/>
    <w:p>
      <w:pPr>
        <w:pStyle w:val="Bibliography"/>
      </w:pPr>
      <w:r>
        <w:t xml:space="preserve">[5]</w:t>
      </w:r>
      <w:r>
        <w:t xml:space="preserve"> </w:t>
      </w:r>
      <w:r>
        <w:t xml:space="preserve">	</w:t>
      </w:r>
      <w:r>
        <w:t xml:space="preserve">Ridgers ND, Salmon J, Parrish A-M, Stanley RM, Okely AD. Physical activity during school recess: A systematic review. American Journal of Preventive Medicine 2012;43:320–8.</w:t>
      </w:r>
    </w:p>
    <w:bookmarkEnd w:id="37"/>
    <w:bookmarkStart w:id="38" w:name="ref-miatke2021"/>
    <w:p>
      <w:pPr>
        <w:pStyle w:val="Bibliography"/>
      </w:pPr>
      <w:r>
        <w:t xml:space="preserve">[6]</w:t>
      </w:r>
      <w:r>
        <w:t xml:space="preserve"> </w:t>
      </w:r>
      <w:r>
        <w:t xml:space="preserve">	</w:t>
      </w:r>
      <w:r>
        <w:t xml:space="preserve">Miatke A, Maher C, Fraysse F, Dumuid D, Olds T. Are all</w:t>
      </w:r>
      <w:r>
        <w:t xml:space="preserve"> </w:t>
      </w:r>
      <w:r>
        <w:t xml:space="preserve">MVPA</w:t>
      </w:r>
      <w:r>
        <w:t xml:space="preserve"> </w:t>
      </w:r>
      <w:r>
        <w:t xml:space="preserve">minutes equal? Associations between</w:t>
      </w:r>
      <w:r>
        <w:t xml:space="preserve"> </w:t>
      </w:r>
      <w:r>
        <w:t xml:space="preserve">MVPA</w:t>
      </w:r>
      <w:r>
        <w:t xml:space="preserve"> </w:t>
      </w:r>
      <w:r>
        <w:t xml:space="preserve">characteristics, independent of duration, and childhood adiposity. BMC Public Health 2021;21:1–9.</w:t>
      </w:r>
    </w:p>
    <w:bookmarkEnd w:id="38"/>
    <w:bookmarkStart w:id="39" w:name="ref-turnbull2022"/>
    <w:p>
      <w:pPr>
        <w:pStyle w:val="Bibliography"/>
      </w:pPr>
      <w:r>
        <w:t xml:space="preserve">[7]</w:t>
      </w:r>
      <w:r>
        <w:t xml:space="preserve"> </w:t>
      </w:r>
      <w:r>
        <w:t xml:space="preserve">	</w:t>
      </w:r>
      <w:r>
        <w:t xml:space="preserve">Turnbull C, Boomsma A, Milte R, Stanton TR, Hordacre B. Safety and adverse events following non-invasive electrical brain stimulation in stroke: A systematic review. Topics in Stroke Rehabilitation 2022:1–3.</w:t>
      </w:r>
    </w:p>
    <w:bookmarkEnd w:id="39"/>
    <w:bookmarkStart w:id="40" w:name="ref-curtis2021"/>
    <w:p>
      <w:pPr>
        <w:pStyle w:val="Bibliography"/>
      </w:pPr>
      <w:r>
        <w:t xml:space="preserve">[8]</w:t>
      </w:r>
      <w:r>
        <w:t xml:space="preserve"> </w:t>
      </w:r>
      <w:r>
        <w:t xml:space="preserve">	</w:t>
      </w:r>
      <w:r>
        <w:t xml:space="preserve">Curtis RG, Bartel B, Ferguson T, Blake HT, Northcott C, Virgara R, et al. Improving user experience of virtual health assistants: Scoping review. Journal of Medical Internet Research 2021;23:e31737.</w:t>
      </w:r>
    </w:p>
    <w:bookmarkEnd w:id="40"/>
    <w:bookmarkStart w:id="41" w:name="ref-matricciani2012"/>
    <w:p>
      <w:pPr>
        <w:pStyle w:val="Bibliography"/>
      </w:pPr>
      <w:r>
        <w:t xml:space="preserve">[9]</w:t>
      </w:r>
      <w:r>
        <w:t xml:space="preserve"> </w:t>
      </w:r>
      <w:r>
        <w:t xml:space="preserve">	</w:t>
      </w:r>
      <w:r>
        <w:t xml:space="preserve">Matricciani LA, Olds TS, Blunden S, Rigney G, Williams MT. Never enough sleep: A brief history of sleep recommendations for children. Pediatrics 2012;129:548–56.</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23" Target="https://github.com" TargetMode="External" /><Relationship Type="http://schemas.openxmlformats.org/officeDocument/2006/relationships/hyperlink" Id="rId20" Target="https://shiny.rstudio.com/articles/rm-cheatsheet.html" TargetMode="External" /><Relationship Type="http://schemas.openxmlformats.org/officeDocument/2006/relationships/hyperlink" Id="rId21" Target="https://www.rstudio.com/wp-content/uploads/2015/03/rmarkdown-reference.pdf"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 TargetMode="External" /><Relationship Type="http://schemas.openxmlformats.org/officeDocument/2006/relationships/hyperlink" Id="rId20" Target="https://shiny.rstudio.com/articles/rm-cheatsheet.html" TargetMode="External" /><Relationship Type="http://schemas.openxmlformats.org/officeDocument/2006/relationships/hyperlink" Id="rId21" Target="https://www.rstudio.com/wp-content/uploads/2015/03/rmarkdown-referenc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coda club live</dc:title>
  <dc:creator>coda club</dc:creator>
  <cp:keywords/>
  <dcterms:created xsi:type="dcterms:W3CDTF">2022-09-21T04:55:02Z</dcterms:created>
  <dcterms:modified xsi:type="dcterms:W3CDTF">2022-09-21T04:55:02Z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elsevier-vancouver.csl</vt:lpwstr>
  </property>
  <property fmtid="{D5CDD505-2E9C-101B-9397-08002B2CF9AE}" pid="4" name="date">
    <vt:lpwstr>2022-09-21</vt:lpwstr>
  </property>
  <property fmtid="{D5CDD505-2E9C-101B-9397-08002B2CF9AE}" pid="5" name="output">
    <vt:lpwstr/>
  </property>
  <property fmtid="{D5CDD505-2E9C-101B-9397-08002B2CF9AE}" pid="6" name="urlcolor">
    <vt:lpwstr>orange</vt:lpwstr>
  </property>
</Properties>
</file>