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Caitlan Nichols</w:t>
      </w:r>
    </w:p>
    <w:p w:rsidR="00000000" w:rsidDel="00000000" w:rsidP="00000000" w:rsidRDefault="00000000" w:rsidRPr="00000000" w14:paraId="00000002">
      <w:pPr>
        <w:rPr/>
      </w:pPr>
      <w:r w:rsidDel="00000000" w:rsidR="00000000" w:rsidRPr="00000000">
        <w:rPr>
          <w:rtl w:val="0"/>
        </w:rPr>
        <w:t xml:space="preserve">08 March 2025</w:t>
      </w:r>
    </w:p>
    <w:p w:rsidR="00000000" w:rsidDel="00000000" w:rsidP="00000000" w:rsidRDefault="00000000" w:rsidRPr="00000000" w14:paraId="00000003">
      <w:pPr>
        <w:rPr/>
      </w:pPr>
      <w:r w:rsidDel="00000000" w:rsidR="00000000" w:rsidRPr="00000000">
        <w:rPr>
          <w:rtl w:val="0"/>
        </w:rPr>
        <w:t xml:space="preserve">Module 12.2 - Assignment: Essay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color w:val="000000"/>
          <w:sz w:val="26"/>
          <w:szCs w:val="26"/>
          <w:highlight w:val="white"/>
          <w:rtl w:val="0"/>
        </w:rPr>
        <w:t xml:space="preserve">Introduction</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color w:val="000000"/>
          <w:sz w:val="26"/>
          <w:szCs w:val="26"/>
          <w:highlight w:val="white"/>
        </w:rPr>
      </w:pPr>
      <w:bookmarkStart w:colFirst="0" w:colLast="0" w:name="_vby476ml6gms" w:id="1"/>
      <w:bookmarkEnd w:id="1"/>
      <w:r w:rsidDel="00000000" w:rsidR="00000000" w:rsidRPr="00000000">
        <w:rPr>
          <w:rFonts w:ascii="Times New Roman" w:cs="Times New Roman" w:eastAsia="Times New Roman" w:hAnsi="Times New Roman"/>
          <w:b w:val="1"/>
          <w:color w:val="000000"/>
          <w:sz w:val="26"/>
          <w:szCs w:val="26"/>
          <w:highlight w:val="white"/>
          <w:rtl w:val="0"/>
        </w:rPr>
        <w:t xml:space="preserve">Main Points and Lessons Learned from Case Studies in </w:t>
      </w:r>
      <w:r w:rsidDel="00000000" w:rsidR="00000000" w:rsidRPr="00000000">
        <w:rPr>
          <w:rFonts w:ascii="Times New Roman" w:cs="Times New Roman" w:eastAsia="Times New Roman" w:hAnsi="Times New Roman"/>
          <w:b w:val="1"/>
          <w:i w:val="1"/>
          <w:color w:val="000000"/>
          <w:sz w:val="26"/>
          <w:szCs w:val="26"/>
          <w:highlight w:val="white"/>
          <w:rtl w:val="0"/>
        </w:rPr>
        <w:t xml:space="preserve">The DevOps Handbook</w:t>
      </w:r>
      <w:r w:rsidDel="00000000" w:rsidR="00000000" w:rsidRPr="00000000">
        <w:rPr>
          <w:rFonts w:ascii="Times New Roman" w:cs="Times New Roman" w:eastAsia="Times New Roman" w:hAnsi="Times New Roman"/>
          <w:b w:val="1"/>
          <w:color w:val="000000"/>
          <w:sz w:val="26"/>
          <w:szCs w:val="26"/>
          <w:highlight w:val="white"/>
          <w:rtl w:val="0"/>
        </w:rPr>
        <w:t xml:space="preserve">, Chapter 23:</w:t>
      </w:r>
    </w:p>
    <w:p w:rsidR="00000000" w:rsidDel="00000000" w:rsidP="00000000" w:rsidRDefault="00000000" w:rsidRPr="00000000" w14:paraId="00000007">
      <w:pPr>
        <w:pStyle w:val="Heading4"/>
        <w:keepNext w:val="0"/>
        <w:keepLines w:val="0"/>
        <w:spacing w:after="40" w:before="240" w:lineRule="auto"/>
        <w:rPr>
          <w:rFonts w:ascii="Times New Roman" w:cs="Times New Roman" w:eastAsia="Times New Roman" w:hAnsi="Times New Roman"/>
          <w:b w:val="1"/>
          <w:color w:val="000000"/>
          <w:sz w:val="22"/>
          <w:szCs w:val="22"/>
          <w:highlight w:val="white"/>
        </w:rPr>
      </w:pPr>
      <w:bookmarkStart w:colFirst="0" w:colLast="0" w:name="_w5z5n0a6j9k2" w:id="2"/>
      <w:bookmarkEnd w:id="2"/>
      <w:r w:rsidDel="00000000" w:rsidR="00000000" w:rsidRPr="00000000">
        <w:rPr>
          <w:rFonts w:ascii="Times New Roman" w:cs="Times New Roman" w:eastAsia="Times New Roman" w:hAnsi="Times New Roman"/>
          <w:b w:val="1"/>
          <w:color w:val="000000"/>
          <w:sz w:val="22"/>
          <w:szCs w:val="22"/>
          <w:highlight w:val="white"/>
          <w:rtl w:val="0"/>
        </w:rPr>
        <w:t xml:space="preserve">Providing Compliance in Regulated Environments</w:t>
      </w:r>
    </w:p>
    <w:p w:rsidR="00000000" w:rsidDel="00000000" w:rsidP="00000000" w:rsidRDefault="00000000" w:rsidRPr="00000000" w14:paraId="00000008">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color w:val="000000"/>
          <w:sz w:val="26"/>
          <w:szCs w:val="26"/>
          <w:highlight w:val="white"/>
          <w:rtl w:val="0"/>
        </w:rPr>
        <w:t xml:space="preserve">The case study "Providing Compliance in Regulated Environments" demonstrates the complex intersection of agile, fast-paced DevOps practices and the stringent, mandatory compliance standards typical in regulated sectors like finance, healthcare, and government. Historically, compliance auditing was manual, cumbersome, and infrequent, thereby impeding development velocity and deployment frequency. The authors stress that in highly regulated environments, DevOps principles and practices aren't simply beneficial—they become essential to streamline and automate otherwise painstaking compliance activities.</w:t>
      </w:r>
    </w:p>
    <w:p w:rsidR="00000000" w:rsidDel="00000000" w:rsidP="00000000" w:rsidRDefault="00000000" w:rsidRPr="00000000" w14:paraId="00000009">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color w:val="000000"/>
          <w:sz w:val="26"/>
          <w:szCs w:val="26"/>
          <w:highlight w:val="white"/>
          <w:rtl w:val="0"/>
        </w:rPr>
        <w:t xml:space="preserve">The authors highlight that organizations, such as Capital One, successfully integrated DevOps principles with rigorous compliance requirements by embedding compliance controls directly into the development lifecycle. Compliance shifted from an after-the-fact, labor-intensive verification into proactive, real-time automation. Teams leveraged infrastructure-as-code and automated testing to establish comprehensive audit trails, real-time logging, and consistent, repeatable deployments. Thus, the previously tedious audit processes transformed into continuous, frictionless monitoring activities. Capital One's practical shift toward automation facilitated shorter cycle times, increased deployment frequency, and improved compliance transparency.</w:t>
      </w:r>
    </w:p>
    <w:p w:rsidR="00000000" w:rsidDel="00000000" w:rsidP="00000000" w:rsidRDefault="00000000" w:rsidRPr="00000000" w14:paraId="0000000A">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Key lessons learned</w:t>
      </w:r>
      <w:r w:rsidDel="00000000" w:rsidR="00000000" w:rsidRPr="00000000">
        <w:rPr>
          <w:rFonts w:ascii="Times New Roman" w:cs="Times New Roman" w:eastAsia="Times New Roman" w:hAnsi="Times New Roman"/>
          <w:color w:val="000000"/>
          <w:sz w:val="26"/>
          <w:szCs w:val="26"/>
          <w:highlight w:val="white"/>
          <w:rtl w:val="0"/>
        </w:rPr>
        <w:t xml:space="preserve">:</w:t>
      </w:r>
    </w:p>
    <w:p w:rsidR="00000000" w:rsidDel="00000000" w:rsidP="00000000" w:rsidRDefault="00000000" w:rsidRPr="00000000" w14:paraId="0000000B">
      <w:pPr>
        <w:pStyle w:val="Heading3"/>
        <w:keepNext w:val="0"/>
        <w:keepLines w:val="0"/>
        <w:numPr>
          <w:ilvl w:val="0"/>
          <w:numId w:val="1"/>
        </w:numPr>
        <w:spacing w:after="0" w:afterAutospacing="0" w:before="240" w:lineRule="auto"/>
        <w:ind w:left="720" w:hanging="360"/>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Automate Compliance Checks</w:t>
      </w:r>
      <w:r w:rsidDel="00000000" w:rsidR="00000000" w:rsidRPr="00000000">
        <w:rPr>
          <w:rFonts w:ascii="Times New Roman" w:cs="Times New Roman" w:eastAsia="Times New Roman" w:hAnsi="Times New Roman"/>
          <w:color w:val="000000"/>
          <w:sz w:val="26"/>
          <w:szCs w:val="26"/>
          <w:highlight w:val="white"/>
          <w:rtl w:val="0"/>
        </w:rPr>
        <w:t xml:space="preserve">: Embedding compliance into continuous integration and delivery pipelines prevents bottlenecks caused by traditional audit processes.</w:t>
      </w:r>
    </w:p>
    <w:p w:rsidR="00000000" w:rsidDel="00000000" w:rsidP="00000000" w:rsidRDefault="00000000" w:rsidRPr="00000000" w14:paraId="0000000C">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Infrastructure as Code</w:t>
      </w:r>
      <w:r w:rsidDel="00000000" w:rsidR="00000000" w:rsidRPr="00000000">
        <w:rPr>
          <w:rFonts w:ascii="Times New Roman" w:cs="Times New Roman" w:eastAsia="Times New Roman" w:hAnsi="Times New Roman"/>
          <w:color w:val="000000"/>
          <w:sz w:val="26"/>
          <w:szCs w:val="26"/>
          <w:highlight w:val="white"/>
          <w:rtl w:val="0"/>
        </w:rPr>
        <w:t xml:space="preserve">: Standardizing infrastructure and software deployment through repeatable code enhances reliability, transparency, and ease of auditing.</w:t>
      </w:r>
    </w:p>
    <w:p w:rsidR="00000000" w:rsidDel="00000000" w:rsidP="00000000" w:rsidRDefault="00000000" w:rsidRPr="00000000" w14:paraId="0000000D">
      <w:pPr>
        <w:pStyle w:val="Heading3"/>
        <w:keepNext w:val="0"/>
        <w:keepLines w:val="0"/>
        <w:numPr>
          <w:ilvl w:val="0"/>
          <w:numId w:val="1"/>
        </w:numPr>
        <w:spacing w:after="0" w:afterAutospacing="0" w:before="0" w:beforeAutospacing="0" w:lineRule="auto"/>
        <w:ind w:left="720" w:hanging="360"/>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Real-time Monitoring</w:t>
      </w:r>
      <w:r w:rsidDel="00000000" w:rsidR="00000000" w:rsidRPr="00000000">
        <w:rPr>
          <w:rFonts w:ascii="Times New Roman" w:cs="Times New Roman" w:eastAsia="Times New Roman" w:hAnsi="Times New Roman"/>
          <w:color w:val="000000"/>
          <w:sz w:val="26"/>
          <w:szCs w:val="26"/>
          <w:highlight w:val="white"/>
          <w:rtl w:val="0"/>
        </w:rPr>
        <w:t xml:space="preserve">: Continuous collection and validation of telemetry ensure issues can be detected, reported, and remediated proactively, long before formal compliance audits occur.</w:t>
      </w:r>
    </w:p>
    <w:p w:rsidR="00000000" w:rsidDel="00000000" w:rsidP="00000000" w:rsidRDefault="00000000" w:rsidRPr="00000000" w14:paraId="0000000E">
      <w:pPr>
        <w:pStyle w:val="Heading3"/>
        <w:keepNext w:val="0"/>
        <w:keepLines w:val="0"/>
        <w:numPr>
          <w:ilvl w:val="0"/>
          <w:numId w:val="1"/>
        </w:numPr>
        <w:spacing w:after="240" w:before="0" w:beforeAutospacing="0" w:lineRule="auto"/>
        <w:ind w:left="720" w:hanging="360"/>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Culture Shift</w:t>
      </w:r>
      <w:r w:rsidDel="00000000" w:rsidR="00000000" w:rsidRPr="00000000">
        <w:rPr>
          <w:rFonts w:ascii="Times New Roman" w:cs="Times New Roman" w:eastAsia="Times New Roman" w:hAnsi="Times New Roman"/>
          <w:color w:val="000000"/>
          <w:sz w:val="26"/>
          <w:szCs w:val="26"/>
          <w:highlight w:val="white"/>
          <w:rtl w:val="0"/>
        </w:rPr>
        <w:t xml:space="preserve">: Promoting collaboration between compliance/audit teams and DevOps engineers transforms the nature of regulatory compliance from a periodic burden into a continuous, integrated organizational capability.</w:t>
      </w:r>
    </w:p>
    <w:p w:rsidR="00000000" w:rsidDel="00000000" w:rsidP="00000000" w:rsidRDefault="00000000" w:rsidRPr="00000000" w14:paraId="0000000F">
      <w:pPr>
        <w:pStyle w:val="Heading4"/>
        <w:keepNext w:val="0"/>
        <w:keepLines w:val="0"/>
        <w:spacing w:after="40" w:before="240" w:lineRule="auto"/>
        <w:rPr>
          <w:rFonts w:ascii="Times New Roman" w:cs="Times New Roman" w:eastAsia="Times New Roman" w:hAnsi="Times New Roman"/>
          <w:b w:val="1"/>
          <w:color w:val="000000"/>
          <w:sz w:val="22"/>
          <w:szCs w:val="22"/>
          <w:highlight w:val="white"/>
        </w:rPr>
      </w:pPr>
      <w:bookmarkStart w:colFirst="0" w:colLast="0" w:name="_ns3iyv8iqtf0" w:id="3"/>
      <w:bookmarkEnd w:id="3"/>
      <w:r w:rsidDel="00000000" w:rsidR="00000000" w:rsidRPr="00000000">
        <w:rPr>
          <w:rFonts w:ascii="Times New Roman" w:cs="Times New Roman" w:eastAsia="Times New Roman" w:hAnsi="Times New Roman"/>
          <w:b w:val="1"/>
          <w:color w:val="000000"/>
          <w:sz w:val="22"/>
          <w:szCs w:val="22"/>
          <w:highlight w:val="white"/>
          <w:rtl w:val="0"/>
        </w:rPr>
        <w:t xml:space="preserve">Relying on Production Telemetry for ATM Systems</w:t>
      </w:r>
    </w:p>
    <w:p w:rsidR="00000000" w:rsidDel="00000000" w:rsidP="00000000" w:rsidRDefault="00000000" w:rsidRPr="00000000" w14:paraId="00000010">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color w:val="000000"/>
          <w:sz w:val="26"/>
          <w:szCs w:val="26"/>
          <w:highlight w:val="white"/>
          <w:rtl w:val="0"/>
        </w:rPr>
        <w:t xml:space="preserve">In the second case study, "Relying on Production Telemetry for ATM Systems," the authors emphasize the criticality of robust production telemetry, particularly in complex, high-stakes environments such as automated teller machine (ATM) networks in banking. Effective telemetry is foundational to DevOps because it allows rapid detection, diagnosis, and resolution of failures, ensuring minimal customer disruption and increased service reliability.</w:t>
      </w:r>
    </w:p>
    <w:p w:rsidR="00000000" w:rsidDel="00000000" w:rsidP="00000000" w:rsidRDefault="00000000" w:rsidRPr="00000000" w14:paraId="00000011">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color w:val="000000"/>
          <w:sz w:val="26"/>
          <w:szCs w:val="26"/>
          <w:highlight w:val="white"/>
          <w:rtl w:val="0"/>
        </w:rPr>
        <w:t xml:space="preserve">The authors underscore the shift from reactive issue resolution—relying heavily on customer complaints or slow manual discovery—to proactive system monitoring and alerting driven by precise and comprehensive telemetry data. ATM network operators demonstrated the value of instrumenting their infrastructure thoroughly to measure system performance, availability, and user experience continuously. Reliable, real-time telemetry allowed them to instantly detect anomalies or outages, diagnose the cause rapidly, and swiftly enact resolutions.</w:t>
      </w:r>
    </w:p>
    <w:p w:rsidR="00000000" w:rsidDel="00000000" w:rsidP="00000000" w:rsidRDefault="00000000" w:rsidRPr="00000000" w14:paraId="00000012">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color w:val="000000"/>
          <w:sz w:val="26"/>
          <w:szCs w:val="26"/>
          <w:highlight w:val="white"/>
          <w:rtl w:val="0"/>
        </w:rPr>
        <w:t xml:space="preserve">The study revealed how better telemetry resulted not only in improved reliability but also facilitated a culture of shared responsibility. Operations and development teams collaboratively leveraged production data, continuously improving system resilience and fostering trust among stakeholders and customers. The ATM systems thus transitioned from crisis-driven firefighting to a data-informed, proactive management model.</w:t>
      </w:r>
    </w:p>
    <w:p w:rsidR="00000000" w:rsidDel="00000000" w:rsidP="00000000" w:rsidRDefault="00000000" w:rsidRPr="00000000" w14:paraId="00000013">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Key lessons learned</w:t>
      </w:r>
      <w:r w:rsidDel="00000000" w:rsidR="00000000" w:rsidRPr="00000000">
        <w:rPr>
          <w:rFonts w:ascii="Times New Roman" w:cs="Times New Roman" w:eastAsia="Times New Roman" w:hAnsi="Times New Roman"/>
          <w:color w:val="000000"/>
          <w:sz w:val="26"/>
          <w:szCs w:val="26"/>
          <w:highlight w:val="white"/>
          <w:rtl w:val="0"/>
        </w:rPr>
        <w:t xml:space="preserve">:</w:t>
      </w:r>
    </w:p>
    <w:p w:rsidR="00000000" w:rsidDel="00000000" w:rsidP="00000000" w:rsidRDefault="00000000" w:rsidRPr="00000000" w14:paraId="00000014">
      <w:pPr>
        <w:pStyle w:val="Heading3"/>
        <w:keepNext w:val="0"/>
        <w:keepLines w:val="0"/>
        <w:numPr>
          <w:ilvl w:val="0"/>
          <w:numId w:val="3"/>
        </w:numPr>
        <w:spacing w:after="0" w:afterAutospacing="0" w:before="240" w:lineRule="auto"/>
        <w:ind w:left="720" w:hanging="360"/>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Instrumentation and Monitoring</w:t>
      </w:r>
      <w:r w:rsidDel="00000000" w:rsidR="00000000" w:rsidRPr="00000000">
        <w:rPr>
          <w:rFonts w:ascii="Times New Roman" w:cs="Times New Roman" w:eastAsia="Times New Roman" w:hAnsi="Times New Roman"/>
          <w:color w:val="000000"/>
          <w:sz w:val="26"/>
          <w:szCs w:val="26"/>
          <w:highlight w:val="white"/>
          <w:rtl w:val="0"/>
        </w:rPr>
        <w:t xml:space="preserve">: Extensive, detailed instrumentation of production environments is essential for proactively detecting and resolving issues before customers experience significant disruptions.</w:t>
      </w:r>
    </w:p>
    <w:p w:rsidR="00000000" w:rsidDel="00000000" w:rsidP="00000000" w:rsidRDefault="00000000" w:rsidRPr="00000000" w14:paraId="00000015">
      <w:pPr>
        <w:pStyle w:val="Heading3"/>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Rapid Feedback Loops</w:t>
      </w:r>
      <w:r w:rsidDel="00000000" w:rsidR="00000000" w:rsidRPr="00000000">
        <w:rPr>
          <w:rFonts w:ascii="Times New Roman" w:cs="Times New Roman" w:eastAsia="Times New Roman" w:hAnsi="Times New Roman"/>
          <w:color w:val="000000"/>
          <w:sz w:val="26"/>
          <w:szCs w:val="26"/>
          <w:highlight w:val="white"/>
          <w:rtl w:val="0"/>
        </w:rPr>
        <w:t xml:space="preserve">: Real-time telemetry data provides immediate feedback, shortening mean time to detection (MTTD) and mean time to resolution (MTTR), significantly improving overall service reliability.</w:t>
      </w:r>
    </w:p>
    <w:p w:rsidR="00000000" w:rsidDel="00000000" w:rsidP="00000000" w:rsidRDefault="00000000" w:rsidRPr="00000000" w14:paraId="00000016">
      <w:pPr>
        <w:pStyle w:val="Heading3"/>
        <w:keepNext w:val="0"/>
        <w:keepLines w:val="0"/>
        <w:numPr>
          <w:ilvl w:val="0"/>
          <w:numId w:val="3"/>
        </w:numPr>
        <w:spacing w:after="0" w:afterAutospacing="0" w:before="0" w:beforeAutospacing="0" w:lineRule="auto"/>
        <w:ind w:left="720" w:hanging="360"/>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Collaboration through Data</w:t>
      </w:r>
      <w:r w:rsidDel="00000000" w:rsidR="00000000" w:rsidRPr="00000000">
        <w:rPr>
          <w:rFonts w:ascii="Times New Roman" w:cs="Times New Roman" w:eastAsia="Times New Roman" w:hAnsi="Times New Roman"/>
          <w:color w:val="000000"/>
          <w:sz w:val="26"/>
          <w:szCs w:val="26"/>
          <w:highlight w:val="white"/>
          <w:rtl w:val="0"/>
        </w:rPr>
        <w:t xml:space="preserve">: Transparent and accessible telemetry data fosters collaborative cultures and shared accountability across Dev, Ops, and business teams, enhancing organizational cohesion and efficiency.</w:t>
      </w:r>
    </w:p>
    <w:p w:rsidR="00000000" w:rsidDel="00000000" w:rsidP="00000000" w:rsidRDefault="00000000" w:rsidRPr="00000000" w14:paraId="00000017">
      <w:pPr>
        <w:pStyle w:val="Heading3"/>
        <w:keepNext w:val="0"/>
        <w:keepLines w:val="0"/>
        <w:numPr>
          <w:ilvl w:val="0"/>
          <w:numId w:val="3"/>
        </w:numPr>
        <w:spacing w:after="240" w:before="0" w:beforeAutospacing="0" w:lineRule="auto"/>
        <w:ind w:left="720" w:hanging="360"/>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Continuous Improvement</w:t>
      </w:r>
      <w:r w:rsidDel="00000000" w:rsidR="00000000" w:rsidRPr="00000000">
        <w:rPr>
          <w:rFonts w:ascii="Times New Roman" w:cs="Times New Roman" w:eastAsia="Times New Roman" w:hAnsi="Times New Roman"/>
          <w:color w:val="000000"/>
          <w:sz w:val="26"/>
          <w:szCs w:val="26"/>
          <w:highlight w:val="white"/>
          <w:rtl w:val="0"/>
        </w:rPr>
        <w:t xml:space="preserve">: Proactive analysis of telemetry data enables continuous, incremental improvements to reliability and user satisfaction.</w:t>
      </w:r>
    </w:p>
    <w:p w:rsidR="00000000" w:rsidDel="00000000" w:rsidP="00000000" w:rsidRDefault="00000000" w:rsidRPr="00000000" w14:paraId="00000018">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Fonts w:ascii="Times New Roman" w:cs="Times New Roman" w:eastAsia="Times New Roman" w:hAnsi="Times New Roman"/>
          <w:b w:val="1"/>
          <w:color w:val="000000"/>
          <w:sz w:val="26"/>
          <w:szCs w:val="26"/>
          <w:highlight w:val="white"/>
          <w:rtl w:val="0"/>
        </w:rPr>
        <w:t xml:space="preserve">TL;DR</w:t>
      </w:r>
      <w:r w:rsidDel="00000000" w:rsidR="00000000" w:rsidRPr="00000000">
        <w:rPr>
          <w:rFonts w:ascii="Times New Roman" w:cs="Times New Roman" w:eastAsia="Times New Roman" w:hAnsi="Times New Roman"/>
          <w:color w:val="000000"/>
          <w:sz w:val="26"/>
          <w:szCs w:val="26"/>
          <w:highlight w:val="white"/>
          <w:rtl w:val="0"/>
        </w:rPr>
        <w:t xml:space="preserve">:</w:t>
      </w:r>
    </w:p>
    <w:p w:rsidR="00000000" w:rsidDel="00000000" w:rsidP="00000000" w:rsidRDefault="00000000" w:rsidRPr="00000000" w14:paraId="00000019">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tjo3egfejxpg" w:id="4"/>
      <w:bookmarkEnd w:id="4"/>
      <w:r w:rsidDel="00000000" w:rsidR="00000000" w:rsidRPr="00000000">
        <w:rPr>
          <w:rFonts w:ascii="Times New Roman" w:cs="Times New Roman" w:eastAsia="Times New Roman" w:hAnsi="Times New Roman"/>
          <w:color w:val="000000"/>
          <w:sz w:val="26"/>
          <w:szCs w:val="26"/>
          <w:highlight w:val="white"/>
          <w:rtl w:val="0"/>
        </w:rPr>
        <w:t xml:space="preserve">Both case studies emphasize the strategic importance of DevOps practices such as automation, real-time monitoring, telemetry, and cultural collaboration in overcoming compliance challenges and enhancing system reliability. Embedding compliance and telemetry into development workflows transforms traditionally reactive processes into proactive, seamless capabilities, delivering higher quality, compliant, and more reliable services.</w:t>
      </w:r>
    </w:p>
    <w:p w:rsidR="00000000" w:rsidDel="00000000" w:rsidP="00000000" w:rsidRDefault="00000000" w:rsidRPr="00000000" w14:paraId="0000001A">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i5zt8hi1ljk5" w:id="0"/>
      <w:bookmarkEnd w:id="0"/>
      <w:r w:rsidDel="00000000" w:rsidR="00000000" w:rsidRPr="00000000">
        <w:rPr>
          <w:rtl w:val="0"/>
        </w:rPr>
      </w:r>
    </w:p>
    <w:p w:rsidR="00000000" w:rsidDel="00000000" w:rsidP="00000000" w:rsidRDefault="00000000" w:rsidRPr="00000000" w14:paraId="0000001B">
      <w:pPr>
        <w:pStyle w:val="Heading3"/>
        <w:keepNext w:val="0"/>
        <w:keepLines w:val="0"/>
        <w:spacing w:after="240" w:before="240" w:lineRule="auto"/>
        <w:rPr>
          <w:rFonts w:ascii="Times New Roman" w:cs="Times New Roman" w:eastAsia="Times New Roman" w:hAnsi="Times New Roman"/>
          <w:color w:val="000000"/>
          <w:sz w:val="26"/>
          <w:szCs w:val="26"/>
          <w:highlight w:val="white"/>
        </w:rPr>
      </w:pPr>
      <w:bookmarkStart w:colFirst="0" w:colLast="0" w:name="_jyxev26104jk" w:id="5"/>
      <w:bookmarkEnd w:id="5"/>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ind w:left="720" w:firstLine="0"/>
        <w:rPr>
          <w:rFonts w:ascii="Times New Roman" w:cs="Times New Roman" w:eastAsia="Times New Roman" w:hAnsi="Times New Roman"/>
          <w:b w:val="1"/>
          <w:color w:val="000000"/>
          <w:sz w:val="26"/>
          <w:szCs w:val="26"/>
          <w:highlight w:val="white"/>
        </w:rPr>
      </w:pPr>
      <w:bookmarkStart w:colFirst="0" w:colLast="0" w:name="_idjgmlno5uyq" w:id="6"/>
      <w:bookmarkEnd w:id="6"/>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ind w:left="720" w:firstLine="0"/>
        <w:rPr>
          <w:rFonts w:ascii="Times New Roman" w:cs="Times New Roman" w:eastAsia="Times New Roman" w:hAnsi="Times New Roman"/>
          <w:b w:val="1"/>
          <w:color w:val="000000"/>
          <w:sz w:val="26"/>
          <w:szCs w:val="26"/>
          <w:highlight w:val="white"/>
        </w:rPr>
      </w:pPr>
      <w:bookmarkStart w:colFirst="0" w:colLast="0" w:name="_orxho3funu9h" w:id="7"/>
      <w:bookmarkEnd w:id="7"/>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ind w:left="720" w:firstLine="0"/>
        <w:rPr>
          <w:rFonts w:ascii="Times New Roman" w:cs="Times New Roman" w:eastAsia="Times New Roman" w:hAnsi="Times New Roman"/>
          <w:b w:val="1"/>
          <w:color w:val="000000"/>
          <w:sz w:val="26"/>
          <w:szCs w:val="26"/>
          <w:highlight w:val="white"/>
        </w:rPr>
      </w:pPr>
      <w:bookmarkStart w:colFirst="0" w:colLast="0" w:name="_n755in9k4dkr" w:id="8"/>
      <w:bookmarkEnd w:id="8"/>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ind w:left="720" w:firstLine="0"/>
        <w:rPr>
          <w:rFonts w:ascii="Times New Roman" w:cs="Times New Roman" w:eastAsia="Times New Roman" w:hAnsi="Times New Roman"/>
          <w:b w:val="1"/>
          <w:color w:val="000000"/>
          <w:sz w:val="26"/>
          <w:szCs w:val="26"/>
          <w:highlight w:val="white"/>
        </w:rPr>
      </w:pPr>
      <w:bookmarkStart w:colFirst="0" w:colLast="0" w:name="_ofb9a07mrjr1" w:id="9"/>
      <w:bookmarkEnd w:id="9"/>
      <w:r w:rsidDel="00000000" w:rsidR="00000000" w:rsidRPr="00000000">
        <w:rPr>
          <w:rFonts w:ascii="Times New Roman" w:cs="Times New Roman" w:eastAsia="Times New Roman" w:hAnsi="Times New Roman"/>
          <w:b w:val="1"/>
          <w:color w:val="000000"/>
          <w:sz w:val="26"/>
          <w:szCs w:val="26"/>
          <w:highlight w:val="white"/>
          <w:rtl w:val="0"/>
        </w:rPr>
        <w:t xml:space="preserve">References</w:t>
      </w:r>
    </w:p>
    <w:p w:rsidR="00000000" w:rsidDel="00000000" w:rsidP="00000000" w:rsidRDefault="00000000" w:rsidRPr="00000000" w14:paraId="00000030">
      <w:pPr>
        <w:numPr>
          <w:ilvl w:val="0"/>
          <w:numId w:val="2"/>
        </w:numPr>
        <w:spacing w:after="0" w:afterAutospacing="0" w:before="24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 Nichols C, 2025, Our textbook, </w:t>
      </w:r>
      <w:r w:rsidDel="00000000" w:rsidR="00000000" w:rsidRPr="00000000">
        <w:rPr>
          <w:rFonts w:ascii="Times New Roman" w:cs="Times New Roman" w:eastAsia="Times New Roman" w:hAnsi="Times New Roman"/>
          <w:sz w:val="26"/>
          <w:szCs w:val="26"/>
          <w:highlight w:val="white"/>
          <w:rtl w:val="0"/>
        </w:rPr>
        <w:t xml:space="preserve">Kim, G., Humble, J., Debois, P., Willis, J., &amp; Forsgren, N. (2021). </w:t>
      </w:r>
      <w:r w:rsidDel="00000000" w:rsidR="00000000" w:rsidRPr="00000000">
        <w:rPr>
          <w:rFonts w:ascii="Times New Roman" w:cs="Times New Roman" w:eastAsia="Times New Roman" w:hAnsi="Times New Roman"/>
          <w:i w:val="1"/>
          <w:sz w:val="26"/>
          <w:szCs w:val="26"/>
          <w:highlight w:val="white"/>
          <w:rtl w:val="0"/>
        </w:rPr>
        <w:t xml:space="preserve">The DevOps Handbook: How to Create World-Class Agility, Reliability, &amp; Security in Technology Organizations (2nd Edition)</w:t>
      </w:r>
      <w:r w:rsidDel="00000000" w:rsidR="00000000" w:rsidRPr="00000000">
        <w:rPr>
          <w:rFonts w:ascii="Times New Roman" w:cs="Times New Roman" w:eastAsia="Times New Roman" w:hAnsi="Times New Roman"/>
          <w:sz w:val="26"/>
          <w:szCs w:val="26"/>
          <w:highlight w:val="white"/>
          <w:rtl w:val="0"/>
        </w:rPr>
        <w:t xml:space="preserve">. IT Revolution Press.</w:t>
      </w:r>
      <w:r w:rsidDel="00000000" w:rsidR="00000000" w:rsidRPr="00000000">
        <w:rPr>
          <w:rtl w:val="0"/>
        </w:rPr>
      </w:r>
    </w:p>
    <w:p w:rsidR="00000000" w:rsidDel="00000000" w:rsidP="00000000" w:rsidRDefault="00000000" w:rsidRPr="00000000" w14:paraId="00000031">
      <w:pPr>
        <w:numPr>
          <w:ilvl w:val="0"/>
          <w:numId w:val="2"/>
        </w:numPr>
        <w:spacing w:after="240" w:before="0" w:beforeAutospacing="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i w:val="1"/>
          <w:sz w:val="24"/>
          <w:szCs w:val="24"/>
          <w:highlight w:val="white"/>
          <w:rtl w:val="0"/>
        </w:rPr>
        <w:t xml:space="preserve">Nichols C, 2025, OpenAI. (2025). ChatGPT (40 mimi).</w:t>
      </w:r>
      <w:hyperlink r:id="rId6">
        <w:r w:rsidDel="00000000" w:rsidR="00000000" w:rsidRPr="00000000">
          <w:rPr>
            <w:rFonts w:ascii="Times New Roman" w:cs="Times New Roman" w:eastAsia="Times New Roman" w:hAnsi="Times New Roman"/>
            <w:i w:val="1"/>
            <w:color w:val="1155cc"/>
            <w:sz w:val="24"/>
            <w:szCs w:val="24"/>
            <w:highlight w:val="white"/>
            <w:rtl w:val="0"/>
          </w:rPr>
          <w:t xml:space="preserve"> </w:t>
        </w:r>
      </w:hyperlink>
      <w:hyperlink r:id="rId7">
        <w:r w:rsidDel="00000000" w:rsidR="00000000" w:rsidRPr="00000000">
          <w:rPr>
            <w:rFonts w:ascii="Times New Roman" w:cs="Times New Roman" w:eastAsia="Times New Roman" w:hAnsi="Times New Roman"/>
            <w:i w:val="1"/>
            <w:color w:val="1155cc"/>
            <w:sz w:val="24"/>
            <w:szCs w:val="24"/>
            <w:highlight w:val="white"/>
            <w:u w:val="single"/>
            <w:rtl w:val="0"/>
          </w:rPr>
          <w:t xml:space="preserve">https://chat.openai.com/chat </w:t>
        </w:r>
      </w:hyperlink>
      <w:r w:rsidDel="00000000" w:rsidR="00000000" w:rsidRPr="00000000">
        <w:rPr>
          <w:rtl w:val="0"/>
        </w:rPr>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33">
      <w:pPr>
        <w:spacing w:after="240" w:before="240" w:lineRule="auto"/>
        <w:ind w:left="720" w:firstLine="0"/>
        <w:rPr>
          <w:rFonts w:ascii="Times New Roman" w:cs="Times New Roman" w:eastAsia="Times New Roman" w:hAnsi="Times New Roman"/>
          <w:i w:val="1"/>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openai.com/chat" TargetMode="External"/><Relationship Id="rId7" Type="http://schemas.openxmlformats.org/officeDocument/2006/relationships/hyperlink" Target="https://chat.openai.com/ch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