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B99BA" w14:textId="21B2D055" w:rsidR="00DA07E0" w:rsidRDefault="00AE7E42">
      <w:r>
        <w:t>Notes for 10-herd NAS manuscript:</w:t>
      </w:r>
    </w:p>
    <w:p w14:paraId="63EF1D80" w14:textId="5022F525" w:rsidR="00AE7E42" w:rsidRDefault="00AE7E42">
      <w:pPr>
        <w:rPr>
          <w:b/>
          <w:bCs/>
        </w:rPr>
      </w:pPr>
      <w:r>
        <w:rPr>
          <w:b/>
          <w:bCs/>
        </w:rPr>
        <w:t>Methods</w:t>
      </w:r>
    </w:p>
    <w:p w14:paraId="3413F00E" w14:textId="2229C856" w:rsidR="00AE7E42" w:rsidRDefault="00AE7E42">
      <w:r>
        <w:t>Would I be able to do a BLCM-</w:t>
      </w:r>
      <w:proofErr w:type="spellStart"/>
      <w:r>
        <w:t>ish</w:t>
      </w:r>
      <w:proofErr w:type="spellEnd"/>
      <w:r>
        <w:t xml:space="preserve"> analysis incorporating Se and </w:t>
      </w:r>
      <w:proofErr w:type="spellStart"/>
      <w:r>
        <w:t>Sp</w:t>
      </w:r>
      <w:proofErr w:type="spellEnd"/>
      <w:r>
        <w:t xml:space="preserve"> values for culture, to help correct for some misclassification bias?</w:t>
      </w:r>
    </w:p>
    <w:p w14:paraId="43423A39" w14:textId="77777777" w:rsidR="00671E18" w:rsidRDefault="00671E18"/>
    <w:p w14:paraId="6B639E8E" w14:textId="77777777" w:rsidR="00671E18" w:rsidRDefault="00671E18" w:rsidP="00671E1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Interpretation of duplicate quarter</w:t>
      </w:r>
      <w:r>
        <w:rPr>
          <w:rFonts w:ascii="Times New Roman" w:hAnsi="Times New Roman" w:cs="Times New Roman"/>
          <w:sz w:val="24"/>
          <w:szCs w:val="24"/>
        </w:rPr>
        <w:t>-</w:t>
      </w:r>
      <w:r w:rsidRPr="00D03DE9">
        <w:rPr>
          <w:rFonts w:ascii="Times New Roman" w:hAnsi="Times New Roman" w:cs="Times New Roman"/>
          <w:sz w:val="24"/>
          <w:szCs w:val="24"/>
        </w:rPr>
        <w:t xml:space="preserve">milk samples in series results in decreased sensitivity but higher specificity for identifying </w:t>
      </w:r>
      <w:r>
        <w:rPr>
          <w:rFonts w:ascii="Times New Roman" w:hAnsi="Times New Roman" w:cs="Times New Roman"/>
          <w:sz w:val="24"/>
          <w:szCs w:val="24"/>
        </w:rPr>
        <w:t>non-</w:t>
      </w:r>
      <w:r>
        <w:rPr>
          <w:rFonts w:ascii="Times New Roman" w:hAnsi="Times New Roman" w:cs="Times New Roman"/>
          <w:i/>
          <w:iCs/>
          <w:sz w:val="24"/>
          <w:szCs w:val="24"/>
        </w:rPr>
        <w:t>aureus</w:t>
      </w:r>
      <w:r>
        <w:rPr>
          <w:rFonts w:ascii="Times New Roman" w:hAnsi="Times New Roman" w:cs="Times New Roman"/>
          <w:sz w:val="24"/>
          <w:szCs w:val="24"/>
        </w:rPr>
        <w:t xml:space="preserve"> staphylococci</w:t>
      </w:r>
      <w:r w:rsidRPr="00D03DE9">
        <w:rPr>
          <w:rFonts w:ascii="Times New Roman" w:hAnsi="Times New Roman" w:cs="Times New Roman"/>
          <w:sz w:val="24"/>
          <w:szCs w:val="24"/>
        </w:rPr>
        <w:t xml:space="preserve"> intramammary infections as compared to a single sample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(Dohoo et al., 2011)</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This approach was chosen to maximize the specificity of culture to identify quarters as positive for a </w:t>
      </w:r>
      <w:r>
        <w:rPr>
          <w:rFonts w:ascii="Times New Roman" w:hAnsi="Times New Roman" w:cs="Times New Roman"/>
          <w:sz w:val="24"/>
          <w:szCs w:val="24"/>
        </w:rPr>
        <w:t>non-</w:t>
      </w:r>
      <w:r>
        <w:rPr>
          <w:rFonts w:ascii="Times New Roman" w:hAnsi="Times New Roman" w:cs="Times New Roman"/>
          <w:i/>
          <w:iCs/>
          <w:sz w:val="24"/>
          <w:szCs w:val="24"/>
        </w:rPr>
        <w:t>aureus</w:t>
      </w:r>
      <w:r>
        <w:rPr>
          <w:rFonts w:ascii="Times New Roman" w:hAnsi="Times New Roman" w:cs="Times New Roman"/>
          <w:sz w:val="24"/>
          <w:szCs w:val="24"/>
        </w:rPr>
        <w:t xml:space="preserve"> staphylococci</w:t>
      </w:r>
      <w:r w:rsidRPr="00D03DE9">
        <w:rPr>
          <w:rFonts w:ascii="Times New Roman" w:hAnsi="Times New Roman" w:cs="Times New Roman"/>
          <w:sz w:val="24"/>
          <w:szCs w:val="24"/>
        </w:rPr>
        <w:t xml:space="preserve"> IMI (i.e., minimize false positives)</w:t>
      </w:r>
      <w:r>
        <w:rPr>
          <w:rFonts w:ascii="Times New Roman" w:hAnsi="Times New Roman" w:cs="Times New Roman"/>
          <w:sz w:val="24"/>
          <w:szCs w:val="24"/>
        </w:rPr>
        <w:t>.</w:t>
      </w:r>
      <w:r w:rsidRPr="00D03DE9">
        <w:rPr>
          <w:rFonts w:ascii="Times New Roman" w:hAnsi="Times New Roman" w:cs="Times New Roman"/>
          <w:sz w:val="24"/>
          <w:szCs w:val="24"/>
        </w:rPr>
        <w:t xml:space="preserve"> </w:t>
      </w:r>
    </w:p>
    <w:p w14:paraId="541FF366" w14:textId="68C97967" w:rsidR="00464C8C" w:rsidRPr="001E2FE4" w:rsidRDefault="00464C8C" w:rsidP="00671E18">
      <w:pPr>
        <w:spacing w:line="480" w:lineRule="auto"/>
        <w:ind w:firstLine="360"/>
        <w:rPr>
          <w:rFonts w:ascii="Times New Roman" w:hAnsi="Times New Roman" w:cs="Times New Roman"/>
          <w:sz w:val="24"/>
          <w:szCs w:val="24"/>
        </w:rPr>
      </w:pPr>
      <w:commentRangeStart w:id="0"/>
      <w:commentRangeStart w:id="1"/>
      <w:ins w:id="2" w:author="John Barlow" w:date="2024-05-28T11:50:00Z">
        <w:r>
          <w:rPr>
            <w:rFonts w:ascii="Times New Roman" w:hAnsi="Times New Roman" w:cs="Times New Roman"/>
            <w:sz w:val="24"/>
            <w:szCs w:val="24"/>
          </w:rPr>
          <w:t>C</w:t>
        </w:r>
        <w:r w:rsidRPr="00D03DE9">
          <w:rPr>
            <w:rFonts w:ascii="Times New Roman" w:hAnsi="Times New Roman" w:cs="Times New Roman"/>
            <w:sz w:val="24"/>
            <w:szCs w:val="24"/>
          </w:rPr>
          <w:t xml:space="preserve">ollection of a large number of samples in the field under time pressure and occasionally with minimally trained personnel resulted </w:t>
        </w:r>
      </w:ins>
      <w:commentRangeEnd w:id="0"/>
      <w:ins w:id="3" w:author="John Barlow" w:date="2024-05-28T11:54:00Z">
        <w:r>
          <w:rPr>
            <w:rStyle w:val="CommentReference"/>
          </w:rPr>
          <w:commentReference w:id="0"/>
        </w:r>
      </w:ins>
      <w:ins w:id="4" w:author="John Barlow" w:date="2024-05-28T11:50:00Z">
        <w:r w:rsidRPr="00D03DE9">
          <w:rPr>
            <w:rFonts w:ascii="Times New Roman" w:hAnsi="Times New Roman" w:cs="Times New Roman"/>
            <w:sz w:val="24"/>
            <w:szCs w:val="24"/>
          </w:rPr>
          <w:t xml:space="preserve">in </w:t>
        </w:r>
        <w:commentRangeStart w:id="5"/>
        <w:r w:rsidRPr="00D03DE9">
          <w:rPr>
            <w:rFonts w:ascii="Times New Roman" w:hAnsi="Times New Roman" w:cs="Times New Roman"/>
            <w:sz w:val="24"/>
            <w:szCs w:val="24"/>
          </w:rPr>
          <w:t xml:space="preserve">a moderately high rate of contamination (13%). </w:t>
        </w:r>
        <w:r w:rsidRPr="00BE39AB">
          <w:t xml:space="preserve"> </w:t>
        </w:r>
      </w:ins>
      <w:commentRangeEnd w:id="5"/>
      <w:ins w:id="6" w:author="John Barlow" w:date="2024-05-28T11:52:00Z">
        <w:r>
          <w:rPr>
            <w:rStyle w:val="CommentReference"/>
          </w:rPr>
          <w:commentReference w:id="5"/>
        </w:r>
      </w:ins>
      <w:commentRangeEnd w:id="1"/>
      <w:r>
        <w:rPr>
          <w:rStyle w:val="CommentReference"/>
        </w:rPr>
        <w:commentReference w:id="1"/>
      </w:r>
    </w:p>
    <w:p w14:paraId="1FAB63DF"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A readily-available, reliable bench-top test has not yet been developed for differentiating NASM species, even though it is established that some species are more relevant to udder health than others. While the technology exists for accurate speciation of NASM at larger diagnostic labs and research settings (MALDI-TOF, PCR), currently, most NASM species are only able to be lumped together as “non-</w:t>
      </w:r>
      <w:r w:rsidRPr="008C6619">
        <w:rPr>
          <w:rFonts w:ascii="Times New Roman" w:hAnsi="Times New Roman" w:cs="Times New Roman"/>
          <w:i/>
          <w:iCs/>
          <w:color w:val="CC00CC"/>
          <w:sz w:val="24"/>
          <w:szCs w:val="24"/>
        </w:rPr>
        <w:t xml:space="preserve">aureus </w:t>
      </w:r>
      <w:r w:rsidRPr="008C6619">
        <w:rPr>
          <w:rFonts w:ascii="Times New Roman" w:hAnsi="Times New Roman" w:cs="Times New Roman"/>
          <w:color w:val="CC00CC"/>
          <w:sz w:val="24"/>
          <w:szCs w:val="24"/>
        </w:rPr>
        <w:t xml:space="preserve">staphylococci” when cultured in labs without the resources or infrastructure to speciate isolates (e.g., on-farm culture, veterinary practices). However, it is still unclear whether treatment is warranted for these </w:t>
      </w:r>
      <w:proofErr w:type="spellStart"/>
      <w:r w:rsidRPr="008C6619">
        <w:rPr>
          <w:rFonts w:ascii="Times New Roman" w:hAnsi="Times New Roman" w:cs="Times New Roman"/>
          <w:color w:val="CC00CC"/>
          <w:sz w:val="24"/>
          <w:szCs w:val="24"/>
        </w:rPr>
        <w:t>infecitons</w:t>
      </w:r>
      <w:proofErr w:type="spellEnd"/>
      <w:r w:rsidRPr="008C6619">
        <w:rPr>
          <w:rFonts w:ascii="Times New Roman" w:hAnsi="Times New Roman" w:cs="Times New Roman"/>
          <w:color w:val="CC00CC"/>
          <w:sz w:val="24"/>
          <w:szCs w:val="24"/>
        </w:rPr>
        <w:t xml:space="preserve"> at all.</w:t>
      </w:r>
    </w:p>
    <w:p w14:paraId="0D232F7E" w14:textId="77777777" w:rsidR="00291C4E" w:rsidRPr="008C6619" w:rsidRDefault="00291C4E" w:rsidP="00291C4E">
      <w:pPr>
        <w:spacing w:line="480" w:lineRule="auto"/>
        <w:ind w:firstLine="360"/>
        <w:rPr>
          <w:rFonts w:ascii="Times New Roman" w:hAnsi="Times New Roman" w:cs="Times New Roman"/>
          <w:color w:val="CC00CC"/>
          <w:sz w:val="24"/>
          <w:szCs w:val="24"/>
        </w:rPr>
      </w:pPr>
    </w:p>
    <w:p w14:paraId="19E1ACB6"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 xml:space="preserve"> </w:t>
      </w:r>
      <w:commentRangeStart w:id="7"/>
      <w:r w:rsidRPr="008C6619">
        <w:rPr>
          <w:rFonts w:ascii="Times New Roman" w:hAnsi="Times New Roman" w:cs="Times New Roman"/>
          <w:color w:val="CC00CC"/>
          <w:sz w:val="24"/>
          <w:szCs w:val="24"/>
        </w:rPr>
        <w:t xml:space="preserve">Future work towards developing more readily available methods of speciation may better inform treatment decisions for producers, allowing them to treat or cull animals with infections due to more problematic </w:t>
      </w:r>
      <w:del w:id="8" w:author="Caitlin Jeffrey" w:date="2024-06-07T12:43:00Z" w16du:dateUtc="2024-06-07T16:43:00Z">
        <w:r w:rsidRPr="008C6619" w:rsidDel="004B241E">
          <w:rPr>
            <w:rFonts w:ascii="Times New Roman" w:hAnsi="Times New Roman" w:cs="Times New Roman"/>
            <w:color w:val="CC00CC"/>
            <w:sz w:val="24"/>
            <w:szCs w:val="24"/>
          </w:rPr>
          <w:delText>NASM</w:delText>
        </w:r>
      </w:del>
      <w:ins w:id="9" w:author="Caitlin Jeffrey" w:date="2024-06-07T12:43:00Z" w16du:dateUtc="2024-06-07T16:43:00Z">
        <w:r w:rsidRPr="008C6619">
          <w:rPr>
            <w:rFonts w:ascii="Times New Roman" w:hAnsi="Times New Roman" w:cs="Times New Roman"/>
            <w:color w:val="CC00CC"/>
            <w:sz w:val="24"/>
            <w:szCs w:val="24"/>
          </w:rPr>
          <w:t>SaM</w:t>
        </w:r>
      </w:ins>
      <w:r w:rsidRPr="008C6619">
        <w:rPr>
          <w:rFonts w:ascii="Times New Roman" w:hAnsi="Times New Roman" w:cs="Times New Roman"/>
          <w:color w:val="CC00CC"/>
          <w:sz w:val="24"/>
          <w:szCs w:val="24"/>
        </w:rPr>
        <w:t xml:space="preserve"> and withhold treatment for those of less concern. </w:t>
      </w:r>
      <w:r w:rsidRPr="008C6619" w:rsidDel="00DA0212">
        <w:rPr>
          <w:rFonts w:ascii="Times New Roman" w:hAnsi="Times New Roman" w:cs="Times New Roman"/>
          <w:color w:val="CC00CC"/>
          <w:sz w:val="24"/>
          <w:szCs w:val="24"/>
        </w:rPr>
        <w:t xml:space="preserve"> </w:t>
      </w:r>
      <w:commentRangeEnd w:id="7"/>
      <w:r w:rsidRPr="008C6619">
        <w:rPr>
          <w:rStyle w:val="CommentReference"/>
          <w:color w:val="CC00CC"/>
        </w:rPr>
        <w:commentReference w:id="7"/>
      </w:r>
      <w:r w:rsidRPr="008C6619">
        <w:rPr>
          <w:rFonts w:ascii="Times New Roman" w:hAnsi="Times New Roman" w:cs="Times New Roman"/>
          <w:color w:val="CC00CC"/>
          <w:sz w:val="24"/>
          <w:szCs w:val="24"/>
        </w:rPr>
        <w:t xml:space="preserve">This may be particularly important if future research resolves the current lack of understanding of the </w:t>
      </w:r>
      <w:r w:rsidRPr="008C6619">
        <w:rPr>
          <w:rFonts w:ascii="Times New Roman" w:hAnsi="Times New Roman" w:cs="Times New Roman"/>
          <w:color w:val="CC00CC"/>
          <w:sz w:val="24"/>
          <w:szCs w:val="24"/>
        </w:rPr>
        <w:lastRenderedPageBreak/>
        <w:t>relationship between NASM IMI, risk of infection, elevation of SCC, and effect on milk yield. For example, Chen et al. reported lower daily milk losses among first parity cattle with moderate SCC increases (200,000 cells/mL) compared to greater losses among older cows with SCC greater than 500,000 cells/</w:t>
      </w:r>
      <w:proofErr w:type="spellStart"/>
      <w:r w:rsidRPr="008C6619">
        <w:rPr>
          <w:rFonts w:ascii="Times New Roman" w:hAnsi="Times New Roman" w:cs="Times New Roman"/>
          <w:color w:val="CC00CC"/>
          <w:sz w:val="24"/>
          <w:szCs w:val="24"/>
        </w:rPr>
        <w:t>mL.</w:t>
      </w:r>
      <w:proofErr w:type="spellEnd"/>
    </w:p>
    <w:p w14:paraId="01AB793B"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For example, Chen et al. reported milk yield losses for first lactation animals increased from 0.42 kg/day to 0.97 kg/day as SCC increased from 200,000 cells/mL to 500,000 cells/mL; 500-800 was 0.97 kg/day to 1.26. this disproportionate increase in milk loss as SCC increases was even more pronounced in later lactation cows. The relationship between IMI, elevated SCC, and milk yield is complex. It is uncontroversial that as SCC increases, milk loss increases (</w:t>
      </w:r>
      <w:proofErr w:type="spellStart"/>
      <w:r w:rsidRPr="008C6619">
        <w:rPr>
          <w:rFonts w:ascii="Times New Roman" w:hAnsi="Times New Roman" w:cs="Times New Roman"/>
          <w:color w:val="CC00CC"/>
          <w:sz w:val="24"/>
          <w:szCs w:val="24"/>
        </w:rPr>
        <w:t>chen</w:t>
      </w:r>
      <w:proofErr w:type="spellEnd"/>
      <w:r w:rsidRPr="008C6619">
        <w:rPr>
          <w:rFonts w:ascii="Times New Roman" w:hAnsi="Times New Roman" w:cs="Times New Roman"/>
          <w:color w:val="CC00CC"/>
          <w:sz w:val="24"/>
          <w:szCs w:val="24"/>
        </w:rPr>
        <w:t>, shook); however, this is offset with the fact that cows with increased milk production are at higher risk of infection (</w:t>
      </w:r>
      <w:proofErr w:type="spellStart"/>
      <w:r w:rsidRPr="008C6619">
        <w:rPr>
          <w:rFonts w:ascii="Times New Roman" w:hAnsi="Times New Roman" w:cs="Times New Roman"/>
          <w:color w:val="CC00CC"/>
          <w:sz w:val="24"/>
          <w:szCs w:val="24"/>
        </w:rPr>
        <w:t>valckenier</w:t>
      </w:r>
      <w:proofErr w:type="spellEnd"/>
      <w:r w:rsidRPr="008C6619">
        <w:rPr>
          <w:rFonts w:ascii="Times New Roman" w:hAnsi="Times New Roman" w:cs="Times New Roman"/>
          <w:color w:val="CC00CC"/>
          <w:sz w:val="24"/>
          <w:szCs w:val="24"/>
        </w:rPr>
        <w:t>).</w:t>
      </w:r>
    </w:p>
    <w:p w14:paraId="2A56839F"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 xml:space="preserve"> were greater for cows with an SCC changing increased with increasing SCC</w:t>
      </w:r>
    </w:p>
    <w:p w14:paraId="540428EB" w14:textId="77777777" w:rsidR="00291C4E" w:rsidRPr="008C6619" w:rsidRDefault="00291C4E" w:rsidP="00291C4E">
      <w:pPr>
        <w:spacing w:line="480" w:lineRule="auto"/>
        <w:ind w:firstLine="360"/>
        <w:rPr>
          <w:rFonts w:ascii="Times New Roman" w:hAnsi="Times New Roman" w:cs="Times New Roman"/>
          <w:color w:val="CC00CC"/>
          <w:sz w:val="24"/>
          <w:szCs w:val="24"/>
        </w:rPr>
      </w:pPr>
    </w:p>
    <w:p w14:paraId="3EA29068"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 xml:space="preserve"> Prior work suggests that although NASM causes elevated qSCC, IMI with NASM likely don’t affect milk yield (cite), although the potential for </w:t>
      </w:r>
    </w:p>
    <w:p w14:paraId="7D8ABD72" w14:textId="77777777" w:rsidR="00291C4E" w:rsidRPr="008C6619" w:rsidRDefault="00291C4E" w:rsidP="00291C4E">
      <w:pPr>
        <w:spacing w:line="480" w:lineRule="auto"/>
        <w:ind w:firstLine="360"/>
        <w:rPr>
          <w:rFonts w:ascii="Times New Roman" w:hAnsi="Times New Roman" w:cs="Times New Roman"/>
          <w:color w:val="CC00CC"/>
          <w:sz w:val="24"/>
          <w:szCs w:val="24"/>
        </w:rPr>
      </w:pPr>
    </w:p>
    <w:p w14:paraId="4E92AC2F"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 xml:space="preserve">Even though it is well-established that … shook … It is yet unclear whether or not the moderate increase in SCC caused by NASM IMI negatively affects milk yield. </w:t>
      </w:r>
    </w:p>
    <w:p w14:paraId="6BE464F5"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Maybe here we say something about better understanding their effect on milk yield; maybe this gets combined with some sort of statement about that</w:t>
      </w:r>
    </w:p>
    <w:p w14:paraId="3401FBB2"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lastRenderedPageBreak/>
        <w:t xml:space="preserve">With the exception of larger diagnostic labs and research settings, the best current methods of speciation for NASM (MALDI-TOF, PCR) </w:t>
      </w:r>
      <w:commentRangeStart w:id="10"/>
      <w:commentRangeStart w:id="11"/>
      <w:r w:rsidRPr="008C6619">
        <w:rPr>
          <w:rFonts w:ascii="Times New Roman" w:hAnsi="Times New Roman" w:cs="Times New Roman"/>
          <w:color w:val="CC00CC"/>
          <w:sz w:val="24"/>
          <w:szCs w:val="24"/>
        </w:rPr>
        <w:t xml:space="preserve">are not widely </w:t>
      </w:r>
      <w:del w:id="12" w:author="John Barlow" w:date="2024-05-28T15:54:00Z">
        <w:r w:rsidRPr="008C6619" w:rsidDel="00945BAC">
          <w:rPr>
            <w:rFonts w:ascii="Times New Roman" w:hAnsi="Times New Roman" w:cs="Times New Roman"/>
            <w:color w:val="CC00CC"/>
            <w:sz w:val="24"/>
            <w:szCs w:val="24"/>
          </w:rPr>
          <w:delText xml:space="preserve">used </w:delText>
        </w:r>
      </w:del>
      <w:ins w:id="13" w:author="John Barlow" w:date="2024-05-28T15:54:00Z">
        <w:r w:rsidRPr="008C6619">
          <w:rPr>
            <w:rFonts w:ascii="Times New Roman" w:hAnsi="Times New Roman" w:cs="Times New Roman"/>
            <w:color w:val="CC00CC"/>
            <w:sz w:val="24"/>
            <w:szCs w:val="24"/>
          </w:rPr>
          <w:t>available</w:t>
        </w:r>
      </w:ins>
      <w:commentRangeEnd w:id="10"/>
      <w:r w:rsidRPr="008C6619">
        <w:rPr>
          <w:rStyle w:val="CommentReference"/>
          <w:color w:val="CC00CC"/>
        </w:rPr>
        <w:commentReference w:id="10"/>
      </w:r>
      <w:commentRangeEnd w:id="11"/>
      <w:r w:rsidRPr="008C6619">
        <w:rPr>
          <w:rStyle w:val="CommentReference"/>
          <w:color w:val="CC00CC"/>
        </w:rPr>
        <w:commentReference w:id="11"/>
      </w:r>
      <w:ins w:id="14" w:author="John Barlow" w:date="2024-05-28T15:54:00Z">
        <w:r w:rsidRPr="008C6619">
          <w:rPr>
            <w:rFonts w:ascii="Times New Roman" w:hAnsi="Times New Roman" w:cs="Times New Roman"/>
            <w:color w:val="CC00CC"/>
            <w:sz w:val="24"/>
            <w:szCs w:val="24"/>
          </w:rPr>
          <w:t xml:space="preserve">, likely </w:t>
        </w:r>
      </w:ins>
      <w:r w:rsidRPr="008C6619">
        <w:rPr>
          <w:rFonts w:ascii="Times New Roman" w:hAnsi="Times New Roman" w:cs="Times New Roman"/>
          <w:color w:val="CC00CC"/>
          <w:sz w:val="24"/>
          <w:szCs w:val="24"/>
        </w:rPr>
        <w:t xml:space="preserve">due to a high </w:t>
      </w:r>
      <w:ins w:id="15" w:author="John Barlow" w:date="2024-05-28T15:54:00Z">
        <w:r w:rsidRPr="008C6619">
          <w:rPr>
            <w:rFonts w:ascii="Times New Roman" w:hAnsi="Times New Roman" w:cs="Times New Roman"/>
            <w:color w:val="CC00CC"/>
            <w:sz w:val="24"/>
            <w:szCs w:val="24"/>
          </w:rPr>
          <w:t xml:space="preserve">equipment </w:t>
        </w:r>
      </w:ins>
      <w:r w:rsidRPr="008C6619">
        <w:rPr>
          <w:rFonts w:ascii="Times New Roman" w:hAnsi="Times New Roman" w:cs="Times New Roman"/>
          <w:color w:val="CC00CC"/>
          <w:sz w:val="24"/>
          <w:szCs w:val="24"/>
        </w:rPr>
        <w:t>cost</w:t>
      </w:r>
      <w:ins w:id="16" w:author="John Barlow" w:date="2024-05-28T15:54:00Z">
        <w:r w:rsidRPr="008C6619">
          <w:rPr>
            <w:rFonts w:ascii="Times New Roman" w:hAnsi="Times New Roman" w:cs="Times New Roman"/>
            <w:color w:val="CC00CC"/>
            <w:sz w:val="24"/>
            <w:szCs w:val="24"/>
          </w:rPr>
          <w:t>s</w:t>
        </w:r>
      </w:ins>
      <w:r w:rsidRPr="008C6619">
        <w:rPr>
          <w:rFonts w:ascii="Times New Roman" w:hAnsi="Times New Roman" w:cs="Times New Roman"/>
          <w:color w:val="CC00CC"/>
          <w:sz w:val="24"/>
          <w:szCs w:val="24"/>
        </w:rPr>
        <w:t xml:space="preserve"> and </w:t>
      </w:r>
      <w:ins w:id="17" w:author="John Barlow" w:date="2024-05-28T15:55:00Z">
        <w:r w:rsidRPr="008C6619">
          <w:rPr>
            <w:rFonts w:ascii="Times New Roman" w:hAnsi="Times New Roman" w:cs="Times New Roman"/>
            <w:color w:val="CC00CC"/>
            <w:sz w:val="24"/>
            <w:szCs w:val="24"/>
          </w:rPr>
          <w:t xml:space="preserve">some </w:t>
        </w:r>
      </w:ins>
      <w:r w:rsidRPr="008C6619">
        <w:rPr>
          <w:rFonts w:ascii="Times New Roman" w:hAnsi="Times New Roman" w:cs="Times New Roman"/>
          <w:color w:val="CC00CC"/>
          <w:sz w:val="24"/>
          <w:szCs w:val="24"/>
        </w:rPr>
        <w:t>technological barrier</w:t>
      </w:r>
      <w:ins w:id="18" w:author="John Barlow" w:date="2024-05-28T15:55:00Z">
        <w:r w:rsidRPr="008C6619">
          <w:rPr>
            <w:rFonts w:ascii="Times New Roman" w:hAnsi="Times New Roman" w:cs="Times New Roman"/>
            <w:color w:val="CC00CC"/>
            <w:sz w:val="24"/>
            <w:szCs w:val="24"/>
          </w:rPr>
          <w:t>s</w:t>
        </w:r>
      </w:ins>
      <w:r w:rsidRPr="008C6619">
        <w:rPr>
          <w:rFonts w:ascii="Times New Roman" w:hAnsi="Times New Roman" w:cs="Times New Roman"/>
          <w:color w:val="CC00CC"/>
          <w:sz w:val="24"/>
          <w:szCs w:val="24"/>
        </w:rPr>
        <w:t>.</w:t>
      </w:r>
    </w:p>
    <w:p w14:paraId="17C493B7" w14:textId="77777777" w:rsidR="00671E18" w:rsidRDefault="00671E18"/>
    <w:p w14:paraId="668F46D5" w14:textId="77777777" w:rsidR="00C1029B" w:rsidRDefault="00C1029B"/>
    <w:p w14:paraId="617DB556" w14:textId="063B9D7E" w:rsidR="00C1029B" w:rsidRPr="0098798D" w:rsidRDefault="00C1029B">
      <w:pPr>
        <w:rPr>
          <w:b/>
          <w:bCs/>
          <w:i/>
          <w:iCs/>
        </w:rPr>
      </w:pPr>
      <w:r w:rsidRPr="0098798D">
        <w:rPr>
          <w:b/>
          <w:bCs/>
          <w:i/>
          <w:iCs/>
        </w:rPr>
        <w:t>Language from DAG</w:t>
      </w:r>
      <w:r w:rsidR="0098798D" w:rsidRPr="0098798D">
        <w:rPr>
          <w:b/>
          <w:bCs/>
          <w:i/>
          <w:iCs/>
        </w:rPr>
        <w:t xml:space="preserve"> paper</w:t>
      </w:r>
    </w:p>
    <w:p w14:paraId="27FEEECB" w14:textId="6350CF09" w:rsidR="00C1029B" w:rsidRPr="00AE7E42" w:rsidRDefault="00C1029B">
      <w:r w:rsidRPr="00C1029B">
        <w:t xml:space="preserve">2.3. </w:t>
      </w:r>
      <w:r w:rsidRPr="0098798D">
        <w:rPr>
          <w:b/>
          <w:bCs/>
        </w:rPr>
        <w:t>Case definition, exposure variables and causal</w:t>
      </w:r>
      <w:r w:rsidR="0098798D" w:rsidRPr="0098798D">
        <w:rPr>
          <w:b/>
          <w:bCs/>
        </w:rPr>
        <w:t xml:space="preserve"> </w:t>
      </w:r>
      <w:r w:rsidRPr="0098798D">
        <w:rPr>
          <w:b/>
          <w:bCs/>
        </w:rPr>
        <w:t>diagrams</w:t>
      </w:r>
      <w:r w:rsidR="0098798D">
        <w:t xml:space="preserve">. </w:t>
      </w:r>
      <w:r w:rsidRPr="00C1029B">
        <w:t xml:space="preserve">The unit of analysis was the individual animal. The out-come of interest was the development of BRD during </w:t>
      </w:r>
      <w:r w:rsidR="0098798D" w:rsidRPr="00C1029B">
        <w:t>the first</w:t>
      </w:r>
      <w:r w:rsidRPr="00C1029B">
        <w:t xml:space="preserve"> 50 days following induction. The case definition </w:t>
      </w:r>
      <w:r w:rsidR="0098798D" w:rsidRPr="00C1029B">
        <w:t>was based</w:t>
      </w:r>
      <w:r w:rsidRPr="00C1029B">
        <w:t xml:space="preserve"> on the clinical signs of disease recorded by </w:t>
      </w:r>
      <w:r w:rsidR="0098798D" w:rsidRPr="00C1029B">
        <w:t>feedlot staff</w:t>
      </w:r>
      <w:r w:rsidRPr="00C1029B">
        <w:t xml:space="preserve"> in </w:t>
      </w:r>
      <w:proofErr w:type="spellStart"/>
      <w:r w:rsidRPr="00C1029B">
        <w:t>computerised</w:t>
      </w:r>
      <w:proofErr w:type="spellEnd"/>
      <w:r w:rsidRPr="00C1029B">
        <w:t xml:space="preserve"> hospital records after suspected </w:t>
      </w:r>
      <w:r w:rsidR="0098798D" w:rsidRPr="00C1029B">
        <w:t>ill animals</w:t>
      </w:r>
      <w:r w:rsidRPr="00C1029B">
        <w:t xml:space="preserve"> were removed from their cohort for </w:t>
      </w:r>
      <w:r w:rsidR="0098798D" w:rsidRPr="00C1029B">
        <w:t>examination and</w:t>
      </w:r>
      <w:r w:rsidRPr="00C1029B">
        <w:t xml:space="preserve"> treatment.</w:t>
      </w:r>
    </w:p>
    <w:p w14:paraId="09B88B32" w14:textId="77777777" w:rsidR="00AE7E42" w:rsidRDefault="00AE7E42"/>
    <w:p w14:paraId="5BA2EACA" w14:textId="234CFD82" w:rsidR="00AE7E42" w:rsidRDefault="00AE7E42">
      <w:pPr>
        <w:rPr>
          <w:b/>
          <w:bCs/>
        </w:rPr>
      </w:pPr>
      <w:r>
        <w:rPr>
          <w:b/>
          <w:bCs/>
        </w:rPr>
        <w:t>Discussion</w:t>
      </w:r>
    </w:p>
    <w:p w14:paraId="45D38FF9" w14:textId="37F75CC4" w:rsidR="00AE7E42" w:rsidRDefault="00AE7E42">
      <w:r>
        <w:t xml:space="preserve">Include a section addressing possible biases; </w:t>
      </w:r>
      <w:proofErr w:type="spellStart"/>
      <w:r>
        <w:t>simon’s</w:t>
      </w:r>
      <w:proofErr w:type="spellEnd"/>
      <w:r>
        <w:t xml:space="preserve"> thesis papers provide a good model, good content, and can likely use some of the language from these</w:t>
      </w:r>
    </w:p>
    <w:p w14:paraId="27AE96A8" w14:textId="3F7788C4" w:rsidR="00AE7E42" w:rsidRDefault="00AE7E42" w:rsidP="00AE7E42">
      <w:r>
        <w:t>Discussion around agnetis and hyicus- Pamela’s 2017 paper (Species Identification and Strain Typing of Staphylococcus agnetis and Staphylococcus hyicus Isolates from Bovine Milk by Use of a Novel Multiplex PCR Assay and Pulsed-Field Gel Electrophoresis); how much did agnetis and hyicus elevate SCC at quarter level, did they act more like contagious or sporadic pathogens; persistent infections vs. transient?</w:t>
      </w:r>
      <w:r w:rsidR="008800AC">
        <w:t xml:space="preserve"> Repeat </w:t>
      </w:r>
      <w:proofErr w:type="spellStart"/>
      <w:r w:rsidR="008800AC">
        <w:t>coag</w:t>
      </w:r>
      <w:proofErr w:type="spellEnd"/>
      <w:r w:rsidR="008800AC">
        <w:t>- which were positive, which were negative?</w:t>
      </w:r>
    </w:p>
    <w:p w14:paraId="67C6A04A" w14:textId="4A0035F6" w:rsidR="00C921A0" w:rsidRDefault="00C921A0" w:rsidP="00AE7E42"/>
    <w:p w14:paraId="0522FA9C" w14:textId="47C7DB6F" w:rsidR="00C921A0" w:rsidRPr="00B5099F" w:rsidRDefault="00B5099F" w:rsidP="00AE7E42">
      <w:pPr>
        <w:rPr>
          <w:i/>
          <w:iCs/>
        </w:rPr>
      </w:pPr>
      <w:proofErr w:type="spellStart"/>
      <w:r w:rsidRPr="00B5099F">
        <w:rPr>
          <w:i/>
          <w:iCs/>
        </w:rPr>
        <w:t>tuf</w:t>
      </w:r>
      <w:proofErr w:type="spellEnd"/>
      <w:r w:rsidRPr="00B5099F">
        <w:rPr>
          <w:i/>
          <w:iCs/>
        </w:rPr>
        <w:t xml:space="preserve"> Gene Sequence Analysis Has Greater Discriminatory Power than 16S rRNA Sequence Analysis in Identification of Clinical Isolates of Coagulase-Negative Staphylococci</w:t>
      </w:r>
    </w:p>
    <w:p w14:paraId="1E9E8949" w14:textId="5E49B0EE" w:rsidR="00C921A0" w:rsidRDefault="00C921A0" w:rsidP="00AE7E42">
      <w:r w:rsidRPr="00C921A0">
        <w:t>16S rRNA and</w:t>
      </w:r>
      <w:r>
        <w:t xml:space="preserve"> </w:t>
      </w:r>
      <w:proofErr w:type="spellStart"/>
      <w:r w:rsidRPr="00C921A0">
        <w:t>tuf</w:t>
      </w:r>
      <w:proofErr w:type="spellEnd"/>
      <w:r>
        <w:t xml:space="preserve"> </w:t>
      </w:r>
      <w:r w:rsidRPr="00C921A0">
        <w:t>gene sequencing.</w:t>
      </w:r>
      <w:r>
        <w:t xml:space="preserve"> </w:t>
      </w:r>
      <w:r w:rsidRPr="00C921A0">
        <w:t>PCR amplifications were conducted in a</w:t>
      </w:r>
      <w:r>
        <w:t xml:space="preserve"> </w:t>
      </w:r>
      <w:r w:rsidRPr="00C921A0">
        <w:t>total</w:t>
      </w:r>
      <w:r>
        <w:t xml:space="preserve"> </w:t>
      </w:r>
      <w:r w:rsidRPr="00C921A0">
        <w:t>volume</w:t>
      </w:r>
      <w:r>
        <w:t xml:space="preserve"> </w:t>
      </w:r>
      <w:r w:rsidRPr="00C921A0">
        <w:t>of</w:t>
      </w:r>
      <w:r>
        <w:t xml:space="preserve"> </w:t>
      </w:r>
      <w:r w:rsidRPr="00C921A0">
        <w:t>25</w:t>
      </w:r>
      <w:r>
        <w:t xml:space="preserve"> </w:t>
      </w:r>
      <w:proofErr w:type="spellStart"/>
      <w:r>
        <w:t>uL</w:t>
      </w:r>
      <w:proofErr w:type="spellEnd"/>
      <w:r>
        <w:t xml:space="preserve"> </w:t>
      </w:r>
      <w:r w:rsidRPr="00C921A0">
        <w:t>containing</w:t>
      </w:r>
      <w:r>
        <w:t xml:space="preserve"> </w:t>
      </w:r>
      <w:r w:rsidRPr="00C921A0">
        <w:t>2.5</w:t>
      </w:r>
      <w:r>
        <w:t xml:space="preserve"> </w:t>
      </w:r>
      <w:r w:rsidRPr="00C921A0">
        <w:t>mM</w:t>
      </w:r>
      <w:r>
        <w:t xml:space="preserve"> </w:t>
      </w:r>
      <w:proofErr w:type="spellStart"/>
      <w:r w:rsidRPr="00C921A0">
        <w:t>deoxynucleoside</w:t>
      </w:r>
      <w:proofErr w:type="spellEnd"/>
      <w:r>
        <w:t xml:space="preserve"> </w:t>
      </w:r>
      <w:r w:rsidRPr="00C921A0">
        <w:t>triphosphates</w:t>
      </w:r>
      <w:r>
        <w:t xml:space="preserve"> </w:t>
      </w:r>
      <w:r w:rsidRPr="00C921A0">
        <w:t>(dNTPs), 10</w:t>
      </w:r>
      <w:r>
        <w:t xml:space="preserve"> </w:t>
      </w:r>
      <w:proofErr w:type="spellStart"/>
      <w:r w:rsidRPr="00C921A0">
        <w:t>pmol</w:t>
      </w:r>
      <w:proofErr w:type="spellEnd"/>
      <w:r>
        <w:t xml:space="preserve"> </w:t>
      </w:r>
      <w:r w:rsidRPr="00C921A0">
        <w:t>of</w:t>
      </w:r>
      <w:r>
        <w:t xml:space="preserve"> </w:t>
      </w:r>
      <w:r w:rsidRPr="00C921A0">
        <w:t>each</w:t>
      </w:r>
      <w:r>
        <w:t xml:space="preserve"> </w:t>
      </w:r>
      <w:r w:rsidRPr="00C921A0">
        <w:t>PCR</w:t>
      </w:r>
      <w:r>
        <w:t xml:space="preserve"> </w:t>
      </w:r>
      <w:r w:rsidRPr="00C921A0">
        <w:t>primer,</w:t>
      </w:r>
      <w:r>
        <w:t xml:space="preserve"> </w:t>
      </w:r>
      <w:r w:rsidRPr="00C921A0">
        <w:t>0.6</w:t>
      </w:r>
      <w:r>
        <w:t xml:space="preserve"> </w:t>
      </w:r>
      <w:r w:rsidRPr="00C921A0">
        <w:t>U</w:t>
      </w:r>
      <w:r>
        <w:t xml:space="preserve"> </w:t>
      </w:r>
      <w:r w:rsidRPr="00C921A0">
        <w:t>Taq</w:t>
      </w:r>
      <w:r>
        <w:t xml:space="preserve"> </w:t>
      </w:r>
      <w:r w:rsidRPr="00C921A0">
        <w:t>polymerase,</w:t>
      </w:r>
      <w:r>
        <w:t xml:space="preserve"> </w:t>
      </w:r>
      <w:r w:rsidRPr="00C921A0">
        <w:t>2.5</w:t>
      </w:r>
      <w:r>
        <w:t xml:space="preserve"> </w:t>
      </w:r>
      <w:proofErr w:type="spellStart"/>
      <w:r>
        <w:t>uL</w:t>
      </w:r>
      <w:proofErr w:type="spellEnd"/>
      <w:r>
        <w:t xml:space="preserve"> </w:t>
      </w:r>
      <w:r w:rsidRPr="00C921A0">
        <w:t>of</w:t>
      </w:r>
      <w:r>
        <w:t xml:space="preserve"> </w:t>
      </w:r>
      <w:r w:rsidRPr="00C921A0">
        <w:t>10</w:t>
      </w:r>
      <w:r>
        <w:t xml:space="preserve">x </w:t>
      </w:r>
      <w:r w:rsidRPr="00C921A0">
        <w:t>PCR buffer with 15 mM MgCl2</w:t>
      </w:r>
      <w:r>
        <w:t xml:space="preserve"> </w:t>
      </w:r>
      <w:r w:rsidRPr="00C921A0">
        <w:t>(Takara Bio, Inc., Shiga, Japan), and 2.5</w:t>
      </w:r>
      <w:r>
        <w:t xml:space="preserve"> </w:t>
      </w:r>
      <w:proofErr w:type="spellStart"/>
      <w:r>
        <w:t>uL</w:t>
      </w:r>
      <w:proofErr w:type="spellEnd"/>
      <w:r>
        <w:t xml:space="preserve"> </w:t>
      </w:r>
      <w:r w:rsidRPr="00C921A0">
        <w:t>of</w:t>
      </w:r>
      <w:r>
        <w:t xml:space="preserve"> </w:t>
      </w:r>
      <w:r w:rsidRPr="00C921A0">
        <w:t>the</w:t>
      </w:r>
      <w:r>
        <w:t xml:space="preserve"> </w:t>
      </w:r>
      <w:r w:rsidRPr="00C921A0">
        <w:t xml:space="preserve">template. </w:t>
      </w:r>
    </w:p>
    <w:p w14:paraId="0F05FD00" w14:textId="776A5A60" w:rsidR="00C921A0" w:rsidRDefault="00C921A0" w:rsidP="00AE7E42">
      <w:r w:rsidRPr="00C921A0">
        <w:t>The</w:t>
      </w:r>
      <w:r>
        <w:t xml:space="preserve"> </w:t>
      </w:r>
      <w:proofErr w:type="spellStart"/>
      <w:r w:rsidRPr="00C921A0">
        <w:t>tuf</w:t>
      </w:r>
      <w:proofErr w:type="spellEnd"/>
      <w:r>
        <w:t xml:space="preserve"> </w:t>
      </w:r>
      <w:r w:rsidRPr="00C921A0">
        <w:t>gene was amplified with primers TUF-F (5</w:t>
      </w:r>
      <w:r w:rsidRPr="00C921A0">
        <w:continuationSeparator/>
      </w:r>
      <w:r w:rsidRPr="00C921A0">
        <w:t>-GCCAGTTGAGGACGTATTCT-3</w:t>
      </w:r>
      <w:r w:rsidRPr="00C921A0">
        <w:continuationSeparator/>
      </w:r>
      <w:r w:rsidRPr="00C921A0">
        <w:t>)</w:t>
      </w:r>
      <w:r>
        <w:t xml:space="preserve"> </w:t>
      </w:r>
      <w:r w:rsidRPr="00C921A0">
        <w:t>and</w:t>
      </w:r>
      <w:r>
        <w:t xml:space="preserve"> </w:t>
      </w:r>
      <w:r w:rsidRPr="00C921A0">
        <w:t>TUF-R</w:t>
      </w:r>
      <w:r>
        <w:t xml:space="preserve"> </w:t>
      </w:r>
      <w:r w:rsidRPr="00C921A0">
        <w:t>(5</w:t>
      </w:r>
      <w:r w:rsidRPr="00C921A0">
        <w:continuationSeparator/>
      </w:r>
      <w:r w:rsidRPr="00C921A0">
        <w:t>-CCATTTCAGTACCTTCTGGTAA-3</w:t>
      </w:r>
      <w:r w:rsidRPr="00C921A0">
        <w:continuationSeparator/>
      </w:r>
      <w:r w:rsidRPr="00C921A0">
        <w:t>). The PCR</w:t>
      </w:r>
      <w:r>
        <w:t xml:space="preserve"> </w:t>
      </w:r>
      <w:r w:rsidRPr="00C921A0">
        <w:t>conditions for</w:t>
      </w:r>
      <w:r>
        <w:t xml:space="preserve"> </w:t>
      </w:r>
      <w:proofErr w:type="spellStart"/>
      <w:r w:rsidRPr="00C921A0">
        <w:t>tuf</w:t>
      </w:r>
      <w:proofErr w:type="spellEnd"/>
      <w:r>
        <w:t xml:space="preserve"> </w:t>
      </w:r>
      <w:r w:rsidRPr="00C921A0">
        <w:t>were as follows: 15 min of initial denaturation at 95°C, followed</w:t>
      </w:r>
      <w:r>
        <w:t xml:space="preserve"> </w:t>
      </w:r>
      <w:r w:rsidRPr="00C921A0">
        <w:t xml:space="preserve">by 35 cycles of 30 s at 95°C, 30 s at 56°C, and 45 s at 72°C, with a final 10-minextension at 72°C. </w:t>
      </w:r>
    </w:p>
    <w:p w14:paraId="30E0CBFD" w14:textId="50E49BFD" w:rsidR="00C921A0" w:rsidRPr="00AE7E42" w:rsidRDefault="00C921A0" w:rsidP="00AE7E42">
      <w:r w:rsidRPr="00C921A0">
        <w:lastRenderedPageBreak/>
        <w:t xml:space="preserve">Gel electrophoresis was used to detect positive PCR </w:t>
      </w:r>
      <w:proofErr w:type="spellStart"/>
      <w:r w:rsidRPr="00C921A0">
        <w:t>signalsand</w:t>
      </w:r>
      <w:proofErr w:type="spellEnd"/>
      <w:r w:rsidRPr="00C921A0">
        <w:t xml:space="preserve"> to confirm amplicon lengths of 527 bp for 16S rRNA and 412 bp for </w:t>
      </w:r>
      <w:proofErr w:type="spellStart"/>
      <w:r w:rsidRPr="00C921A0">
        <w:t>thetufgene</w:t>
      </w:r>
      <w:proofErr w:type="spellEnd"/>
      <w:r w:rsidRPr="00C921A0">
        <w:t xml:space="preserve">. Prior to sequencing, the PCR products were purified using the </w:t>
      </w:r>
      <w:proofErr w:type="spellStart"/>
      <w:r w:rsidRPr="00C921A0">
        <w:t>ExoSAP-ITreagent</w:t>
      </w:r>
      <w:proofErr w:type="spellEnd"/>
      <w:r>
        <w:t xml:space="preserve"> </w:t>
      </w:r>
      <w:r w:rsidRPr="00C921A0">
        <w:t>(USB</w:t>
      </w:r>
      <w:r>
        <w:t xml:space="preserve"> </w:t>
      </w:r>
      <w:r w:rsidRPr="00C921A0">
        <w:t>Corporation,</w:t>
      </w:r>
      <w:r>
        <w:t xml:space="preserve"> </w:t>
      </w:r>
      <w:r w:rsidRPr="00C921A0">
        <w:t>Cleveland,</w:t>
      </w:r>
      <w:r>
        <w:t xml:space="preserve"> </w:t>
      </w:r>
      <w:r w:rsidRPr="00C921A0">
        <w:t>OH)</w:t>
      </w:r>
      <w:r>
        <w:t xml:space="preserve"> </w:t>
      </w:r>
      <w:r w:rsidRPr="00C921A0">
        <w:t>according</w:t>
      </w:r>
      <w:r>
        <w:t xml:space="preserve"> </w:t>
      </w:r>
      <w:r w:rsidRPr="00C921A0">
        <w:t>to</w:t>
      </w:r>
      <w:r>
        <w:t xml:space="preserve"> </w:t>
      </w:r>
      <w:r w:rsidRPr="00C921A0">
        <w:t>the</w:t>
      </w:r>
      <w:r>
        <w:t xml:space="preserve"> </w:t>
      </w:r>
      <w:proofErr w:type="spellStart"/>
      <w:r w:rsidRPr="00C921A0">
        <w:t>manufacturer’sinstructions</w:t>
      </w:r>
      <w:proofErr w:type="spellEnd"/>
      <w:r w:rsidRPr="00C921A0">
        <w:t xml:space="preserve">. Forward and reverse sequencing reactions were conducted for </w:t>
      </w:r>
      <w:proofErr w:type="spellStart"/>
      <w:r w:rsidRPr="00C921A0">
        <w:t>eachof</w:t>
      </w:r>
      <w:proofErr w:type="spellEnd"/>
      <w:r w:rsidRPr="00C921A0">
        <w:t xml:space="preserve"> the amplified products. The sequencing reaction mixture for 16S rRNA con-</w:t>
      </w:r>
      <w:proofErr w:type="spellStart"/>
      <w:r w:rsidRPr="00C921A0">
        <w:t>sisted</w:t>
      </w:r>
      <w:proofErr w:type="spellEnd"/>
      <w:r w:rsidRPr="00C921A0">
        <w:t xml:space="preserve"> of 10l of </w:t>
      </w:r>
      <w:proofErr w:type="spellStart"/>
      <w:r w:rsidRPr="00C921A0">
        <w:t>MicroSeq</w:t>
      </w:r>
      <w:proofErr w:type="spellEnd"/>
      <w:r w:rsidRPr="00C921A0">
        <w:t xml:space="preserve"> 500 sequencing mix (containing 1.6 </w:t>
      </w:r>
      <w:proofErr w:type="spellStart"/>
      <w:r w:rsidRPr="00C921A0">
        <w:t>pmol</w:t>
      </w:r>
      <w:proofErr w:type="spellEnd"/>
      <w:r w:rsidRPr="00C921A0">
        <w:t xml:space="preserve"> of MSQ-For MSQ-R) primers, 2.9l of molecular-grade water, and 1l of the </w:t>
      </w:r>
      <w:proofErr w:type="spellStart"/>
      <w:r w:rsidRPr="00C921A0">
        <w:t>purifiedPCR</w:t>
      </w:r>
      <w:proofErr w:type="spellEnd"/>
      <w:r>
        <w:t xml:space="preserve"> </w:t>
      </w:r>
      <w:r w:rsidRPr="00C921A0">
        <w:t>product.</w:t>
      </w:r>
      <w:r>
        <w:t xml:space="preserve"> </w:t>
      </w:r>
      <w:r w:rsidRPr="00C921A0">
        <w:t>For</w:t>
      </w:r>
      <w:r>
        <w:t xml:space="preserve"> </w:t>
      </w:r>
      <w:proofErr w:type="spellStart"/>
      <w:r w:rsidRPr="00C921A0">
        <w:t>thetufgene</w:t>
      </w:r>
      <w:proofErr w:type="spellEnd"/>
      <w:r w:rsidRPr="00C921A0">
        <w:t>,</w:t>
      </w:r>
      <w:r>
        <w:t xml:space="preserve"> </w:t>
      </w:r>
      <w:r w:rsidRPr="00C921A0">
        <w:t>sequencing</w:t>
      </w:r>
      <w:r>
        <w:t xml:space="preserve"> </w:t>
      </w:r>
      <w:r w:rsidRPr="00C921A0">
        <w:t>reactions</w:t>
      </w:r>
      <w:r>
        <w:t xml:space="preserve"> </w:t>
      </w:r>
      <w:r w:rsidRPr="00C921A0">
        <w:t>were</w:t>
      </w:r>
      <w:r>
        <w:t xml:space="preserve"> </w:t>
      </w:r>
      <w:r w:rsidRPr="00C921A0">
        <w:t>performed</w:t>
      </w:r>
      <w:r>
        <w:t xml:space="preserve"> </w:t>
      </w:r>
      <w:proofErr w:type="spellStart"/>
      <w:r w:rsidRPr="00C921A0">
        <w:t>usingBigDye</w:t>
      </w:r>
      <w:proofErr w:type="spellEnd"/>
      <w:r w:rsidRPr="00C921A0">
        <w:t xml:space="preserve"> Terminator, version 3.1, reagents (Applied Biosystems Inc., Foster </w:t>
      </w:r>
      <w:proofErr w:type="spellStart"/>
      <w:proofErr w:type="gramStart"/>
      <w:r w:rsidRPr="00C921A0">
        <w:t>City,CA</w:t>
      </w:r>
      <w:proofErr w:type="spellEnd"/>
      <w:proofErr w:type="gramEnd"/>
      <w:r w:rsidRPr="00C921A0">
        <w:t xml:space="preserve">). Briefly, the sequencing reaction mixture consisted of 1l of </w:t>
      </w:r>
      <w:proofErr w:type="spellStart"/>
      <w:r w:rsidRPr="00C921A0">
        <w:t>BigDye</w:t>
      </w:r>
      <w:proofErr w:type="spellEnd"/>
      <w:r w:rsidRPr="00C921A0">
        <w:t xml:space="preserve"> </w:t>
      </w:r>
      <w:proofErr w:type="spellStart"/>
      <w:r w:rsidRPr="00C921A0">
        <w:t>ReadyReaction</w:t>
      </w:r>
      <w:proofErr w:type="spellEnd"/>
      <w:r>
        <w:t xml:space="preserve"> </w:t>
      </w:r>
      <w:r w:rsidRPr="00C921A0">
        <w:t>mix,</w:t>
      </w:r>
      <w:r>
        <w:t xml:space="preserve"> </w:t>
      </w:r>
      <w:r w:rsidRPr="00C921A0">
        <w:t>3.5l</w:t>
      </w:r>
      <w:r>
        <w:t xml:space="preserve"> </w:t>
      </w:r>
      <w:r w:rsidRPr="00C921A0">
        <w:t>of</w:t>
      </w:r>
      <w:r>
        <w:t xml:space="preserve"> </w:t>
      </w:r>
      <w:proofErr w:type="spellStart"/>
      <w:r w:rsidRPr="00C921A0">
        <w:t>BigDye</w:t>
      </w:r>
      <w:proofErr w:type="spellEnd"/>
      <w:r>
        <w:t xml:space="preserve"> </w:t>
      </w:r>
      <w:r w:rsidRPr="00C921A0">
        <w:t>sequencing</w:t>
      </w:r>
      <w:r>
        <w:t xml:space="preserve"> </w:t>
      </w:r>
      <w:r w:rsidRPr="00C921A0">
        <w:t>buffer</w:t>
      </w:r>
      <w:r>
        <w:t xml:space="preserve"> </w:t>
      </w:r>
      <w:r w:rsidRPr="00C921A0">
        <w:t>(5</w:t>
      </w:r>
      <w:r w:rsidRPr="00C921A0">
        <w:separator/>
      </w:r>
      <w:r w:rsidRPr="00C921A0">
        <w:t>)</w:t>
      </w:r>
      <w:r>
        <w:t xml:space="preserve"> </w:t>
      </w:r>
      <w:r w:rsidRPr="00C921A0">
        <w:t>(Applied</w:t>
      </w:r>
      <w:r>
        <w:t xml:space="preserve"> </w:t>
      </w:r>
      <w:proofErr w:type="spellStart"/>
      <w:r w:rsidRPr="00C921A0">
        <w:t>BiosystemsInc</w:t>
      </w:r>
      <w:proofErr w:type="spellEnd"/>
      <w:r w:rsidRPr="00C921A0">
        <w:t xml:space="preserve">.), 1.6l of a 1-pmol primer, 2.9l of molecular-grade water, and 1lofthepurified PCR product; the final reaction volume was 10l. The thermal </w:t>
      </w:r>
      <w:proofErr w:type="spellStart"/>
      <w:r w:rsidRPr="00C921A0">
        <w:t>cyclingconditions</w:t>
      </w:r>
      <w:proofErr w:type="spellEnd"/>
      <w:r w:rsidRPr="00C921A0">
        <w:t xml:space="preserve"> were as follows: 25 cycles of 10 s at 96°C,5sat50°C, and 4 min at60°C.</w:t>
      </w:r>
      <w:r>
        <w:t xml:space="preserve"> </w:t>
      </w:r>
      <w:r w:rsidRPr="00C921A0">
        <w:t>The</w:t>
      </w:r>
      <w:r>
        <w:t xml:space="preserve"> </w:t>
      </w:r>
      <w:r w:rsidRPr="00C921A0">
        <w:t>sequencing</w:t>
      </w:r>
      <w:r>
        <w:t xml:space="preserve"> </w:t>
      </w:r>
      <w:r w:rsidRPr="00C921A0">
        <w:t>products</w:t>
      </w:r>
      <w:r>
        <w:t xml:space="preserve"> </w:t>
      </w:r>
      <w:r w:rsidRPr="00C921A0">
        <w:t>were</w:t>
      </w:r>
      <w:r>
        <w:t xml:space="preserve"> </w:t>
      </w:r>
      <w:r w:rsidRPr="00C921A0">
        <w:t>purified</w:t>
      </w:r>
      <w:r>
        <w:t xml:space="preserve"> </w:t>
      </w:r>
      <w:r w:rsidRPr="00C921A0">
        <w:t>using</w:t>
      </w:r>
      <w:r>
        <w:t xml:space="preserve"> </w:t>
      </w:r>
      <w:r w:rsidRPr="00C921A0">
        <w:t>ethanol–sodium</w:t>
      </w:r>
      <w:r>
        <w:t xml:space="preserve"> </w:t>
      </w:r>
      <w:proofErr w:type="spellStart"/>
      <w:proofErr w:type="gramStart"/>
      <w:r w:rsidRPr="00C921A0">
        <w:t>acetate.Sequencing</w:t>
      </w:r>
      <w:proofErr w:type="spellEnd"/>
      <w:proofErr w:type="gramEnd"/>
      <w:r w:rsidRPr="00C921A0">
        <w:t xml:space="preserve"> reactions were performed on an ABI Prism 3130xl genetic analyzer(Applied Biosystems Inc.) according to the standard automated sequencer pro-</w:t>
      </w:r>
      <w:proofErr w:type="spellStart"/>
      <w:r w:rsidRPr="00C921A0">
        <w:t>tocols</w:t>
      </w:r>
      <w:proofErr w:type="spellEnd"/>
    </w:p>
    <w:sectPr w:rsidR="00C921A0" w:rsidRPr="00AE7E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hn Barlow" w:date="2024-05-28T11:54:00Z" w:initials="JB">
    <w:p w14:paraId="14434D19" w14:textId="77777777" w:rsidR="00464C8C" w:rsidRDefault="00464C8C" w:rsidP="00464C8C">
      <w:pPr>
        <w:pStyle w:val="CommentText"/>
      </w:pPr>
      <w:r>
        <w:rPr>
          <w:rStyle w:val="CommentReference"/>
        </w:rPr>
        <w:annotationRef/>
      </w:r>
      <w:r>
        <w:t xml:space="preserve">This is discussion - you are speculating on the reason </w:t>
      </w:r>
      <w:proofErr w:type="gramStart"/>
      <w:r>
        <w:t>here,</w:t>
      </w:r>
      <w:proofErr w:type="gramEnd"/>
      <w:r>
        <w:t xml:space="preserve"> another reason could be that the teats on these farms are really dirty - although we have those data so that seems less likely.</w:t>
      </w:r>
    </w:p>
  </w:comment>
  <w:comment w:id="5" w:author="John Barlow" w:date="2024-05-28T11:52:00Z" w:initials="JB">
    <w:p w14:paraId="74F1620A" w14:textId="77777777" w:rsidR="00464C8C" w:rsidRDefault="00464C8C" w:rsidP="00464C8C">
      <w:pPr>
        <w:pStyle w:val="CommentText"/>
      </w:pPr>
      <w:r>
        <w:rPr>
          <w:rStyle w:val="CommentReference"/>
        </w:rPr>
        <w:annotationRef/>
      </w:r>
      <w:r>
        <w:t>Is this at the quarter level or at the sample level (i.e., twice the number of quarters sampled)?</w:t>
      </w:r>
    </w:p>
  </w:comment>
  <w:comment w:id="1" w:author="Dufour Simon" w:date="2024-06-05T16:17:00Z" w:initials="SD">
    <w:p w14:paraId="6B4B0F0B" w14:textId="77777777" w:rsidR="00464C8C" w:rsidRDefault="00464C8C" w:rsidP="00464C8C">
      <w:pPr>
        <w:pStyle w:val="CommentText"/>
      </w:pPr>
      <w:r>
        <w:rPr>
          <w:rStyle w:val="CommentReference"/>
        </w:rPr>
        <w:annotationRef/>
      </w:r>
      <w:r>
        <w:t xml:space="preserve">There is also the fact that you did two cultures and concluded on contamination if any of the two had more than 3 phenotypes. </w:t>
      </w:r>
      <w:proofErr w:type="gramStart"/>
      <w:r>
        <w:t>So</w:t>
      </w:r>
      <w:proofErr w:type="gramEnd"/>
      <w:r>
        <w:t xml:space="preserve"> there is a higher probability of calling a sample “contaminated”.</w:t>
      </w:r>
    </w:p>
  </w:comment>
  <w:comment w:id="7" w:author="John Barlow" w:date="2024-05-28T15:58:00Z" w:initials="JB">
    <w:p w14:paraId="4B21BCB2" w14:textId="77777777" w:rsidR="00291C4E" w:rsidRDefault="00291C4E" w:rsidP="00291C4E">
      <w:pPr>
        <w:pStyle w:val="CommentText"/>
      </w:pPr>
      <w:r>
        <w:rPr>
          <w:rStyle w:val="CommentReference"/>
        </w:rPr>
        <w:annotationRef/>
      </w:r>
      <w:r>
        <w:t>From a practical perspective, is it enough to know the SCC and it is a Staph species, and species identification is academic? What is the argument against this perspective?</w:t>
      </w:r>
    </w:p>
  </w:comment>
  <w:comment w:id="10" w:author="Dufour Simon" w:date="2024-06-05T16:49:00Z" w:initials="SD">
    <w:p w14:paraId="6850DB1E" w14:textId="77777777" w:rsidR="00291C4E" w:rsidRDefault="00291C4E" w:rsidP="00291C4E">
      <w:pPr>
        <w:pStyle w:val="CommentText"/>
      </w:pPr>
      <w:r>
        <w:rPr>
          <w:rStyle w:val="CommentReference"/>
        </w:rPr>
        <w:annotationRef/>
      </w:r>
      <w:r>
        <w:t xml:space="preserve">That may be country-dependent. In Canada, all animal diagnostic labs work with MALDI </w:t>
      </w:r>
      <w:proofErr w:type="spellStart"/>
      <w:r>
        <w:t>nowaday</w:t>
      </w:r>
      <w:proofErr w:type="spellEnd"/>
      <w:r>
        <w:t>. It’s because it does save a lot of time (and $) despite its higher initial costs.</w:t>
      </w:r>
    </w:p>
    <w:p w14:paraId="00F301AB" w14:textId="77777777" w:rsidR="00291C4E" w:rsidRDefault="00291C4E" w:rsidP="00291C4E">
      <w:pPr>
        <w:pStyle w:val="CommentText"/>
      </w:pPr>
    </w:p>
    <w:p w14:paraId="0593A297" w14:textId="77777777" w:rsidR="00291C4E" w:rsidRDefault="00291C4E" w:rsidP="00291C4E">
      <w:pPr>
        <w:pStyle w:val="CommentText"/>
      </w:pPr>
      <w:r>
        <w:t>Is this paragraph relevant/essential?</w:t>
      </w:r>
    </w:p>
  </w:comment>
  <w:comment w:id="11" w:author="Caitlin Jeffrey" w:date="2024-06-12T08:56:00Z" w:initials="CJ">
    <w:p w14:paraId="0BD12771" w14:textId="77777777" w:rsidR="00291C4E" w:rsidRDefault="00291C4E" w:rsidP="00291C4E">
      <w:pPr>
        <w:pStyle w:val="CommentText"/>
      </w:pPr>
      <w:r>
        <w:rPr>
          <w:rStyle w:val="CommentReference"/>
        </w:rPr>
        <w:annotationRef/>
      </w:r>
      <w:r>
        <w:t>I think the importance of this paragraph for me was the acknowledgement that my work on species-level information is not super readily applicable for the everyday dairy farmer. Should a different sentence acknowledging this go somewhere else? Can it all just come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434D19" w15:done="0"/>
  <w15:commentEx w15:paraId="74F1620A" w15:done="0"/>
  <w15:commentEx w15:paraId="6B4B0F0B" w15:done="0"/>
  <w15:commentEx w15:paraId="4B21BCB2" w15:done="0"/>
  <w15:commentEx w15:paraId="0593A297" w15:done="0"/>
  <w15:commentEx w15:paraId="0BD12771" w15:paraIdParent="0593A2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004474" w16cex:dateUtc="2024-05-28T15:54:00Z"/>
  <w16cex:commentExtensible w16cex:durableId="2A0043F8" w16cex:dateUtc="2024-05-28T15:52:00Z"/>
  <w16cex:commentExtensible w16cex:durableId="2A007DB7" w16cex:dateUtc="2024-05-28T19:58:00Z"/>
  <w16cex:commentExtensible w16cex:durableId="6F6493E4" w16cex:dateUtc="2024-06-12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434D19" w16cid:durableId="2A004474"/>
  <w16cid:commentId w16cid:paraId="74F1620A" w16cid:durableId="2A0043F8"/>
  <w16cid:commentId w16cid:paraId="6B4B0F0B" w16cid:durableId="2A0B0E1A"/>
  <w16cid:commentId w16cid:paraId="4B21BCB2" w16cid:durableId="2A007DB7"/>
  <w16cid:commentId w16cid:paraId="0593A297" w16cid:durableId="2A0B1594"/>
  <w16cid:commentId w16cid:paraId="0BD12771" w16cid:durableId="6F6493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Barlow">
    <w15:presenceInfo w15:providerId="AD" w15:userId="S::jbarlow@uvm.edu::b53046b6-61b6-47ab-8e6d-5d5abb2a4fdc"/>
  </w15:person>
  <w15:person w15:author="Dufour Simon">
    <w15:presenceInfo w15:providerId="AD" w15:userId="S-1-5-21-2046442738-783573707-16515117-230540"/>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42"/>
    <w:rsid w:val="00291C4E"/>
    <w:rsid w:val="003E6971"/>
    <w:rsid w:val="00464C8C"/>
    <w:rsid w:val="00671E18"/>
    <w:rsid w:val="006D2BB6"/>
    <w:rsid w:val="008800AC"/>
    <w:rsid w:val="0098798D"/>
    <w:rsid w:val="00AE7E42"/>
    <w:rsid w:val="00B5099F"/>
    <w:rsid w:val="00C1029B"/>
    <w:rsid w:val="00C921A0"/>
    <w:rsid w:val="00DA07E0"/>
    <w:rsid w:val="00E20EBD"/>
    <w:rsid w:val="00F1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CDFA"/>
  <w15:chartTrackingRefBased/>
  <w15:docId w15:val="{0438C2AA-90E3-4746-8E55-AF7BC28F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18"/>
    <w:rPr>
      <w:sz w:val="16"/>
      <w:szCs w:val="16"/>
    </w:rPr>
  </w:style>
  <w:style w:type="paragraph" w:styleId="CommentText">
    <w:name w:val="annotation text"/>
    <w:basedOn w:val="Normal"/>
    <w:link w:val="CommentTextChar"/>
    <w:uiPriority w:val="99"/>
    <w:unhideWhenUsed/>
    <w:rsid w:val="00671E18"/>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671E18"/>
    <w:rPr>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10</cp:revision>
  <dcterms:created xsi:type="dcterms:W3CDTF">2022-10-12T12:31:00Z</dcterms:created>
  <dcterms:modified xsi:type="dcterms:W3CDTF">2024-06-13T19:47:00Z</dcterms:modified>
</cp:coreProperties>
</file>