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36"/>
        <w:gridCol w:w="1938"/>
        <w:gridCol w:w="581"/>
        <w:gridCol w:w="585"/>
        <w:gridCol w:w="516"/>
        <w:gridCol w:w="516"/>
        <w:gridCol w:w="517"/>
        <w:gridCol w:w="658"/>
        <w:gridCol w:w="516"/>
        <w:gridCol w:w="508"/>
        <w:gridCol w:w="581"/>
        <w:gridCol w:w="452"/>
        <w:gridCol w:w="452"/>
        <w:gridCol w:w="648"/>
        <w:gridCol w:w="656"/>
      </w:tblGrid>
      <w:tr w:rsidR="000D65CB" w:rsidRPr="0051684F" w14:paraId="21779F1F" w14:textId="77777777" w:rsidTr="00524B83">
        <w:trPr>
          <w:trHeight w:val="870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A852A7" w14:textId="77777777" w:rsidR="000D65CB" w:rsidRPr="0051684F" w:rsidRDefault="000D65CB" w:rsidP="00524B8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69700512"/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Table 1. Quarter-level prevalence of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pathogen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 causing intramammary infections [mean (SD)]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by farm, stratified by facility type. </w:t>
            </w: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 xml:space="preserve">3,332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</w:t>
            </w:r>
            <w:r w:rsidRPr="0051684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uarter-level observations were collected</w:t>
            </w: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 xml:space="preserve"> from </w:t>
            </w:r>
            <w:r w:rsidRPr="0051684F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1,456 quarters belonging to 382 cows</w:t>
            </w: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 xml:space="preserve"> during a longitudinal, cross-sectional observational study of 10 certified organic dairy farms in Vermont (US). A quarter-level prevalence for each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pathogen</w:t>
            </w: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 xml:space="preserve"> causing IMI was calculated for each farm by visit, and represents the percent of sampled quarters infected with a particular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pathogen</w:t>
            </w: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 xml:space="preserve"> over all sampled quarters at risk where IMI status could be determined for that visit. Mean quarter-level prevalence for each farm was then calculated by averaging the quarter-level prevalence over all visits to a particular farm. Mean quarter-level prevalences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pathogen</w:t>
            </w: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 xml:space="preserve">s causing IMI in tiestalls (TS) and bedded packs (BP) were calculated by averaging the values for each of the five TS and BP farms, respectively. The overall quarter-level prevalence for each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pathogen</w:t>
            </w: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 xml:space="preserve"> causing IMI was calculated by averaging the values of all 10 farms.</w:t>
            </w:r>
          </w:p>
        </w:tc>
      </w:tr>
      <w:tr w:rsidR="000D65CB" w:rsidRPr="0051684F" w14:paraId="3039D494" w14:textId="77777777" w:rsidTr="00524B83">
        <w:trPr>
          <w:trHeight w:val="567"/>
        </w:trPr>
        <w:tc>
          <w:tcPr>
            <w:tcW w:w="1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0228F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A879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TS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F815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TS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0F0B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TS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08D9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TS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44377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TS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09BC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TS avg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343EE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BP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5E5DE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BP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4C73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BP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9BC46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BP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97B9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BP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96BB6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BP avg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A021B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Overall</w:t>
            </w:r>
          </w:p>
        </w:tc>
      </w:tr>
      <w:tr w:rsidR="000D65CB" w:rsidRPr="0051684F" w14:paraId="2044B37A" w14:textId="77777777" w:rsidTr="00524B83">
        <w:trPr>
          <w:trHeight w:val="290"/>
        </w:trPr>
        <w:tc>
          <w:tcPr>
            <w:tcW w:w="1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CFD1B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Num. farm visits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A6D40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200EC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35E5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6904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A1D3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F482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0E2F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CF871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ECFF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FD9A5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7B4E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83066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AC35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D65CB" w:rsidRPr="0051684F" w14:paraId="263E4D3C" w14:textId="77777777" w:rsidTr="00524B83">
        <w:trPr>
          <w:trHeight w:val="290"/>
        </w:trPr>
        <w:tc>
          <w:tcPr>
            <w:tcW w:w="1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6251E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Pathogen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causing IMI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AA28D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ACCF7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62673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DFA66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BCED5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A8890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5C537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BC512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40134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F148B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3CB26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5428D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6FB94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0D65CB" w:rsidRPr="0051684F" w14:paraId="4C5ACF0E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C2ED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B3C68E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aureus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01D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 (0.4)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51A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 (0.4)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443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3.9 (0.4)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FC0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 (0.4)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7BE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 (0.1)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FAD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2.8 (1.3)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3DE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 (2.1)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D14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 (1.3)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F69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1.1 (1.3)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02D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1.3 (0.5)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276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(0.5)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96A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4.4 (5.3)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646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 (3.7)</w:t>
            </w:r>
          </w:p>
        </w:tc>
      </w:tr>
      <w:tr w:rsidR="000D65CB" w:rsidRPr="0051684F" w14:paraId="777A8E11" w14:textId="77777777" w:rsidTr="00524B83">
        <w:trPr>
          <w:trHeight w:val="290"/>
        </w:trPr>
        <w:tc>
          <w:tcPr>
            <w:tcW w:w="1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228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6C98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AFE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081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C49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5AA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857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075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319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A00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2AC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8A5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8C5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891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D65CB" w:rsidRPr="0051684F" w14:paraId="32BE1726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91F28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1D1A78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Non-aureus staphylococci and mammaliicocci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98D5EBC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>10.1 (0.3)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7836ED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>19.8 (3.3)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DFF9C3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>24 (1.7)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7D9B9D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>16.2 (2.2)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C78D7C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>21.3 (2.9)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8B9168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>18.3 (5.4)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C5627EF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>28.8 (9.6)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6DE0F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>14.8 (2.3)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C19DF2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>23.7 (1.8)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D5251A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>19.4 (2.4)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FD4EA1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>20.8 (1.5)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BE5DD0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>21.5 (5.2)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21E0E8" w14:textId="77777777" w:rsidR="000D65CB" w:rsidRPr="0051684F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1684F">
              <w:rPr>
                <w:rFonts w:ascii="Times New Roman" w:hAnsi="Times New Roman" w:cs="Times New Roman"/>
                <w:sz w:val="20"/>
                <w:szCs w:val="20"/>
              </w:rPr>
              <w:t>19.9 (5.3)</w:t>
            </w:r>
          </w:p>
        </w:tc>
      </w:tr>
      <w:tr w:rsidR="000D65CB" w:rsidRPr="0051684F" w14:paraId="78334A05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AD1BD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9D1DB3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agnetis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0DE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 (0.2)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3C4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468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9CB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9D2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DE9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(0.8)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6FF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2.3 (1.4)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558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 (0.8)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42F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65A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 (0.1)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924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 (0.1)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DEB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 (0.8)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4D3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 (0.8)</w:t>
            </w:r>
          </w:p>
        </w:tc>
      </w:tr>
      <w:tr w:rsidR="000D65CB" w:rsidRPr="0051684F" w14:paraId="70BD0D76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B9461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684319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auricularis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0B9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B2B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CAD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E60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918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D2F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(0.1)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2F4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F06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033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565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01E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BA8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D56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0.03 (0.1)</w:t>
            </w:r>
          </w:p>
        </w:tc>
      </w:tr>
      <w:tr w:rsidR="000D65CB" w:rsidRPr="0051684F" w14:paraId="1E576E9A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A4C6C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29C15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capitis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AB1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8CE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B4A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C3E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(0.5)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5ED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849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(0.2)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863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E5A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5DF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2FC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33E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7D4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2FB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(0.2)</w:t>
            </w:r>
          </w:p>
        </w:tc>
      </w:tr>
      <w:tr w:rsidR="000D65CB" w:rsidRPr="0051684F" w14:paraId="0EDC646A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3ACBBC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B135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chromogenes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03C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5.9 (0.5)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257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13.5 (2.1)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175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 (1)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8D1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 (1)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A55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14.9 (1)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EF7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11.7 (4.4)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E2A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16.7 (4.4)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D16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 (1.6)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BFA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19.6 (2.1)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267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15.9 (2.2)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7C2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16.8 (0.7)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6ED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15.4 (4.4)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F33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13.6 (4.6)</w:t>
            </w:r>
          </w:p>
        </w:tc>
      </w:tr>
      <w:tr w:rsidR="000D65CB" w:rsidRPr="0051684F" w14:paraId="641914EC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4E02B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18AB29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cohnii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200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A2F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 (0.2)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841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668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4DA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A62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 (0.4)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F46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927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EB6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3C3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B82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035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C8C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(0.3)</w:t>
            </w:r>
          </w:p>
        </w:tc>
      </w:tr>
      <w:tr w:rsidR="000D65CB" w:rsidRPr="0051684F" w14:paraId="5A8B83BC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48145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1FFE3F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devriesei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89F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4CE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 (0.2)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46C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2CF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955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2.1 (0.5)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039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 (0.9)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BC8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1.3 (0.9)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B31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 (0.5)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2BB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0AF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71A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2DC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 (0.6)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90D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(0.8)</w:t>
            </w:r>
          </w:p>
        </w:tc>
      </w:tr>
      <w:tr w:rsidR="000D65CB" w:rsidRPr="0051684F" w14:paraId="4B332B47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49B843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2EAA92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epidermidis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80C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0EB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38D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BE8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889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647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124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FAD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D36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6F4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417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7FA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(0.1)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810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0.03 (0.1)</w:t>
            </w:r>
          </w:p>
        </w:tc>
      </w:tr>
      <w:tr w:rsidR="000D65CB" w:rsidRPr="0051684F" w14:paraId="5C1ED875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01ECF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7AAC3C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equorum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6D1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B9E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 (1.2)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31A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BAC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151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1.2 (0.5)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5CF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 (1.3)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27F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 (0.7)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B7F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A5D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FF2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5C4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D2D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(0.2)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E4D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(1)</w:t>
            </w:r>
          </w:p>
        </w:tc>
      </w:tr>
      <w:tr w:rsidR="000D65CB" w:rsidRPr="0051684F" w14:paraId="1DA524C5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2DDDE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E64D90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Staphylococcus </w:t>
            </w:r>
            <w:proofErr w:type="spellStart"/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gallinarum</w:t>
            </w:r>
            <w:proofErr w:type="spellEnd"/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64D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F8D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82E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011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391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765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82B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 (0.6)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EA3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FE8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544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470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F79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(0.3)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5B3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(0.2)</w:t>
            </w:r>
          </w:p>
        </w:tc>
      </w:tr>
      <w:tr w:rsidR="000D65CB" w:rsidRPr="0051684F" w14:paraId="3EF7978F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0555B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578250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haemolyticus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136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 (0.1)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1B5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03A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1.1 (0.5)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5EF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1.6 (0.1)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8F3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B28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 (0.7)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C44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 (1.2)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D28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2.9 (0.5)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72E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 (0.4)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795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 (0.1)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BB8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 (0.9)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D10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2.2 (1.3)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FE9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1.5 (1.2)</w:t>
            </w:r>
          </w:p>
        </w:tc>
      </w:tr>
      <w:tr w:rsidR="000D65CB" w:rsidRPr="0051684F" w14:paraId="1337EA12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E2556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6B2CA8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hominis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0FC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608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760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CEB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636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43B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(0.1)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55C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261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FB1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B16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FB1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511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3DA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0.03 (0.1)</w:t>
            </w:r>
          </w:p>
        </w:tc>
      </w:tr>
      <w:tr w:rsidR="000D65CB" w:rsidRPr="0051684F" w14:paraId="29C6C281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B6E4F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63A843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hyicus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EAD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B4B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80F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 (0.03)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24D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7D9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AF4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 (0.4)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F5F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968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 (0.5)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F4F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96A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717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C92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 (0.3)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7DB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 (0.3)</w:t>
            </w:r>
          </w:p>
        </w:tc>
      </w:tr>
      <w:tr w:rsidR="000D65CB" w:rsidRPr="0051684F" w14:paraId="6F531FC5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08D5A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DBA245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Staphylococcus </w:t>
            </w:r>
            <w:proofErr w:type="spellStart"/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pseudintermedius</w:t>
            </w:r>
            <w:proofErr w:type="spellEnd"/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EC1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CD1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 (0.2)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6F7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FCF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0F0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73E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 (0.4)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8E9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E69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D71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7BF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F70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10E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F79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(0.3)</w:t>
            </w:r>
          </w:p>
        </w:tc>
      </w:tr>
      <w:tr w:rsidR="000D65CB" w:rsidRPr="0051684F" w14:paraId="34EB33AE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6AB52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175237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saprophyticus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D14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C38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7AE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77E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3C9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7A1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(0.1)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D39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39A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982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C32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699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799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494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0.03 (0.1)</w:t>
            </w:r>
          </w:p>
        </w:tc>
      </w:tr>
      <w:tr w:rsidR="000D65CB" w:rsidRPr="0051684F" w14:paraId="1B8CAF89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A77B9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3FC20E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simulans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88B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 (0.1)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01F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413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 (0.9)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731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 (0.2)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BF8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8D7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1.5 (1.7)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C58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2.4 (0.04)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A7D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5D6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 (0.05)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667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 (0.1)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2E5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1.4 (0.5)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69A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1.1 (0.9)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B4B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1.3 (1.3)</w:t>
            </w:r>
          </w:p>
        </w:tc>
      </w:tr>
      <w:tr w:rsidR="000D65CB" w:rsidRPr="0051684F" w14:paraId="72503E02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6EE50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616134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succinus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08B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516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CEB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0F9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9D7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01D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96B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671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B6A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85B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E35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933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(0.1)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BD4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0.03 (0.1)</w:t>
            </w:r>
          </w:p>
        </w:tc>
      </w:tr>
      <w:tr w:rsidR="000D65CB" w:rsidRPr="0051684F" w14:paraId="49CD8736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7BE41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FA69E7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warneri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95C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3C2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635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2.5 (0.1)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B88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1.6 (0.1)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19C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3E7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 (1.2)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E8A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1.6 (0.8)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C93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796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302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D3F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654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(0.7)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1CC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 (1)</w:t>
            </w:r>
          </w:p>
        </w:tc>
      </w:tr>
      <w:tr w:rsidR="000D65CB" w:rsidRPr="0051684F" w14:paraId="71037F14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8EDB1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539FA6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Staphylococcus xylosus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A95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B9E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0B4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D6D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1FD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1.2 (0.5)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7EB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 (0.5)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6B5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537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(0.6)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409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CA5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 (0.1)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329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 (0.1)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527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(0.4)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066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</w:tr>
      <w:tr w:rsidR="000D65CB" w:rsidRPr="0051684F" w14:paraId="557A3128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F094B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8452CB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Mammaliicoccus </w:t>
            </w:r>
            <w:proofErr w:type="spellStart"/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fleurettii</w:t>
            </w:r>
            <w:proofErr w:type="spellEnd"/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19B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CDB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5EE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04E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F4F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 (0.9)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D33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 (0.4)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C2C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EF5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507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D51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014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57B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8C7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(0.3)</w:t>
            </w:r>
          </w:p>
        </w:tc>
      </w:tr>
      <w:tr w:rsidR="000D65CB" w:rsidRPr="0051684F" w14:paraId="5CF19AB4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C9E67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15C237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Mammaliicoccus sciuri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87E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880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7B3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CA0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AC4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16A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(0.2)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219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9F4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2ED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5D6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D87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035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B2F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(0.1)</w:t>
            </w:r>
          </w:p>
        </w:tc>
      </w:tr>
      <w:tr w:rsidR="000D65CB" w:rsidRPr="0051684F" w14:paraId="10FBDCB3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8E2E7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B586E5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Mammaliicoccus </w:t>
            </w:r>
            <w:proofErr w:type="spellStart"/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vitilinus</w:t>
            </w:r>
            <w:proofErr w:type="spellEnd"/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C3E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3E0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36F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5F9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782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0DC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(0.1)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E7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0DC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57C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CBF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09A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7C5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21F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0.03 (0.1)</w:t>
            </w:r>
          </w:p>
        </w:tc>
      </w:tr>
      <w:tr w:rsidR="000D65CB" w:rsidRPr="0051684F" w14:paraId="42E06BFD" w14:textId="77777777" w:rsidTr="00524B83">
        <w:trPr>
          <w:trHeight w:val="135"/>
        </w:trPr>
        <w:tc>
          <w:tcPr>
            <w:tcW w:w="1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872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ECD7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DAF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B81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E2D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D49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317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CFC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5FC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48E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AA7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8E9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F82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328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D65CB" w:rsidRPr="0051684F" w14:paraId="4AC99490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9BA7FF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88A85F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Streptococcus </w:t>
            </w:r>
            <w:proofErr w:type="spellStart"/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dysgalactiae</w:t>
            </w:r>
            <w:proofErr w:type="spellEnd"/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09F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578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4.5 (2.5)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516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1.4 (0.5)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ABF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 (0.05)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4B9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B02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1.3 (1.9)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A3C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3B8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1.5 (0.5)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225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 (0.9)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AF3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458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E0E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(0.7)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DDF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 (1.4)</w:t>
            </w:r>
          </w:p>
        </w:tc>
      </w:tr>
      <w:tr w:rsidR="000D65CB" w:rsidRPr="0051684F" w14:paraId="7CCA676D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542DD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2D701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Streptococcus </w:t>
            </w:r>
            <w:proofErr w:type="spellStart"/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uberis</w:t>
            </w:r>
            <w:proofErr w:type="spellEnd"/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F61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 (0.1)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8B9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5.6 (0.5)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8CE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4.7 (0.6)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2F1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2.5 (0.1)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6A6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 (0.1)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45A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2.9 (2.1)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3B3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 (1.2)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5AB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3.9 (2.1)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0A3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2.6 (0.9)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348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 (0.6)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EB1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 (0.8)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05A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 (1.8)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18E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 (1.9)</w:t>
            </w:r>
          </w:p>
        </w:tc>
      </w:tr>
      <w:tr w:rsidR="000D65CB" w:rsidRPr="0051684F" w14:paraId="03F17A17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EB70E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F19B09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Aerococcus</w:t>
            </w:r>
            <w:proofErr w:type="spellEnd"/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spp.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1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60F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 (0.9)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B70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 (1)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8D3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 (1)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2C8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(0.9)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F27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744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 (0.2)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B8B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1.6 (2.8)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EDB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1.3 (1.9)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756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723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8F9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1.8 (1.9)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0F2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 (0.8)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A0A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 (0.6)</w:t>
            </w:r>
          </w:p>
        </w:tc>
      </w:tr>
      <w:tr w:rsidR="000D65CB" w:rsidRPr="0051684F" w14:paraId="6F8209A0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574E8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C2DD18" w14:textId="77777777" w:rsidR="000D65CB" w:rsidRPr="00FA10EE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O</w:t>
            </w: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ther </w:t>
            </w:r>
            <w:r w:rsidRPr="00FA10E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streptococcal and streptococcal-like organisms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C26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C2D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073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1FD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860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64E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(0.1)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EE4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 (0.7)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A17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(0.6)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0D6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(0.9)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AF0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DF5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 (0.8)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802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(0.3)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C59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(0.3)</w:t>
            </w:r>
          </w:p>
        </w:tc>
      </w:tr>
      <w:tr w:rsidR="000D65CB" w:rsidRPr="0051684F" w14:paraId="7BC1CD39" w14:textId="77777777" w:rsidTr="00524B83">
        <w:trPr>
          <w:trHeight w:val="126"/>
        </w:trPr>
        <w:tc>
          <w:tcPr>
            <w:tcW w:w="1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8270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F52A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251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006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8AF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4F5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F23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809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260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7F5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E6E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119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606C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0B6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D65CB" w:rsidRPr="0051684F" w14:paraId="3FA1F8A8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EAF213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55B22C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Corynebacterium</w:t>
            </w: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spp.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3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11B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 (2.7)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30C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8.4 (2.3)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556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1.9 (1)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333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1.1 (0.9)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C20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B32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 (3.2)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B25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 (4.7)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A50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12.1 (6.3)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DD9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0B7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 (0.6)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F35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7C7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 (5.2)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BB7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 (4.1)</w:t>
            </w:r>
          </w:p>
        </w:tc>
      </w:tr>
      <w:tr w:rsidR="000D65CB" w:rsidRPr="0051684F" w14:paraId="015302B6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D2DDB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6508D2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proofErr w:type="spellStart"/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Kocuria</w:t>
            </w:r>
            <w:proofErr w:type="spellEnd"/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spp.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4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271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1.5 (1.8)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B68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7D8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1.4 (1.3)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92B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(0.9)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5AE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9F6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 (0.6)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BE1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(0.9)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F88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863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 (1.5)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119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B1F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1DB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(0.4)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B10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(0.6)</w:t>
            </w:r>
          </w:p>
        </w:tc>
      </w:tr>
      <w:tr w:rsidR="000D65CB" w:rsidRPr="0051684F" w14:paraId="7A335F73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BC26E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7EDD48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Other gram-positive bacteria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EC6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 (0.1)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C55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 (0.7)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94F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(0.5)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930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 (0.8)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88C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 (1)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F3B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 (0.2)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AC3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(0.5)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9F2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2.4 (1.4)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773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21B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1.3 (0.7)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48A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(0.5)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AF5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 (0.9)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B4E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 (0.7)</w:t>
            </w:r>
          </w:p>
        </w:tc>
      </w:tr>
      <w:tr w:rsidR="000D65CB" w:rsidRPr="0051684F" w14:paraId="2890DC7D" w14:textId="77777777" w:rsidTr="00524B83">
        <w:trPr>
          <w:trHeight w:val="290"/>
        </w:trPr>
        <w:tc>
          <w:tcPr>
            <w:tcW w:w="1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E1A9B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19A9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35E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7EC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9A0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B55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B5C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36F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66A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AC0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EF8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989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639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D70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D65CB" w:rsidRPr="0051684F" w14:paraId="5451C8FA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777CF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6C1638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Coliforms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5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29E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484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937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AF0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1408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6B5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(0.1)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F34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8CD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1.3 (0.5)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F2F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1.4 (1.3)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C5E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(0.6)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C0A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CEC9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 (0.7)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B6E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(0.6)</w:t>
            </w:r>
          </w:p>
        </w:tc>
      </w:tr>
      <w:tr w:rsidR="000D65CB" w:rsidRPr="0051684F" w14:paraId="054BC10D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80698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41E503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Other gram-negative bacteria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7E3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 (1)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649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 (0.2)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CA4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E20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(0.5)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3D7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 (0.5)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5E0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 (0.4)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94F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118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 (1)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AE8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2B2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 (1.2)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826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D65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 (0.4)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F72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0.5 (0.4)</w:t>
            </w:r>
          </w:p>
        </w:tc>
      </w:tr>
      <w:tr w:rsidR="000D65CB" w:rsidRPr="0051684F" w14:paraId="708C88C5" w14:textId="77777777" w:rsidTr="00524B83">
        <w:trPr>
          <w:trHeight w:val="290"/>
        </w:trPr>
        <w:tc>
          <w:tcPr>
            <w:tcW w:w="114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9C034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5260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EB4B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5B7D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8992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AAF7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8233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A867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7B5D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9A0B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6A31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BD9B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BB0D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B019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D65CB" w:rsidRPr="0051684F" w14:paraId="1506AD9C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7D7AA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C97663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Candida rugosa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A7C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5CA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81A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A6F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E2EC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354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B6F5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 (0.7)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C5A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3EE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EB1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0D8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C52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(0.2)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91A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0.04 (0.1)</w:t>
            </w:r>
          </w:p>
        </w:tc>
      </w:tr>
      <w:tr w:rsidR="000D65CB" w:rsidRPr="0051684F" w14:paraId="54559785" w14:textId="77777777" w:rsidTr="00524B83">
        <w:trPr>
          <w:trHeight w:val="290"/>
        </w:trPr>
        <w:tc>
          <w:tcPr>
            <w:tcW w:w="1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EF4A4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C0F8B" w14:textId="77777777" w:rsidR="000D65CB" w:rsidRPr="00AC6D10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Unable to be identified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2AC6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E19F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559E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 (0.5)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8BD3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208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A7A7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 (0.1)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70C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9A11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64FB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ACC0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2B1A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46C2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50CD" w14:textId="77777777" w:rsidR="000D65CB" w:rsidRPr="00AC6D10" w:rsidRDefault="000D65CB" w:rsidP="00524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0.03 (0.1)</w:t>
            </w:r>
          </w:p>
        </w:tc>
      </w:tr>
      <w:tr w:rsidR="000D65CB" w:rsidRPr="0051684F" w14:paraId="67FA7D6E" w14:textId="77777777" w:rsidTr="00524B83">
        <w:trPr>
          <w:trHeight w:val="290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2BB5B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 xml:space="preserve">1 </w:t>
            </w:r>
            <w:proofErr w:type="spellStart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Aerococcus</w:t>
            </w:r>
            <w:proofErr w:type="spellEnd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(genus-level identification only)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Aerococcus</w:t>
            </w:r>
            <w:proofErr w:type="spellEnd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viridans</w:t>
            </w:r>
            <w:proofErr w:type="spellEnd"/>
          </w:p>
        </w:tc>
      </w:tr>
      <w:tr w:rsidR="000D65CB" w:rsidRPr="0051684F" w14:paraId="2615BCBF" w14:textId="77777777" w:rsidTr="00524B83">
        <w:trPr>
          <w:trHeight w:val="290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ACA0B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O</w:t>
            </w:r>
            <w:r w:rsidRPr="00AC6D10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ther </w:t>
            </w:r>
            <w:r w:rsidRPr="00FA10E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streptococcal and streptococcal-like organisms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not listed separately: </w:t>
            </w:r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Streptococcus 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</w:t>
            </w:r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(genus-level identification only)</w:t>
            </w:r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, Streptococcus </w:t>
            </w:r>
            <w:proofErr w:type="spellStart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canis</w:t>
            </w:r>
            <w:proofErr w:type="spellEnd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, Enterococcus </w:t>
            </w:r>
            <w:proofErr w:type="spellStart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saccharolyticus</w:t>
            </w:r>
            <w:proofErr w:type="spellEnd"/>
          </w:p>
        </w:tc>
      </w:tr>
      <w:tr w:rsidR="000D65CB" w:rsidRPr="0051684F" w14:paraId="57411C05" w14:textId="77777777" w:rsidTr="00524B83">
        <w:trPr>
          <w:trHeight w:val="290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6C06F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3</w:t>
            </w:r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Corynebacterium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sp.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(genus-level identification only)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C. </w:t>
            </w:r>
            <w:proofErr w:type="spellStart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amycolatum</w:t>
            </w:r>
            <w:proofErr w:type="spellEnd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, C. </w:t>
            </w:r>
            <w:proofErr w:type="spellStart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callunae</w:t>
            </w:r>
            <w:proofErr w:type="spellEnd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, C. casei, C. </w:t>
            </w:r>
            <w:proofErr w:type="spellStart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confusum</w:t>
            </w:r>
            <w:proofErr w:type="spellEnd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, C. </w:t>
            </w:r>
            <w:proofErr w:type="spellStart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glutamicum</w:t>
            </w:r>
            <w:proofErr w:type="spellEnd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, C. </w:t>
            </w:r>
            <w:proofErr w:type="spellStart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stationis</w:t>
            </w:r>
            <w:proofErr w:type="spellEnd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, C. </w:t>
            </w:r>
            <w:proofErr w:type="spellStart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ulcerans</w:t>
            </w:r>
            <w:proofErr w:type="spellEnd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, C. </w:t>
            </w:r>
            <w:proofErr w:type="spellStart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variabile</w:t>
            </w:r>
            <w:proofErr w:type="spellEnd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, C. xerosis</w:t>
            </w:r>
          </w:p>
        </w:tc>
      </w:tr>
      <w:tr w:rsidR="000D65CB" w:rsidRPr="0051684F" w14:paraId="6ACE58C1" w14:textId="77777777" w:rsidTr="00524B83">
        <w:trPr>
          <w:trHeight w:val="290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CC068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>4</w:t>
            </w:r>
            <w:r w:rsidRPr="005168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684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</w:t>
            </w:r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ocuria</w:t>
            </w:r>
            <w:proofErr w:type="spellEnd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(genus-level identification only)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Kocuria</w:t>
            </w:r>
            <w:proofErr w:type="spellEnd"/>
            <w:r w:rsidRPr="005168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carniphila</w:t>
            </w:r>
            <w:proofErr w:type="spellEnd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Kocuria</w:t>
            </w:r>
            <w:proofErr w:type="spellEnd"/>
            <w:r w:rsidRPr="0051684F">
              <w:rPr>
                <w:rFonts w:ascii="Times New Roman" w:hAnsi="Times New Roman" w:cs="Times New Roman"/>
              </w:rPr>
              <w:t xml:space="preserve"> </w:t>
            </w:r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palustris</w:t>
            </w:r>
          </w:p>
        </w:tc>
      </w:tr>
      <w:tr w:rsidR="000D65CB" w:rsidRPr="0051684F" w14:paraId="0A8269C4" w14:textId="77777777" w:rsidTr="00524B83">
        <w:trPr>
          <w:trHeight w:val="290"/>
        </w:trPr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2FD170" w14:textId="77777777" w:rsidR="000D65CB" w:rsidRPr="0051684F" w:rsidRDefault="000D65CB" w:rsidP="00524B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</w:pP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14:ligatures w14:val="none"/>
              </w:rPr>
              <w:t xml:space="preserve">5 </w:t>
            </w:r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Enterobacter 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sp.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(genus-level identification only)</w:t>
            </w:r>
            <w:r w:rsidRPr="0051684F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Escherichia coli, Klebsiella aerogenes, Klebsiella pneumoniae,</w:t>
            </w:r>
            <w:r w:rsidRPr="0051684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K</w:t>
            </w:r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lebsiella </w:t>
            </w:r>
            <w:proofErr w:type="spellStart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variicola</w:t>
            </w:r>
            <w:proofErr w:type="spellEnd"/>
            <w:r w:rsidRPr="0051684F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, Serratia marcescens</w:t>
            </w:r>
          </w:p>
        </w:tc>
      </w:tr>
      <w:bookmarkEnd w:id="0"/>
    </w:tbl>
    <w:p w14:paraId="6B21ED88" w14:textId="77777777" w:rsidR="00B003CB" w:rsidRDefault="00B003CB"/>
    <w:sectPr w:rsidR="00B0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CB"/>
    <w:rsid w:val="000D65CB"/>
    <w:rsid w:val="00B003CB"/>
    <w:rsid w:val="00F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AC6F"/>
  <w15:chartTrackingRefBased/>
  <w15:docId w15:val="{8AA9B9EB-81D8-4190-8E00-75F7C9FB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</cp:revision>
  <dcterms:created xsi:type="dcterms:W3CDTF">2024-06-27T19:51:00Z</dcterms:created>
  <dcterms:modified xsi:type="dcterms:W3CDTF">2024-06-27T19:52:00Z</dcterms:modified>
</cp:coreProperties>
</file>