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BBBA" w14:textId="77777777" w:rsidR="00CD7D7E" w:rsidRDefault="00CD7D7E" w:rsidP="001F6C16">
      <w:pPr>
        <w:spacing w:line="480" w:lineRule="auto"/>
        <w:ind w:left="720" w:hanging="360"/>
        <w:jc w:val="both"/>
      </w:pPr>
    </w:p>
    <w:p w14:paraId="715C7DA8" w14:textId="2DF1DA86" w:rsidR="00CD7D7E" w:rsidRPr="00CD7D7E" w:rsidRDefault="00CD7D7E" w:rsidP="001F6C16">
      <w:pPr>
        <w:pStyle w:val="ListParagraph"/>
        <w:numPr>
          <w:ilvl w:val="0"/>
          <w:numId w:val="7"/>
        </w:numPr>
        <w:spacing w:line="480" w:lineRule="auto"/>
        <w:jc w:val="both"/>
        <w:rPr>
          <w:bCs/>
          <w:i/>
          <w:iCs/>
        </w:rPr>
      </w:pPr>
      <w:r w:rsidRPr="00CD7D7E">
        <w:rPr>
          <w:bCs/>
          <w:i/>
          <w:iCs/>
        </w:rPr>
        <w:t>https://www.jdscommun.org/pb-assets/Health%20Advance/journals/jdsc/JDSC-Long-IFORA-Mar2023-1678716091670.pdf</w:t>
      </w:r>
    </w:p>
    <w:p w14:paraId="124F0F5C" w14:textId="2B1B1824" w:rsidR="007670F6" w:rsidRPr="007670F6" w:rsidRDefault="007670F6" w:rsidP="007670F6">
      <w:pPr>
        <w:pStyle w:val="ListParagraph"/>
        <w:numPr>
          <w:ilvl w:val="0"/>
          <w:numId w:val="7"/>
        </w:numPr>
        <w:spacing w:line="480" w:lineRule="auto"/>
        <w:jc w:val="both"/>
        <w:rPr>
          <w:bCs/>
          <w:i/>
          <w:iCs/>
        </w:rPr>
      </w:pPr>
      <w:r w:rsidRPr="007670F6">
        <w:rPr>
          <w:bCs/>
          <w:i/>
          <w:iCs/>
        </w:rPr>
        <w:t>5 pages composed (approximately</w:t>
      </w:r>
      <w:r>
        <w:rPr>
          <w:bCs/>
          <w:i/>
          <w:iCs/>
        </w:rPr>
        <w:t xml:space="preserve"> </w:t>
      </w:r>
      <w:r w:rsidRPr="007670F6">
        <w:rPr>
          <w:bCs/>
          <w:i/>
          <w:iCs/>
        </w:rPr>
        <w:t>5,000 words or 30,000 keystrokes</w:t>
      </w:r>
    </w:p>
    <w:p w14:paraId="47EED848" w14:textId="19CAC0B1" w:rsidR="001F6C16" w:rsidRPr="00CD7D7E" w:rsidRDefault="001F6C16" w:rsidP="001F6C16">
      <w:pPr>
        <w:pStyle w:val="ListParagraph"/>
        <w:numPr>
          <w:ilvl w:val="0"/>
          <w:numId w:val="7"/>
        </w:numPr>
        <w:spacing w:line="480" w:lineRule="auto"/>
        <w:jc w:val="both"/>
        <w:rPr>
          <w:bCs/>
          <w:i/>
          <w:iCs/>
        </w:rPr>
      </w:pPr>
      <w:r w:rsidRPr="00CD7D7E">
        <w:rPr>
          <w:bCs/>
          <w:i/>
          <w:iCs/>
        </w:rPr>
        <w:t>Supplemental data files not accepted</w:t>
      </w:r>
    </w:p>
    <w:p w14:paraId="23862D05" w14:textId="0CF6C642" w:rsidR="001F6C16" w:rsidRPr="00CD7D7E" w:rsidRDefault="001F6C16" w:rsidP="001F6C16">
      <w:pPr>
        <w:pStyle w:val="ListParagraph"/>
        <w:numPr>
          <w:ilvl w:val="0"/>
          <w:numId w:val="7"/>
        </w:numPr>
        <w:spacing w:line="480" w:lineRule="auto"/>
        <w:jc w:val="both"/>
        <w:rPr>
          <w:bCs/>
          <w:i/>
          <w:iCs/>
        </w:rPr>
      </w:pPr>
      <w:r w:rsidRPr="00CD7D7E">
        <w:rPr>
          <w:bCs/>
          <w:i/>
          <w:iCs/>
        </w:rPr>
        <w:t>No more than 3 references needed to support a specific concept</w:t>
      </w:r>
    </w:p>
    <w:p w14:paraId="5CF7CB5C" w14:textId="353D44CA" w:rsidR="00BD53FF" w:rsidRPr="00CD7D7E" w:rsidRDefault="00BD53FF" w:rsidP="001F6C16">
      <w:pPr>
        <w:pStyle w:val="ListParagraph"/>
        <w:numPr>
          <w:ilvl w:val="0"/>
          <w:numId w:val="7"/>
        </w:numPr>
        <w:spacing w:line="480" w:lineRule="auto"/>
        <w:jc w:val="both"/>
        <w:rPr>
          <w:bCs/>
          <w:i/>
          <w:iCs/>
        </w:rPr>
      </w:pPr>
      <w:r w:rsidRPr="00CD7D7E">
        <w:rPr>
          <w:bCs/>
          <w:i/>
          <w:iCs/>
        </w:rPr>
        <w:t>Maximum of 3 tables or figures</w:t>
      </w:r>
      <w:r w:rsidR="008D2C67" w:rsidRPr="00CD7D7E">
        <w:rPr>
          <w:bCs/>
          <w:i/>
          <w:iCs/>
        </w:rPr>
        <w:t>; maximum size is one half page for any table or figure</w:t>
      </w:r>
      <w:r w:rsidR="00977549" w:rsidRPr="00CD7D7E">
        <w:rPr>
          <w:bCs/>
          <w:i/>
          <w:iCs/>
        </w:rPr>
        <w:t xml:space="preserve">. If total space occupied by figure and tables exceeds 1.5 pages, </w:t>
      </w:r>
      <w:r w:rsidR="001611B7" w:rsidRPr="00CD7D7E">
        <w:rPr>
          <w:bCs/>
          <w:i/>
          <w:iCs/>
        </w:rPr>
        <w:t>word count needs to be reduced accordingly (~500 words per half page)</w:t>
      </w:r>
    </w:p>
    <w:p w14:paraId="6506194D" w14:textId="4627900C" w:rsidR="001611B7" w:rsidRPr="00CD7D7E" w:rsidRDefault="001611B7" w:rsidP="001F6C16">
      <w:pPr>
        <w:pStyle w:val="ListParagraph"/>
        <w:numPr>
          <w:ilvl w:val="0"/>
          <w:numId w:val="7"/>
        </w:numPr>
        <w:spacing w:line="480" w:lineRule="auto"/>
        <w:jc w:val="both"/>
        <w:rPr>
          <w:bCs/>
          <w:i/>
          <w:iCs/>
        </w:rPr>
      </w:pPr>
      <w:r w:rsidRPr="00CD7D7E">
        <w:rPr>
          <w:bCs/>
          <w:i/>
          <w:iCs/>
        </w:rPr>
        <w:t>Tables should be “self-explanatory</w:t>
      </w:r>
      <w:r w:rsidR="007E4BDB" w:rsidRPr="00CD7D7E">
        <w:rPr>
          <w:bCs/>
          <w:i/>
          <w:iCs/>
        </w:rPr>
        <w:t xml:space="preserve"> and understandable without excessive reference to the text.” Must be prepared using table feature in Word (boooooo)</w:t>
      </w:r>
    </w:p>
    <w:p w14:paraId="15E46645" w14:textId="03A5DC6C" w:rsidR="007E4BDB" w:rsidRPr="00CD7D7E" w:rsidRDefault="000E1390" w:rsidP="000E1390">
      <w:pPr>
        <w:pStyle w:val="ListParagraph"/>
        <w:numPr>
          <w:ilvl w:val="0"/>
          <w:numId w:val="7"/>
        </w:numPr>
        <w:spacing w:line="480" w:lineRule="auto"/>
        <w:jc w:val="both"/>
        <w:rPr>
          <w:bCs/>
          <w:i/>
          <w:iCs/>
        </w:rPr>
      </w:pPr>
      <w:r w:rsidRPr="00CD7D7E">
        <w:rPr>
          <w:bCs/>
          <w:i/>
          <w:iCs/>
        </w:rPr>
        <w:t>Prepare figures at final size for publication. Figures</w:t>
      </w:r>
      <w:r w:rsidRPr="00CD7D7E">
        <w:rPr>
          <w:bCs/>
          <w:i/>
          <w:iCs/>
        </w:rPr>
        <w:t xml:space="preserve"> </w:t>
      </w:r>
      <w:r w:rsidRPr="00CD7D7E">
        <w:rPr>
          <w:bCs/>
          <w:i/>
          <w:iCs/>
        </w:rPr>
        <w:t>should be sized to fit one column (8.9 cm wide), 2 columns (14 cm wide), or full-page width (19 cm wide).</w:t>
      </w:r>
    </w:p>
    <w:p w14:paraId="000DBB78" w14:textId="4529547B" w:rsidR="0075498B" w:rsidRPr="00CD7D7E" w:rsidRDefault="0075498B" w:rsidP="000E1390">
      <w:pPr>
        <w:pStyle w:val="ListParagraph"/>
        <w:numPr>
          <w:ilvl w:val="0"/>
          <w:numId w:val="7"/>
        </w:numPr>
        <w:spacing w:line="480" w:lineRule="auto"/>
        <w:jc w:val="both"/>
        <w:rPr>
          <w:bCs/>
          <w:i/>
          <w:iCs/>
        </w:rPr>
      </w:pPr>
      <w:r w:rsidRPr="00CD7D7E">
        <w:rPr>
          <w:bCs/>
          <w:i/>
          <w:iCs/>
        </w:rPr>
        <w:t>Ensure that all type within the figure and axis labels is readable at final publication size. The font size should be proportional to the overall size of the figure (within a range of 8 to 12 points at final publication size). For best readability, use Helvetica, Times New Roman, Arial, and the symbols palette within those fonts to annotate and label figures. Minimum resolution is 600 dpi for grayscale and color figures, and 1,200 dpi for line art</w:t>
      </w:r>
    </w:p>
    <w:p w14:paraId="7C6CECF1" w14:textId="7CD5627F" w:rsidR="00903963" w:rsidRPr="00CD7D7E" w:rsidRDefault="00903963" w:rsidP="00903963">
      <w:pPr>
        <w:pStyle w:val="ListParagraph"/>
        <w:numPr>
          <w:ilvl w:val="0"/>
          <w:numId w:val="7"/>
        </w:numPr>
        <w:spacing w:line="480" w:lineRule="auto"/>
        <w:jc w:val="both"/>
        <w:rPr>
          <w:bCs/>
          <w:i/>
          <w:iCs/>
        </w:rPr>
      </w:pPr>
      <w:r w:rsidRPr="00CD7D7E">
        <w:rPr>
          <w:bCs/>
          <w:i/>
          <w:iCs/>
        </w:rPr>
        <w:t>Adequate reporting may require only (1) the number</w:t>
      </w:r>
      <w:r w:rsidRPr="00CD7D7E">
        <w:rPr>
          <w:bCs/>
          <w:i/>
          <w:iCs/>
        </w:rPr>
        <w:t xml:space="preserve"> </w:t>
      </w:r>
      <w:r w:rsidRPr="00CD7D7E">
        <w:rPr>
          <w:bCs/>
          <w:i/>
          <w:iCs/>
        </w:rPr>
        <w:t>of observations, (2) arithmetic treatment means, and</w:t>
      </w:r>
      <w:r w:rsidRPr="00CD7D7E">
        <w:rPr>
          <w:bCs/>
          <w:i/>
          <w:iCs/>
        </w:rPr>
        <w:t xml:space="preserve"> </w:t>
      </w:r>
      <w:r w:rsidRPr="00CD7D7E">
        <w:rPr>
          <w:bCs/>
          <w:i/>
          <w:iCs/>
        </w:rPr>
        <w:t>(3) an estimate of experimental error.</w:t>
      </w:r>
    </w:p>
    <w:p w14:paraId="0A02DFDA" w14:textId="1B81BEA3" w:rsidR="006B0081" w:rsidRPr="00CD7D7E" w:rsidRDefault="006B0081" w:rsidP="00903963">
      <w:pPr>
        <w:pStyle w:val="ListParagraph"/>
        <w:numPr>
          <w:ilvl w:val="0"/>
          <w:numId w:val="7"/>
        </w:numPr>
        <w:spacing w:line="480" w:lineRule="auto"/>
        <w:jc w:val="both"/>
        <w:rPr>
          <w:bCs/>
          <w:i/>
          <w:iCs/>
        </w:rPr>
      </w:pPr>
      <w:r w:rsidRPr="00CD7D7E">
        <w:rPr>
          <w:bCs/>
          <w:i/>
          <w:iCs/>
        </w:rPr>
        <w:t>The observed significance level (e.g., P = 0.03) should be presented rather than merely P &lt; 0.05 or P &lt; 0.01, thereby allowing the reader to decide what to reject</w:t>
      </w:r>
    </w:p>
    <w:p w14:paraId="52335CFA" w14:textId="1A7AA4B9" w:rsidR="00983C54" w:rsidRPr="00CD7D7E" w:rsidRDefault="00983C54" w:rsidP="00903963">
      <w:pPr>
        <w:pStyle w:val="ListParagraph"/>
        <w:numPr>
          <w:ilvl w:val="0"/>
          <w:numId w:val="7"/>
        </w:numPr>
        <w:spacing w:line="480" w:lineRule="auto"/>
        <w:jc w:val="both"/>
        <w:rPr>
          <w:bCs/>
          <w:i/>
          <w:iCs/>
        </w:rPr>
      </w:pPr>
      <w:r w:rsidRPr="00CD7D7E">
        <w:rPr>
          <w:bCs/>
          <w:i/>
          <w:iCs/>
        </w:rPr>
        <w:t xml:space="preserve">Present only meaningful digits. A practical rule is to round values so that the change caused by rounding is less than one-tenth of the standard error. </w:t>
      </w:r>
      <w:r w:rsidR="00036FB3" w:rsidRPr="00CD7D7E">
        <w:rPr>
          <w:bCs/>
          <w:i/>
          <w:iCs/>
        </w:rPr>
        <w:t>In most cases, 2 or 3 significant digits (not decimal places) are sufficient</w:t>
      </w:r>
    </w:p>
    <w:p w14:paraId="61609D31" w14:textId="4BA90E4D" w:rsidR="00D108D2" w:rsidRPr="00CD7D7E" w:rsidRDefault="00D108D2" w:rsidP="00903963">
      <w:pPr>
        <w:pStyle w:val="ListParagraph"/>
        <w:numPr>
          <w:ilvl w:val="0"/>
          <w:numId w:val="7"/>
        </w:numPr>
        <w:spacing w:line="480" w:lineRule="auto"/>
        <w:jc w:val="both"/>
        <w:rPr>
          <w:bCs/>
          <w:i/>
          <w:iCs/>
        </w:rPr>
      </w:pPr>
      <w:r w:rsidRPr="00CD7D7E">
        <w:rPr>
          <w:bCs/>
          <w:i/>
          <w:iCs/>
        </w:rPr>
        <w:t>Numerals should be used for all numbers except in idiomatic phrases such as “one or the other,” or “on the one hand.” Measures must be in the metric (SI) system</w:t>
      </w:r>
    </w:p>
    <w:p w14:paraId="1A5E54E5" w14:textId="14D807A5" w:rsidR="00D103CD" w:rsidRPr="00CD7D7E" w:rsidRDefault="00D103CD" w:rsidP="00903963">
      <w:pPr>
        <w:pStyle w:val="ListParagraph"/>
        <w:numPr>
          <w:ilvl w:val="0"/>
          <w:numId w:val="7"/>
        </w:numPr>
        <w:spacing w:line="480" w:lineRule="auto"/>
        <w:jc w:val="both"/>
        <w:rPr>
          <w:bCs/>
          <w:i/>
          <w:iCs/>
        </w:rPr>
      </w:pPr>
      <w:r w:rsidRPr="00CD7D7E">
        <w:rPr>
          <w:bCs/>
          <w:i/>
          <w:iCs/>
        </w:rPr>
        <w:t>The authors must state explicitly that institutional animal care and use (IACUC) or equivalent approval was obtained before commencement of the study</w:t>
      </w:r>
    </w:p>
    <w:p w14:paraId="5523A468" w14:textId="77777777" w:rsidR="00E40251" w:rsidRDefault="00E40251" w:rsidP="00B91228">
      <w:pPr>
        <w:spacing w:line="480" w:lineRule="auto"/>
        <w:jc w:val="both"/>
        <w:rPr>
          <w:rFonts w:ascii="Times New Roman" w:hAnsi="Times New Roman" w:cs="Times New Roman"/>
          <w:b/>
          <w:i/>
          <w:iCs/>
          <w:sz w:val="24"/>
          <w:szCs w:val="24"/>
        </w:rPr>
      </w:pPr>
    </w:p>
    <w:p w14:paraId="55C00FAF" w14:textId="77777777" w:rsidR="00E40251" w:rsidRDefault="00E40251" w:rsidP="00B91228">
      <w:pPr>
        <w:spacing w:line="480" w:lineRule="auto"/>
        <w:jc w:val="both"/>
        <w:rPr>
          <w:rFonts w:ascii="Times New Roman" w:hAnsi="Times New Roman" w:cs="Times New Roman"/>
          <w:b/>
          <w:i/>
          <w:iCs/>
          <w:sz w:val="24"/>
          <w:szCs w:val="24"/>
        </w:rPr>
      </w:pPr>
    </w:p>
    <w:p w14:paraId="220B1967" w14:textId="18C4ECE0" w:rsidR="00B91228" w:rsidRPr="0035282F" w:rsidRDefault="00B91228" w:rsidP="00B91228">
      <w:pPr>
        <w:spacing w:line="480" w:lineRule="auto"/>
        <w:jc w:val="both"/>
        <w:rPr>
          <w:rFonts w:ascii="Times New Roman" w:hAnsi="Times New Roman" w:cs="Times New Roman"/>
          <w:sz w:val="24"/>
          <w:szCs w:val="24"/>
        </w:rPr>
      </w:pPr>
      <w:commentRangeStart w:id="0"/>
      <w:r w:rsidRPr="001B7764">
        <w:rPr>
          <w:rFonts w:ascii="Times New Roman" w:hAnsi="Times New Roman" w:cs="Times New Roman"/>
          <w:b/>
          <w:i/>
          <w:iCs/>
          <w:sz w:val="24"/>
          <w:szCs w:val="24"/>
        </w:rPr>
        <w:t>Staphylococcus aureus</w:t>
      </w:r>
      <w:r w:rsidRPr="0035282F">
        <w:rPr>
          <w:rFonts w:ascii="Times New Roman" w:hAnsi="Times New Roman" w:cs="Times New Roman"/>
          <w:b/>
          <w:sz w:val="24"/>
          <w:szCs w:val="24"/>
        </w:rPr>
        <w:t xml:space="preserve"> isolates from humans and cattle on Vermont dairy farms making farmstead cheese belong to different clonal complexes</w:t>
      </w:r>
      <w:r w:rsidRPr="0035282F">
        <w:rPr>
          <w:rFonts w:ascii="Times New Roman" w:hAnsi="Times New Roman" w:cs="Times New Roman"/>
          <w:sz w:val="24"/>
          <w:szCs w:val="24"/>
        </w:rPr>
        <w:t xml:space="preserve"> </w:t>
      </w:r>
      <w:commentRangeEnd w:id="0"/>
      <w:r w:rsidR="00D17519">
        <w:rPr>
          <w:rStyle w:val="CommentReference"/>
          <w:rFonts w:eastAsiaTheme="minorEastAsia"/>
        </w:rPr>
        <w:commentReference w:id="0"/>
      </w:r>
    </w:p>
    <w:p w14:paraId="1EDA4575" w14:textId="77777777" w:rsidR="00B91228" w:rsidRPr="0035282F" w:rsidRDefault="00B91228" w:rsidP="00B91228">
      <w:pPr>
        <w:spacing w:after="0" w:line="480" w:lineRule="auto"/>
        <w:jc w:val="both"/>
        <w:rPr>
          <w:rFonts w:ascii="Times New Roman" w:hAnsi="Times New Roman" w:cs="Times New Roman"/>
          <w:bCs/>
          <w:sz w:val="24"/>
          <w:szCs w:val="24"/>
        </w:rPr>
      </w:pPr>
      <w:r w:rsidRPr="0035282F">
        <w:rPr>
          <w:rFonts w:ascii="Times New Roman" w:hAnsi="Times New Roman" w:cs="Times New Roman"/>
          <w:bCs/>
          <w:sz w:val="24"/>
          <w:szCs w:val="24"/>
        </w:rPr>
        <w:t>Ashma Chakrawarti, Christine L. Casey, Ariela Burke, Robert Mugabi, Amanda Ochoa, John W. Barlow</w:t>
      </w:r>
      <w:r w:rsidRPr="0035282F">
        <w:rPr>
          <w:rFonts w:ascii="Times New Roman" w:hAnsi="Times New Roman" w:cs="Times New Roman"/>
          <w:bCs/>
          <w:sz w:val="24"/>
          <w:szCs w:val="24"/>
          <w:vertAlign w:val="superscript"/>
        </w:rPr>
        <w:t>*</w:t>
      </w:r>
    </w:p>
    <w:p w14:paraId="36A76675" w14:textId="77777777" w:rsidR="00B91228" w:rsidRPr="0035282F" w:rsidRDefault="00B91228" w:rsidP="00B91228">
      <w:pPr>
        <w:spacing w:after="0" w:line="480" w:lineRule="auto"/>
        <w:jc w:val="both"/>
        <w:rPr>
          <w:rFonts w:ascii="Times New Roman" w:hAnsi="Times New Roman" w:cs="Times New Roman"/>
          <w:sz w:val="24"/>
          <w:szCs w:val="24"/>
        </w:rPr>
      </w:pPr>
      <w:r w:rsidRPr="0035282F">
        <w:rPr>
          <w:rFonts w:ascii="Times New Roman" w:hAnsi="Times New Roman" w:cs="Times New Roman"/>
          <w:sz w:val="24"/>
          <w:szCs w:val="24"/>
        </w:rPr>
        <w:t>University of Vermont, Burlington, Vermont, USA</w:t>
      </w:r>
    </w:p>
    <w:p w14:paraId="4F125EE2" w14:textId="77777777" w:rsidR="00B91228" w:rsidRPr="0035282F" w:rsidRDefault="00B91228" w:rsidP="00B91228">
      <w:pPr>
        <w:spacing w:after="0" w:line="480" w:lineRule="auto"/>
        <w:jc w:val="both"/>
        <w:rPr>
          <w:rFonts w:ascii="Times New Roman" w:hAnsi="Times New Roman" w:cs="Times New Roman"/>
          <w:sz w:val="24"/>
          <w:szCs w:val="24"/>
        </w:rPr>
      </w:pPr>
      <w:r w:rsidRPr="0035282F">
        <w:rPr>
          <w:rFonts w:ascii="Times New Roman" w:hAnsi="Times New Roman" w:cs="Times New Roman"/>
          <w:sz w:val="24"/>
          <w:szCs w:val="24"/>
        </w:rPr>
        <w:t>*Corresponding author: John Barlow, Department of Animal Science, University of Vermont</w:t>
      </w:r>
    </w:p>
    <w:p w14:paraId="0ECEEFC7" w14:textId="77777777" w:rsidR="00B91228" w:rsidRPr="0035282F" w:rsidRDefault="00B91228" w:rsidP="00B91228">
      <w:pPr>
        <w:spacing w:after="0" w:line="480" w:lineRule="auto"/>
        <w:jc w:val="both"/>
        <w:rPr>
          <w:rFonts w:ascii="Times New Roman" w:hAnsi="Times New Roman" w:cs="Times New Roman"/>
          <w:sz w:val="24"/>
          <w:szCs w:val="24"/>
        </w:rPr>
      </w:pPr>
      <w:r w:rsidRPr="0035282F">
        <w:rPr>
          <w:rFonts w:ascii="Times New Roman" w:hAnsi="Times New Roman" w:cs="Times New Roman"/>
          <w:sz w:val="24"/>
          <w:szCs w:val="24"/>
        </w:rPr>
        <w:t>Email: john.barlow@uvm.edu</w:t>
      </w:r>
    </w:p>
    <w:p w14:paraId="33D15972" w14:textId="77777777" w:rsidR="00B91228" w:rsidRPr="0035282F" w:rsidRDefault="00B91228" w:rsidP="00B91228">
      <w:pPr>
        <w:pStyle w:val="NormalWeb"/>
        <w:spacing w:before="0" w:beforeAutospacing="0" w:after="0" w:afterAutospacing="0" w:line="480" w:lineRule="auto"/>
        <w:jc w:val="both"/>
        <w:rPr>
          <w:rStyle w:val="Emphasis"/>
          <w:b/>
          <w:bCs/>
          <w:i w:val="0"/>
          <w:iCs w:val="0"/>
          <w:color w:val="0E101A"/>
        </w:rPr>
      </w:pPr>
    </w:p>
    <w:p w14:paraId="01612E14" w14:textId="77777777" w:rsidR="00B91228" w:rsidRPr="0035282F" w:rsidRDefault="00B91228" w:rsidP="00B91228">
      <w:pPr>
        <w:pStyle w:val="NormalWeb"/>
        <w:spacing w:before="0" w:beforeAutospacing="0" w:after="0" w:afterAutospacing="0" w:line="480" w:lineRule="auto"/>
        <w:jc w:val="both"/>
        <w:rPr>
          <w:rStyle w:val="Emphasis"/>
          <w:b/>
          <w:bCs/>
          <w:i w:val="0"/>
          <w:iCs w:val="0"/>
          <w:color w:val="0E101A"/>
        </w:rPr>
      </w:pPr>
      <w:commentRangeStart w:id="1"/>
      <w:r w:rsidRPr="0035282F">
        <w:rPr>
          <w:rStyle w:val="Emphasis"/>
          <w:b/>
          <w:bCs/>
          <w:i w:val="0"/>
          <w:iCs w:val="0"/>
          <w:color w:val="0E101A"/>
        </w:rPr>
        <w:t>Abstract</w:t>
      </w:r>
      <w:commentRangeEnd w:id="1"/>
      <w:r w:rsidR="007A7A5F">
        <w:rPr>
          <w:rStyle w:val="CommentReference"/>
          <w:rFonts w:asciiTheme="minorHAnsi" w:eastAsiaTheme="minorEastAsia" w:hAnsiTheme="minorHAnsi" w:cstheme="minorBidi"/>
        </w:rPr>
        <w:commentReference w:id="1"/>
      </w:r>
    </w:p>
    <w:p w14:paraId="08316992" w14:textId="06387060" w:rsidR="00B91228" w:rsidRDefault="0017357C" w:rsidP="00B91228">
      <w:pPr>
        <w:autoSpaceDE w:val="0"/>
        <w:autoSpaceDN w:val="0"/>
        <w:adjustRightInd w:val="0"/>
        <w:spacing w:after="0" w:line="480" w:lineRule="auto"/>
        <w:jc w:val="both"/>
        <w:rPr>
          <w:rFonts w:ascii="Times New Roman" w:hAnsi="Times New Roman" w:cs="Times New Roman"/>
          <w:sz w:val="24"/>
          <w:szCs w:val="24"/>
        </w:rPr>
      </w:pPr>
      <w:r w:rsidRPr="0088199E">
        <w:rPr>
          <w:rFonts w:ascii="Times New Roman" w:hAnsi="Times New Roman" w:cs="Times New Roman"/>
          <w:i/>
          <w:iCs/>
          <w:sz w:val="24"/>
          <w:szCs w:val="24"/>
        </w:rPr>
        <w:t xml:space="preserve">Staphylococcus aureus </w:t>
      </w:r>
      <w:r w:rsidRPr="0088199E">
        <w:rPr>
          <w:rFonts w:ascii="Times New Roman" w:hAnsi="Times New Roman" w:cs="Times New Roman"/>
          <w:sz w:val="24"/>
          <w:szCs w:val="24"/>
        </w:rPr>
        <w:t xml:space="preserve">is a multihost pathogen that causes significant human and livestock </w:t>
      </w:r>
    </w:p>
    <w:p w14:paraId="7FE6D4AB" w14:textId="77777777" w:rsidR="00E942FF" w:rsidRDefault="00E942FF" w:rsidP="00B91228">
      <w:pPr>
        <w:autoSpaceDE w:val="0"/>
        <w:autoSpaceDN w:val="0"/>
        <w:adjustRightInd w:val="0"/>
        <w:spacing w:after="0" w:line="480" w:lineRule="auto"/>
        <w:jc w:val="both"/>
        <w:rPr>
          <w:rFonts w:ascii="Times New Roman" w:hAnsi="Times New Roman" w:cs="Times New Roman"/>
          <w:sz w:val="24"/>
          <w:szCs w:val="24"/>
        </w:rPr>
      </w:pPr>
    </w:p>
    <w:p w14:paraId="6AABB146" w14:textId="351B20B1" w:rsidR="00B91228" w:rsidRPr="000B268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0B268E">
        <w:rPr>
          <w:rStyle w:val="Emphasis"/>
          <w:rFonts w:ascii="Times New Roman" w:eastAsia="ComputerModern-Regular" w:hAnsi="Times New Roman" w:cs="Times New Roman"/>
          <w:b/>
          <w:bCs/>
          <w:i w:val="0"/>
          <w:iCs w:val="0"/>
          <w:sz w:val="24"/>
          <w:szCs w:val="24"/>
        </w:rPr>
        <w:t>Keywords</w:t>
      </w:r>
      <w:r>
        <w:rPr>
          <w:rStyle w:val="Emphasis"/>
          <w:rFonts w:ascii="Times New Roman" w:eastAsia="ComputerModern-Regular" w:hAnsi="Times New Roman" w:cs="Times New Roman"/>
          <w:b/>
          <w:bCs/>
          <w:i w:val="0"/>
          <w:iCs w:val="0"/>
          <w:sz w:val="24"/>
          <w:szCs w:val="24"/>
        </w:rPr>
        <w:t xml:space="preserve">: </w:t>
      </w:r>
      <w:r w:rsidR="00A774DA">
        <w:rPr>
          <w:rStyle w:val="Emphasis"/>
          <w:rFonts w:ascii="Times New Roman" w:eastAsia="ComputerModern-Regular" w:hAnsi="Times New Roman" w:cs="Times New Roman"/>
          <w:i w:val="0"/>
          <w:iCs w:val="0"/>
          <w:sz w:val="24"/>
          <w:szCs w:val="24"/>
        </w:rPr>
        <w:t xml:space="preserve">Mastitis, Antimicrobial resistance, Multi Locus sequence typing, </w:t>
      </w:r>
      <w:r w:rsidR="00BF184A">
        <w:rPr>
          <w:rStyle w:val="Emphasis"/>
          <w:rFonts w:ascii="Times New Roman" w:eastAsia="ComputerModern-Regular" w:hAnsi="Times New Roman" w:cs="Times New Roman"/>
          <w:i w:val="0"/>
          <w:iCs w:val="0"/>
          <w:sz w:val="24"/>
          <w:szCs w:val="24"/>
        </w:rPr>
        <w:t>beta-lactam</w:t>
      </w:r>
      <w:r w:rsidR="00A774DA">
        <w:rPr>
          <w:rStyle w:val="Emphasis"/>
          <w:rFonts w:ascii="Times New Roman" w:eastAsia="ComputerModern-Regular" w:hAnsi="Times New Roman" w:cs="Times New Roman"/>
          <w:i w:val="0"/>
          <w:iCs w:val="0"/>
          <w:sz w:val="24"/>
          <w:szCs w:val="24"/>
        </w:rPr>
        <w:t>, zoonotic transmission</w:t>
      </w:r>
    </w:p>
    <w:p w14:paraId="57BCA85A" w14:textId="77777777" w:rsidR="00B91228"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35282F" w:rsidRDefault="00B91228" w:rsidP="00B91228">
      <w:pPr>
        <w:pStyle w:val="NormalWeb"/>
        <w:numPr>
          <w:ilvl w:val="0"/>
          <w:numId w:val="2"/>
        </w:numPr>
        <w:spacing w:before="0" w:beforeAutospacing="0" w:after="0" w:afterAutospacing="0" w:line="480" w:lineRule="auto"/>
        <w:jc w:val="both"/>
        <w:rPr>
          <w:rStyle w:val="Emphasis"/>
          <w:b/>
          <w:bCs/>
          <w:i w:val="0"/>
          <w:iCs w:val="0"/>
          <w:color w:val="0E101A"/>
        </w:rPr>
      </w:pPr>
      <w:commentRangeStart w:id="2"/>
      <w:commentRangeStart w:id="3"/>
      <w:r w:rsidRPr="0035282F">
        <w:rPr>
          <w:rStyle w:val="Emphasis"/>
          <w:b/>
          <w:bCs/>
          <w:i w:val="0"/>
          <w:iCs w:val="0"/>
          <w:color w:val="0E101A"/>
        </w:rPr>
        <w:t>Introduction</w:t>
      </w:r>
      <w:commentRangeEnd w:id="2"/>
      <w:r w:rsidR="00123751">
        <w:rPr>
          <w:rStyle w:val="CommentReference"/>
          <w:rFonts w:asciiTheme="minorHAnsi" w:eastAsiaTheme="minorEastAsia" w:hAnsiTheme="minorHAnsi" w:cstheme="minorBidi"/>
        </w:rPr>
        <w:commentReference w:id="2"/>
      </w:r>
      <w:commentRangeEnd w:id="3"/>
      <w:r w:rsidR="00CB39D2">
        <w:rPr>
          <w:rStyle w:val="CommentReference"/>
          <w:rFonts w:asciiTheme="minorHAnsi" w:eastAsiaTheme="minorEastAsia" w:hAnsiTheme="minorHAnsi" w:cstheme="minorBidi"/>
        </w:rPr>
        <w:commentReference w:id="3"/>
      </w:r>
    </w:p>
    <w:p w14:paraId="14D85EB4" w14:textId="413289DC" w:rsidR="002162F9" w:rsidRPr="00B37C58" w:rsidRDefault="00E942FF" w:rsidP="002162F9">
      <w:pPr>
        <w:pStyle w:val="NormalWeb"/>
        <w:spacing w:before="0" w:beforeAutospacing="0" w:after="0" w:afterAutospacing="0" w:line="480" w:lineRule="auto"/>
        <w:jc w:val="both"/>
        <w:rPr>
          <w:color w:val="1A1A1A"/>
        </w:rPr>
      </w:pPr>
      <w:r w:rsidRPr="00B37C58">
        <w:rPr>
          <w:i/>
          <w:iCs/>
          <w:color w:val="0E101A"/>
        </w:rPr>
        <w:t xml:space="preserve">Staphylococcus aureus </w:t>
      </w:r>
      <w:r w:rsidRPr="00B37C58">
        <w:rPr>
          <w:color w:val="0E101A"/>
        </w:rPr>
        <w:t xml:space="preserve">is a common bacterium found in the anterior nares of 20–60% of healthy humans </w:t>
      </w:r>
    </w:p>
    <w:p w14:paraId="24C23892" w14:textId="3820179C" w:rsidR="00605602" w:rsidRPr="00B37C58" w:rsidRDefault="00E942FF" w:rsidP="00B37C58">
      <w:pPr>
        <w:autoSpaceDE w:val="0"/>
        <w:autoSpaceDN w:val="0"/>
        <w:adjustRightInd w:val="0"/>
        <w:spacing w:after="0" w:line="480" w:lineRule="auto"/>
        <w:jc w:val="both"/>
        <w:rPr>
          <w:rFonts w:ascii="Times New Roman" w:hAnsi="Times New Roman" w:cs="Times New Roman"/>
          <w:color w:val="0E101A"/>
        </w:rPr>
      </w:pPr>
      <w:r w:rsidRPr="00B37C58">
        <w:rPr>
          <w:rFonts w:ascii="Times New Roman" w:hAnsi="Times New Roman" w:cs="Times New Roman"/>
          <w:color w:val="1A1A1A"/>
          <w:sz w:val="24"/>
          <w:szCs w:val="24"/>
        </w:rPr>
        <w:t xml:space="preserve">profile and with potential </w:t>
      </w:r>
      <w:r w:rsidR="006D7EFC">
        <w:rPr>
          <w:rFonts w:ascii="Times New Roman" w:hAnsi="Times New Roman" w:cs="Times New Roman"/>
          <w:color w:val="1A1A1A"/>
          <w:sz w:val="24"/>
          <w:szCs w:val="24"/>
        </w:rPr>
        <w:t>host transmission</w:t>
      </w:r>
      <w:r w:rsidRPr="00B37C58">
        <w:rPr>
          <w:rFonts w:ascii="Times New Roman" w:hAnsi="Times New Roman" w:cs="Times New Roman"/>
          <w:color w:val="1A1A1A"/>
          <w:sz w:val="24"/>
          <w:szCs w:val="24"/>
        </w:rPr>
        <w:t xml:space="preserve"> events occurring on the enrolled dairy farms.</w:t>
      </w:r>
      <w:r w:rsidR="00605602" w:rsidRPr="00B37C58">
        <w:rPr>
          <w:rFonts w:ascii="Times New Roman" w:hAnsi="Times New Roman" w:cs="Times New Roman"/>
          <w:color w:val="1A1A1A"/>
          <w:sz w:val="24"/>
          <w:szCs w:val="24"/>
        </w:rPr>
        <w:t xml:space="preserve"> </w:t>
      </w:r>
    </w:p>
    <w:p w14:paraId="2372539D" w14:textId="4259214B" w:rsidR="00605602" w:rsidRDefault="00605602">
      <w:pPr>
        <w:rPr>
          <w:color w:val="0E101A"/>
        </w:rPr>
      </w:pPr>
    </w:p>
    <w:p w14:paraId="4D7C9438" w14:textId="0449ED18" w:rsidR="00FC0592" w:rsidRPr="00DF7FC2" w:rsidRDefault="00FC0592" w:rsidP="00DF7FC2">
      <w:pPr>
        <w:pStyle w:val="ListParagraph"/>
        <w:numPr>
          <w:ilvl w:val="0"/>
          <w:numId w:val="2"/>
        </w:numPr>
        <w:autoSpaceDE w:val="0"/>
        <w:autoSpaceDN w:val="0"/>
        <w:adjustRightInd w:val="0"/>
        <w:spacing w:line="480" w:lineRule="auto"/>
        <w:jc w:val="both"/>
        <w:rPr>
          <w:b/>
          <w:bCs/>
        </w:rPr>
      </w:pPr>
      <w:commentRangeStart w:id="4"/>
      <w:r w:rsidRPr="00DF7FC2">
        <w:rPr>
          <w:b/>
          <w:bCs/>
        </w:rPr>
        <w:lastRenderedPageBreak/>
        <w:t>Materials and methods</w:t>
      </w:r>
      <w:commentRangeEnd w:id="4"/>
      <w:r w:rsidR="00CB39D2">
        <w:rPr>
          <w:rStyle w:val="CommentReference"/>
          <w:rFonts w:asciiTheme="minorHAnsi" w:eastAsiaTheme="minorEastAsia" w:hAnsiTheme="minorHAnsi" w:cstheme="minorBidi"/>
        </w:rPr>
        <w:commentReference w:id="4"/>
      </w:r>
    </w:p>
    <w:p w14:paraId="3F4EFD50" w14:textId="09800B87" w:rsidR="00FC0592" w:rsidRPr="0035282F" w:rsidRDefault="00FC0592" w:rsidP="002457E7">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Pr="0035282F">
        <w:rPr>
          <w:rFonts w:ascii="Times New Roman" w:hAnsi="Times New Roman" w:cs="Times New Roman"/>
          <w:b/>
          <w:bCs/>
          <w:sz w:val="24"/>
          <w:szCs w:val="24"/>
        </w:rPr>
        <w:t>Study design, setting and participants</w:t>
      </w:r>
    </w:p>
    <w:p w14:paraId="6BAA13E1" w14:textId="42907A62" w:rsidR="00FC0592" w:rsidRDefault="006D7EFC" w:rsidP="002457E7">
      <w:pPr>
        <w:spacing w:after="0" w:line="480" w:lineRule="auto"/>
        <w:jc w:val="both"/>
        <w:rPr>
          <w:rFonts w:ascii="Times New Roman" w:hAnsi="Times New Roman" w:cs="Times New Roman"/>
          <w:sz w:val="24"/>
          <w:szCs w:val="24"/>
        </w:rPr>
      </w:pPr>
      <w:r w:rsidRPr="00AD7B20">
        <w:rPr>
          <w:rFonts w:ascii="Times New Roman" w:hAnsi="Times New Roman" w:cs="Times New Roman"/>
          <w:sz w:val="24"/>
          <w:szCs w:val="24"/>
        </w:rPr>
        <w:t xml:space="preserve">In this pilot study, 19 Vermont dairy farms that produce farmstead cheese or milk for artisan cheese </w:t>
      </w:r>
    </w:p>
    <w:p w14:paraId="76C9A156" w14:textId="1A589316" w:rsidR="00FC0592" w:rsidRPr="001C41F3" w:rsidRDefault="00FC0592" w:rsidP="00FC0592">
      <w:pPr>
        <w:rPr>
          <w:rFonts w:ascii="Times New Roman" w:hAnsi="Times New Roman" w:cs="Times New Roman"/>
          <w:sz w:val="24"/>
          <w:szCs w:val="24"/>
        </w:rPr>
      </w:pPr>
      <w:r>
        <w:rPr>
          <w:rFonts w:ascii="Times New Roman" w:hAnsi="Times New Roman" w:cs="Times New Roman"/>
          <w:b/>
          <w:iCs/>
          <w:sz w:val="24"/>
          <w:szCs w:val="24"/>
        </w:rPr>
        <w:t xml:space="preserve">2.2 </w:t>
      </w:r>
      <w:r w:rsidRPr="0035282F">
        <w:rPr>
          <w:rFonts w:ascii="Times New Roman" w:hAnsi="Times New Roman" w:cs="Times New Roman"/>
          <w:b/>
          <w:iCs/>
          <w:sz w:val="24"/>
          <w:szCs w:val="24"/>
        </w:rPr>
        <w:t>Sample Collection</w:t>
      </w:r>
    </w:p>
    <w:p w14:paraId="0819618C" w14:textId="775D88EF" w:rsidR="002162F9" w:rsidRDefault="006D7EFC" w:rsidP="002162F9">
      <w:pPr>
        <w:spacing w:line="480" w:lineRule="auto"/>
        <w:jc w:val="both"/>
        <w:rPr>
          <w:rFonts w:ascii="Times New Roman" w:hAnsi="Times New Roman" w:cs="Times New Roman"/>
          <w:sz w:val="24"/>
          <w:szCs w:val="24"/>
        </w:rPr>
      </w:pPr>
      <w:r w:rsidRPr="00AD7B20">
        <w:rPr>
          <w:rFonts w:ascii="Times New Roman" w:hAnsi="Times New Roman" w:cs="Times New Roman"/>
          <w:bCs/>
          <w:iCs/>
          <w:sz w:val="24"/>
          <w:szCs w:val="24"/>
        </w:rPr>
        <w:t>The samples included human nasal and hand swabs, quarter milk</w:t>
      </w:r>
      <w:r>
        <w:rPr>
          <w:rFonts w:ascii="Times New Roman" w:hAnsi="Times New Roman" w:cs="Times New Roman"/>
          <w:bCs/>
          <w:iCs/>
          <w:sz w:val="24"/>
          <w:szCs w:val="24"/>
        </w:rPr>
        <w:t xml:space="preserve"> (CQM)</w:t>
      </w:r>
      <w:r w:rsidRPr="00AD7B20">
        <w:rPr>
          <w:rFonts w:ascii="Times New Roman" w:hAnsi="Times New Roman" w:cs="Times New Roman"/>
          <w:bCs/>
          <w:iCs/>
          <w:sz w:val="24"/>
          <w:szCs w:val="24"/>
        </w:rPr>
        <w:t xml:space="preserve"> from lactating cows, and </w:t>
      </w:r>
    </w:p>
    <w:p w14:paraId="6E2FAE5A" w14:textId="14D9C665" w:rsidR="00FC0592" w:rsidRPr="0035282F" w:rsidRDefault="006D7EFC" w:rsidP="00FC05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were transported on ice to the laboratory and </w:t>
      </w:r>
      <w:r w:rsidRPr="0035282F">
        <w:rPr>
          <w:rFonts w:ascii="Times New Roman" w:hAnsi="Times New Roman" w:cs="Times New Roman"/>
          <w:sz w:val="24"/>
          <w:szCs w:val="24"/>
        </w:rPr>
        <w:t>stored at -20 ºC up to 90 days prior to processing.</w:t>
      </w:r>
    </w:p>
    <w:p w14:paraId="36409AB2" w14:textId="36B5E405" w:rsidR="00FC0592" w:rsidRPr="0035282F" w:rsidRDefault="00FC0592" w:rsidP="002457E7">
      <w:pPr>
        <w:spacing w:after="0" w:line="480" w:lineRule="auto"/>
        <w:jc w:val="both"/>
        <w:rPr>
          <w:rFonts w:ascii="Times New Roman" w:hAnsi="Times New Roman" w:cs="Times New Roman"/>
          <w:color w:val="0E0E0E"/>
          <w:sz w:val="24"/>
          <w:szCs w:val="24"/>
        </w:rPr>
      </w:pPr>
      <w:r>
        <w:rPr>
          <w:rFonts w:ascii="Times New Roman" w:hAnsi="Times New Roman" w:cs="Times New Roman"/>
          <w:b/>
          <w:color w:val="0E0E0E"/>
          <w:sz w:val="24"/>
          <w:szCs w:val="24"/>
        </w:rPr>
        <w:t xml:space="preserve">2.3 </w:t>
      </w:r>
      <w:r w:rsidRPr="0035282F">
        <w:rPr>
          <w:rFonts w:ascii="Times New Roman" w:hAnsi="Times New Roman" w:cs="Times New Roman"/>
          <w:b/>
          <w:color w:val="0E0E0E"/>
          <w:sz w:val="24"/>
          <w:szCs w:val="24"/>
        </w:rPr>
        <w:t>Bacterial culture</w:t>
      </w:r>
    </w:p>
    <w:p w14:paraId="077736C8" w14:textId="639726D3" w:rsidR="001A37B3" w:rsidRDefault="003467F9" w:rsidP="00FC0592">
      <w:pPr>
        <w:spacing w:line="480" w:lineRule="auto"/>
        <w:jc w:val="both"/>
        <w:rPr>
          <w:rFonts w:ascii="Times New Roman" w:hAnsi="Times New Roman" w:cs="Times New Roman"/>
          <w:sz w:val="24"/>
          <w:szCs w:val="24"/>
        </w:rPr>
      </w:pPr>
      <w:r w:rsidRPr="003467F9">
        <w:rPr>
          <w:rFonts w:ascii="Times New Roman" w:hAnsi="Times New Roman" w:cs="Times New Roman"/>
          <w:color w:val="0E0E0E"/>
          <w:sz w:val="24"/>
          <w:szCs w:val="24"/>
        </w:rPr>
        <w:t>The samples collected from humans, dogs and BTM were grown on non-selective Tryptic Soy</w:t>
      </w:r>
      <w:r w:rsidR="006D7EFC" w:rsidRPr="003467F9">
        <w:rPr>
          <w:rFonts w:ascii="Times New Roman" w:hAnsi="Times New Roman" w:cs="Times New Roman"/>
          <w:color w:val="0E0E0E"/>
          <w:sz w:val="24"/>
          <w:szCs w:val="24"/>
        </w:rPr>
        <w:t>. All plates were incubated at 37°C for 24 h, except for TSAWB plates, which were incubated for 48 h.</w:t>
      </w:r>
      <w:r w:rsidRPr="003467F9">
        <w:rPr>
          <w:rFonts w:ascii="Times New Roman" w:hAnsi="Times New Roman" w:cs="Times New Roman"/>
          <w:color w:val="0E0E0E"/>
          <w:sz w:val="24"/>
          <w:szCs w:val="24"/>
        </w:rPr>
        <w:t xml:space="preserve"> </w:t>
      </w:r>
    </w:p>
    <w:p w14:paraId="68474E7D" w14:textId="066F6AC9" w:rsidR="003467F9" w:rsidRPr="002457E7" w:rsidRDefault="00FC0592" w:rsidP="002457E7">
      <w:pPr>
        <w:spacing w:after="0" w:line="480" w:lineRule="auto"/>
        <w:rPr>
          <w:rFonts w:ascii="Times New Roman" w:hAnsi="Times New Roman" w:cs="Times New Roman"/>
          <w:b/>
          <w:i/>
          <w:iCs/>
          <w:color w:val="0E0E0E"/>
          <w:sz w:val="24"/>
          <w:szCs w:val="24"/>
        </w:rPr>
      </w:pPr>
      <w:r>
        <w:rPr>
          <w:rFonts w:ascii="Times New Roman" w:hAnsi="Times New Roman" w:cs="Times New Roman"/>
          <w:b/>
          <w:color w:val="0E0E0E"/>
          <w:sz w:val="24"/>
          <w:szCs w:val="24"/>
        </w:rPr>
        <w:t xml:space="preserve">2.4 </w:t>
      </w:r>
      <w:r w:rsidRPr="0035282F">
        <w:rPr>
          <w:rFonts w:ascii="Times New Roman" w:hAnsi="Times New Roman" w:cs="Times New Roman"/>
          <w:b/>
          <w:color w:val="0E0E0E"/>
          <w:sz w:val="24"/>
          <w:szCs w:val="24"/>
        </w:rPr>
        <w:t xml:space="preserve">Presumptive Isolation and Identification of </w:t>
      </w:r>
      <w:r w:rsidRPr="001B7764">
        <w:rPr>
          <w:rFonts w:ascii="Times New Roman" w:hAnsi="Times New Roman" w:cs="Times New Roman"/>
          <w:b/>
          <w:i/>
          <w:iCs/>
          <w:color w:val="0E0E0E"/>
          <w:sz w:val="24"/>
          <w:szCs w:val="24"/>
        </w:rPr>
        <w:t>Staphylococcus aureus</w:t>
      </w:r>
    </w:p>
    <w:p w14:paraId="544B818A" w14:textId="49828DF3" w:rsidR="003467F9" w:rsidRDefault="006D7EFC" w:rsidP="00FC0592">
      <w:pPr>
        <w:autoSpaceDE w:val="0"/>
        <w:autoSpaceDN w:val="0"/>
        <w:adjustRightInd w:val="0"/>
        <w:spacing w:after="0" w:line="480" w:lineRule="auto"/>
        <w:jc w:val="both"/>
        <w:rPr>
          <w:rFonts w:ascii="Times New Roman" w:hAnsi="Times New Roman" w:cs="Times New Roman"/>
          <w:color w:val="0E0E0E"/>
          <w:sz w:val="24"/>
          <w:szCs w:val="24"/>
        </w:rPr>
      </w:pPr>
      <w:r w:rsidRPr="0035282F">
        <w:rPr>
          <w:rFonts w:ascii="Times New Roman" w:hAnsi="Times New Roman" w:cs="Times New Roman"/>
          <w:sz w:val="24"/>
          <w:szCs w:val="24"/>
        </w:rPr>
        <w:t>Presumptive identification criteria for staphylococci included round colonies 2-3 mm in diameter; opaque greyish white, white, pale yellow, or golden yellow colonies generally hemolytic on TSAWB; clear to white or yellow colonies that ferment mannitol on MSA; and mauve to pink colonies on CHRSA and CHRMRSA.</w:t>
      </w:r>
      <w:r w:rsidR="00FC0592" w:rsidRPr="0035282F">
        <w:rPr>
          <w:rFonts w:ascii="Times New Roman" w:hAnsi="Times New Roman" w:cs="Times New Roman"/>
          <w:sz w:val="24"/>
          <w:szCs w:val="24"/>
        </w:rPr>
        <w:t xml:space="preserve"> </w:t>
      </w:r>
      <w:r w:rsidRPr="0035282F">
        <w:rPr>
          <w:rFonts w:ascii="Times New Roman" w:hAnsi="Times New Roman" w:cs="Times New Roman"/>
          <w:color w:val="0E0E0E"/>
          <w:sz w:val="24"/>
          <w:szCs w:val="24"/>
        </w:rPr>
        <w:t>After incubation</w:t>
      </w:r>
      <w:r>
        <w:rPr>
          <w:rFonts w:ascii="Times New Roman" w:hAnsi="Times New Roman" w:cs="Times New Roman"/>
          <w:color w:val="0E0E0E"/>
          <w:sz w:val="24"/>
          <w:szCs w:val="24"/>
        </w:rPr>
        <w:t>,</w:t>
      </w:r>
      <w:r w:rsidRPr="0035282F">
        <w:rPr>
          <w:rFonts w:ascii="Times New Roman" w:hAnsi="Times New Roman" w:cs="Times New Roman"/>
          <w:color w:val="0E0E0E"/>
          <w:sz w:val="24"/>
          <w:szCs w:val="24"/>
        </w:rPr>
        <w:t xml:space="preserve"> </w:t>
      </w:r>
      <w:r w:rsidRPr="0035282F">
        <w:rPr>
          <w:rFonts w:ascii="Times New Roman" w:hAnsi="Times New Roman" w:cs="Times New Roman"/>
          <w:sz w:val="24"/>
          <w:szCs w:val="24"/>
        </w:rPr>
        <w:t>the hemolytic pattern on TSAWB was observed, followed by Gram staining, catalase</w:t>
      </w:r>
      <w:r>
        <w:rPr>
          <w:rFonts w:ascii="Times New Roman" w:hAnsi="Times New Roman" w:cs="Times New Roman"/>
          <w:sz w:val="24"/>
          <w:szCs w:val="24"/>
        </w:rPr>
        <w:t>,</w:t>
      </w:r>
      <w:r w:rsidRPr="0035282F">
        <w:rPr>
          <w:rFonts w:ascii="Times New Roman" w:hAnsi="Times New Roman" w:cs="Times New Roman"/>
          <w:sz w:val="24"/>
          <w:szCs w:val="24"/>
        </w:rPr>
        <w:t xml:space="preserve"> and coagulase tests on each presumptive isolate.</w:t>
      </w:r>
      <w:r w:rsidR="00FC0592" w:rsidRPr="0035282F">
        <w:rPr>
          <w:rFonts w:ascii="Times New Roman" w:hAnsi="Times New Roman" w:cs="Times New Roman"/>
          <w:sz w:val="24"/>
          <w:szCs w:val="24"/>
        </w:rPr>
        <w:t xml:space="preserve"> Presumptive </w:t>
      </w:r>
      <w:r w:rsidR="006E4D06" w:rsidRPr="006E4D06">
        <w:rPr>
          <w:rFonts w:ascii="Times New Roman" w:hAnsi="Times New Roman" w:cs="Times New Roman"/>
          <w:i/>
          <w:iCs/>
          <w:sz w:val="24"/>
          <w:szCs w:val="24"/>
        </w:rPr>
        <w:t>S. aureus</w:t>
      </w:r>
      <w:r w:rsidR="00FC0592" w:rsidRPr="0035282F">
        <w:rPr>
          <w:rFonts w:ascii="Times New Roman" w:hAnsi="Times New Roman" w:cs="Times New Roman"/>
          <w:sz w:val="24"/>
          <w:szCs w:val="24"/>
        </w:rPr>
        <w:t xml:space="preserve"> were gram-positive, catalase and coagulase tests positive, cocci with complete or partial hemolysis. </w:t>
      </w:r>
      <w:r w:rsidRPr="0035282F">
        <w:rPr>
          <w:rFonts w:ascii="Times New Roman" w:hAnsi="Times New Roman" w:cs="Times New Roman"/>
          <w:sz w:val="24"/>
          <w:szCs w:val="24"/>
        </w:rPr>
        <w:t>The presumptive isolates were stored frozen in sterile Tryptic Soy Broth with 15% glycerol until further processing.</w:t>
      </w:r>
      <w:r w:rsidR="00FC0592" w:rsidRPr="0035282F">
        <w:rPr>
          <w:rFonts w:ascii="Times New Roman" w:hAnsi="Times New Roman" w:cs="Times New Roman"/>
          <w:sz w:val="24"/>
          <w:szCs w:val="24"/>
        </w:rPr>
        <w:t xml:space="preserve"> </w:t>
      </w:r>
    </w:p>
    <w:p w14:paraId="35D5208C" w14:textId="031694BD" w:rsidR="00FC0592" w:rsidRPr="00304311" w:rsidRDefault="00FC0592" w:rsidP="002457E7">
      <w:pPr>
        <w:rPr>
          <w:rFonts w:ascii="Times New Roman" w:hAnsi="Times New Roman" w:cs="Times New Roman"/>
          <w:color w:val="0E0E0E"/>
          <w:sz w:val="24"/>
          <w:szCs w:val="24"/>
        </w:rPr>
      </w:pPr>
      <w:r>
        <w:rPr>
          <w:rFonts w:ascii="Times New Roman" w:hAnsi="Times New Roman" w:cs="Times New Roman"/>
          <w:b/>
          <w:bCs/>
          <w:color w:val="0E0E0E"/>
          <w:sz w:val="24"/>
          <w:szCs w:val="24"/>
        </w:rPr>
        <w:t xml:space="preserve">2.5 </w:t>
      </w:r>
      <w:r w:rsidRPr="0035282F">
        <w:rPr>
          <w:rFonts w:ascii="Times New Roman" w:hAnsi="Times New Roman" w:cs="Times New Roman"/>
          <w:b/>
          <w:bCs/>
          <w:color w:val="0E0E0E"/>
          <w:sz w:val="24"/>
          <w:szCs w:val="24"/>
        </w:rPr>
        <w:t>DNA extraction and Multiplex PCR</w:t>
      </w:r>
      <w:r w:rsidR="002457E7">
        <w:rPr>
          <w:rFonts w:ascii="Times New Roman" w:hAnsi="Times New Roman" w:cs="Times New Roman"/>
          <w:b/>
          <w:sz w:val="24"/>
          <w:szCs w:val="24"/>
        </w:rPr>
        <w:br w:type="page"/>
      </w:r>
      <w:r>
        <w:rPr>
          <w:rFonts w:ascii="Times New Roman" w:hAnsi="Times New Roman" w:cs="Times New Roman"/>
          <w:b/>
          <w:sz w:val="24"/>
          <w:szCs w:val="24"/>
        </w:rPr>
        <w:lastRenderedPageBreak/>
        <w:t xml:space="preserve">2.6 </w:t>
      </w:r>
      <w:r w:rsidRPr="0035282F">
        <w:rPr>
          <w:rFonts w:ascii="Times New Roman" w:hAnsi="Times New Roman" w:cs="Times New Roman"/>
          <w:b/>
          <w:sz w:val="24"/>
          <w:szCs w:val="24"/>
        </w:rPr>
        <w:t>Multilocus Sequence Typing (MLST)</w:t>
      </w:r>
    </w:p>
    <w:p w14:paraId="781708A0" w14:textId="320DAC19" w:rsidR="006E5943" w:rsidRDefault="006E5943" w:rsidP="00FC0592">
      <w:pPr>
        <w:spacing w:line="480" w:lineRule="auto"/>
        <w:jc w:val="both"/>
        <w:rPr>
          <w:rFonts w:ascii="Times New Roman" w:hAnsi="Times New Roman" w:cs="Times New Roman"/>
          <w:color w:val="0E0E0E"/>
          <w:sz w:val="24"/>
          <w:szCs w:val="24"/>
        </w:rPr>
      </w:pPr>
      <w:r w:rsidRPr="006E5943">
        <w:rPr>
          <w:rFonts w:ascii="Times New Roman" w:hAnsi="Times New Roman" w:cs="Times New Roman"/>
          <w:color w:val="0E0E0E"/>
          <w:sz w:val="24"/>
          <w:szCs w:val="24"/>
        </w:rPr>
        <w:t xml:space="preserve">For MLST analysis, genomic DNA from all </w:t>
      </w:r>
      <w:r w:rsidRPr="006E5943">
        <w:rPr>
          <w:rFonts w:ascii="Times New Roman" w:hAnsi="Times New Roman" w:cs="Times New Roman"/>
          <w:i/>
          <w:iCs/>
          <w:color w:val="0E0E0E"/>
          <w:sz w:val="24"/>
          <w:szCs w:val="24"/>
        </w:rPr>
        <w:t>nuc</w:t>
      </w:r>
      <w:r w:rsidRPr="006E5943">
        <w:rPr>
          <w:rFonts w:ascii="Times New Roman" w:hAnsi="Times New Roman" w:cs="Times New Roman"/>
          <w:color w:val="0E0E0E"/>
          <w:sz w:val="24"/>
          <w:szCs w:val="24"/>
        </w:rPr>
        <w:t xml:space="preserve"> positive isolates was subjected to PCR using </w:t>
      </w:r>
      <w:r w:rsidR="006D7EFC" w:rsidRPr="0035282F">
        <w:rPr>
          <w:rFonts w:ascii="Times New Roman" w:hAnsi="Times New Roman" w:cs="Times New Roman"/>
          <w:color w:val="0E0E0E"/>
          <w:sz w:val="24"/>
          <w:szCs w:val="24"/>
        </w:rPr>
        <w:t>or alignments with mismatches were re-sequenced.</w:t>
      </w:r>
      <w:r w:rsidR="00FC0592" w:rsidRPr="0035282F">
        <w:rPr>
          <w:rFonts w:ascii="Times New Roman" w:hAnsi="Times New Roman" w:cs="Times New Roman"/>
          <w:color w:val="0E0E0E"/>
          <w:sz w:val="24"/>
          <w:szCs w:val="24"/>
        </w:rPr>
        <w:t xml:space="preserve"> </w:t>
      </w:r>
      <w:r w:rsidR="006D7EFC" w:rsidRPr="0035282F">
        <w:rPr>
          <w:rFonts w:ascii="Times New Roman" w:hAnsi="Times New Roman" w:cs="Times New Roman"/>
          <w:color w:val="0E0E0E"/>
          <w:sz w:val="24"/>
          <w:szCs w:val="24"/>
        </w:rPr>
        <w:t xml:space="preserve">Consensus sequences were queried against the </w:t>
      </w:r>
      <w:r w:rsidR="006D7EFC" w:rsidRPr="006E4D06">
        <w:rPr>
          <w:rFonts w:ascii="Times New Roman" w:hAnsi="Times New Roman" w:cs="Times New Roman"/>
          <w:i/>
          <w:iCs/>
          <w:color w:val="0E0E0E"/>
          <w:sz w:val="24"/>
          <w:szCs w:val="24"/>
        </w:rPr>
        <w:t>S. aureus</w:t>
      </w:r>
      <w:r w:rsidR="006D7EFC" w:rsidRPr="0035282F">
        <w:rPr>
          <w:rFonts w:ascii="Times New Roman" w:hAnsi="Times New Roman" w:cs="Times New Roman"/>
          <w:color w:val="0E0E0E"/>
          <w:sz w:val="24"/>
          <w:szCs w:val="24"/>
        </w:rPr>
        <w:t xml:space="preserve"> MLST database (</w:t>
      </w:r>
      <w:hyperlink r:id="rId12" w:history="1">
        <w:r w:rsidR="006D7EFC" w:rsidRPr="0035282F">
          <w:rPr>
            <w:rStyle w:val="Hyperlink"/>
            <w:rFonts w:ascii="Times New Roman" w:hAnsi="Times New Roman" w:cs="Times New Roman"/>
            <w:sz w:val="24"/>
            <w:szCs w:val="24"/>
          </w:rPr>
          <w:t>https://pubmlst.org/</w:t>
        </w:r>
      </w:hyperlink>
      <w:r w:rsidR="006D7EFC" w:rsidRPr="0035282F">
        <w:rPr>
          <w:rFonts w:ascii="Times New Roman" w:hAnsi="Times New Roman" w:cs="Times New Roman"/>
          <w:color w:val="0E0E0E"/>
          <w:sz w:val="24"/>
          <w:szCs w:val="24"/>
        </w:rPr>
        <w:t xml:space="preserve">) </w:t>
      </w:r>
      <w:r w:rsidR="006D7EFC" w:rsidRPr="006E5943">
        <w:rPr>
          <w:rFonts w:ascii="Times New Roman" w:hAnsi="Times New Roman" w:cs="Times New Roman"/>
          <w:color w:val="0E0E0E"/>
          <w:sz w:val="24"/>
          <w:szCs w:val="24"/>
        </w:rPr>
        <w:t>to determine allele and sequence type matches.</w:t>
      </w:r>
      <w:r w:rsidR="00FC0592" w:rsidRPr="0035282F">
        <w:rPr>
          <w:rFonts w:ascii="Times New Roman" w:hAnsi="Times New Roman" w:cs="Times New Roman"/>
          <w:color w:val="0E0E0E"/>
          <w:sz w:val="24"/>
          <w:szCs w:val="24"/>
        </w:rPr>
        <w:t xml:space="preserve"> </w:t>
      </w:r>
      <w:r w:rsidRPr="006E5943">
        <w:rPr>
          <w:rFonts w:ascii="Times New Roman" w:hAnsi="Times New Roman" w:cs="Times New Roman"/>
          <w:color w:val="0E0E0E"/>
          <w:sz w:val="24"/>
          <w:szCs w:val="24"/>
        </w:rPr>
        <w:t xml:space="preserve">Novel alleles or allelic profiles were submitted to the MLST database curator for new allele and ST number assignment. </w:t>
      </w:r>
      <w:r w:rsidR="006D7EFC" w:rsidRPr="006E5943">
        <w:rPr>
          <w:rFonts w:ascii="Times New Roman" w:hAnsi="Times New Roman" w:cs="Times New Roman"/>
          <w:color w:val="0E0E0E"/>
          <w:sz w:val="24"/>
          <w:szCs w:val="24"/>
        </w:rPr>
        <w:t>All identified isolates were submitted to the database.</w:t>
      </w:r>
    </w:p>
    <w:p w14:paraId="78363054" w14:textId="65EE0A89" w:rsidR="00FC0592" w:rsidRDefault="00FC0592" w:rsidP="002457E7">
      <w:pPr>
        <w:spacing w:after="0" w:line="480" w:lineRule="auto"/>
        <w:jc w:val="both"/>
        <w:rPr>
          <w:rFonts w:ascii="Times New Roman" w:hAnsi="Times New Roman" w:cs="Times New Roman"/>
          <w:b/>
          <w:color w:val="0E0E0E"/>
          <w:sz w:val="24"/>
          <w:szCs w:val="24"/>
        </w:rPr>
      </w:pPr>
      <w:r>
        <w:rPr>
          <w:rFonts w:ascii="Times New Roman" w:hAnsi="Times New Roman" w:cs="Times New Roman"/>
          <w:b/>
          <w:color w:val="0E0E0E"/>
          <w:sz w:val="24"/>
          <w:szCs w:val="24"/>
        </w:rPr>
        <w:t xml:space="preserve">2.7 </w:t>
      </w:r>
      <w:r w:rsidRPr="0035282F">
        <w:rPr>
          <w:rFonts w:ascii="Times New Roman" w:hAnsi="Times New Roman" w:cs="Times New Roman"/>
          <w:b/>
          <w:color w:val="0E0E0E"/>
          <w:sz w:val="24"/>
          <w:szCs w:val="24"/>
        </w:rPr>
        <w:t>Antimicrobial susceptibility testing (AST)</w:t>
      </w:r>
    </w:p>
    <w:p w14:paraId="51E8ECDE" w14:textId="411623E8" w:rsidR="002457E7" w:rsidRDefault="006D7EFC" w:rsidP="00FC0592">
      <w:pPr>
        <w:spacing w:line="480" w:lineRule="auto"/>
        <w:jc w:val="both"/>
        <w:rPr>
          <w:rFonts w:ascii="Times New Roman" w:hAnsi="Times New Roman" w:cs="Times New Roman"/>
          <w:noProof/>
          <w:sz w:val="24"/>
          <w:szCs w:val="24"/>
        </w:rPr>
      </w:pPr>
      <w:r w:rsidRPr="00421B27">
        <w:rPr>
          <w:rFonts w:ascii="Times New Roman" w:hAnsi="Times New Roman" w:cs="Times New Roman"/>
          <w:sz w:val="24"/>
          <w:szCs w:val="24"/>
        </w:rPr>
        <w:t xml:space="preserve">Antimicrobial sensitivity testing was performed using agar disc diffusion (DD) and broth microdilution assays, following CLSI </w:t>
      </w:r>
    </w:p>
    <w:p w14:paraId="2027282C" w14:textId="3CC81344" w:rsidR="00FC0592" w:rsidRDefault="002457E7" w:rsidP="002457E7">
      <w:pPr>
        <w:rPr>
          <w:rFonts w:ascii="Times New Roman" w:hAnsi="Times New Roman" w:cs="Times New Roman"/>
          <w:noProof/>
          <w:sz w:val="24"/>
          <w:szCs w:val="24"/>
        </w:rPr>
      </w:pPr>
      <w:r>
        <w:rPr>
          <w:rFonts w:ascii="Times New Roman" w:hAnsi="Times New Roman" w:cs="Times New Roman"/>
          <w:noProof/>
          <w:sz w:val="24"/>
          <w:szCs w:val="24"/>
        </w:rPr>
        <w:br w:type="page"/>
      </w:r>
    </w:p>
    <w:p w14:paraId="34F9BD7E" w14:textId="77777777" w:rsidR="00DF7FC2" w:rsidRDefault="00FC0592" w:rsidP="00DF7FC2">
      <w:pPr>
        <w:rPr>
          <w:rFonts w:ascii="Times New Roman" w:hAnsi="Times New Roman" w:cs="Times New Roman"/>
          <w:sz w:val="24"/>
          <w:szCs w:val="24"/>
        </w:rPr>
      </w:pPr>
      <w:r>
        <w:rPr>
          <w:rFonts w:ascii="Times New Roman" w:hAnsi="Times New Roman" w:cs="Times New Roman"/>
          <w:b/>
          <w:sz w:val="24"/>
          <w:szCs w:val="24"/>
        </w:rPr>
        <w:lastRenderedPageBreak/>
        <w:t xml:space="preserve">2.8 </w:t>
      </w:r>
      <w:r w:rsidRPr="0035282F">
        <w:rPr>
          <w:rFonts w:ascii="Times New Roman" w:hAnsi="Times New Roman" w:cs="Times New Roman"/>
          <w:b/>
          <w:sz w:val="24"/>
          <w:szCs w:val="24"/>
        </w:rPr>
        <w:t>Data management and Statistical analysis</w:t>
      </w:r>
    </w:p>
    <w:p w14:paraId="4C22F4C2" w14:textId="187BD07A" w:rsidR="00332D22" w:rsidRPr="00DF7FC2" w:rsidRDefault="006D7EFC" w:rsidP="00332D22">
      <w:pPr>
        <w:spacing w:after="0" w:line="480" w:lineRule="auto"/>
        <w:jc w:val="both"/>
        <w:rPr>
          <w:rFonts w:ascii="Times New Roman" w:hAnsi="Times New Roman" w:cs="Times New Roman"/>
          <w:color w:val="0E0E0E"/>
          <w:sz w:val="24"/>
          <w:szCs w:val="24"/>
        </w:rPr>
      </w:pPr>
      <w:r w:rsidRPr="0035282F">
        <w:rPr>
          <w:rFonts w:ascii="Times New Roman" w:hAnsi="Times New Roman" w:cs="Times New Roman"/>
          <w:color w:val="0E0E0E"/>
          <w:sz w:val="24"/>
          <w:szCs w:val="24"/>
        </w:rPr>
        <w:t>In this study, we defined isolates as bacterial colonies selected from primary culture plates and sub-cultured on secondary plates showing homogenous morphology</w:t>
      </w:r>
      <w:r w:rsidR="00DA1466">
        <w:rPr>
          <w:rFonts w:ascii="Times New Roman" w:hAnsi="Times New Roman" w:cs="Times New Roman"/>
          <w:color w:val="0E0E0E"/>
          <w:sz w:val="24"/>
          <w:szCs w:val="24"/>
        </w:rPr>
        <w:t xml:space="preserve">. </w:t>
      </w:r>
      <w:r w:rsidR="00421B27" w:rsidRPr="00421B27">
        <w:rPr>
          <w:rFonts w:ascii="Times New Roman" w:hAnsi="Times New Roman" w:cs="Times New Roman"/>
          <w:color w:val="0E0E0E"/>
          <w:sz w:val="24"/>
          <w:szCs w:val="24"/>
        </w:rPr>
        <w:t>S</w:t>
      </w:r>
      <w:r w:rsidR="008630D2">
        <w:rPr>
          <w:rFonts w:ascii="Times New Roman" w:hAnsi="Times New Roman" w:cs="Times New Roman"/>
          <w:color w:val="0E0E0E"/>
          <w:sz w:val="24"/>
          <w:szCs w:val="24"/>
        </w:rPr>
        <w:t>equence</w:t>
      </w:r>
      <w:r w:rsidR="00421B27" w:rsidRPr="00421B27">
        <w:rPr>
          <w:rFonts w:ascii="Times New Roman" w:hAnsi="Times New Roman" w:cs="Times New Roman"/>
          <w:color w:val="0E0E0E"/>
          <w:sz w:val="24"/>
          <w:szCs w:val="24"/>
        </w:rPr>
        <w:t xml:space="preserve"> types</w:t>
      </w:r>
      <w:r w:rsidR="00497BEC">
        <w:rPr>
          <w:rFonts w:ascii="Times New Roman" w:hAnsi="Times New Roman" w:cs="Times New Roman"/>
          <w:color w:val="0E0E0E"/>
          <w:sz w:val="24"/>
          <w:szCs w:val="24"/>
        </w:rPr>
        <w:t>(STs)</w:t>
      </w:r>
      <w:r w:rsidR="00421B27" w:rsidRPr="00421B27">
        <w:rPr>
          <w:rFonts w:ascii="Times New Roman" w:hAnsi="Times New Roman" w:cs="Times New Roman"/>
          <w:color w:val="0E0E0E"/>
          <w:sz w:val="24"/>
          <w:szCs w:val="24"/>
        </w:rPr>
        <w:t xml:space="preserve"> were defined as isolates with a common MLST allelic profile, and clonal complex</w:t>
      </w:r>
      <w:r w:rsidR="00966145">
        <w:rPr>
          <w:rFonts w:ascii="Times New Roman" w:hAnsi="Times New Roman" w:cs="Times New Roman"/>
          <w:color w:val="0E0E0E"/>
          <w:sz w:val="24"/>
          <w:szCs w:val="24"/>
        </w:rPr>
        <w:t>(CC)</w:t>
      </w:r>
      <w:r w:rsidR="00421B27" w:rsidRPr="00421B27">
        <w:rPr>
          <w:rFonts w:ascii="Times New Roman" w:hAnsi="Times New Roman" w:cs="Times New Roman"/>
          <w:color w:val="0E0E0E"/>
          <w:sz w:val="24"/>
          <w:szCs w:val="24"/>
        </w:rPr>
        <w:t xml:space="preserve"> was defined as </w:t>
      </w:r>
    </w:p>
    <w:p w14:paraId="3298F031" w14:textId="4CBDF315" w:rsidR="002457E7" w:rsidRDefault="00D157F1" w:rsidP="00DF7FC2">
      <w:pPr>
        <w:spacing w:line="480" w:lineRule="auto"/>
        <w:jc w:val="both"/>
        <w:rPr>
          <w:rFonts w:ascii="Times New Roman" w:hAnsi="Times New Roman" w:cs="Times New Roman"/>
          <w:color w:val="0E0E0E"/>
          <w:sz w:val="24"/>
          <w:szCs w:val="24"/>
        </w:rPr>
      </w:pPr>
      <w:r w:rsidRPr="00DF7FC2">
        <w:rPr>
          <w:rFonts w:ascii="Times New Roman" w:hAnsi="Times New Roman" w:cs="Times New Roman"/>
          <w:color w:val="0E0E0E"/>
          <w:sz w:val="24"/>
          <w:szCs w:val="24"/>
        </w:rPr>
        <w:t>y interaction or association was considered significant with a p-value of less than 0.05.</w:t>
      </w:r>
    </w:p>
    <w:p w14:paraId="1D1C1AE6" w14:textId="374641AA" w:rsidR="00B91228" w:rsidRPr="00963BAE" w:rsidRDefault="00B91228" w:rsidP="00963BAE">
      <w:pPr>
        <w:pStyle w:val="ListParagraph"/>
        <w:numPr>
          <w:ilvl w:val="0"/>
          <w:numId w:val="2"/>
        </w:numPr>
        <w:rPr>
          <w:color w:val="0E0E0E"/>
        </w:rPr>
      </w:pPr>
      <w:commentRangeStart w:id="5"/>
      <w:r w:rsidRPr="00963BAE">
        <w:rPr>
          <w:b/>
        </w:rPr>
        <w:t>Results</w:t>
      </w:r>
      <w:commentRangeEnd w:id="5"/>
      <w:r w:rsidR="0095723E">
        <w:rPr>
          <w:rStyle w:val="CommentReference"/>
          <w:rFonts w:asciiTheme="minorHAnsi" w:eastAsiaTheme="minorEastAsia" w:hAnsiTheme="minorHAnsi" w:cstheme="minorBidi"/>
        </w:rPr>
        <w:commentReference w:id="5"/>
      </w:r>
    </w:p>
    <w:p w14:paraId="5A40B634" w14:textId="456B1588" w:rsidR="00B91228" w:rsidRPr="0035282F" w:rsidRDefault="00FC0592" w:rsidP="00B91228">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B91228">
        <w:rPr>
          <w:rFonts w:ascii="Times New Roman" w:hAnsi="Times New Roman" w:cs="Times New Roman"/>
          <w:b/>
          <w:sz w:val="24"/>
          <w:szCs w:val="24"/>
        </w:rPr>
        <w:t xml:space="preserve">.1 </w:t>
      </w:r>
      <w:r w:rsidR="00B91228" w:rsidRPr="0035282F">
        <w:rPr>
          <w:rFonts w:ascii="Times New Roman" w:hAnsi="Times New Roman" w:cs="Times New Roman"/>
          <w:b/>
          <w:sz w:val="24"/>
          <w:szCs w:val="24"/>
        </w:rPr>
        <w:t>Descriptive Analysis</w:t>
      </w:r>
    </w:p>
    <w:p w14:paraId="35DFD0F6" w14:textId="13F068B0" w:rsidR="00B91228" w:rsidRDefault="00D157F1" w:rsidP="00332D22">
      <w:pPr>
        <w:spacing w:line="480" w:lineRule="auto"/>
        <w:jc w:val="both"/>
        <w:rPr>
          <w:rFonts w:ascii="Times New Roman" w:hAnsi="Times New Roman" w:cs="Times New Roman"/>
          <w:bCs/>
          <w:sz w:val="24"/>
          <w:szCs w:val="24"/>
        </w:rPr>
      </w:pPr>
      <w:r w:rsidRPr="00DF7FC2">
        <w:rPr>
          <w:rFonts w:ascii="Times New Roman" w:hAnsi="Times New Roman" w:cs="Times New Roman"/>
          <w:sz w:val="24"/>
          <w:szCs w:val="24"/>
        </w:rPr>
        <w:t xml:space="preserve">This study included 41 human participants </w:t>
      </w:r>
      <w:r>
        <w:rPr>
          <w:rFonts w:ascii="Times New Roman" w:hAnsi="Times New Roman" w:cs="Times New Roman"/>
          <w:sz w:val="24"/>
          <w:szCs w:val="24"/>
        </w:rPr>
        <w:t xml:space="preserve">(1-4) </w:t>
      </w:r>
      <w:r w:rsidRPr="00DF7FC2">
        <w:rPr>
          <w:rFonts w:ascii="Times New Roman" w:hAnsi="Times New Roman" w:cs="Times New Roman"/>
          <w:sz w:val="24"/>
          <w:szCs w:val="24"/>
        </w:rPr>
        <w:t xml:space="preserve">from 19 farms and 589 cows </w:t>
      </w:r>
      <w:r>
        <w:rPr>
          <w:rFonts w:ascii="Times New Roman" w:hAnsi="Times New Roman" w:cs="Times New Roman"/>
          <w:sz w:val="24"/>
          <w:szCs w:val="24"/>
        </w:rPr>
        <w:t>(3</w:t>
      </w:r>
      <w:r w:rsidR="000108C1">
        <w:rPr>
          <w:rFonts w:ascii="Times New Roman" w:hAnsi="Times New Roman" w:cs="Times New Roman"/>
          <w:sz w:val="24"/>
          <w:szCs w:val="24"/>
        </w:rPr>
        <w:t xml:space="preserve"> to </w:t>
      </w:r>
      <w:r>
        <w:rPr>
          <w:rFonts w:ascii="Times New Roman" w:hAnsi="Times New Roman" w:cs="Times New Roman"/>
          <w:sz w:val="24"/>
          <w:szCs w:val="24"/>
        </w:rPr>
        <w:t xml:space="preserve">204 per herd) </w:t>
      </w:r>
      <w:r w:rsidRPr="00DF7FC2">
        <w:rPr>
          <w:rFonts w:ascii="Times New Roman" w:hAnsi="Times New Roman" w:cs="Times New Roman"/>
          <w:sz w:val="24"/>
          <w:szCs w:val="24"/>
        </w:rPr>
        <w:t xml:space="preserve">from 17 participating herds, </w:t>
      </w:r>
      <w:r>
        <w:rPr>
          <w:rFonts w:ascii="Times New Roman" w:hAnsi="Times New Roman" w:cs="Times New Roman"/>
          <w:sz w:val="24"/>
          <w:szCs w:val="24"/>
        </w:rPr>
        <w:t xml:space="preserve">BTM samples from all 19 farms, </w:t>
      </w:r>
      <w:r w:rsidRPr="00DF7FC2">
        <w:rPr>
          <w:rFonts w:ascii="Times New Roman" w:hAnsi="Times New Roman" w:cs="Times New Roman"/>
          <w:sz w:val="24"/>
          <w:szCs w:val="24"/>
        </w:rPr>
        <w:t>and 13 dogs from 9 farms.</w:t>
      </w:r>
      <w:r w:rsidR="00DF7FC2" w:rsidRPr="00DF7FC2">
        <w:rPr>
          <w:rFonts w:ascii="Times New Roman" w:hAnsi="Times New Roman" w:cs="Times New Roman"/>
          <w:sz w:val="24"/>
          <w:szCs w:val="24"/>
        </w:rPr>
        <w:t xml:space="preserve"> </w:t>
      </w:r>
      <w:r w:rsidR="00B91228" w:rsidRPr="00BC6629">
        <w:rPr>
          <w:rFonts w:ascii="Times New Roman" w:hAnsi="Times New Roman" w:cs="Times New Roman"/>
          <w:sz w:val="24"/>
          <w:szCs w:val="24"/>
        </w:rPr>
        <w:t xml:space="preserve">A total of </w:t>
      </w:r>
      <w:r w:rsidR="00B91228">
        <w:rPr>
          <w:rFonts w:ascii="Times New Roman" w:hAnsi="Times New Roman" w:cs="Times New Roman"/>
          <w:sz w:val="24"/>
          <w:szCs w:val="24"/>
        </w:rPr>
        <w:t>1628 isolates were collected</w:t>
      </w:r>
      <w:r w:rsidR="00DF7FC2">
        <w:rPr>
          <w:rFonts w:ascii="Times New Roman" w:hAnsi="Times New Roman" w:cs="Times New Roman"/>
          <w:sz w:val="24"/>
          <w:szCs w:val="24"/>
        </w:rPr>
        <w:t xml:space="preserve">, </w:t>
      </w:r>
      <w:r w:rsidR="00B91228">
        <w:rPr>
          <w:rFonts w:ascii="Times New Roman" w:hAnsi="Times New Roman" w:cs="Times New Roman"/>
          <w:sz w:val="24"/>
          <w:szCs w:val="24"/>
        </w:rPr>
        <w:t>of which 1260 were gram-positive, catalase-positive cocci</w:t>
      </w:r>
      <w:r w:rsidR="00B03740">
        <w:rPr>
          <w:rFonts w:ascii="Times New Roman" w:hAnsi="Times New Roman" w:cs="Times New Roman"/>
          <w:sz w:val="24"/>
          <w:szCs w:val="24"/>
        </w:rPr>
        <w:t xml:space="preserve"> (GPCPC)</w:t>
      </w:r>
      <w:r w:rsidR="00B91228">
        <w:rPr>
          <w:rFonts w:ascii="Times New Roman" w:hAnsi="Times New Roman" w:cs="Times New Roman"/>
          <w:sz w:val="24"/>
          <w:szCs w:val="24"/>
        </w:rPr>
        <w:t xml:space="preserve">. </w:t>
      </w:r>
      <w:r w:rsidR="00DF7FC2" w:rsidRPr="00DF7FC2">
        <w:rPr>
          <w:rFonts w:ascii="Times New Roman" w:hAnsi="Times New Roman" w:cs="Times New Roman"/>
          <w:sz w:val="24"/>
          <w:szCs w:val="24"/>
        </w:rPr>
        <w:t xml:space="preserve">Out of 352 human hand </w:t>
      </w:r>
      <w:r w:rsidR="005C4E02">
        <w:rPr>
          <w:rFonts w:ascii="Times New Roman" w:hAnsi="Times New Roman" w:cs="Times New Roman"/>
          <w:sz w:val="24"/>
          <w:szCs w:val="24"/>
        </w:rPr>
        <w:t xml:space="preserve">isolates </w:t>
      </w:r>
      <w:r w:rsidR="00DF7FC2" w:rsidRPr="00DF7FC2">
        <w:rPr>
          <w:rFonts w:ascii="Times New Roman" w:hAnsi="Times New Roman" w:cs="Times New Roman"/>
          <w:sz w:val="24"/>
          <w:szCs w:val="24"/>
        </w:rPr>
        <w:t xml:space="preserve">and 365 nasal </w:t>
      </w:r>
      <w:r w:rsidR="005C4E02">
        <w:rPr>
          <w:rFonts w:ascii="Times New Roman" w:hAnsi="Times New Roman" w:cs="Times New Roman"/>
          <w:sz w:val="24"/>
          <w:szCs w:val="24"/>
        </w:rPr>
        <w:t>isolates</w:t>
      </w:r>
      <w:r w:rsidR="00DF7FC2" w:rsidRPr="00DF7FC2">
        <w:rPr>
          <w:rFonts w:ascii="Times New Roman" w:hAnsi="Times New Roman" w:cs="Times New Roman"/>
          <w:sz w:val="24"/>
          <w:szCs w:val="24"/>
        </w:rPr>
        <w:t xml:space="preserve">, 166 were GPCPC and 69 were </w:t>
      </w:r>
    </w:p>
    <w:p w14:paraId="3CE96D04" w14:textId="061BC08D" w:rsidR="00F73B1D" w:rsidRPr="00F73B1D" w:rsidRDefault="00F73B1D" w:rsidP="00B91228">
      <w:pPr>
        <w:spacing w:line="480" w:lineRule="auto"/>
        <w:jc w:val="both"/>
        <w:rPr>
          <w:rFonts w:ascii="Times New Roman" w:hAnsi="Times New Roman" w:cs="Times New Roman"/>
          <w:bCs/>
          <w:sz w:val="28"/>
          <w:szCs w:val="28"/>
        </w:rPr>
      </w:pPr>
      <w:r w:rsidRPr="00F73B1D">
        <w:rPr>
          <w:rFonts w:ascii="Times New Roman" w:hAnsi="Times New Roman" w:cs="Times New Roman"/>
          <w:b/>
          <w:sz w:val="24"/>
          <w:szCs w:val="24"/>
        </w:rPr>
        <w:t>3.2 MLST Profiles</w:t>
      </w:r>
    </w:p>
    <w:p w14:paraId="0B0E4476" w14:textId="2E23D0AB" w:rsidR="00B91228" w:rsidRDefault="00344694" w:rsidP="00332D22">
      <w:pPr>
        <w:spacing w:line="480" w:lineRule="auto"/>
        <w:jc w:val="both"/>
        <w:rPr>
          <w:b/>
          <w:bCs/>
        </w:rPr>
      </w:pPr>
      <w:r>
        <w:rPr>
          <w:rFonts w:ascii="Times New Roman" w:hAnsi="Times New Roman" w:cs="Times New Roman"/>
          <w:bCs/>
          <w:sz w:val="24"/>
          <w:szCs w:val="24"/>
        </w:rPr>
        <w:t>The</w:t>
      </w:r>
      <w:r w:rsidR="00F73B1D" w:rsidRPr="00E346F2">
        <w:rPr>
          <w:rFonts w:ascii="Times New Roman" w:hAnsi="Times New Roman" w:cs="Times New Roman"/>
          <w:bCs/>
          <w:sz w:val="24"/>
          <w:szCs w:val="24"/>
        </w:rPr>
        <w:t xml:space="preserve"> 89 </w:t>
      </w:r>
      <w:r w:rsidR="006E4D06" w:rsidRPr="006E4D06">
        <w:rPr>
          <w:rFonts w:ascii="Times New Roman" w:hAnsi="Times New Roman" w:cs="Times New Roman"/>
          <w:bCs/>
          <w:i/>
          <w:iCs/>
          <w:sz w:val="24"/>
          <w:szCs w:val="24"/>
        </w:rPr>
        <w:t>S. aureus</w:t>
      </w:r>
      <w:r w:rsidR="00F73B1D" w:rsidRPr="00E346F2">
        <w:rPr>
          <w:rFonts w:ascii="Times New Roman" w:hAnsi="Times New Roman" w:cs="Times New Roman"/>
          <w:bCs/>
          <w:sz w:val="24"/>
          <w:szCs w:val="24"/>
        </w:rPr>
        <w:t xml:space="preserve"> isolates were </w:t>
      </w:r>
      <w:r>
        <w:rPr>
          <w:rFonts w:ascii="Times New Roman" w:hAnsi="Times New Roman" w:cs="Times New Roman"/>
          <w:bCs/>
          <w:sz w:val="24"/>
          <w:szCs w:val="24"/>
        </w:rPr>
        <w:t xml:space="preserve">classified </w:t>
      </w:r>
      <w:r w:rsidR="00F73B1D" w:rsidRPr="00E346F2">
        <w:rPr>
          <w:rFonts w:ascii="Times New Roman" w:hAnsi="Times New Roman" w:cs="Times New Roman"/>
          <w:bCs/>
          <w:sz w:val="24"/>
          <w:szCs w:val="24"/>
        </w:rPr>
        <w:t>into 14 different MLST s</w:t>
      </w:r>
      <w:r w:rsidR="00F73B1D">
        <w:rPr>
          <w:rFonts w:ascii="Times New Roman" w:hAnsi="Times New Roman" w:cs="Times New Roman"/>
          <w:bCs/>
          <w:sz w:val="24"/>
          <w:szCs w:val="24"/>
        </w:rPr>
        <w:t>equence</w:t>
      </w:r>
      <w:r w:rsidR="00F73B1D" w:rsidRPr="00E346F2">
        <w:rPr>
          <w:rFonts w:ascii="Times New Roman" w:hAnsi="Times New Roman" w:cs="Times New Roman"/>
          <w:bCs/>
          <w:sz w:val="24"/>
          <w:szCs w:val="24"/>
        </w:rPr>
        <w:t xml:space="preserve"> types</w:t>
      </w:r>
      <w:r w:rsidR="00F73B1D">
        <w:rPr>
          <w:rFonts w:ascii="Times New Roman" w:hAnsi="Times New Roman" w:cs="Times New Roman"/>
          <w:bCs/>
          <w:sz w:val="24"/>
          <w:szCs w:val="24"/>
        </w:rPr>
        <w:t xml:space="preserve"> (STs)</w:t>
      </w:r>
      <w:r w:rsidR="00F73B1D" w:rsidRPr="00E346F2">
        <w:rPr>
          <w:rFonts w:ascii="Times New Roman" w:hAnsi="Times New Roman" w:cs="Times New Roman"/>
          <w:bCs/>
          <w:sz w:val="24"/>
          <w:szCs w:val="24"/>
        </w:rPr>
        <w:t xml:space="preserve"> and 8 clonal </w:t>
      </w:r>
    </w:p>
    <w:p w14:paraId="4C5E864D" w14:textId="5A308395" w:rsidR="007D0F12" w:rsidRPr="00265555" w:rsidRDefault="007D0F12" w:rsidP="00265555">
      <w:pPr>
        <w:pStyle w:val="ListParagraph"/>
        <w:numPr>
          <w:ilvl w:val="0"/>
          <w:numId w:val="2"/>
        </w:numPr>
        <w:spacing w:line="480" w:lineRule="auto"/>
        <w:jc w:val="both"/>
        <w:rPr>
          <w:color w:val="0E0E0E"/>
        </w:rPr>
      </w:pPr>
      <w:r w:rsidRPr="00963BAE">
        <w:rPr>
          <w:b/>
        </w:rPr>
        <w:t>Results</w:t>
      </w:r>
    </w:p>
    <w:p w14:paraId="407F0E2D" w14:textId="2FCC685C" w:rsidR="00F76BBD" w:rsidRPr="0035282F" w:rsidRDefault="00F76BBD" w:rsidP="00265555">
      <w:pPr>
        <w:spacing w:after="0" w:line="480" w:lineRule="auto"/>
        <w:jc w:val="both"/>
        <w:rPr>
          <w:rFonts w:ascii="Times New Roman" w:hAnsi="Times New Roman" w:cs="Times New Roman"/>
          <w:sz w:val="24"/>
          <w:szCs w:val="24"/>
        </w:rPr>
      </w:pPr>
      <w:r w:rsidRPr="00F76BBD">
        <w:rPr>
          <w:rFonts w:ascii="Times New Roman" w:hAnsi="Times New Roman" w:cs="Times New Roman"/>
          <w:sz w:val="24"/>
          <w:szCs w:val="24"/>
        </w:rPr>
        <w:t>In this study, the 19 dairy farms represent approximately 2</w:t>
      </w:r>
      <w:r w:rsidR="002A2CAC">
        <w:rPr>
          <w:rFonts w:ascii="Times New Roman" w:hAnsi="Times New Roman" w:cs="Times New Roman"/>
          <w:sz w:val="24"/>
          <w:szCs w:val="24"/>
        </w:rPr>
        <w:t>8</w:t>
      </w:r>
      <w:r w:rsidRPr="00F76BBD">
        <w:rPr>
          <w:rFonts w:ascii="Times New Roman" w:hAnsi="Times New Roman" w:cs="Times New Roman"/>
          <w:sz w:val="24"/>
          <w:szCs w:val="24"/>
        </w:rPr>
        <w:t>% of the total number of farms engaged in farmstead or artisan cheese production in Vermont during 2015-2018</w:t>
      </w:r>
      <w:r w:rsidR="002A2CAC">
        <w:rPr>
          <w:rFonts w:ascii="Times New Roman" w:hAnsi="Times New Roman" w:cs="Times New Roman"/>
          <w:sz w:val="24"/>
          <w:szCs w:val="24"/>
        </w:rPr>
        <w:t>.</w:t>
      </w:r>
      <w:r w:rsidR="008224C7">
        <w:rPr>
          <w:rFonts w:ascii="Times New Roman" w:hAnsi="Times New Roman" w:cs="Times New Roman"/>
          <w:sz w:val="24"/>
          <w:szCs w:val="24"/>
        </w:rPr>
        <w:t xml:space="preserve"> </w:t>
      </w:r>
    </w:p>
    <w:p w14:paraId="4E4780D4" w14:textId="0FAAD3B6" w:rsidR="00B91228" w:rsidRPr="002604C3" w:rsidRDefault="00FC0592" w:rsidP="00B91228">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B91228">
        <w:rPr>
          <w:rFonts w:ascii="Times New Roman" w:hAnsi="Times New Roman" w:cs="Times New Roman"/>
          <w:b/>
          <w:bCs/>
          <w:sz w:val="24"/>
          <w:szCs w:val="24"/>
        </w:rPr>
        <w:t xml:space="preserve">.1 </w:t>
      </w:r>
      <w:r w:rsidR="00B91228" w:rsidRPr="002604C3">
        <w:rPr>
          <w:rFonts w:ascii="Times New Roman" w:hAnsi="Times New Roman" w:cs="Times New Roman"/>
          <w:b/>
          <w:bCs/>
          <w:sz w:val="24"/>
          <w:szCs w:val="24"/>
        </w:rPr>
        <w:t xml:space="preserve">Prevalence of </w:t>
      </w:r>
      <w:r w:rsidR="006E4D06" w:rsidRPr="006E4D06">
        <w:rPr>
          <w:rFonts w:ascii="Times New Roman" w:hAnsi="Times New Roman" w:cs="Times New Roman"/>
          <w:b/>
          <w:bCs/>
          <w:i/>
          <w:iCs/>
          <w:sz w:val="24"/>
          <w:szCs w:val="24"/>
        </w:rPr>
        <w:t>S. aureus</w:t>
      </w:r>
      <w:r w:rsidR="00B91228" w:rsidRPr="002604C3">
        <w:rPr>
          <w:rFonts w:ascii="Times New Roman" w:hAnsi="Times New Roman" w:cs="Times New Roman"/>
          <w:b/>
          <w:bCs/>
          <w:sz w:val="24"/>
          <w:szCs w:val="24"/>
        </w:rPr>
        <w:t xml:space="preserve"> in dairy farms</w:t>
      </w:r>
    </w:p>
    <w:p w14:paraId="7C6EE1CD" w14:textId="0C9C14B7" w:rsidR="00332D22" w:rsidRDefault="00BF184A" w:rsidP="00332D22">
      <w:pPr>
        <w:spacing w:after="0" w:line="480" w:lineRule="auto"/>
        <w:jc w:val="both"/>
        <w:rPr>
          <w:rFonts w:ascii="Times New Roman" w:hAnsi="Times New Roman" w:cs="Times New Roman"/>
          <w:sz w:val="24"/>
          <w:szCs w:val="24"/>
        </w:rPr>
      </w:pPr>
      <w:r w:rsidRPr="001F2484">
        <w:rPr>
          <w:rFonts w:ascii="Times New Roman" w:hAnsi="Times New Roman" w:cs="Times New Roman"/>
          <w:sz w:val="24"/>
          <w:szCs w:val="24"/>
        </w:rPr>
        <w:t xml:space="preserve">The prevalence of </w:t>
      </w:r>
      <w:r w:rsidRPr="006E4D06">
        <w:rPr>
          <w:rFonts w:ascii="Times New Roman" w:hAnsi="Times New Roman" w:cs="Times New Roman"/>
          <w:i/>
          <w:iCs/>
          <w:sz w:val="24"/>
          <w:szCs w:val="24"/>
        </w:rPr>
        <w:t>S. aureus</w:t>
      </w:r>
      <w:r w:rsidRPr="001F2484">
        <w:rPr>
          <w:rFonts w:ascii="Times New Roman" w:hAnsi="Times New Roman" w:cs="Times New Roman"/>
          <w:sz w:val="24"/>
          <w:szCs w:val="24"/>
        </w:rPr>
        <w:t xml:space="preserve"> </w:t>
      </w:r>
      <w:r w:rsidR="0018692E">
        <w:rPr>
          <w:rFonts w:ascii="Times New Roman" w:hAnsi="Times New Roman" w:cs="Times New Roman"/>
          <w:sz w:val="24"/>
          <w:szCs w:val="24"/>
        </w:rPr>
        <w:t xml:space="preserve">positive BTM samples </w:t>
      </w:r>
      <w:r>
        <w:rPr>
          <w:rFonts w:ascii="Times New Roman" w:hAnsi="Times New Roman" w:cs="Times New Roman"/>
          <w:sz w:val="24"/>
          <w:szCs w:val="24"/>
        </w:rPr>
        <w:t xml:space="preserve">in our study </w:t>
      </w:r>
      <w:r w:rsidRPr="001F2484">
        <w:rPr>
          <w:rFonts w:ascii="Times New Roman" w:hAnsi="Times New Roman" w:cs="Times New Roman"/>
          <w:sz w:val="24"/>
          <w:szCs w:val="24"/>
        </w:rPr>
        <w:t xml:space="preserve">is consistent with previous studies </w:t>
      </w:r>
      <w:r>
        <w:rPr>
          <w:rFonts w:ascii="Times New Roman" w:hAnsi="Times New Roman" w:cs="Times New Roman"/>
          <w:sz w:val="24"/>
          <w:szCs w:val="24"/>
        </w:rPr>
        <w:t>.</w:t>
      </w:r>
      <w:r w:rsidR="001F2484">
        <w:rPr>
          <w:rFonts w:ascii="Times New Roman" w:hAnsi="Times New Roman" w:cs="Times New Roman"/>
          <w:sz w:val="24"/>
          <w:szCs w:val="24"/>
        </w:rPr>
        <w:t xml:space="preserve"> </w:t>
      </w:r>
      <w:r w:rsidR="00BC773A">
        <w:rPr>
          <w:rFonts w:ascii="Times New Roman" w:hAnsi="Times New Roman" w:cs="Times New Roman"/>
          <w:sz w:val="24"/>
          <w:szCs w:val="24"/>
        </w:rPr>
        <w:t xml:space="preserve">Because cows with </w:t>
      </w:r>
      <w:r w:rsidR="00BC773A" w:rsidRPr="00BC773A">
        <w:rPr>
          <w:rFonts w:ascii="Times New Roman" w:hAnsi="Times New Roman" w:cs="Times New Roman"/>
          <w:i/>
          <w:iCs/>
          <w:sz w:val="24"/>
          <w:szCs w:val="24"/>
        </w:rPr>
        <w:t>S. aureus</w:t>
      </w:r>
      <w:r w:rsidR="00BC773A">
        <w:rPr>
          <w:rFonts w:ascii="Times New Roman" w:hAnsi="Times New Roman" w:cs="Times New Roman"/>
          <w:sz w:val="24"/>
          <w:szCs w:val="24"/>
        </w:rPr>
        <w:t xml:space="preserve"> mastitis shed into milk, </w:t>
      </w:r>
      <w:r w:rsidR="001F2484" w:rsidRPr="001F2484">
        <w:rPr>
          <w:rFonts w:ascii="Times New Roman" w:hAnsi="Times New Roman" w:cs="Times New Roman"/>
          <w:sz w:val="24"/>
          <w:szCs w:val="24"/>
        </w:rPr>
        <w:t>BTM samples are considered useful for</w:t>
      </w:r>
    </w:p>
    <w:p w14:paraId="785B7221" w14:textId="088B306D" w:rsidR="001F2484" w:rsidRDefault="00D67577"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p>
    <w:p w14:paraId="2160FE1A" w14:textId="7B8F7754" w:rsidR="00B91228" w:rsidRPr="0035282F" w:rsidRDefault="00FC0592" w:rsidP="004861F1">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B91228">
        <w:rPr>
          <w:rFonts w:ascii="Times New Roman" w:hAnsi="Times New Roman" w:cs="Times New Roman"/>
          <w:b/>
          <w:bCs/>
          <w:sz w:val="24"/>
          <w:szCs w:val="24"/>
        </w:rPr>
        <w:t xml:space="preserve">.2 </w:t>
      </w:r>
      <w:r w:rsidR="00B91228" w:rsidRPr="0035282F">
        <w:rPr>
          <w:rFonts w:ascii="Times New Roman" w:hAnsi="Times New Roman" w:cs="Times New Roman"/>
          <w:b/>
          <w:bCs/>
          <w:sz w:val="24"/>
          <w:szCs w:val="24"/>
        </w:rPr>
        <w:t>MLST profiles</w:t>
      </w:r>
    </w:p>
    <w:p w14:paraId="5A6653A4" w14:textId="126ABAEA" w:rsidR="00B91228" w:rsidRPr="000F68D6" w:rsidRDefault="00157F8A" w:rsidP="00FD684B">
      <w:pPr>
        <w:autoSpaceDE w:val="0"/>
        <w:autoSpaceDN w:val="0"/>
        <w:adjustRightInd w:val="0"/>
        <w:spacing w:line="480" w:lineRule="auto"/>
        <w:jc w:val="both"/>
        <w:rPr>
          <w:rFonts w:ascii="Times New Roman" w:hAnsi="Times New Roman" w:cs="Times New Roman"/>
          <w:sz w:val="24"/>
          <w:szCs w:val="24"/>
        </w:rPr>
      </w:pPr>
      <w:r w:rsidRPr="0035282F">
        <w:rPr>
          <w:rFonts w:ascii="Times New Roman" w:hAnsi="Times New Roman" w:cs="Times New Roman"/>
          <w:sz w:val="24"/>
          <w:szCs w:val="24"/>
        </w:rPr>
        <w:t>.</w:t>
      </w:r>
      <w:r w:rsidR="00B91228">
        <w:rPr>
          <w:rFonts w:ascii="Times New Roman" w:hAnsi="Times New Roman" w:cs="Times New Roman"/>
          <w:sz w:val="24"/>
          <w:szCs w:val="24"/>
        </w:rPr>
        <w:t xml:space="preserve"> </w:t>
      </w:r>
      <w:r w:rsidRPr="00FD684B">
        <w:rPr>
          <w:rFonts w:ascii="Times New Roman" w:hAnsi="Times New Roman" w:cs="Times New Roman"/>
          <w:sz w:val="24"/>
          <w:szCs w:val="24"/>
        </w:rPr>
        <w:t xml:space="preserve">However, no significant association was found between the carriage of </w:t>
      </w:r>
      <w:r w:rsidR="001F4C30" w:rsidRPr="001F4C30">
        <w:rPr>
          <w:rFonts w:ascii="Times New Roman" w:hAnsi="Times New Roman" w:cs="Times New Roman"/>
          <w:i/>
          <w:iCs/>
          <w:sz w:val="24"/>
          <w:szCs w:val="24"/>
        </w:rPr>
        <w:t>blaZ</w:t>
      </w:r>
      <w:r w:rsidRPr="00FD684B">
        <w:rPr>
          <w:rFonts w:ascii="Times New Roman" w:hAnsi="Times New Roman" w:cs="Times New Roman"/>
          <w:sz w:val="24"/>
          <w:szCs w:val="24"/>
        </w:rPr>
        <w:t xml:space="preserve"> by </w:t>
      </w:r>
      <w:r w:rsidRPr="006E4D06">
        <w:rPr>
          <w:rFonts w:ascii="Times New Roman" w:hAnsi="Times New Roman" w:cs="Times New Roman"/>
          <w:i/>
          <w:iCs/>
          <w:sz w:val="24"/>
          <w:szCs w:val="24"/>
        </w:rPr>
        <w:t>S. aureus</w:t>
      </w:r>
      <w:r w:rsidRPr="00FD684B">
        <w:rPr>
          <w:rFonts w:ascii="Times New Roman" w:hAnsi="Times New Roman" w:cs="Times New Roman"/>
          <w:sz w:val="24"/>
          <w:szCs w:val="24"/>
        </w:rPr>
        <w:t xml:space="preserve"> isolates and the type of farm (organic or conventional).</w:t>
      </w:r>
      <w:r w:rsidR="00FD684B" w:rsidRPr="00FD684B">
        <w:rPr>
          <w:rFonts w:ascii="Times New Roman" w:hAnsi="Times New Roman" w:cs="Times New Roman"/>
          <w:sz w:val="24"/>
          <w:szCs w:val="24"/>
        </w:rPr>
        <w:t xml:space="preserve"> This could be due to the unbalanced sample size, </w:t>
      </w:r>
      <w:r w:rsidR="00FD684B" w:rsidRPr="00FD684B">
        <w:rPr>
          <w:rFonts w:ascii="Times New Roman" w:hAnsi="Times New Roman" w:cs="Times New Roman"/>
          <w:sz w:val="24"/>
          <w:szCs w:val="24"/>
        </w:rPr>
        <w:lastRenderedPageBreak/>
        <w:t>as there was a large discrepancy between the number of conventional and organic farms in the study.</w:t>
      </w:r>
    </w:p>
    <w:p w14:paraId="22A3A427" w14:textId="32CCE459" w:rsidR="00B91228" w:rsidRPr="002604C3" w:rsidRDefault="00FC0592" w:rsidP="00B91228">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B91228">
        <w:rPr>
          <w:rFonts w:ascii="Times New Roman" w:hAnsi="Times New Roman" w:cs="Times New Roman"/>
          <w:b/>
          <w:bCs/>
          <w:sz w:val="24"/>
          <w:szCs w:val="24"/>
        </w:rPr>
        <w:t xml:space="preserve">.4 </w:t>
      </w:r>
      <w:r w:rsidR="0042558A">
        <w:rPr>
          <w:rFonts w:ascii="Times New Roman" w:hAnsi="Times New Roman" w:cs="Times New Roman"/>
          <w:b/>
          <w:bCs/>
          <w:sz w:val="24"/>
          <w:szCs w:val="24"/>
        </w:rPr>
        <w:t>Potential Host Transmission</w:t>
      </w:r>
      <w:r w:rsidR="00B91228" w:rsidRPr="002604C3">
        <w:rPr>
          <w:rFonts w:ascii="Times New Roman" w:hAnsi="Times New Roman" w:cs="Times New Roman"/>
          <w:b/>
          <w:bCs/>
          <w:sz w:val="24"/>
          <w:szCs w:val="24"/>
        </w:rPr>
        <w:t xml:space="preserve"> Events</w:t>
      </w:r>
    </w:p>
    <w:p w14:paraId="08983743" w14:textId="088A73EE" w:rsidR="00B91228" w:rsidRPr="00FC0592" w:rsidRDefault="00B91228" w:rsidP="007D0F12">
      <w:pPr>
        <w:pStyle w:val="ListParagraph"/>
        <w:numPr>
          <w:ilvl w:val="0"/>
          <w:numId w:val="2"/>
        </w:numPr>
        <w:autoSpaceDE w:val="0"/>
        <w:autoSpaceDN w:val="0"/>
        <w:adjustRightInd w:val="0"/>
        <w:spacing w:line="480" w:lineRule="auto"/>
        <w:jc w:val="both"/>
      </w:pPr>
      <w:commentRangeStart w:id="6"/>
      <w:r w:rsidRPr="00FC0592">
        <w:rPr>
          <w:b/>
          <w:bCs/>
        </w:rPr>
        <w:t>Conclusion</w:t>
      </w:r>
      <w:commentRangeEnd w:id="6"/>
      <w:r w:rsidR="005F6F84">
        <w:rPr>
          <w:rStyle w:val="CommentReference"/>
          <w:rFonts w:asciiTheme="minorHAnsi" w:eastAsiaTheme="minorEastAsia" w:hAnsiTheme="minorHAnsi" w:cstheme="minorBidi"/>
        </w:rPr>
        <w:commentReference w:id="6"/>
      </w:r>
    </w:p>
    <w:p w14:paraId="583B5C6A" w14:textId="6790292D" w:rsidR="005240E2" w:rsidRDefault="00E4259F" w:rsidP="005240E2">
      <w:pPr>
        <w:spacing w:after="0" w:line="480" w:lineRule="auto"/>
        <w:jc w:val="both"/>
        <w:rPr>
          <w:rFonts w:ascii="Times New Roman" w:hAnsi="Times New Roman" w:cs="Times New Roman"/>
          <w:sz w:val="24"/>
          <w:szCs w:val="24"/>
        </w:rPr>
      </w:pPr>
      <w:r w:rsidRPr="007C11BC">
        <w:rPr>
          <w:rFonts w:ascii="Times New Roman" w:hAnsi="Times New Roman" w:cs="Times New Roman"/>
          <w:sz w:val="24"/>
          <w:szCs w:val="24"/>
        </w:rPr>
        <w:t xml:space="preserve">In conclusion, this study provides insights into the prevalence and clonal diversity of </w:t>
      </w:r>
      <w:r w:rsidRPr="006E4D06">
        <w:rPr>
          <w:rFonts w:ascii="Times New Roman" w:hAnsi="Times New Roman" w:cs="Times New Roman"/>
          <w:i/>
          <w:iCs/>
          <w:sz w:val="24"/>
          <w:szCs w:val="24"/>
        </w:rPr>
        <w:t>S. aureus</w:t>
      </w:r>
      <w:r w:rsidRPr="007C11BC">
        <w:rPr>
          <w:rFonts w:ascii="Times New Roman" w:hAnsi="Times New Roman" w:cs="Times New Roman"/>
          <w:sz w:val="24"/>
          <w:szCs w:val="24"/>
        </w:rPr>
        <w:t xml:space="preserve"> strains among dairy workers and dairy cows in cheesemaking farms in Vermont.</w:t>
      </w:r>
      <w:r w:rsidR="00C73158" w:rsidRPr="007C11BC">
        <w:rPr>
          <w:rFonts w:ascii="Times New Roman" w:hAnsi="Times New Roman" w:cs="Times New Roman"/>
          <w:sz w:val="24"/>
          <w:szCs w:val="24"/>
        </w:rPr>
        <w:t xml:space="preserve"> </w:t>
      </w:r>
      <w:r w:rsidRPr="007C11BC">
        <w:rPr>
          <w:rFonts w:ascii="Times New Roman" w:hAnsi="Times New Roman" w:cs="Times New Roman"/>
          <w:sz w:val="24"/>
          <w:szCs w:val="24"/>
        </w:rPr>
        <w:t xml:space="preserve">The study found that human carriers had a higher likelihood of carrying </w:t>
      </w:r>
      <w:r>
        <w:rPr>
          <w:rFonts w:ascii="Times New Roman" w:hAnsi="Times New Roman" w:cs="Times New Roman"/>
          <w:sz w:val="24"/>
          <w:szCs w:val="24"/>
        </w:rPr>
        <w:t>penicillin</w:t>
      </w:r>
      <w:r w:rsidRPr="007C11BC">
        <w:rPr>
          <w:rFonts w:ascii="Times New Roman" w:hAnsi="Times New Roman" w:cs="Times New Roman"/>
          <w:sz w:val="24"/>
          <w:szCs w:val="24"/>
        </w:rPr>
        <w:t xml:space="preserve">-resistant </w:t>
      </w:r>
      <w:r w:rsidRPr="006E4D06">
        <w:rPr>
          <w:rFonts w:ascii="Times New Roman" w:hAnsi="Times New Roman" w:cs="Times New Roman"/>
          <w:i/>
          <w:iCs/>
          <w:sz w:val="24"/>
          <w:szCs w:val="24"/>
        </w:rPr>
        <w:t>S. aureus</w:t>
      </w:r>
      <w:r w:rsidRPr="007C11BC">
        <w:rPr>
          <w:rFonts w:ascii="Times New Roman" w:hAnsi="Times New Roman" w:cs="Times New Roman"/>
          <w:sz w:val="24"/>
          <w:szCs w:val="24"/>
        </w:rPr>
        <w:t xml:space="preserve"> strains, possibly because of the increased use of antibiotics in human medicine.</w:t>
      </w:r>
      <w:r w:rsidR="00C73158" w:rsidRPr="007C11BC">
        <w:rPr>
          <w:rFonts w:ascii="Times New Roman" w:hAnsi="Times New Roman" w:cs="Times New Roman"/>
          <w:sz w:val="24"/>
          <w:szCs w:val="24"/>
        </w:rPr>
        <w:t xml:space="preserve"> </w:t>
      </w:r>
      <w:r>
        <w:rPr>
          <w:rFonts w:ascii="Times New Roman" w:hAnsi="Times New Roman" w:cs="Times New Roman"/>
          <w:sz w:val="24"/>
          <w:szCs w:val="24"/>
        </w:rPr>
        <w:t>Similarly</w:t>
      </w:r>
      <w:r w:rsidRPr="007C11BC">
        <w:rPr>
          <w:rFonts w:ascii="Times New Roman" w:hAnsi="Times New Roman" w:cs="Times New Roman"/>
          <w:sz w:val="24"/>
          <w:szCs w:val="24"/>
        </w:rPr>
        <w:t>, humans working on organic dairy farms may be the main source of resistant isolates because of the widespread use of β-lactam antibiotics in human medicine.</w:t>
      </w:r>
      <w:r w:rsidR="00C73158" w:rsidRPr="007C11BC">
        <w:rPr>
          <w:rFonts w:ascii="Times New Roman" w:hAnsi="Times New Roman" w:cs="Times New Roman"/>
          <w:sz w:val="24"/>
          <w:szCs w:val="24"/>
        </w:rPr>
        <w:t xml:space="preserve"> </w:t>
      </w:r>
      <w:r w:rsidRPr="005240E2">
        <w:rPr>
          <w:rFonts w:ascii="Times New Roman" w:hAnsi="Times New Roman" w:cs="Times New Roman"/>
          <w:sz w:val="24"/>
          <w:szCs w:val="24"/>
        </w:rPr>
        <w:t>Further research, specifically focusing on organic dairy farms, could help further understand the dynamics of antibiotic-resistant gene transfer.</w:t>
      </w:r>
      <w:r w:rsidR="005240E2" w:rsidRPr="005240E2">
        <w:rPr>
          <w:rFonts w:ascii="Times New Roman" w:hAnsi="Times New Roman" w:cs="Times New Roman"/>
          <w:sz w:val="24"/>
          <w:szCs w:val="24"/>
        </w:rPr>
        <w:t xml:space="preserve"> Additionally, the study hints at potential spillover events of </w:t>
      </w:r>
      <w:r w:rsidR="006E4D06" w:rsidRPr="006E4D06">
        <w:rPr>
          <w:rFonts w:ascii="Times New Roman" w:hAnsi="Times New Roman" w:cs="Times New Roman"/>
          <w:i/>
          <w:iCs/>
          <w:sz w:val="24"/>
          <w:szCs w:val="24"/>
        </w:rPr>
        <w:t>S. aureus</w:t>
      </w:r>
      <w:r w:rsidR="005240E2" w:rsidRPr="005240E2">
        <w:rPr>
          <w:rFonts w:ascii="Times New Roman" w:hAnsi="Times New Roman" w:cs="Times New Roman"/>
          <w:sz w:val="24"/>
          <w:szCs w:val="24"/>
        </w:rPr>
        <w:t xml:space="preserve"> </w:t>
      </w:r>
      <w:r w:rsidR="008630D2" w:rsidRPr="008630D2">
        <w:rPr>
          <w:rFonts w:ascii="Times New Roman" w:hAnsi="Times New Roman" w:cs="Times New Roman"/>
          <w:sz w:val="24"/>
          <w:szCs w:val="24"/>
        </w:rPr>
        <w:t>sequence types</w:t>
      </w:r>
      <w:r w:rsidR="005240E2" w:rsidRPr="005240E2">
        <w:rPr>
          <w:rFonts w:ascii="Times New Roman" w:hAnsi="Times New Roman" w:cs="Times New Roman"/>
          <w:sz w:val="24"/>
          <w:szCs w:val="24"/>
        </w:rPr>
        <w:t xml:space="preserve"> between hosts. These findings support the importance of the "One Health Initiative" for continued monitoring of </w:t>
      </w:r>
      <w:r w:rsidR="006E4D06" w:rsidRPr="006E4D06">
        <w:rPr>
          <w:rFonts w:ascii="Times New Roman" w:hAnsi="Times New Roman" w:cs="Times New Roman"/>
          <w:i/>
          <w:iCs/>
          <w:sz w:val="24"/>
          <w:szCs w:val="24"/>
        </w:rPr>
        <w:t>S. aureus</w:t>
      </w:r>
      <w:r w:rsidR="005240E2" w:rsidRPr="005240E2">
        <w:rPr>
          <w:rFonts w:ascii="Times New Roman" w:hAnsi="Times New Roman" w:cs="Times New Roman"/>
          <w:sz w:val="24"/>
          <w:szCs w:val="24"/>
        </w:rPr>
        <w:t xml:space="preserve"> at the human-animal interface.</w:t>
      </w:r>
    </w:p>
    <w:p w14:paraId="0F1C4E5C" w14:textId="0DCEF937" w:rsidR="00B91228" w:rsidRPr="00E63A00" w:rsidRDefault="00B91228" w:rsidP="005240E2">
      <w:pPr>
        <w:spacing w:after="0" w:line="480" w:lineRule="auto"/>
        <w:jc w:val="both"/>
        <w:rPr>
          <w:rFonts w:ascii="Times New Roman" w:hAnsi="Times New Roman" w:cs="Times New Roman"/>
          <w:b/>
          <w:bCs/>
          <w:noProof/>
          <w:sz w:val="24"/>
          <w:szCs w:val="24"/>
        </w:rPr>
      </w:pPr>
      <w:r w:rsidRPr="00E63A00">
        <w:rPr>
          <w:rFonts w:ascii="Times New Roman" w:hAnsi="Times New Roman" w:cs="Times New Roman"/>
          <w:b/>
          <w:bCs/>
          <w:noProof/>
          <w:sz w:val="24"/>
          <w:szCs w:val="24"/>
        </w:rPr>
        <w:t>Funding Sources</w:t>
      </w:r>
    </w:p>
    <w:p w14:paraId="4BF6CB8E" w14:textId="5F8EFBB3" w:rsidR="00B91228" w:rsidRDefault="00E4259F" w:rsidP="00B91228">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was funded by</w:t>
      </w:r>
      <w:r w:rsidRPr="0035282F">
        <w:rPr>
          <w:rFonts w:ascii="Times New Roman" w:hAnsi="Times New Roman" w:cs="Times New Roman"/>
          <w:sz w:val="24"/>
          <w:szCs w:val="24"/>
        </w:rPr>
        <w:t xml:space="preserve"> the USDA Hatch Multistate Project VT-H02413MS</w:t>
      </w:r>
      <w:r>
        <w:rPr>
          <w:rFonts w:ascii="Times New Roman" w:hAnsi="Times New Roman" w:cs="Times New Roman"/>
          <w:sz w:val="24"/>
          <w:szCs w:val="24"/>
        </w:rPr>
        <w:t>.</w:t>
      </w:r>
      <w:r w:rsidR="00B91228">
        <w:rPr>
          <w:rFonts w:ascii="Times New Roman" w:hAnsi="Times New Roman" w:cs="Times New Roman"/>
          <w:sz w:val="24"/>
          <w:szCs w:val="24"/>
        </w:rPr>
        <w:t xml:space="preserve"> </w:t>
      </w:r>
    </w:p>
    <w:p w14:paraId="55EBDFE6" w14:textId="77777777" w:rsidR="00B91228" w:rsidRPr="00E63A00" w:rsidRDefault="00B91228" w:rsidP="00B91228">
      <w:pPr>
        <w:spacing w:line="480" w:lineRule="auto"/>
        <w:jc w:val="both"/>
        <w:rPr>
          <w:rFonts w:ascii="Times New Roman" w:hAnsi="Times New Roman" w:cs="Times New Roman"/>
          <w:b/>
          <w:bCs/>
          <w:sz w:val="24"/>
          <w:szCs w:val="24"/>
        </w:rPr>
      </w:pPr>
      <w:r w:rsidRPr="00E63A00">
        <w:rPr>
          <w:rFonts w:ascii="Times New Roman" w:hAnsi="Times New Roman" w:cs="Times New Roman"/>
          <w:b/>
          <w:bCs/>
          <w:sz w:val="24"/>
          <w:szCs w:val="24"/>
        </w:rPr>
        <w:t>Acknowledgements</w:t>
      </w:r>
    </w:p>
    <w:p w14:paraId="54F9682C" w14:textId="2C536199" w:rsidR="00B91228" w:rsidRDefault="00E4259F" w:rsidP="00B91228">
      <w:pPr>
        <w:spacing w:line="480" w:lineRule="auto"/>
        <w:jc w:val="both"/>
        <w:rPr>
          <w:rFonts w:ascii="Times New Roman" w:hAnsi="Times New Roman" w:cs="Times New Roman"/>
          <w:sz w:val="24"/>
          <w:szCs w:val="24"/>
        </w:rPr>
      </w:pPr>
      <w:r>
        <w:rPr>
          <w:rFonts w:ascii="Times New Roman" w:hAnsi="Times New Roman" w:cs="Times New Roman"/>
          <w:sz w:val="24"/>
          <w:szCs w:val="24"/>
        </w:rPr>
        <w:t>We acknowledge the University of Vermont Genomics Core Facility for helping with MLST sequencing.</w:t>
      </w:r>
      <w:r w:rsidR="00B91228">
        <w:rPr>
          <w:rFonts w:ascii="Times New Roman" w:hAnsi="Times New Roman" w:cs="Times New Roman"/>
          <w:sz w:val="24"/>
          <w:szCs w:val="24"/>
        </w:rPr>
        <w:t xml:space="preserve"> </w:t>
      </w:r>
      <w:r>
        <w:rPr>
          <w:rFonts w:ascii="Times New Roman" w:hAnsi="Times New Roman" w:cs="Times New Roman"/>
          <w:sz w:val="24"/>
          <w:szCs w:val="24"/>
        </w:rPr>
        <w:t>We also thank all farms and farm workers who agreed to participate in this study.</w:t>
      </w:r>
      <w:r w:rsidR="00B91228">
        <w:rPr>
          <w:rFonts w:ascii="Times New Roman" w:hAnsi="Times New Roman" w:cs="Times New Roman"/>
          <w:sz w:val="24"/>
          <w:szCs w:val="24"/>
        </w:rPr>
        <w:t xml:space="preserve"> </w:t>
      </w:r>
      <w:r>
        <w:rPr>
          <w:rFonts w:ascii="Times New Roman" w:hAnsi="Times New Roman" w:cs="Times New Roman"/>
          <w:sz w:val="24"/>
          <w:szCs w:val="24"/>
        </w:rPr>
        <w:t>Finally, we thank all lab personnel who helped with sample collection and sample processing.</w:t>
      </w:r>
    </w:p>
    <w:p w14:paraId="7F1E5638" w14:textId="77777777" w:rsidR="00B91228" w:rsidRPr="00E63A00" w:rsidRDefault="00B91228" w:rsidP="00B91228">
      <w:pPr>
        <w:spacing w:line="480" w:lineRule="auto"/>
        <w:jc w:val="both"/>
        <w:rPr>
          <w:rFonts w:ascii="Times New Roman" w:hAnsi="Times New Roman" w:cs="Times New Roman"/>
          <w:b/>
          <w:bCs/>
          <w:sz w:val="24"/>
          <w:szCs w:val="24"/>
        </w:rPr>
      </w:pPr>
      <w:r w:rsidRPr="00E63A00">
        <w:rPr>
          <w:rFonts w:ascii="Times New Roman" w:hAnsi="Times New Roman" w:cs="Times New Roman"/>
          <w:b/>
          <w:bCs/>
          <w:sz w:val="24"/>
          <w:szCs w:val="24"/>
        </w:rPr>
        <w:t>Conflict of Interest</w:t>
      </w:r>
    </w:p>
    <w:p w14:paraId="49DE944F" w14:textId="5213C20F" w:rsidR="00B91228" w:rsidRPr="0035282F" w:rsidRDefault="00E4259F" w:rsidP="00B91228">
      <w:pPr>
        <w:spacing w:line="480" w:lineRule="auto"/>
        <w:jc w:val="both"/>
        <w:rPr>
          <w:rFonts w:ascii="Times New Roman" w:hAnsi="Times New Roman" w:cs="Times New Roman"/>
          <w:sz w:val="24"/>
          <w:szCs w:val="24"/>
        </w:rPr>
      </w:pPr>
      <w:r>
        <w:rPr>
          <w:rFonts w:ascii="Times New Roman" w:hAnsi="Times New Roman" w:cs="Times New Roman"/>
          <w:sz w:val="24"/>
          <w:szCs w:val="24"/>
        </w:rPr>
        <w:t>The authors declare no conflicts of interest.</w:t>
      </w:r>
    </w:p>
    <w:p w14:paraId="4D868521" w14:textId="72B129FF" w:rsidR="001C29D8" w:rsidRDefault="001C29D8">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Author Contributions</w:t>
      </w:r>
    </w:p>
    <w:p w14:paraId="576E3444" w14:textId="2E430D43" w:rsidR="001C29D8" w:rsidRDefault="001C29D8">
      <w:pPr>
        <w:rPr>
          <w:rFonts w:ascii="Times New Roman" w:hAnsi="Times New Roman" w:cs="Times New Roman"/>
          <w:noProof/>
          <w:sz w:val="24"/>
          <w:szCs w:val="24"/>
        </w:rPr>
      </w:pPr>
      <w:r>
        <w:rPr>
          <w:rFonts w:ascii="Times New Roman" w:hAnsi="Times New Roman" w:cs="Times New Roman"/>
          <w:noProof/>
          <w:sz w:val="24"/>
          <w:szCs w:val="24"/>
        </w:rPr>
        <w:t>Ashma: Lab work, data collection &amp; analysis, manuscript writing</w:t>
      </w:r>
    </w:p>
    <w:p w14:paraId="74AD6874" w14:textId="77777777" w:rsidR="001C29D8" w:rsidRDefault="001C29D8">
      <w:pPr>
        <w:rPr>
          <w:rFonts w:ascii="Times New Roman" w:hAnsi="Times New Roman" w:cs="Times New Roman"/>
          <w:noProof/>
          <w:sz w:val="24"/>
          <w:szCs w:val="24"/>
        </w:rPr>
      </w:pPr>
      <w:r>
        <w:rPr>
          <w:rFonts w:ascii="Times New Roman" w:hAnsi="Times New Roman" w:cs="Times New Roman"/>
          <w:noProof/>
          <w:sz w:val="24"/>
          <w:szCs w:val="24"/>
        </w:rPr>
        <w:t>Chrsitine: Field sample collection</w:t>
      </w:r>
    </w:p>
    <w:p w14:paraId="0A89E542" w14:textId="77777777" w:rsidR="001C29D8" w:rsidRDefault="001C29D8">
      <w:pPr>
        <w:rPr>
          <w:rFonts w:ascii="Times New Roman" w:hAnsi="Times New Roman" w:cs="Times New Roman"/>
          <w:noProof/>
          <w:sz w:val="24"/>
          <w:szCs w:val="24"/>
        </w:rPr>
      </w:pPr>
      <w:r>
        <w:rPr>
          <w:rFonts w:ascii="Times New Roman" w:hAnsi="Times New Roman" w:cs="Times New Roman"/>
          <w:noProof/>
          <w:sz w:val="24"/>
          <w:szCs w:val="24"/>
        </w:rPr>
        <w:t>Ariela: Field sample collection, Lab work</w:t>
      </w:r>
    </w:p>
    <w:p w14:paraId="44DA7A98" w14:textId="75B74153" w:rsidR="001C29D8" w:rsidRDefault="001C29D8">
      <w:pPr>
        <w:rPr>
          <w:rFonts w:ascii="Times New Roman" w:hAnsi="Times New Roman" w:cs="Times New Roman"/>
          <w:noProof/>
          <w:sz w:val="24"/>
          <w:szCs w:val="24"/>
        </w:rPr>
      </w:pPr>
      <w:r>
        <w:rPr>
          <w:rFonts w:ascii="Times New Roman" w:hAnsi="Times New Roman" w:cs="Times New Roman"/>
          <w:noProof/>
          <w:sz w:val="24"/>
          <w:szCs w:val="24"/>
        </w:rPr>
        <w:t>Robert: Sample collection, lab work, data collection &amp; analysis</w:t>
      </w:r>
    </w:p>
    <w:p w14:paraId="4E49DA7F" w14:textId="77777777" w:rsidR="001C29D8" w:rsidRDefault="001C29D8">
      <w:pPr>
        <w:rPr>
          <w:rFonts w:ascii="Times New Roman" w:hAnsi="Times New Roman" w:cs="Times New Roman"/>
          <w:noProof/>
          <w:sz w:val="24"/>
          <w:szCs w:val="24"/>
        </w:rPr>
      </w:pPr>
      <w:r>
        <w:rPr>
          <w:rFonts w:ascii="Times New Roman" w:hAnsi="Times New Roman" w:cs="Times New Roman"/>
          <w:noProof/>
          <w:sz w:val="24"/>
          <w:szCs w:val="24"/>
        </w:rPr>
        <w:t>Amanda: sample collection, lab work</w:t>
      </w:r>
    </w:p>
    <w:p w14:paraId="6FAED997" w14:textId="14EF3A54" w:rsidR="001C29D8" w:rsidRDefault="001C29D8">
      <w:pPr>
        <w:rPr>
          <w:rFonts w:ascii="Times New Roman" w:hAnsi="Times New Roman" w:cs="Times New Roman"/>
          <w:b/>
          <w:bCs/>
          <w:noProof/>
          <w:sz w:val="24"/>
          <w:szCs w:val="24"/>
        </w:rPr>
      </w:pPr>
      <w:r>
        <w:rPr>
          <w:rFonts w:ascii="Times New Roman" w:hAnsi="Times New Roman" w:cs="Times New Roman"/>
          <w:noProof/>
          <w:sz w:val="24"/>
          <w:szCs w:val="24"/>
        </w:rPr>
        <w:t>John: Study design, field sample collection, lab work, data collection &amp; analysis, manuscript preparation</w:t>
      </w:r>
      <w:r>
        <w:rPr>
          <w:rFonts w:ascii="Times New Roman" w:hAnsi="Times New Roman" w:cs="Times New Roman"/>
          <w:b/>
          <w:bCs/>
          <w:noProof/>
          <w:sz w:val="24"/>
          <w:szCs w:val="24"/>
        </w:rPr>
        <w:br w:type="page"/>
      </w:r>
    </w:p>
    <w:p w14:paraId="349E30FF" w14:textId="4817D025" w:rsidR="00B91228" w:rsidRPr="0035282F" w:rsidRDefault="00B91228" w:rsidP="00B91228">
      <w:pPr>
        <w:spacing w:line="480" w:lineRule="auto"/>
        <w:jc w:val="both"/>
        <w:rPr>
          <w:rFonts w:ascii="Times New Roman" w:hAnsi="Times New Roman" w:cs="Times New Roman"/>
          <w:b/>
          <w:sz w:val="24"/>
          <w:szCs w:val="24"/>
        </w:rPr>
      </w:pPr>
      <w:r w:rsidRPr="0035282F">
        <w:rPr>
          <w:rFonts w:ascii="Times New Roman" w:hAnsi="Times New Roman" w:cs="Times New Roman"/>
          <w:b/>
          <w:sz w:val="24"/>
          <w:szCs w:val="24"/>
        </w:rPr>
        <w:lastRenderedPageBreak/>
        <w:t>References</w:t>
      </w:r>
    </w:p>
    <w:p w14:paraId="538E3115" w14:textId="77777777" w:rsidR="00B91228" w:rsidRPr="0035282F" w:rsidRDefault="00B91228" w:rsidP="00B91228">
      <w:pPr>
        <w:spacing w:line="360" w:lineRule="auto"/>
        <w:jc w:val="both"/>
        <w:rPr>
          <w:rFonts w:ascii="Times New Roman" w:hAnsi="Times New Roman" w:cs="Times New Roman"/>
          <w:noProof/>
          <w:sz w:val="24"/>
          <w:szCs w:val="24"/>
        </w:rPr>
      </w:pPr>
    </w:p>
    <w:p w14:paraId="10FDCB6C" w14:textId="77777777" w:rsidR="00B91228" w:rsidRPr="0035282F" w:rsidRDefault="00B91228" w:rsidP="00B91228">
      <w:pPr>
        <w:spacing w:line="360" w:lineRule="auto"/>
        <w:jc w:val="both"/>
        <w:rPr>
          <w:rFonts w:ascii="Times New Roman" w:hAnsi="Times New Roman" w:cs="Times New Roman"/>
          <w:b/>
          <w:sz w:val="24"/>
          <w:szCs w:val="24"/>
        </w:rPr>
      </w:pPr>
    </w:p>
    <w:p w14:paraId="1FAD72A5" w14:textId="4A27A4CA" w:rsidR="00E44A3C" w:rsidRDefault="00E44A3C"/>
    <w:sectPr w:rsidR="00E44A3C" w:rsidSect="002457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5-01T12:16:00Z" w:initials="CJ">
    <w:p w14:paraId="06AF1D3B" w14:textId="1D274111" w:rsidR="00D17519" w:rsidRDefault="00D17519">
      <w:pPr>
        <w:pStyle w:val="CommentText"/>
      </w:pPr>
      <w:r>
        <w:rPr>
          <w:rStyle w:val="CommentReference"/>
        </w:rPr>
        <w:annotationRef/>
      </w:r>
      <w:r>
        <w:t>Title can be up to 45 characters</w:t>
      </w:r>
      <w:r w:rsidR="00023F67">
        <w:t>. “</w:t>
      </w:r>
      <w:r w:rsidR="00023F67">
        <w:t>A descriptive title—one that describes the subject of the article but does not reveal the main conclusions— should be used. The title should be short and informative and contain words or phrases used for indexing</w:t>
      </w:r>
      <w:r w:rsidR="00023F67">
        <w:t>”</w:t>
      </w:r>
    </w:p>
  </w:comment>
  <w:comment w:id="1" w:author="Caitlin Jeffrey" w:date="2023-05-01T12:18:00Z" w:initials="CJ">
    <w:p w14:paraId="4A2EF0B5" w14:textId="266F11A3" w:rsidR="007A7A5F" w:rsidRDefault="007A7A5F">
      <w:pPr>
        <w:pStyle w:val="CommentText"/>
      </w:pPr>
      <w:r>
        <w:rPr>
          <w:rStyle w:val="CommentReference"/>
        </w:rPr>
        <w:annotationRef/>
      </w:r>
      <w:r>
        <w:t>“</w:t>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r>
        <w:t>”</w:t>
      </w:r>
    </w:p>
  </w:comment>
  <w:comment w:id="2" w:author="Caitlin Jeffrey" w:date="2023-05-01T12:19:00Z" w:initials="CJ">
    <w:p w14:paraId="6ED280BE" w14:textId="2DB3175C" w:rsidR="00123751" w:rsidRDefault="00123751">
      <w:pPr>
        <w:pStyle w:val="CommentText"/>
      </w:pPr>
      <w:r>
        <w:rPr>
          <w:rStyle w:val="CommentReference"/>
        </w:rPr>
        <w:annotationRef/>
      </w:r>
      <w:r w:rsidR="002E3817">
        <w:t>“</w:t>
      </w:r>
      <w:r>
        <w:t>The main body of the article should not include headings. The only headings used are Abstract, References, and Notes. The Notes section includes funding information, acknowledgments, a conflicts of interest statement, and ORCiDs</w:t>
      </w:r>
      <w:r w:rsidR="002E3817">
        <w:t>”</w:t>
      </w:r>
    </w:p>
  </w:comment>
  <w:comment w:id="3" w:author="Caitlin Jeffrey" w:date="2023-05-01T12:21:00Z" w:initials="CJ">
    <w:p w14:paraId="61794095" w14:textId="2605A2EB" w:rsidR="00CB39D2" w:rsidRDefault="00CB39D2">
      <w:pPr>
        <w:pStyle w:val="CommentText"/>
      </w:pPr>
      <w:r>
        <w:rPr>
          <w:rStyle w:val="CommentReference"/>
        </w:rPr>
        <w:annotationRef/>
      </w:r>
      <w:r>
        <w:t xml:space="preserve">“The </w:t>
      </w:r>
      <w:r>
        <w:t>body of the paper should contain an introduction to the problem (questions, objectives, reasons for research, and related literature)</w:t>
      </w:r>
      <w:r>
        <w:t>…”</w:t>
      </w:r>
    </w:p>
  </w:comment>
  <w:comment w:id="4" w:author="Caitlin Jeffrey" w:date="2023-05-01T12:22:00Z" w:initials="CJ">
    <w:p w14:paraId="7822907F" w14:textId="3F9A6D9C" w:rsidR="00CB39D2" w:rsidRDefault="00CB39D2">
      <w:pPr>
        <w:pStyle w:val="CommentText"/>
      </w:pPr>
      <w:r>
        <w:rPr>
          <w:rStyle w:val="CommentReference"/>
        </w:rPr>
        <w:annotationRef/>
      </w:r>
      <w:r w:rsidR="003010AA">
        <w:t>“</w:t>
      </w:r>
      <w:r w:rsidR="003010AA">
        <w:t>materials, methods, experimental design, and procedures</w:t>
      </w:r>
      <w:r w:rsidR="003010AA">
        <w:t>”</w:t>
      </w:r>
    </w:p>
  </w:comment>
  <w:comment w:id="5" w:author="Caitlin Jeffrey" w:date="2023-05-02T08:15:00Z" w:initials="CJ">
    <w:p w14:paraId="2B7DFC0E" w14:textId="6FC08BD0" w:rsidR="0095723E" w:rsidRDefault="0095723E">
      <w:pPr>
        <w:pStyle w:val="CommentText"/>
      </w:pPr>
      <w:r>
        <w:rPr>
          <w:rStyle w:val="CommentReference"/>
        </w:rPr>
        <w:annotationRef/>
      </w:r>
      <w:r>
        <w:t>“…</w:t>
      </w:r>
      <w:r>
        <w:t>and results, discussion, conclusions, and applications.</w:t>
      </w:r>
      <w:r>
        <w:t>”</w:t>
      </w:r>
    </w:p>
  </w:comment>
  <w:comment w:id="6" w:author="Caitlin Jeffrey" w:date="2023-05-01T12:23:00Z" w:initials="CJ">
    <w:p w14:paraId="4BF4B4BB" w14:textId="3108EC63" w:rsidR="005F6F84" w:rsidRDefault="005F6F84">
      <w:pPr>
        <w:pStyle w:val="CommentText"/>
      </w:pPr>
      <w:r>
        <w:rPr>
          <w:rStyle w:val="CommentReference"/>
        </w:rPr>
        <w:annotationRef/>
      </w:r>
      <w:r>
        <w:t>“conclusions, and applications.”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AF1D3B" w15:done="0"/>
  <w15:commentEx w15:paraId="4A2EF0B5" w15:done="0"/>
  <w15:commentEx w15:paraId="6ED280BE" w15:done="0"/>
  <w15:commentEx w15:paraId="61794095" w15:done="0"/>
  <w15:commentEx w15:paraId="7822907F" w15:done="0"/>
  <w15:commentEx w15:paraId="2B7DFC0E" w15:done="0"/>
  <w15:commentEx w15:paraId="4BF4B4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2C08" w16cex:dateUtc="2023-05-01T16:16:00Z"/>
  <w16cex:commentExtensible w16cex:durableId="27FA2CA2" w16cex:dateUtc="2023-05-01T16:18:00Z"/>
  <w16cex:commentExtensible w16cex:durableId="27FA2CCA" w16cex:dateUtc="2023-05-01T16:19:00Z"/>
  <w16cex:commentExtensible w16cex:durableId="27FA2D45" w16cex:dateUtc="2023-05-01T16:21:00Z"/>
  <w16cex:commentExtensible w16cex:durableId="27FA2D6D" w16cex:dateUtc="2023-05-01T16:22:00Z"/>
  <w16cex:commentExtensible w16cex:durableId="27FB450F" w16cex:dateUtc="2023-05-02T12:15:00Z"/>
  <w16cex:commentExtensible w16cex:durableId="27FA2DC6" w16cex:dateUtc="2023-05-01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AF1D3B" w16cid:durableId="27FA2C08"/>
  <w16cid:commentId w16cid:paraId="4A2EF0B5" w16cid:durableId="27FA2CA2"/>
  <w16cid:commentId w16cid:paraId="6ED280BE" w16cid:durableId="27FA2CCA"/>
  <w16cid:commentId w16cid:paraId="61794095" w16cid:durableId="27FA2D45"/>
  <w16cid:commentId w16cid:paraId="7822907F" w16cid:durableId="27FA2D6D"/>
  <w16cid:commentId w16cid:paraId="2B7DFC0E" w16cid:durableId="27FB450F"/>
  <w16cid:commentId w16cid:paraId="4BF4B4BB" w16cid:durableId="27FA2D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0BD47" w14:textId="77777777" w:rsidR="007222D7" w:rsidRDefault="007222D7">
      <w:pPr>
        <w:spacing w:after="0" w:line="240" w:lineRule="auto"/>
      </w:pPr>
      <w:r>
        <w:separator/>
      </w:r>
    </w:p>
  </w:endnote>
  <w:endnote w:type="continuationSeparator" w:id="0">
    <w:p w14:paraId="11A0321C" w14:textId="77777777" w:rsidR="007222D7" w:rsidRDefault="00722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D0239" w14:textId="77777777" w:rsidR="007222D7" w:rsidRDefault="007222D7">
      <w:pPr>
        <w:spacing w:after="0" w:line="240" w:lineRule="auto"/>
      </w:pPr>
      <w:r>
        <w:separator/>
      </w:r>
    </w:p>
  </w:footnote>
  <w:footnote w:type="continuationSeparator" w:id="0">
    <w:p w14:paraId="4A4142A0" w14:textId="77777777" w:rsidR="007222D7" w:rsidRDefault="00722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1E9ED4C6"/>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10334564">
    <w:abstractNumId w:val="3"/>
  </w:num>
  <w:num w:numId="2" w16cid:durableId="551842567">
    <w:abstractNumId w:val="5"/>
  </w:num>
  <w:num w:numId="3" w16cid:durableId="1029913699">
    <w:abstractNumId w:val="0"/>
  </w:num>
  <w:num w:numId="4" w16cid:durableId="805896722">
    <w:abstractNumId w:val="2"/>
  </w:num>
  <w:num w:numId="5" w16cid:durableId="1142117712">
    <w:abstractNumId w:val="4"/>
  </w:num>
  <w:num w:numId="6" w16cid:durableId="1597858771">
    <w:abstractNumId w:val="6"/>
  </w:num>
  <w:num w:numId="7" w16cid:durableId="17468016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28"/>
    <w:rsid w:val="000108C1"/>
    <w:rsid w:val="00016BD8"/>
    <w:rsid w:val="00023F67"/>
    <w:rsid w:val="00034951"/>
    <w:rsid w:val="00034B10"/>
    <w:rsid w:val="0003598E"/>
    <w:rsid w:val="00036FB3"/>
    <w:rsid w:val="000375E7"/>
    <w:rsid w:val="000507F4"/>
    <w:rsid w:val="00054801"/>
    <w:rsid w:val="00056584"/>
    <w:rsid w:val="00066E66"/>
    <w:rsid w:val="0007764E"/>
    <w:rsid w:val="000852C0"/>
    <w:rsid w:val="00085C80"/>
    <w:rsid w:val="000B3194"/>
    <w:rsid w:val="000C13FA"/>
    <w:rsid w:val="000D352F"/>
    <w:rsid w:val="000D589C"/>
    <w:rsid w:val="000E1390"/>
    <w:rsid w:val="000E3D53"/>
    <w:rsid w:val="000F01BF"/>
    <w:rsid w:val="00107FFE"/>
    <w:rsid w:val="00123751"/>
    <w:rsid w:val="0012615E"/>
    <w:rsid w:val="001277F9"/>
    <w:rsid w:val="00132EFF"/>
    <w:rsid w:val="001530FF"/>
    <w:rsid w:val="00156A22"/>
    <w:rsid w:val="00157F8A"/>
    <w:rsid w:val="001611B7"/>
    <w:rsid w:val="00165FE8"/>
    <w:rsid w:val="0017357C"/>
    <w:rsid w:val="0018138D"/>
    <w:rsid w:val="00184B8F"/>
    <w:rsid w:val="0018692E"/>
    <w:rsid w:val="00186C89"/>
    <w:rsid w:val="001A37B3"/>
    <w:rsid w:val="001B0CF2"/>
    <w:rsid w:val="001B25DA"/>
    <w:rsid w:val="001C00E1"/>
    <w:rsid w:val="001C29D8"/>
    <w:rsid w:val="001C4A4D"/>
    <w:rsid w:val="001D5FF4"/>
    <w:rsid w:val="001F2484"/>
    <w:rsid w:val="001F4C30"/>
    <w:rsid w:val="001F6C16"/>
    <w:rsid w:val="00205EC3"/>
    <w:rsid w:val="00206018"/>
    <w:rsid w:val="00214A2F"/>
    <w:rsid w:val="002162F9"/>
    <w:rsid w:val="0021712A"/>
    <w:rsid w:val="00223E2C"/>
    <w:rsid w:val="00232B21"/>
    <w:rsid w:val="002457E7"/>
    <w:rsid w:val="00252532"/>
    <w:rsid w:val="00255B43"/>
    <w:rsid w:val="00265555"/>
    <w:rsid w:val="0027060D"/>
    <w:rsid w:val="00273F6C"/>
    <w:rsid w:val="002A2CAC"/>
    <w:rsid w:val="002A66AA"/>
    <w:rsid w:val="002B3074"/>
    <w:rsid w:val="002C2FD0"/>
    <w:rsid w:val="002D499C"/>
    <w:rsid w:val="002E3817"/>
    <w:rsid w:val="002F6C23"/>
    <w:rsid w:val="003010AA"/>
    <w:rsid w:val="00303660"/>
    <w:rsid w:val="00303E8F"/>
    <w:rsid w:val="00304311"/>
    <w:rsid w:val="0030752B"/>
    <w:rsid w:val="00314E85"/>
    <w:rsid w:val="00315E63"/>
    <w:rsid w:val="003304BF"/>
    <w:rsid w:val="00330BDC"/>
    <w:rsid w:val="00332D22"/>
    <w:rsid w:val="003353FD"/>
    <w:rsid w:val="003429F7"/>
    <w:rsid w:val="00344694"/>
    <w:rsid w:val="00344830"/>
    <w:rsid w:val="003450AC"/>
    <w:rsid w:val="003454BB"/>
    <w:rsid w:val="003467F9"/>
    <w:rsid w:val="00355E4C"/>
    <w:rsid w:val="00364323"/>
    <w:rsid w:val="003903BF"/>
    <w:rsid w:val="00393DF5"/>
    <w:rsid w:val="003A0A98"/>
    <w:rsid w:val="003B5A9E"/>
    <w:rsid w:val="003D5791"/>
    <w:rsid w:val="003E500C"/>
    <w:rsid w:val="00403F45"/>
    <w:rsid w:val="00405618"/>
    <w:rsid w:val="00421290"/>
    <w:rsid w:val="00421B27"/>
    <w:rsid w:val="0042558A"/>
    <w:rsid w:val="004259D7"/>
    <w:rsid w:val="004527BC"/>
    <w:rsid w:val="00471F92"/>
    <w:rsid w:val="00472819"/>
    <w:rsid w:val="00474075"/>
    <w:rsid w:val="004861F1"/>
    <w:rsid w:val="00496972"/>
    <w:rsid w:val="00497BEC"/>
    <w:rsid w:val="004A63E7"/>
    <w:rsid w:val="004A7E61"/>
    <w:rsid w:val="004E64BD"/>
    <w:rsid w:val="004F7A9E"/>
    <w:rsid w:val="00500ABB"/>
    <w:rsid w:val="00514F5E"/>
    <w:rsid w:val="005240E2"/>
    <w:rsid w:val="00531016"/>
    <w:rsid w:val="00541438"/>
    <w:rsid w:val="00551125"/>
    <w:rsid w:val="00554530"/>
    <w:rsid w:val="00555C08"/>
    <w:rsid w:val="00570223"/>
    <w:rsid w:val="0057327A"/>
    <w:rsid w:val="00576EFC"/>
    <w:rsid w:val="00585CC2"/>
    <w:rsid w:val="005B017D"/>
    <w:rsid w:val="005B464D"/>
    <w:rsid w:val="005C03F1"/>
    <w:rsid w:val="005C3E1E"/>
    <w:rsid w:val="005C4E02"/>
    <w:rsid w:val="005E620F"/>
    <w:rsid w:val="005F6F84"/>
    <w:rsid w:val="00605602"/>
    <w:rsid w:val="00610BEB"/>
    <w:rsid w:val="0062647D"/>
    <w:rsid w:val="00627918"/>
    <w:rsid w:val="00635A1F"/>
    <w:rsid w:val="00640473"/>
    <w:rsid w:val="0064575E"/>
    <w:rsid w:val="00664DC1"/>
    <w:rsid w:val="00687D5A"/>
    <w:rsid w:val="006962B3"/>
    <w:rsid w:val="006B0081"/>
    <w:rsid w:val="006B2491"/>
    <w:rsid w:val="006B29D4"/>
    <w:rsid w:val="006C3DA6"/>
    <w:rsid w:val="006C423E"/>
    <w:rsid w:val="006D7EFC"/>
    <w:rsid w:val="006E24D4"/>
    <w:rsid w:val="006E4291"/>
    <w:rsid w:val="006E4D06"/>
    <w:rsid w:val="006E5943"/>
    <w:rsid w:val="00715191"/>
    <w:rsid w:val="007222D7"/>
    <w:rsid w:val="00734C54"/>
    <w:rsid w:val="0075498B"/>
    <w:rsid w:val="007613CE"/>
    <w:rsid w:val="007670F6"/>
    <w:rsid w:val="00782E32"/>
    <w:rsid w:val="007836CB"/>
    <w:rsid w:val="00785F63"/>
    <w:rsid w:val="00796FF8"/>
    <w:rsid w:val="007A11F8"/>
    <w:rsid w:val="007A7A5F"/>
    <w:rsid w:val="007B67A3"/>
    <w:rsid w:val="007C11BC"/>
    <w:rsid w:val="007D0B95"/>
    <w:rsid w:val="007D0F12"/>
    <w:rsid w:val="007E4BDB"/>
    <w:rsid w:val="007E784A"/>
    <w:rsid w:val="008171FB"/>
    <w:rsid w:val="008224C7"/>
    <w:rsid w:val="008245AE"/>
    <w:rsid w:val="00831F73"/>
    <w:rsid w:val="0083626F"/>
    <w:rsid w:val="00856BF7"/>
    <w:rsid w:val="00860691"/>
    <w:rsid w:val="008630D2"/>
    <w:rsid w:val="008671B2"/>
    <w:rsid w:val="00871B8C"/>
    <w:rsid w:val="00882A7C"/>
    <w:rsid w:val="008846A1"/>
    <w:rsid w:val="00885C7B"/>
    <w:rsid w:val="008B2384"/>
    <w:rsid w:val="008D2C67"/>
    <w:rsid w:val="008E40E6"/>
    <w:rsid w:val="00902811"/>
    <w:rsid w:val="00903963"/>
    <w:rsid w:val="0090525D"/>
    <w:rsid w:val="00907FA5"/>
    <w:rsid w:val="00912BAF"/>
    <w:rsid w:val="0092030F"/>
    <w:rsid w:val="00923AFF"/>
    <w:rsid w:val="0092517B"/>
    <w:rsid w:val="00942CBA"/>
    <w:rsid w:val="00955110"/>
    <w:rsid w:val="00956BF6"/>
    <w:rsid w:val="0095723E"/>
    <w:rsid w:val="00962F12"/>
    <w:rsid w:val="00963BAE"/>
    <w:rsid w:val="00966145"/>
    <w:rsid w:val="00974374"/>
    <w:rsid w:val="00977549"/>
    <w:rsid w:val="00983C54"/>
    <w:rsid w:val="0099051D"/>
    <w:rsid w:val="00994B29"/>
    <w:rsid w:val="00997914"/>
    <w:rsid w:val="009A3475"/>
    <w:rsid w:val="009A46BF"/>
    <w:rsid w:val="009B03B4"/>
    <w:rsid w:val="009D12CD"/>
    <w:rsid w:val="009E3F4C"/>
    <w:rsid w:val="009E4FFF"/>
    <w:rsid w:val="009E6C35"/>
    <w:rsid w:val="009F3174"/>
    <w:rsid w:val="00A16568"/>
    <w:rsid w:val="00A22F57"/>
    <w:rsid w:val="00A25493"/>
    <w:rsid w:val="00A44D52"/>
    <w:rsid w:val="00A44E66"/>
    <w:rsid w:val="00A774DA"/>
    <w:rsid w:val="00A84517"/>
    <w:rsid w:val="00A91D8D"/>
    <w:rsid w:val="00AA2399"/>
    <w:rsid w:val="00AA44CC"/>
    <w:rsid w:val="00AC39AB"/>
    <w:rsid w:val="00AC6386"/>
    <w:rsid w:val="00AD6E4B"/>
    <w:rsid w:val="00AD7B20"/>
    <w:rsid w:val="00AE62FD"/>
    <w:rsid w:val="00AF2A8F"/>
    <w:rsid w:val="00B0281F"/>
    <w:rsid w:val="00B03740"/>
    <w:rsid w:val="00B26838"/>
    <w:rsid w:val="00B37C58"/>
    <w:rsid w:val="00B7688B"/>
    <w:rsid w:val="00B77B60"/>
    <w:rsid w:val="00B8277B"/>
    <w:rsid w:val="00B84045"/>
    <w:rsid w:val="00B91228"/>
    <w:rsid w:val="00BA0E19"/>
    <w:rsid w:val="00BA159C"/>
    <w:rsid w:val="00BA2C2E"/>
    <w:rsid w:val="00BA77CF"/>
    <w:rsid w:val="00BC773A"/>
    <w:rsid w:val="00BD53FF"/>
    <w:rsid w:val="00BE0F97"/>
    <w:rsid w:val="00BE5A4F"/>
    <w:rsid w:val="00BF184A"/>
    <w:rsid w:val="00BF5813"/>
    <w:rsid w:val="00BF7BE8"/>
    <w:rsid w:val="00BF7F8F"/>
    <w:rsid w:val="00C06DF6"/>
    <w:rsid w:val="00C12D49"/>
    <w:rsid w:val="00C23BE0"/>
    <w:rsid w:val="00C325CC"/>
    <w:rsid w:val="00C416BC"/>
    <w:rsid w:val="00C61169"/>
    <w:rsid w:val="00C61C9D"/>
    <w:rsid w:val="00C64CCF"/>
    <w:rsid w:val="00C73158"/>
    <w:rsid w:val="00C767A8"/>
    <w:rsid w:val="00C80F34"/>
    <w:rsid w:val="00C85F92"/>
    <w:rsid w:val="00C9308B"/>
    <w:rsid w:val="00CA121B"/>
    <w:rsid w:val="00CB39D2"/>
    <w:rsid w:val="00CD7D7E"/>
    <w:rsid w:val="00CE6A6E"/>
    <w:rsid w:val="00CF6DE0"/>
    <w:rsid w:val="00D01CC4"/>
    <w:rsid w:val="00D103CD"/>
    <w:rsid w:val="00D108D2"/>
    <w:rsid w:val="00D11F2D"/>
    <w:rsid w:val="00D148AC"/>
    <w:rsid w:val="00D1575B"/>
    <w:rsid w:val="00D157F1"/>
    <w:rsid w:val="00D17519"/>
    <w:rsid w:val="00D219E4"/>
    <w:rsid w:val="00D34419"/>
    <w:rsid w:val="00D52BE6"/>
    <w:rsid w:val="00D61975"/>
    <w:rsid w:val="00D67577"/>
    <w:rsid w:val="00D92442"/>
    <w:rsid w:val="00DA1466"/>
    <w:rsid w:val="00DA7BA3"/>
    <w:rsid w:val="00DC0A66"/>
    <w:rsid w:val="00DC58EE"/>
    <w:rsid w:val="00DF7FC2"/>
    <w:rsid w:val="00E04BD1"/>
    <w:rsid w:val="00E134D7"/>
    <w:rsid w:val="00E346F2"/>
    <w:rsid w:val="00E40251"/>
    <w:rsid w:val="00E4259F"/>
    <w:rsid w:val="00E44A3C"/>
    <w:rsid w:val="00E50E66"/>
    <w:rsid w:val="00E63136"/>
    <w:rsid w:val="00E634F7"/>
    <w:rsid w:val="00E670EE"/>
    <w:rsid w:val="00E824D6"/>
    <w:rsid w:val="00E942FF"/>
    <w:rsid w:val="00EA4164"/>
    <w:rsid w:val="00EB712A"/>
    <w:rsid w:val="00EC11BB"/>
    <w:rsid w:val="00ED5A96"/>
    <w:rsid w:val="00EE10F8"/>
    <w:rsid w:val="00EF1709"/>
    <w:rsid w:val="00F07493"/>
    <w:rsid w:val="00F10127"/>
    <w:rsid w:val="00F211F3"/>
    <w:rsid w:val="00F25640"/>
    <w:rsid w:val="00F257BA"/>
    <w:rsid w:val="00F515E7"/>
    <w:rsid w:val="00F653D7"/>
    <w:rsid w:val="00F73B1D"/>
    <w:rsid w:val="00F76BBD"/>
    <w:rsid w:val="00FB2E2E"/>
    <w:rsid w:val="00FC0592"/>
    <w:rsid w:val="00FD19CB"/>
    <w:rsid w:val="00FD684B"/>
    <w:rsid w:val="00FE07C8"/>
    <w:rsid w:val="00FE6B9E"/>
    <w:rsid w:val="00FF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ml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EC265-D043-42BD-8F22-91E3C889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9</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40</cp:revision>
  <dcterms:created xsi:type="dcterms:W3CDTF">2023-05-01T15:44:00Z</dcterms:created>
  <dcterms:modified xsi:type="dcterms:W3CDTF">2023-05-02T16:47:00Z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