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D640" w14:textId="77777777" w:rsidR="0009112F" w:rsidRPr="00EF0AED" w:rsidRDefault="00DF4F75" w:rsidP="00EF0AED">
      <w:pPr>
        <w:pStyle w:val="ListParagraph"/>
        <w:numPr>
          <w:ilvl w:val="0"/>
          <w:numId w:val="7"/>
        </w:numPr>
        <w:spacing w:line="480" w:lineRule="auto"/>
        <w:jc w:val="both"/>
        <w:rPr>
          <w:bCs/>
          <w:i/>
          <w:iCs/>
        </w:rPr>
      </w:pPr>
      <w:r w:rsidRPr="00EF0AED">
        <w:rPr>
          <w:bCs/>
          <w:i/>
          <w:iCs/>
        </w:rPr>
        <w:t>https://els-jbs-prod-cdn.jbs.elsevierhealth.com/pb/assets/raw/Health%20Advance</w:t>
      </w:r>
      <w:r w:rsidR="0009112F" w:rsidRPr="00EF0AED">
        <w:rPr>
          <w:bCs/>
          <w:i/>
          <w:iCs/>
        </w:rPr>
        <w:t xml:space="preserve"> </w:t>
      </w:r>
      <w:r w:rsidRPr="00EF0AED">
        <w:rPr>
          <w:bCs/>
          <w:i/>
          <w:iCs/>
        </w:rPr>
        <w:t>/journals/</w:t>
      </w:r>
      <w:proofErr w:type="spellStart"/>
      <w:r w:rsidRPr="00EF0AED">
        <w:rPr>
          <w:bCs/>
          <w:i/>
          <w:iCs/>
        </w:rPr>
        <w:t>jods</w:t>
      </w:r>
      <w:proofErr w:type="spellEnd"/>
      <w:r w:rsidRPr="00EF0AED">
        <w:rPr>
          <w:bCs/>
          <w:i/>
          <w:iCs/>
        </w:rPr>
        <w:t>/JDS_Instruct_for_Contributors_SF.pdf</w:t>
      </w:r>
    </w:p>
    <w:p w14:paraId="46736A40" w14:textId="170539DF" w:rsidR="0009112F" w:rsidRDefault="002276B4" w:rsidP="007670F6">
      <w:pPr>
        <w:pStyle w:val="ListParagraph"/>
        <w:numPr>
          <w:ilvl w:val="0"/>
          <w:numId w:val="7"/>
        </w:numPr>
        <w:spacing w:line="480" w:lineRule="auto"/>
        <w:jc w:val="both"/>
        <w:rPr>
          <w:bCs/>
          <w:i/>
          <w:iCs/>
        </w:rPr>
      </w:pPr>
      <w:r>
        <w:rPr>
          <w:bCs/>
          <w:i/>
          <w:iCs/>
        </w:rPr>
        <w:t>Dairy production; “Health, Behavior, and Well-bein</w:t>
      </w:r>
      <w:r w:rsidR="005075BF">
        <w:rPr>
          <w:bCs/>
          <w:i/>
          <w:iCs/>
        </w:rPr>
        <w:t>g,” “Full-length research paper</w:t>
      </w:r>
      <w:r w:rsidR="0097286B">
        <w:rPr>
          <w:bCs/>
          <w:i/>
          <w:iCs/>
        </w:rPr>
        <w:t>”</w:t>
      </w:r>
    </w:p>
    <w:p w14:paraId="124F0F5C" w14:textId="2B71D208" w:rsidR="007670F6" w:rsidRDefault="004C7629" w:rsidP="007670F6">
      <w:pPr>
        <w:pStyle w:val="ListParagraph"/>
        <w:numPr>
          <w:ilvl w:val="0"/>
          <w:numId w:val="7"/>
        </w:numPr>
        <w:spacing w:line="480" w:lineRule="auto"/>
        <w:jc w:val="both"/>
        <w:rPr>
          <w:bCs/>
          <w:i/>
          <w:iCs/>
        </w:rPr>
      </w:pPr>
      <w:r>
        <w:rPr>
          <w:bCs/>
          <w:i/>
          <w:iCs/>
        </w:rPr>
        <w:t>Need to follow a reporting guideline (</w:t>
      </w:r>
      <w:proofErr w:type="spellStart"/>
      <w:r>
        <w:rPr>
          <w:bCs/>
          <w:i/>
          <w:iCs/>
        </w:rPr>
        <w:t>i.e</w:t>
      </w:r>
      <w:proofErr w:type="spellEnd"/>
      <w:r>
        <w:rPr>
          <w:bCs/>
          <w:i/>
          <w:iCs/>
        </w:rPr>
        <w:t>,. STROBE-V</w:t>
      </w:r>
      <w:r w:rsidR="006F6B52">
        <w:rPr>
          <w:bCs/>
          <w:i/>
          <w:iCs/>
        </w:rPr>
        <w:t>et)</w:t>
      </w:r>
    </w:p>
    <w:p w14:paraId="7A085C48" w14:textId="0A27DD93" w:rsidR="003C1185" w:rsidRPr="003C1185" w:rsidRDefault="003C1185" w:rsidP="003C1185">
      <w:pPr>
        <w:pStyle w:val="ListParagraph"/>
        <w:numPr>
          <w:ilvl w:val="0"/>
          <w:numId w:val="7"/>
        </w:numPr>
        <w:spacing w:line="480" w:lineRule="auto"/>
        <w:jc w:val="both"/>
        <w:rPr>
          <w:bCs/>
          <w:i/>
          <w:iCs/>
        </w:rPr>
      </w:pPr>
      <w:r w:rsidRPr="003C1185">
        <w:rPr>
          <w:bCs/>
          <w:i/>
          <w:iCs/>
        </w:rPr>
        <w:t>The active voice and</w:t>
      </w:r>
      <w:r>
        <w:rPr>
          <w:bCs/>
          <w:i/>
          <w:iCs/>
        </w:rPr>
        <w:t xml:space="preserve"> </w:t>
      </w:r>
      <w:r w:rsidRPr="003C1185">
        <w:rPr>
          <w:bCs/>
          <w:i/>
          <w:iCs/>
        </w:rPr>
        <w:t>first-person pronouns (I, we) should be used when appropriate in the Results, Discussion, and Conclusions</w:t>
      </w:r>
      <w:r>
        <w:rPr>
          <w:bCs/>
          <w:i/>
          <w:iCs/>
        </w:rPr>
        <w:t xml:space="preserve"> </w:t>
      </w:r>
      <w:r w:rsidRPr="003C1185">
        <w:rPr>
          <w:bCs/>
          <w:i/>
          <w:iCs/>
        </w:rPr>
        <w:t>sections.</w:t>
      </w:r>
    </w:p>
    <w:p w14:paraId="425FE15B" w14:textId="6BC69FFF" w:rsidR="00440D93" w:rsidRPr="00440D93" w:rsidRDefault="00440D93" w:rsidP="00440D93">
      <w:pPr>
        <w:pStyle w:val="ListParagraph"/>
        <w:numPr>
          <w:ilvl w:val="0"/>
          <w:numId w:val="7"/>
        </w:numPr>
        <w:spacing w:line="480" w:lineRule="auto"/>
        <w:jc w:val="both"/>
        <w:rPr>
          <w:bCs/>
          <w:i/>
          <w:iCs/>
        </w:rPr>
      </w:pPr>
      <w:r w:rsidRPr="00440D93">
        <w:rPr>
          <w:bCs/>
          <w:i/>
          <w:iCs/>
        </w:rPr>
        <w:t>For scientific conventions, authors should follow the</w:t>
      </w:r>
      <w:r>
        <w:rPr>
          <w:bCs/>
          <w:i/>
          <w:iCs/>
        </w:rPr>
        <w:t xml:space="preserve"> </w:t>
      </w:r>
      <w:r w:rsidRPr="00440D93">
        <w:rPr>
          <w:bCs/>
          <w:i/>
          <w:iCs/>
        </w:rPr>
        <w:t>style and form recommended in Scientific Style and</w:t>
      </w:r>
      <w:r>
        <w:rPr>
          <w:bCs/>
          <w:i/>
          <w:iCs/>
        </w:rPr>
        <w:t xml:space="preserve"> </w:t>
      </w:r>
      <w:r w:rsidRPr="00440D93">
        <w:rPr>
          <w:bCs/>
          <w:i/>
          <w:iCs/>
        </w:rPr>
        <w:t>Format: The CSE Manual for Authors, Editors, and</w:t>
      </w:r>
      <w:r>
        <w:rPr>
          <w:bCs/>
          <w:i/>
          <w:iCs/>
        </w:rPr>
        <w:t xml:space="preserve"> </w:t>
      </w:r>
      <w:r w:rsidRPr="00440D93">
        <w:rPr>
          <w:bCs/>
          <w:i/>
          <w:iCs/>
        </w:rPr>
        <w:t>Publishers</w:t>
      </w:r>
    </w:p>
    <w:p w14:paraId="43F013FB" w14:textId="5B4939E1" w:rsidR="000351E9" w:rsidRPr="000351E9" w:rsidRDefault="000351E9" w:rsidP="000351E9">
      <w:pPr>
        <w:pStyle w:val="ListParagraph"/>
        <w:numPr>
          <w:ilvl w:val="0"/>
          <w:numId w:val="7"/>
        </w:numPr>
        <w:spacing w:line="480" w:lineRule="auto"/>
        <w:jc w:val="both"/>
        <w:rPr>
          <w:bCs/>
          <w:i/>
          <w:iCs/>
        </w:rPr>
      </w:pPr>
      <w:r>
        <w:rPr>
          <w:bCs/>
          <w:i/>
          <w:iCs/>
        </w:rPr>
        <w:t>L</w:t>
      </w:r>
      <w:r w:rsidRPr="000351E9">
        <w:rPr>
          <w:bCs/>
          <w:i/>
          <w:iCs/>
        </w:rPr>
        <w:t>ines and pages should</w:t>
      </w:r>
      <w:r>
        <w:rPr>
          <w:bCs/>
          <w:i/>
          <w:iCs/>
        </w:rPr>
        <w:t xml:space="preserve"> </w:t>
      </w:r>
      <w:r w:rsidRPr="000351E9">
        <w:rPr>
          <w:bCs/>
          <w:i/>
          <w:iCs/>
        </w:rPr>
        <w:t>be numbered consecutively. Special characters (e.g.,</w:t>
      </w:r>
      <w:r>
        <w:rPr>
          <w:bCs/>
          <w:i/>
          <w:iCs/>
        </w:rPr>
        <w:t xml:space="preserve"> </w:t>
      </w:r>
      <w:r w:rsidRPr="000351E9">
        <w:rPr>
          <w:bCs/>
          <w:i/>
          <w:iCs/>
        </w:rPr>
        <w:t>Greek, math, symbols) should be inserted using the</w:t>
      </w:r>
      <w:r>
        <w:rPr>
          <w:bCs/>
          <w:i/>
          <w:iCs/>
        </w:rPr>
        <w:t xml:space="preserve"> </w:t>
      </w:r>
      <w:r w:rsidRPr="000351E9">
        <w:rPr>
          <w:bCs/>
          <w:i/>
          <w:iCs/>
        </w:rPr>
        <w:t>symbols palette</w:t>
      </w:r>
    </w:p>
    <w:p w14:paraId="29B7BB63" w14:textId="22768700" w:rsidR="00EF0AED" w:rsidRPr="00E46AF2" w:rsidRDefault="00E46AF2" w:rsidP="001F6C16">
      <w:pPr>
        <w:pStyle w:val="ListParagraph"/>
        <w:numPr>
          <w:ilvl w:val="0"/>
          <w:numId w:val="7"/>
        </w:numPr>
        <w:spacing w:line="480" w:lineRule="auto"/>
        <w:jc w:val="both"/>
        <w:rPr>
          <w:bCs/>
          <w:i/>
          <w:iCs/>
        </w:rPr>
      </w:pPr>
      <w:r w:rsidRPr="00E46AF2">
        <w:rPr>
          <w:i/>
          <w:iCs/>
        </w:rPr>
        <w:t>Author-derived abbreviations should be defined at first use in the abstract and again in the body of the manuscript, and in each table and figure in which they are used. Author-derived abbreviations will be shown in bold type at first use in the body of the manuscript. Refer to the “Miscellaneous Usage Notes” on page 10 for more information on abbreviations.</w:t>
      </w:r>
    </w:p>
    <w:p w14:paraId="248D2982" w14:textId="6A426EFE" w:rsidR="004A5ACF" w:rsidRPr="00C121AA" w:rsidRDefault="004A5ACF" w:rsidP="00C121AA">
      <w:pPr>
        <w:pStyle w:val="ListParagraph"/>
        <w:numPr>
          <w:ilvl w:val="0"/>
          <w:numId w:val="7"/>
        </w:numPr>
        <w:spacing w:line="480" w:lineRule="auto"/>
        <w:jc w:val="both"/>
        <w:rPr>
          <w:bCs/>
          <w:i/>
          <w:iCs/>
        </w:rPr>
      </w:pPr>
      <w:r w:rsidRPr="004A5ACF">
        <w:rPr>
          <w:i/>
          <w:iCs/>
        </w:rPr>
        <w:t>Data supplements should be placed in a repository and cited by URL in text and/or in the references section. Hosting on third-party repositories allows authors to maintain control over and retain copyright of their supplementary files</w:t>
      </w:r>
    </w:p>
    <w:p w14:paraId="23862D05" w14:textId="0E177EFF" w:rsidR="001F6C16" w:rsidRPr="00CD7D7E" w:rsidRDefault="001F6C16" w:rsidP="001F6C16">
      <w:pPr>
        <w:pStyle w:val="ListParagraph"/>
        <w:numPr>
          <w:ilvl w:val="0"/>
          <w:numId w:val="7"/>
        </w:numPr>
        <w:spacing w:line="480" w:lineRule="auto"/>
        <w:jc w:val="both"/>
        <w:rPr>
          <w:bCs/>
          <w:i/>
          <w:iCs/>
        </w:rPr>
      </w:pPr>
      <w:r w:rsidRPr="00CD7D7E">
        <w:rPr>
          <w:bCs/>
          <w:i/>
          <w:iCs/>
        </w:rPr>
        <w:t>No more than 3 references needed to support a specific concept</w:t>
      </w:r>
      <w:r w:rsidR="005A2355">
        <w:rPr>
          <w:bCs/>
          <w:i/>
          <w:iCs/>
        </w:rPr>
        <w:t xml:space="preserve">; </w:t>
      </w:r>
      <w:r w:rsidR="005A2355" w:rsidRPr="005A2355">
        <w:rPr>
          <w:i/>
          <w:iCs/>
        </w:rPr>
        <w:t>In the body of the manuscript, refer to authors as Smith and Jones (1992) or Smith and Jones (1990, 1992).</w:t>
      </w:r>
    </w:p>
    <w:p w14:paraId="0A734D4B" w14:textId="539856B5" w:rsidR="00C121AA" w:rsidRPr="00C81A31" w:rsidRDefault="00C81A31" w:rsidP="001F6C16">
      <w:pPr>
        <w:pStyle w:val="ListParagraph"/>
        <w:numPr>
          <w:ilvl w:val="0"/>
          <w:numId w:val="7"/>
        </w:numPr>
        <w:spacing w:line="480" w:lineRule="auto"/>
        <w:jc w:val="both"/>
        <w:rPr>
          <w:bCs/>
          <w:i/>
          <w:iCs/>
        </w:rPr>
      </w:pPr>
      <w:r w:rsidRPr="00C81A31">
        <w:rPr>
          <w:i/>
          <w:iCs/>
        </w:rPr>
        <w:t>Usual assumptions are that errors in the statistical models are normally and independently distributed with constant variance. Most standard methods are robust to deviations from these assumptions, but occasionally data transformations or other techniques are helpful.</w:t>
      </w:r>
    </w:p>
    <w:p w14:paraId="13A26DD3" w14:textId="69662DE8" w:rsidR="00C81A31" w:rsidRPr="00EE0CF0" w:rsidRDefault="00BD6BFD" w:rsidP="001F6C16">
      <w:pPr>
        <w:pStyle w:val="ListParagraph"/>
        <w:numPr>
          <w:ilvl w:val="0"/>
          <w:numId w:val="7"/>
        </w:numPr>
        <w:spacing w:line="480" w:lineRule="auto"/>
        <w:jc w:val="both"/>
        <w:rPr>
          <w:bCs/>
          <w:i/>
          <w:iCs/>
        </w:rPr>
      </w:pPr>
      <w:r w:rsidRPr="00EE0CF0">
        <w:rPr>
          <w:i/>
          <w:iCs/>
        </w:rPr>
        <w:lastRenderedPageBreak/>
        <w:t>When a standard deviation or standard error is given, the number of degrees of freedom on which it rests should be specified. When any statistical value (as mean or difference of 2 means) is mentioned, its standard error or confidence limit should be given. The fact that differences are not “statistically significant” is no reason for omitting standard errors</w:t>
      </w:r>
      <w:r w:rsidRPr="00EE0CF0">
        <w:rPr>
          <w:i/>
          <w:iCs/>
        </w:rPr>
        <w:t>…</w:t>
      </w:r>
      <w:r w:rsidR="00EE0CF0" w:rsidRPr="00EE0CF0">
        <w:rPr>
          <w:i/>
          <w:iCs/>
        </w:rPr>
        <w:t xml:space="preserve"> </w:t>
      </w:r>
      <w:r w:rsidR="00EE0CF0" w:rsidRPr="00EE0CF0">
        <w:rPr>
          <w:i/>
          <w:iCs/>
        </w:rPr>
        <w:t>A value attached by “±” to a number implies that the second value is its standard error (not its standard deviation) unless otherwise specified</w:t>
      </w:r>
    </w:p>
    <w:p w14:paraId="7E9F9F35" w14:textId="3F487DC0" w:rsidR="00291D0A" w:rsidRPr="002B2807" w:rsidRDefault="00291D0A" w:rsidP="002B2807">
      <w:pPr>
        <w:pStyle w:val="ListParagraph"/>
        <w:numPr>
          <w:ilvl w:val="0"/>
          <w:numId w:val="7"/>
        </w:numPr>
        <w:spacing w:line="480" w:lineRule="auto"/>
        <w:jc w:val="both"/>
        <w:rPr>
          <w:bCs/>
          <w:i/>
          <w:iCs/>
        </w:rPr>
      </w:pPr>
      <w:r w:rsidRPr="00291D0A">
        <w:rPr>
          <w:i/>
          <w:iCs/>
        </w:rPr>
        <w:t>Adequate reporting may require only (1) the number of observations, (2) arithmetic treatment means, and (3) an estimate of experimental error. The pooled standard error of the mean is the preferred estimate of experimental error. Standard errors need not be presented separately for each mean unless the means are based on different numbers of observations or the heterogeneity of the error variance is to be emphasized.</w:t>
      </w:r>
    </w:p>
    <w:p w14:paraId="0A02DFDA" w14:textId="20E7BFBB" w:rsidR="006B0081" w:rsidRPr="002B2807" w:rsidRDefault="006B0081" w:rsidP="00903963">
      <w:pPr>
        <w:pStyle w:val="ListParagraph"/>
        <w:numPr>
          <w:ilvl w:val="0"/>
          <w:numId w:val="7"/>
        </w:numPr>
        <w:spacing w:line="480" w:lineRule="auto"/>
        <w:jc w:val="both"/>
        <w:rPr>
          <w:bCs/>
          <w:i/>
          <w:iCs/>
        </w:rPr>
      </w:pPr>
      <w:r w:rsidRPr="00CD7D7E">
        <w:rPr>
          <w:bCs/>
          <w:i/>
          <w:iCs/>
        </w:rPr>
        <w:t>The observed significance level (e.g., P = 0.03) should be presented rather than merely P &lt; 0.05 or P &lt; 0.01, thereby allowing the reader to decide what to rejec</w:t>
      </w:r>
      <w:r w:rsidR="002B2807">
        <w:rPr>
          <w:bCs/>
          <w:i/>
          <w:iCs/>
        </w:rPr>
        <w:t xml:space="preserve">t. </w:t>
      </w:r>
      <w:r w:rsidR="002B2807" w:rsidRPr="002B2807">
        <w:rPr>
          <w:i/>
          <w:iCs/>
        </w:rPr>
        <w:t>Do not report P-values to more than 2 or 3 places after the decimal (2 significant digits are usually sufficient).</w:t>
      </w:r>
    </w:p>
    <w:p w14:paraId="3D24934D" w14:textId="62AF9FA8" w:rsidR="004423AD" w:rsidRPr="00FE5838" w:rsidRDefault="004423AD" w:rsidP="00FE5838">
      <w:pPr>
        <w:pStyle w:val="ListParagraph"/>
        <w:numPr>
          <w:ilvl w:val="0"/>
          <w:numId w:val="7"/>
        </w:numPr>
        <w:spacing w:line="480" w:lineRule="auto"/>
        <w:jc w:val="both"/>
        <w:rPr>
          <w:bCs/>
          <w:i/>
          <w:iCs/>
        </w:rPr>
      </w:pPr>
      <w:r w:rsidRPr="004423AD">
        <w:rPr>
          <w:i/>
          <w:iCs/>
        </w:rPr>
        <w:t xml:space="preserve">A “nonsignificant” relationship should not be interpreted to suggest the absence of a relationship. An inadequate number of experimental units or insufficient control of variation limits the power to detect relationships. Avoid the ambiguous use of P &gt; 0.05 to declare </w:t>
      </w:r>
      <w:proofErr w:type="spellStart"/>
      <w:r w:rsidRPr="004423AD">
        <w:rPr>
          <w:i/>
          <w:iCs/>
        </w:rPr>
        <w:t>nonsignificance</w:t>
      </w:r>
      <w:proofErr w:type="spellEnd"/>
      <w:r w:rsidRPr="004423AD">
        <w:rPr>
          <w:i/>
          <w:iCs/>
        </w:rPr>
        <w:t>, such as indicating that a difference is not significant at P &gt; 0.05 and subsequently declaring another difference significant (or a tendency) at P &lt; 0.09</w:t>
      </w:r>
    </w:p>
    <w:p w14:paraId="52335CFA" w14:textId="1A7AA4B9" w:rsidR="00983C54" w:rsidRDefault="00983C54" w:rsidP="00903963">
      <w:pPr>
        <w:pStyle w:val="ListParagraph"/>
        <w:numPr>
          <w:ilvl w:val="0"/>
          <w:numId w:val="7"/>
        </w:numPr>
        <w:spacing w:line="480" w:lineRule="auto"/>
        <w:jc w:val="both"/>
        <w:rPr>
          <w:bCs/>
          <w:i/>
          <w:iCs/>
        </w:rPr>
      </w:pPr>
      <w:r w:rsidRPr="00CD7D7E">
        <w:rPr>
          <w:bCs/>
          <w:i/>
          <w:iCs/>
        </w:rPr>
        <w:t xml:space="preserve">Present only meaningful digits. A practical rule is to round values so that the change caused by rounding is less than one-tenth of the standard error. </w:t>
      </w:r>
      <w:r w:rsidR="00036FB3" w:rsidRPr="00CD7D7E">
        <w:rPr>
          <w:bCs/>
          <w:i/>
          <w:iCs/>
        </w:rPr>
        <w:t>In most cases, 2 or 3 significant digits (not decimal places) are sufficient</w:t>
      </w:r>
    </w:p>
    <w:p w14:paraId="48A1B0B8" w14:textId="421BAD61" w:rsidR="00FE5838" w:rsidRPr="0001480A" w:rsidRDefault="0001480A" w:rsidP="00903963">
      <w:pPr>
        <w:pStyle w:val="ListParagraph"/>
        <w:numPr>
          <w:ilvl w:val="0"/>
          <w:numId w:val="7"/>
        </w:numPr>
        <w:spacing w:line="480" w:lineRule="auto"/>
        <w:jc w:val="both"/>
        <w:rPr>
          <w:bCs/>
          <w:i/>
          <w:iCs/>
        </w:rPr>
      </w:pPr>
      <w:r w:rsidRPr="0001480A">
        <w:rPr>
          <w:i/>
          <w:iCs/>
        </w:rPr>
        <w:lastRenderedPageBreak/>
        <w:t>All microorganisms must be named by genus and species. The name of the genus must appear in full the first time that the microorganism is cited in the abstract, in the body of the paper, and in each table and figure legend. Thereafter, the genus can be abbreviated by its first initial unless it will be confused with other microorganisms cited in the paper, in which</w:t>
      </w:r>
      <w:r w:rsidR="000829F6" w:rsidRPr="000829F6">
        <w:rPr>
          <w:i/>
          <w:iCs/>
        </w:rPr>
        <w:t xml:space="preserve"> </w:t>
      </w:r>
      <w:r w:rsidR="000829F6" w:rsidRPr="000829F6">
        <w:rPr>
          <w:i/>
          <w:iCs/>
        </w:rPr>
        <w:t>case each genus should be abbreviated to use enough letters to avoid confusion (e.g., Strep. vs. Staph.). The formal, binomial names of all microorganisms should be in italics</w:t>
      </w:r>
    </w:p>
    <w:p w14:paraId="0381AD82" w14:textId="49D5CFFD" w:rsidR="005E3D96" w:rsidRPr="005457B2" w:rsidRDefault="005E3D96" w:rsidP="00903963">
      <w:pPr>
        <w:pStyle w:val="ListParagraph"/>
        <w:numPr>
          <w:ilvl w:val="0"/>
          <w:numId w:val="7"/>
        </w:numPr>
        <w:spacing w:line="480" w:lineRule="auto"/>
        <w:jc w:val="both"/>
        <w:rPr>
          <w:bCs/>
          <w:i/>
          <w:iCs/>
        </w:rPr>
      </w:pPr>
      <w:r w:rsidRPr="005457B2">
        <w:rPr>
          <w:i/>
          <w:iCs/>
        </w:rPr>
        <w:t>Abbreviations should not be used in the title, key words, or to begin sentences, except when</w:t>
      </w:r>
      <w:r w:rsidR="005457B2" w:rsidRPr="005457B2">
        <w:rPr>
          <w:i/>
          <w:iCs/>
        </w:rPr>
        <w:t xml:space="preserve"> </w:t>
      </w:r>
      <w:r w:rsidR="005457B2" w:rsidRPr="005457B2">
        <w:rPr>
          <w:i/>
          <w:iCs/>
        </w:rPr>
        <w:t>they are widely known throughout science (e.g., DNA, RNA) or are terms better known by their abbreviation</w:t>
      </w:r>
      <w:r w:rsidR="009075BC">
        <w:rPr>
          <w:i/>
          <w:iCs/>
        </w:rPr>
        <w:t xml:space="preserve">. </w:t>
      </w:r>
      <w:r w:rsidR="009075BC" w:rsidRPr="009075BC">
        <w:rPr>
          <w:i/>
          <w:iCs/>
        </w:rPr>
        <w:t>Terms used fewer than 3 times after first use must be spelled out in full rather than abbreviated</w:t>
      </w:r>
    </w:p>
    <w:p w14:paraId="61609D31" w14:textId="66526F38" w:rsidR="00D108D2" w:rsidRPr="00CD7D7E" w:rsidRDefault="00D108D2" w:rsidP="00903963">
      <w:pPr>
        <w:pStyle w:val="ListParagraph"/>
        <w:numPr>
          <w:ilvl w:val="0"/>
          <w:numId w:val="7"/>
        </w:numPr>
        <w:spacing w:line="480" w:lineRule="auto"/>
        <w:jc w:val="both"/>
        <w:rPr>
          <w:bCs/>
          <w:i/>
          <w:iCs/>
        </w:rPr>
      </w:pPr>
      <w:r w:rsidRPr="00CD7D7E">
        <w:rPr>
          <w:bCs/>
          <w:i/>
          <w:iCs/>
        </w:rPr>
        <w:t>Numerals should be used for all numbers except in idiomatic phrases such as “one or the other,” or “on the one hand.” Measures must be in the metric (SI) system</w:t>
      </w:r>
    </w:p>
    <w:p w14:paraId="1A5E54E5" w14:textId="14D807A5" w:rsidR="00D103CD" w:rsidRPr="00CD7D7E" w:rsidRDefault="00D103CD" w:rsidP="00903963">
      <w:pPr>
        <w:pStyle w:val="ListParagraph"/>
        <w:numPr>
          <w:ilvl w:val="0"/>
          <w:numId w:val="7"/>
        </w:numPr>
        <w:spacing w:line="480" w:lineRule="auto"/>
        <w:jc w:val="both"/>
        <w:rPr>
          <w:bCs/>
          <w:i/>
          <w:iCs/>
        </w:rPr>
      </w:pPr>
      <w:r w:rsidRPr="00CD7D7E">
        <w:rPr>
          <w:bCs/>
          <w:i/>
          <w:iCs/>
        </w:rPr>
        <w:t>The authors must state explicitly that institutional animal care and use (IACUC) or equivalent approval was obtained before commencement of the study</w:t>
      </w:r>
    </w:p>
    <w:p w14:paraId="5523A468" w14:textId="77777777" w:rsidR="00E40251" w:rsidRDefault="00E40251" w:rsidP="00B91228">
      <w:pPr>
        <w:spacing w:line="480" w:lineRule="auto"/>
        <w:jc w:val="both"/>
        <w:rPr>
          <w:rFonts w:ascii="Times New Roman" w:hAnsi="Times New Roman" w:cs="Times New Roman"/>
          <w:b/>
          <w:i/>
          <w:iCs/>
          <w:sz w:val="24"/>
          <w:szCs w:val="24"/>
        </w:rPr>
      </w:pPr>
    </w:p>
    <w:p w14:paraId="74CA4CAE" w14:textId="77777777" w:rsidR="00FD66C4" w:rsidRDefault="00FD66C4" w:rsidP="006259A1">
      <w:pPr>
        <w:spacing w:line="480" w:lineRule="auto"/>
        <w:jc w:val="both"/>
        <w:rPr>
          <w:rFonts w:ascii="Times New Roman" w:hAnsi="Times New Roman" w:cs="Times New Roman"/>
          <w:b/>
          <w:sz w:val="24"/>
          <w:szCs w:val="24"/>
        </w:rPr>
      </w:pPr>
    </w:p>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Pr>
          <w:rFonts w:ascii="Times New Roman" w:hAnsi="Times New Roman" w:cs="Times New Roman"/>
          <w:b/>
          <w:sz w:val="24"/>
          <w:szCs w:val="24"/>
        </w:rPr>
        <w:t>Interpretive summary</w:t>
      </w:r>
      <w:commentRangeEnd w:id="0"/>
      <w:r>
        <w:rPr>
          <w:rStyle w:val="CommentReference"/>
          <w:rFonts w:eastAsiaTheme="minorEastAsia"/>
        </w:rPr>
        <w:commentReference w:id="0"/>
      </w:r>
    </w:p>
    <w:p w14:paraId="7A1E246B" w14:textId="77777777" w:rsidR="00FD66C4" w:rsidRDefault="00FD66C4" w:rsidP="006259A1">
      <w:pPr>
        <w:spacing w:line="480" w:lineRule="auto"/>
        <w:jc w:val="both"/>
        <w:rPr>
          <w:rFonts w:ascii="Times New Roman" w:hAnsi="Times New Roman" w:cs="Times New Roman"/>
          <w:b/>
          <w:sz w:val="24"/>
          <w:szCs w:val="24"/>
        </w:rPr>
      </w:pPr>
    </w:p>
    <w:p w14:paraId="53B70340" w14:textId="77777777" w:rsidR="00FD66C4" w:rsidRDefault="00FD66C4" w:rsidP="006259A1">
      <w:pPr>
        <w:spacing w:line="480" w:lineRule="auto"/>
        <w:jc w:val="both"/>
        <w:rPr>
          <w:rFonts w:ascii="Times New Roman" w:hAnsi="Times New Roman" w:cs="Times New Roman"/>
          <w:b/>
          <w:sz w:val="24"/>
          <w:szCs w:val="24"/>
        </w:rPr>
      </w:pPr>
    </w:p>
    <w:p w14:paraId="12613A89" w14:textId="30F8CC01" w:rsidR="00821B1B" w:rsidRPr="00B20782" w:rsidRDefault="00821B1B" w:rsidP="006259A1">
      <w:pPr>
        <w:spacing w:line="480" w:lineRule="auto"/>
        <w:jc w:val="both"/>
        <w:rPr>
          <w:rFonts w:ascii="Times New Roman" w:hAnsi="Times New Roman" w:cs="Times New Roman"/>
          <w:sz w:val="24"/>
          <w:szCs w:val="24"/>
        </w:rPr>
      </w:pPr>
      <w:commentRangeStart w:id="1"/>
      <w:r>
        <w:rPr>
          <w:rFonts w:ascii="Times New Roman" w:hAnsi="Times New Roman" w:cs="Times New Roman"/>
          <w:b/>
          <w:sz w:val="24"/>
          <w:szCs w:val="24"/>
        </w:rPr>
        <w:t>Graphical abstract</w:t>
      </w:r>
      <w:commentRangeEnd w:id="1"/>
      <w:r w:rsidR="00D51CF5">
        <w:rPr>
          <w:rStyle w:val="CommentReference"/>
          <w:rFonts w:eastAsiaTheme="minorEastAsia"/>
        </w:rPr>
        <w:commentReference w:id="1"/>
      </w:r>
    </w:p>
    <w:p w14:paraId="0DDE44DF" w14:textId="77777777" w:rsidR="00092F7B" w:rsidRDefault="00092F7B" w:rsidP="00B91228">
      <w:pPr>
        <w:spacing w:line="480" w:lineRule="auto"/>
        <w:jc w:val="both"/>
        <w:rPr>
          <w:rFonts w:ascii="Times New Roman" w:hAnsi="Times New Roman" w:cs="Times New Roman"/>
          <w:b/>
          <w:sz w:val="24"/>
          <w:szCs w:val="24"/>
        </w:rPr>
      </w:pPr>
    </w:p>
    <w:p w14:paraId="28ADA5B9" w14:textId="0F565D8A" w:rsidR="00092F7B" w:rsidRDefault="00092F7B" w:rsidP="00B91228">
      <w:pPr>
        <w:spacing w:line="480" w:lineRule="auto"/>
        <w:jc w:val="both"/>
        <w:rPr>
          <w:rFonts w:ascii="Times New Roman" w:hAnsi="Times New Roman" w:cs="Times New Roman"/>
          <w:b/>
          <w:sz w:val="24"/>
          <w:szCs w:val="24"/>
        </w:rPr>
      </w:pPr>
      <w:commentRangeStart w:id="2"/>
      <w:r>
        <w:rPr>
          <w:rFonts w:ascii="Times New Roman" w:hAnsi="Times New Roman" w:cs="Times New Roman"/>
          <w:b/>
          <w:sz w:val="24"/>
          <w:szCs w:val="24"/>
        </w:rPr>
        <w:lastRenderedPageBreak/>
        <w:t>Running head:</w:t>
      </w:r>
      <w:commentRangeEnd w:id="2"/>
      <w:r>
        <w:rPr>
          <w:rStyle w:val="CommentReference"/>
          <w:rFonts w:eastAsiaTheme="minorEastAsia"/>
        </w:rPr>
        <w:commentReference w:id="2"/>
      </w:r>
    </w:p>
    <w:p w14:paraId="220B1967" w14:textId="772384E1" w:rsidR="00B91228" w:rsidRPr="00B20782" w:rsidRDefault="00B20782" w:rsidP="00B91228">
      <w:pPr>
        <w:spacing w:line="480" w:lineRule="auto"/>
        <w:jc w:val="both"/>
        <w:rPr>
          <w:rFonts w:ascii="Times New Roman" w:hAnsi="Times New Roman" w:cs="Times New Roman"/>
          <w:sz w:val="24"/>
          <w:szCs w:val="24"/>
        </w:rPr>
      </w:pPr>
      <w:commentRangeStart w:id="3"/>
      <w:r w:rsidRPr="00B20782">
        <w:rPr>
          <w:rFonts w:ascii="Times New Roman" w:hAnsi="Times New Roman" w:cs="Times New Roman"/>
          <w:b/>
          <w:sz w:val="24"/>
          <w:szCs w:val="24"/>
        </w:rPr>
        <w:t>Working title</w:t>
      </w:r>
      <w:commentRangeEnd w:id="3"/>
      <w:r w:rsidR="0045115A">
        <w:rPr>
          <w:rStyle w:val="CommentReference"/>
          <w:rFonts w:eastAsiaTheme="minorEastAsia"/>
        </w:rPr>
        <w:commentReference w:id="3"/>
      </w:r>
    </w:p>
    <w:p w14:paraId="1EDA4575" w14:textId="2D1E5F13" w:rsidR="00B91228" w:rsidRPr="0035282F" w:rsidRDefault="0000478B" w:rsidP="00B91228">
      <w:pPr>
        <w:spacing w:after="0" w:line="480" w:lineRule="auto"/>
        <w:jc w:val="both"/>
        <w:rPr>
          <w:rFonts w:ascii="Times New Roman" w:hAnsi="Times New Roman" w:cs="Times New Roman"/>
          <w:bCs/>
          <w:sz w:val="24"/>
          <w:szCs w:val="24"/>
        </w:rPr>
      </w:pPr>
      <w:commentRangeStart w:id="4"/>
      <w:r>
        <w:rPr>
          <w:rFonts w:ascii="Times New Roman" w:hAnsi="Times New Roman" w:cs="Times New Roman"/>
          <w:bCs/>
          <w:sz w:val="24"/>
          <w:szCs w:val="24"/>
        </w:rPr>
        <w:t>Caitlin E. Jeffrey</w:t>
      </w:r>
      <w:r w:rsidR="00ED33E6">
        <w:rPr>
          <w:rFonts w:ascii="Times New Roman" w:hAnsi="Times New Roman" w:cs="Times New Roman"/>
          <w:bCs/>
          <w:sz w:val="24"/>
          <w:szCs w:val="24"/>
        </w:rPr>
        <w:t>,</w:t>
      </w:r>
      <w:r w:rsidR="00191DC7">
        <w:rPr>
          <w:rFonts w:ascii="Times New Roman" w:hAnsi="Times New Roman" w:cs="Times New Roman"/>
          <w:bCs/>
          <w:sz w:val="24"/>
          <w:szCs w:val="24"/>
          <w:vertAlign w:val="superscript"/>
        </w:rPr>
        <w:t>1</w:t>
      </w:r>
      <w:r w:rsidR="00B91228" w:rsidRPr="0035282F">
        <w:rPr>
          <w:rFonts w:ascii="Times New Roman" w:hAnsi="Times New Roman" w:cs="Times New Roman"/>
          <w:bCs/>
          <w:sz w:val="24"/>
          <w:szCs w:val="24"/>
        </w:rPr>
        <w:t xml:space="preserve"> </w:t>
      </w:r>
      <w:r w:rsidR="00ED33E6">
        <w:rPr>
          <w:rFonts w:ascii="Times New Roman" w:hAnsi="Times New Roman" w:cs="Times New Roman"/>
          <w:bCs/>
          <w:sz w:val="24"/>
          <w:szCs w:val="24"/>
        </w:rPr>
        <w:t>XXXXX,</w:t>
      </w:r>
      <w:r w:rsidR="00B91228" w:rsidRPr="0035282F">
        <w:rPr>
          <w:rFonts w:ascii="Times New Roman" w:hAnsi="Times New Roman" w:cs="Times New Roman"/>
          <w:bCs/>
          <w:sz w:val="24"/>
          <w:szCs w:val="24"/>
        </w:rPr>
        <w:t xml:space="preserve"> John W. Barlow</w:t>
      </w:r>
      <w:r w:rsidR="00191DC7">
        <w:rPr>
          <w:rFonts w:ascii="Times New Roman" w:hAnsi="Times New Roman" w:cs="Times New Roman"/>
          <w:bCs/>
          <w:sz w:val="24"/>
          <w:szCs w:val="24"/>
          <w:vertAlign w:val="superscript"/>
        </w:rPr>
        <w:t>1</w:t>
      </w:r>
    </w:p>
    <w:p w14:paraId="36A76675" w14:textId="2620DD87" w:rsidR="00B91228" w:rsidRPr="0035282F" w:rsidRDefault="00191DC7"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1</w:t>
      </w:r>
      <w:r w:rsidR="003B69F1">
        <w:rPr>
          <w:rFonts w:ascii="Times New Roman" w:hAnsi="Times New Roman" w:cs="Times New Roman"/>
          <w:sz w:val="24"/>
          <w:szCs w:val="24"/>
        </w:rPr>
        <w:t xml:space="preserve">Department of Animal </w:t>
      </w:r>
      <w:r w:rsidR="00207F03">
        <w:rPr>
          <w:rFonts w:ascii="Times New Roman" w:hAnsi="Times New Roman" w:cs="Times New Roman"/>
          <w:sz w:val="24"/>
          <w:szCs w:val="24"/>
        </w:rPr>
        <w:t xml:space="preserve">and Veterinary </w:t>
      </w:r>
      <w:r w:rsidR="003B69F1">
        <w:rPr>
          <w:rFonts w:ascii="Times New Roman" w:hAnsi="Times New Roman" w:cs="Times New Roman"/>
          <w:sz w:val="24"/>
          <w:szCs w:val="24"/>
        </w:rPr>
        <w:t>Science</w:t>
      </w:r>
      <w:r w:rsidR="00207F03">
        <w:rPr>
          <w:rFonts w:ascii="Times New Roman" w:hAnsi="Times New Roman" w:cs="Times New Roman"/>
          <w:sz w:val="24"/>
          <w:szCs w:val="24"/>
        </w:rPr>
        <w:t>s</w:t>
      </w:r>
      <w:r w:rsidR="003B69F1">
        <w:rPr>
          <w:rFonts w:ascii="Times New Roman" w:hAnsi="Times New Roman" w:cs="Times New Roman"/>
          <w:sz w:val="24"/>
          <w:szCs w:val="24"/>
        </w:rPr>
        <w:t>, U</w:t>
      </w:r>
      <w:r w:rsidR="00B91228" w:rsidRPr="0035282F">
        <w:rPr>
          <w:rFonts w:ascii="Times New Roman" w:hAnsi="Times New Roman" w:cs="Times New Roman"/>
          <w:sz w:val="24"/>
          <w:szCs w:val="24"/>
        </w:rPr>
        <w:t>niversity of Vermont, Burlington, V</w:t>
      </w:r>
      <w:r w:rsidR="00AC2186">
        <w:rPr>
          <w:rFonts w:ascii="Times New Roman" w:hAnsi="Times New Roman" w:cs="Times New Roman"/>
          <w:sz w:val="24"/>
          <w:szCs w:val="24"/>
        </w:rPr>
        <w:t>T 05405</w:t>
      </w:r>
      <w:commentRangeEnd w:id="4"/>
      <w:r w:rsidR="007566F7">
        <w:rPr>
          <w:rStyle w:val="CommentReference"/>
          <w:rFonts w:eastAsiaTheme="minorEastAsia"/>
        </w:rPr>
        <w:commentReference w:id="4"/>
      </w:r>
    </w:p>
    <w:p w14:paraId="3C7CF9A3" w14:textId="77777777" w:rsidR="00210888" w:rsidRDefault="00210888" w:rsidP="00B91228">
      <w:pPr>
        <w:spacing w:after="0" w:line="480" w:lineRule="auto"/>
        <w:jc w:val="both"/>
        <w:rPr>
          <w:rFonts w:ascii="Times New Roman" w:hAnsi="Times New Roman" w:cs="Times New Roman"/>
          <w:sz w:val="24"/>
          <w:szCs w:val="24"/>
        </w:rPr>
      </w:pPr>
    </w:p>
    <w:p w14:paraId="07A6AF83" w14:textId="5861D6DE" w:rsidR="00210888" w:rsidRDefault="00B91228" w:rsidP="00B91228">
      <w:pPr>
        <w:spacing w:after="0" w:line="480" w:lineRule="auto"/>
        <w:jc w:val="both"/>
        <w:rPr>
          <w:rFonts w:ascii="Times New Roman" w:hAnsi="Times New Roman" w:cs="Times New Roman"/>
          <w:sz w:val="24"/>
          <w:szCs w:val="24"/>
        </w:rPr>
      </w:pPr>
      <w:commentRangeStart w:id="5"/>
      <w:r w:rsidRPr="0035282F">
        <w:rPr>
          <w:rFonts w:ascii="Times New Roman" w:hAnsi="Times New Roman" w:cs="Times New Roman"/>
          <w:sz w:val="24"/>
          <w:szCs w:val="24"/>
        </w:rPr>
        <w:t>Corresponding author: John Barlow</w:t>
      </w:r>
    </w:p>
    <w:p w14:paraId="1977DF66" w14:textId="77777777" w:rsidR="00210888" w:rsidRDefault="00B91228" w:rsidP="00B91228">
      <w:pPr>
        <w:spacing w:after="0" w:line="480" w:lineRule="auto"/>
        <w:jc w:val="both"/>
        <w:rPr>
          <w:rFonts w:ascii="Times New Roman" w:hAnsi="Times New Roman" w:cs="Times New Roman"/>
          <w:sz w:val="24"/>
          <w:szCs w:val="24"/>
        </w:rPr>
      </w:pPr>
      <w:r w:rsidRPr="0035282F">
        <w:rPr>
          <w:rFonts w:ascii="Times New Roman" w:hAnsi="Times New Roman" w:cs="Times New Roman"/>
          <w:sz w:val="24"/>
          <w:szCs w:val="24"/>
        </w:rPr>
        <w:t xml:space="preserve">Department of Animal </w:t>
      </w:r>
      <w:r w:rsidR="00626846">
        <w:rPr>
          <w:rFonts w:ascii="Times New Roman" w:hAnsi="Times New Roman" w:cs="Times New Roman"/>
          <w:sz w:val="24"/>
          <w:szCs w:val="24"/>
        </w:rPr>
        <w:t xml:space="preserve">and Veterinary </w:t>
      </w:r>
      <w:r w:rsidRPr="0035282F">
        <w:rPr>
          <w:rFonts w:ascii="Times New Roman" w:hAnsi="Times New Roman" w:cs="Times New Roman"/>
          <w:sz w:val="24"/>
          <w:szCs w:val="24"/>
        </w:rPr>
        <w:t>Science</w:t>
      </w:r>
      <w:r w:rsidR="00626846">
        <w:rPr>
          <w:rFonts w:ascii="Times New Roman" w:hAnsi="Times New Roman" w:cs="Times New Roman"/>
          <w:sz w:val="24"/>
          <w:szCs w:val="24"/>
        </w:rPr>
        <w:t>s</w:t>
      </w:r>
      <w:r w:rsidRPr="0035282F">
        <w:rPr>
          <w:rFonts w:ascii="Times New Roman" w:hAnsi="Times New Roman" w:cs="Times New Roman"/>
          <w:sz w:val="24"/>
          <w:szCs w:val="24"/>
        </w:rPr>
        <w:t xml:space="preserve">, </w:t>
      </w:r>
    </w:p>
    <w:p w14:paraId="5B7419BC" w14:textId="77777777" w:rsidR="00210888" w:rsidRDefault="00210888" w:rsidP="00B91228">
      <w:pPr>
        <w:spacing w:after="0" w:line="480" w:lineRule="auto"/>
        <w:jc w:val="both"/>
        <w:rPr>
          <w:rFonts w:ascii="Times New Roman" w:hAnsi="Times New Roman" w:cs="Times New Roman"/>
          <w:sz w:val="24"/>
          <w:szCs w:val="24"/>
        </w:rPr>
      </w:pPr>
      <w:r w:rsidRPr="00210888">
        <w:rPr>
          <w:rFonts w:ascii="Times New Roman" w:hAnsi="Times New Roman" w:cs="Times New Roman"/>
          <w:sz w:val="24"/>
          <w:szCs w:val="24"/>
        </w:rPr>
        <w:t>202 Terrill Building</w:t>
      </w:r>
      <w:r>
        <w:rPr>
          <w:rFonts w:ascii="Times New Roman" w:hAnsi="Times New Roman" w:cs="Times New Roman"/>
          <w:sz w:val="24"/>
          <w:szCs w:val="24"/>
        </w:rPr>
        <w:t xml:space="preserve">, </w:t>
      </w:r>
    </w:p>
    <w:p w14:paraId="454BE5D0" w14:textId="77777777" w:rsidR="00210888" w:rsidRDefault="00B91228" w:rsidP="00B91228">
      <w:pPr>
        <w:spacing w:after="0" w:line="480" w:lineRule="auto"/>
        <w:jc w:val="both"/>
        <w:rPr>
          <w:rFonts w:ascii="Times New Roman" w:hAnsi="Times New Roman" w:cs="Times New Roman"/>
          <w:sz w:val="24"/>
          <w:szCs w:val="24"/>
        </w:rPr>
      </w:pPr>
      <w:r w:rsidRPr="0035282F">
        <w:rPr>
          <w:rFonts w:ascii="Times New Roman" w:hAnsi="Times New Roman" w:cs="Times New Roman"/>
          <w:sz w:val="24"/>
          <w:szCs w:val="24"/>
        </w:rPr>
        <w:t>University of Vermont</w:t>
      </w:r>
      <w:r w:rsidR="00210888">
        <w:rPr>
          <w:rFonts w:ascii="Times New Roman" w:hAnsi="Times New Roman" w:cs="Times New Roman"/>
          <w:sz w:val="24"/>
          <w:szCs w:val="24"/>
        </w:rPr>
        <w:t xml:space="preserve">, </w:t>
      </w:r>
    </w:p>
    <w:p w14:paraId="4F125EE2" w14:textId="5CE12B6D" w:rsidR="00B91228" w:rsidRPr="0035282F" w:rsidRDefault="00210888"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Burlington, VT 05405</w:t>
      </w:r>
    </w:p>
    <w:p w14:paraId="35CE42FA" w14:textId="579576C6" w:rsidR="00CA1B82" w:rsidRDefault="00CA1B82"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Phone: </w:t>
      </w:r>
      <w:r w:rsidRPr="00CA1B82">
        <w:rPr>
          <w:rFonts w:ascii="Times New Roman" w:hAnsi="Times New Roman" w:cs="Times New Roman"/>
          <w:sz w:val="24"/>
          <w:szCs w:val="24"/>
        </w:rPr>
        <w:t>802-656-1395</w:t>
      </w:r>
    </w:p>
    <w:p w14:paraId="51ABC2CA" w14:textId="77777777" w:rsidR="00CC44B5" w:rsidRDefault="00CC44B5" w:rsidP="00CC44B5">
      <w:pPr>
        <w:spacing w:after="0" w:line="480" w:lineRule="auto"/>
        <w:jc w:val="both"/>
        <w:rPr>
          <w:rFonts w:ascii="Times New Roman" w:hAnsi="Times New Roman" w:cs="Times New Roman"/>
          <w:sz w:val="24"/>
          <w:szCs w:val="24"/>
        </w:rPr>
      </w:pPr>
      <w:r w:rsidRPr="0035282F">
        <w:rPr>
          <w:rFonts w:ascii="Times New Roman" w:hAnsi="Times New Roman" w:cs="Times New Roman"/>
          <w:sz w:val="24"/>
          <w:szCs w:val="24"/>
        </w:rPr>
        <w:t xml:space="preserve">Email: </w:t>
      </w:r>
      <w:hyperlink r:id="rId12" w:history="1">
        <w:r w:rsidRPr="00B601E4">
          <w:rPr>
            <w:rStyle w:val="Hyperlink"/>
            <w:rFonts w:ascii="Times New Roman" w:hAnsi="Times New Roman" w:cs="Times New Roman"/>
            <w:sz w:val="24"/>
            <w:szCs w:val="24"/>
          </w:rPr>
          <w:t>john.barlow@uvm.edu</w:t>
        </w:r>
      </w:hyperlink>
      <w:commentRangeEnd w:id="5"/>
      <w:r>
        <w:rPr>
          <w:rStyle w:val="CommentReference"/>
          <w:rFonts w:eastAsiaTheme="minorEastAsia"/>
        </w:rPr>
        <w:commentReference w:id="5"/>
      </w:r>
    </w:p>
    <w:p w14:paraId="7014520A" w14:textId="77777777" w:rsidR="00CC44B5" w:rsidRPr="0035282F" w:rsidRDefault="00CC44B5" w:rsidP="00B91228">
      <w:pPr>
        <w:spacing w:after="0" w:line="480" w:lineRule="auto"/>
        <w:jc w:val="both"/>
        <w:rPr>
          <w:rFonts w:ascii="Times New Roman" w:hAnsi="Times New Roman" w:cs="Times New Roman"/>
          <w:sz w:val="24"/>
          <w:szCs w:val="24"/>
        </w:rPr>
      </w:pPr>
    </w:p>
    <w:p w14:paraId="33D15972" w14:textId="77777777" w:rsidR="00B91228" w:rsidRPr="0035282F" w:rsidRDefault="00B91228" w:rsidP="00B91228">
      <w:pPr>
        <w:pStyle w:val="NormalWeb"/>
        <w:spacing w:before="0" w:beforeAutospacing="0" w:after="0" w:afterAutospacing="0" w:line="480" w:lineRule="auto"/>
        <w:jc w:val="both"/>
        <w:rPr>
          <w:rStyle w:val="Emphasis"/>
          <w:b/>
          <w:bCs/>
          <w:i w:val="0"/>
          <w:iCs w:val="0"/>
          <w:color w:val="0E101A"/>
        </w:rPr>
      </w:pPr>
    </w:p>
    <w:p w14:paraId="1E6899BF" w14:textId="77777777" w:rsidR="005A2433" w:rsidRDefault="005A2433" w:rsidP="00B91228">
      <w:pPr>
        <w:pStyle w:val="NormalWeb"/>
        <w:spacing w:before="0" w:beforeAutospacing="0" w:after="0" w:afterAutospacing="0" w:line="480" w:lineRule="auto"/>
        <w:jc w:val="both"/>
        <w:rPr>
          <w:rStyle w:val="Emphasis"/>
          <w:b/>
          <w:bCs/>
          <w:i w:val="0"/>
          <w:iCs w:val="0"/>
          <w:color w:val="0E101A"/>
        </w:rPr>
      </w:pPr>
    </w:p>
    <w:p w14:paraId="659AC188" w14:textId="77777777" w:rsidR="005A2433" w:rsidRDefault="005A2433" w:rsidP="00B91228">
      <w:pPr>
        <w:pStyle w:val="NormalWeb"/>
        <w:spacing w:before="0" w:beforeAutospacing="0" w:after="0" w:afterAutospacing="0" w:line="480" w:lineRule="auto"/>
        <w:jc w:val="both"/>
        <w:rPr>
          <w:rStyle w:val="Emphasis"/>
          <w:b/>
          <w:bCs/>
          <w:i w:val="0"/>
          <w:iCs w:val="0"/>
          <w:color w:val="0E101A"/>
        </w:rPr>
      </w:pPr>
    </w:p>
    <w:p w14:paraId="5E9F3E82" w14:textId="77777777" w:rsidR="005A2433" w:rsidRDefault="005A2433" w:rsidP="00B91228">
      <w:pPr>
        <w:pStyle w:val="NormalWeb"/>
        <w:spacing w:before="0" w:beforeAutospacing="0" w:after="0" w:afterAutospacing="0" w:line="480" w:lineRule="auto"/>
        <w:jc w:val="both"/>
        <w:rPr>
          <w:rStyle w:val="Emphasis"/>
          <w:b/>
          <w:bCs/>
          <w:i w:val="0"/>
          <w:iCs w:val="0"/>
          <w:color w:val="0E101A"/>
        </w:rPr>
      </w:pPr>
    </w:p>
    <w:p w14:paraId="42728781" w14:textId="77777777" w:rsidR="005A2433" w:rsidRDefault="005A2433" w:rsidP="00B91228">
      <w:pPr>
        <w:pStyle w:val="NormalWeb"/>
        <w:spacing w:before="0" w:beforeAutospacing="0" w:after="0" w:afterAutospacing="0" w:line="480" w:lineRule="auto"/>
        <w:jc w:val="both"/>
        <w:rPr>
          <w:rStyle w:val="Emphasis"/>
          <w:b/>
          <w:bCs/>
          <w:i w:val="0"/>
          <w:iCs w:val="0"/>
          <w:color w:val="0E101A"/>
        </w:rPr>
      </w:pPr>
    </w:p>
    <w:p w14:paraId="4A041663" w14:textId="77777777" w:rsidR="005A2433" w:rsidRDefault="005A2433" w:rsidP="00B91228">
      <w:pPr>
        <w:pStyle w:val="NormalWeb"/>
        <w:spacing w:before="0" w:beforeAutospacing="0" w:after="0" w:afterAutospacing="0" w:line="480" w:lineRule="auto"/>
        <w:jc w:val="both"/>
        <w:rPr>
          <w:rStyle w:val="Emphasis"/>
          <w:b/>
          <w:bCs/>
          <w:i w:val="0"/>
          <w:iCs w:val="0"/>
          <w:color w:val="0E101A"/>
        </w:rPr>
      </w:pPr>
    </w:p>
    <w:p w14:paraId="4983B41E" w14:textId="77777777" w:rsidR="005A2433" w:rsidRDefault="005A2433" w:rsidP="00B91228">
      <w:pPr>
        <w:pStyle w:val="NormalWeb"/>
        <w:spacing w:before="0" w:beforeAutospacing="0" w:after="0" w:afterAutospacing="0" w:line="480" w:lineRule="auto"/>
        <w:jc w:val="both"/>
        <w:rPr>
          <w:rStyle w:val="Emphasis"/>
          <w:b/>
          <w:bCs/>
          <w:i w:val="0"/>
          <w:iCs w:val="0"/>
          <w:color w:val="0E101A"/>
        </w:rPr>
      </w:pPr>
    </w:p>
    <w:p w14:paraId="51DC32E6" w14:textId="77777777" w:rsidR="005A2433" w:rsidRDefault="005A2433" w:rsidP="00B91228">
      <w:pPr>
        <w:pStyle w:val="NormalWeb"/>
        <w:spacing w:before="0" w:beforeAutospacing="0" w:after="0" w:afterAutospacing="0" w:line="480" w:lineRule="auto"/>
        <w:jc w:val="both"/>
        <w:rPr>
          <w:rStyle w:val="Emphasis"/>
          <w:b/>
          <w:bCs/>
          <w:i w:val="0"/>
          <w:iCs w:val="0"/>
          <w:color w:val="0E101A"/>
        </w:rPr>
      </w:pPr>
    </w:p>
    <w:p w14:paraId="3C5B6CD6" w14:textId="77777777" w:rsidR="005A2433" w:rsidRDefault="005A2433" w:rsidP="00B91228">
      <w:pPr>
        <w:pStyle w:val="NormalWeb"/>
        <w:spacing w:before="0" w:beforeAutospacing="0" w:after="0" w:afterAutospacing="0" w:line="480" w:lineRule="auto"/>
        <w:jc w:val="both"/>
        <w:rPr>
          <w:rStyle w:val="Emphasis"/>
          <w:b/>
          <w:bCs/>
          <w:i w:val="0"/>
          <w:iCs w:val="0"/>
          <w:color w:val="0E101A"/>
        </w:rPr>
      </w:pPr>
    </w:p>
    <w:p w14:paraId="3192E851" w14:textId="77777777" w:rsidR="005A2433"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35282F" w:rsidRDefault="00B91228" w:rsidP="00B91228">
      <w:pPr>
        <w:pStyle w:val="NormalWeb"/>
        <w:spacing w:before="0" w:beforeAutospacing="0" w:after="0" w:afterAutospacing="0" w:line="480" w:lineRule="auto"/>
        <w:jc w:val="both"/>
        <w:rPr>
          <w:rStyle w:val="Emphasis"/>
          <w:b/>
          <w:bCs/>
          <w:i w:val="0"/>
          <w:iCs w:val="0"/>
          <w:color w:val="0E101A"/>
        </w:rPr>
      </w:pPr>
      <w:commentRangeStart w:id="6"/>
      <w:r w:rsidRPr="0035282F">
        <w:rPr>
          <w:rStyle w:val="Emphasis"/>
          <w:b/>
          <w:bCs/>
          <w:i w:val="0"/>
          <w:iCs w:val="0"/>
          <w:color w:val="0E101A"/>
        </w:rPr>
        <w:lastRenderedPageBreak/>
        <w:t>Abstract</w:t>
      </w:r>
      <w:commentRangeEnd w:id="6"/>
      <w:r w:rsidR="007A7A5F">
        <w:rPr>
          <w:rStyle w:val="CommentReference"/>
          <w:rFonts w:asciiTheme="minorHAnsi" w:eastAsiaTheme="minorEastAsia" w:hAnsiTheme="minorHAnsi" w:cstheme="minorBidi"/>
        </w:rPr>
        <w:commentReference w:id="6"/>
      </w:r>
    </w:p>
    <w:p w14:paraId="08316992" w14:textId="06387060" w:rsidR="00B91228" w:rsidRDefault="0017357C" w:rsidP="00B91228">
      <w:pPr>
        <w:autoSpaceDE w:val="0"/>
        <w:autoSpaceDN w:val="0"/>
        <w:adjustRightInd w:val="0"/>
        <w:spacing w:after="0" w:line="480" w:lineRule="auto"/>
        <w:jc w:val="both"/>
        <w:rPr>
          <w:rFonts w:ascii="Times New Roman" w:hAnsi="Times New Roman" w:cs="Times New Roman"/>
          <w:sz w:val="24"/>
          <w:szCs w:val="24"/>
        </w:rPr>
      </w:pPr>
      <w:r w:rsidRPr="0088199E">
        <w:rPr>
          <w:rFonts w:ascii="Times New Roman" w:hAnsi="Times New Roman" w:cs="Times New Roman"/>
          <w:i/>
          <w:iCs/>
          <w:sz w:val="24"/>
          <w:szCs w:val="24"/>
        </w:rPr>
        <w:t xml:space="preserve">Staphylococcus aureus </w:t>
      </w:r>
      <w:r w:rsidRPr="0088199E">
        <w:rPr>
          <w:rFonts w:ascii="Times New Roman" w:hAnsi="Times New Roman" w:cs="Times New Roman"/>
          <w:sz w:val="24"/>
          <w:szCs w:val="24"/>
        </w:rPr>
        <w:t xml:space="preserve">is a </w:t>
      </w:r>
      <w:proofErr w:type="spellStart"/>
      <w:r w:rsidRPr="0088199E">
        <w:rPr>
          <w:rFonts w:ascii="Times New Roman" w:hAnsi="Times New Roman" w:cs="Times New Roman"/>
          <w:sz w:val="24"/>
          <w:szCs w:val="24"/>
        </w:rPr>
        <w:t>multihost</w:t>
      </w:r>
      <w:proofErr w:type="spellEnd"/>
      <w:r w:rsidRPr="0088199E">
        <w:rPr>
          <w:rFonts w:ascii="Times New Roman" w:hAnsi="Times New Roman" w:cs="Times New Roman"/>
          <w:sz w:val="24"/>
          <w:szCs w:val="24"/>
        </w:rPr>
        <w:t xml:space="preserve"> pathogen that causes significant human and livestock </w:t>
      </w:r>
    </w:p>
    <w:p w14:paraId="7FE6D4AB" w14:textId="77777777" w:rsidR="00E942FF" w:rsidRDefault="00E942FF" w:rsidP="00B91228">
      <w:pPr>
        <w:autoSpaceDE w:val="0"/>
        <w:autoSpaceDN w:val="0"/>
        <w:adjustRightInd w:val="0"/>
        <w:spacing w:after="0" w:line="480" w:lineRule="auto"/>
        <w:jc w:val="both"/>
        <w:rPr>
          <w:rFonts w:ascii="Times New Roman" w:hAnsi="Times New Roman" w:cs="Times New Roman"/>
          <w:sz w:val="24"/>
          <w:szCs w:val="24"/>
        </w:rPr>
      </w:pPr>
    </w:p>
    <w:p w14:paraId="6AABB146" w14:textId="351B20B1" w:rsidR="00B91228" w:rsidRPr="000B268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commentRangeStart w:id="7"/>
      <w:r w:rsidRPr="000B268E">
        <w:rPr>
          <w:rStyle w:val="Emphasis"/>
          <w:rFonts w:ascii="Times New Roman" w:eastAsia="ComputerModern-Regular" w:hAnsi="Times New Roman" w:cs="Times New Roman"/>
          <w:b/>
          <w:bCs/>
          <w:i w:val="0"/>
          <w:iCs w:val="0"/>
          <w:sz w:val="24"/>
          <w:szCs w:val="24"/>
        </w:rPr>
        <w:t>Keywords</w:t>
      </w:r>
      <w:r>
        <w:rPr>
          <w:rStyle w:val="Emphasis"/>
          <w:rFonts w:ascii="Times New Roman" w:eastAsia="ComputerModern-Regular" w:hAnsi="Times New Roman" w:cs="Times New Roman"/>
          <w:b/>
          <w:bCs/>
          <w:i w:val="0"/>
          <w:iCs w:val="0"/>
          <w:sz w:val="24"/>
          <w:szCs w:val="24"/>
        </w:rPr>
        <w:t>:</w:t>
      </w:r>
      <w:commentRangeEnd w:id="7"/>
      <w:r w:rsidR="008905A2">
        <w:rPr>
          <w:rStyle w:val="CommentReference"/>
          <w:rFonts w:eastAsiaTheme="minorEastAsia"/>
        </w:rPr>
        <w:commentReference w:id="7"/>
      </w:r>
      <w:r>
        <w:rPr>
          <w:rStyle w:val="Emphasis"/>
          <w:rFonts w:ascii="Times New Roman" w:eastAsia="ComputerModern-Regular" w:hAnsi="Times New Roman" w:cs="Times New Roman"/>
          <w:b/>
          <w:bCs/>
          <w:i w:val="0"/>
          <w:iCs w:val="0"/>
          <w:sz w:val="24"/>
          <w:szCs w:val="24"/>
        </w:rPr>
        <w:t xml:space="preserve"> </w:t>
      </w:r>
      <w:r w:rsidR="00A774DA">
        <w:rPr>
          <w:rStyle w:val="Emphasis"/>
          <w:rFonts w:ascii="Times New Roman" w:eastAsia="ComputerModern-Regular" w:hAnsi="Times New Roman" w:cs="Times New Roman"/>
          <w:i w:val="0"/>
          <w:iCs w:val="0"/>
          <w:sz w:val="24"/>
          <w:szCs w:val="24"/>
        </w:rPr>
        <w:t xml:space="preserve">Mastitis, Antimicrobial resistance, Multi Locus sequence typing, </w:t>
      </w:r>
      <w:r w:rsidR="00BF184A">
        <w:rPr>
          <w:rStyle w:val="Emphasis"/>
          <w:rFonts w:ascii="Times New Roman" w:eastAsia="ComputerModern-Regular" w:hAnsi="Times New Roman" w:cs="Times New Roman"/>
          <w:i w:val="0"/>
          <w:iCs w:val="0"/>
          <w:sz w:val="24"/>
          <w:szCs w:val="24"/>
        </w:rPr>
        <w:t>beta-lactam</w:t>
      </w:r>
      <w:r w:rsidR="00A774DA">
        <w:rPr>
          <w:rStyle w:val="Emphasis"/>
          <w:rFonts w:ascii="Times New Roman" w:eastAsia="ComputerModern-Regular" w:hAnsi="Times New Roman" w:cs="Times New Roman"/>
          <w:i w:val="0"/>
          <w:iCs w:val="0"/>
          <w:sz w:val="24"/>
          <w:szCs w:val="24"/>
        </w:rPr>
        <w:t>, zoonotic transmission</w:t>
      </w:r>
    </w:p>
    <w:p w14:paraId="57BCA85A" w14:textId="77777777" w:rsidR="00B91228"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35282F" w:rsidRDefault="00B91228" w:rsidP="00D91453">
      <w:pPr>
        <w:pStyle w:val="NormalWeb"/>
        <w:spacing w:before="0" w:beforeAutospacing="0" w:after="0" w:afterAutospacing="0" w:line="480" w:lineRule="auto"/>
        <w:jc w:val="both"/>
        <w:rPr>
          <w:rStyle w:val="Emphasis"/>
          <w:b/>
          <w:bCs/>
          <w:i w:val="0"/>
          <w:iCs w:val="0"/>
          <w:color w:val="0E101A"/>
        </w:rPr>
      </w:pPr>
      <w:commentRangeStart w:id="8"/>
      <w:commentRangeStart w:id="9"/>
      <w:commentRangeStart w:id="10"/>
      <w:r w:rsidRPr="0035282F">
        <w:rPr>
          <w:rStyle w:val="Emphasis"/>
          <w:b/>
          <w:bCs/>
          <w:i w:val="0"/>
          <w:iCs w:val="0"/>
          <w:color w:val="0E101A"/>
        </w:rPr>
        <w:t>Introduction</w:t>
      </w:r>
      <w:commentRangeEnd w:id="8"/>
      <w:r w:rsidR="00123751">
        <w:rPr>
          <w:rStyle w:val="CommentReference"/>
          <w:rFonts w:asciiTheme="minorHAnsi" w:eastAsiaTheme="minorEastAsia" w:hAnsiTheme="minorHAnsi" w:cstheme="minorBidi"/>
        </w:rPr>
        <w:commentReference w:id="8"/>
      </w:r>
      <w:commentRangeEnd w:id="9"/>
      <w:r w:rsidR="00CB39D2">
        <w:rPr>
          <w:rStyle w:val="CommentReference"/>
          <w:rFonts w:asciiTheme="minorHAnsi" w:eastAsiaTheme="minorEastAsia" w:hAnsiTheme="minorHAnsi" w:cstheme="minorBidi"/>
        </w:rPr>
        <w:commentReference w:id="9"/>
      </w:r>
      <w:commentRangeEnd w:id="10"/>
      <w:r w:rsidR="001A7E4F">
        <w:rPr>
          <w:rStyle w:val="CommentReference"/>
          <w:rFonts w:asciiTheme="minorHAnsi" w:eastAsiaTheme="minorEastAsia" w:hAnsiTheme="minorHAnsi" w:cstheme="minorBidi"/>
        </w:rPr>
        <w:commentReference w:id="10"/>
      </w:r>
    </w:p>
    <w:p w14:paraId="14D85EB4" w14:textId="413289DC" w:rsidR="002162F9" w:rsidRPr="00B37C58" w:rsidRDefault="00E942FF" w:rsidP="002162F9">
      <w:pPr>
        <w:pStyle w:val="NormalWeb"/>
        <w:spacing w:before="0" w:beforeAutospacing="0" w:after="0" w:afterAutospacing="0" w:line="480" w:lineRule="auto"/>
        <w:jc w:val="both"/>
        <w:rPr>
          <w:color w:val="1A1A1A"/>
        </w:rPr>
      </w:pPr>
      <w:r w:rsidRPr="00B37C58">
        <w:rPr>
          <w:i/>
          <w:iCs/>
          <w:color w:val="0E101A"/>
        </w:rPr>
        <w:t xml:space="preserve">Staphylococcus aureus </w:t>
      </w:r>
      <w:r w:rsidRPr="00B37C58">
        <w:rPr>
          <w:color w:val="0E101A"/>
        </w:rPr>
        <w:t xml:space="preserve">is a common bacterium found in the anterior nares of 20–60% of healthy humans </w:t>
      </w:r>
    </w:p>
    <w:p w14:paraId="24C23892" w14:textId="3820179C" w:rsidR="00605602" w:rsidRPr="00B37C58" w:rsidRDefault="00E942FF" w:rsidP="00B37C58">
      <w:pPr>
        <w:autoSpaceDE w:val="0"/>
        <w:autoSpaceDN w:val="0"/>
        <w:adjustRightInd w:val="0"/>
        <w:spacing w:after="0" w:line="480" w:lineRule="auto"/>
        <w:jc w:val="both"/>
        <w:rPr>
          <w:rFonts w:ascii="Times New Roman" w:hAnsi="Times New Roman" w:cs="Times New Roman"/>
          <w:color w:val="0E101A"/>
        </w:rPr>
      </w:pPr>
      <w:r w:rsidRPr="00B37C58">
        <w:rPr>
          <w:rFonts w:ascii="Times New Roman" w:hAnsi="Times New Roman" w:cs="Times New Roman"/>
          <w:color w:val="1A1A1A"/>
          <w:sz w:val="24"/>
          <w:szCs w:val="24"/>
        </w:rPr>
        <w:t xml:space="preserve">profile and with potential </w:t>
      </w:r>
      <w:r w:rsidR="006D7EFC">
        <w:rPr>
          <w:rFonts w:ascii="Times New Roman" w:hAnsi="Times New Roman" w:cs="Times New Roman"/>
          <w:color w:val="1A1A1A"/>
          <w:sz w:val="24"/>
          <w:szCs w:val="24"/>
        </w:rPr>
        <w:t>host transmission</w:t>
      </w:r>
      <w:r w:rsidRPr="00B37C58">
        <w:rPr>
          <w:rFonts w:ascii="Times New Roman" w:hAnsi="Times New Roman" w:cs="Times New Roman"/>
          <w:color w:val="1A1A1A"/>
          <w:sz w:val="24"/>
          <w:szCs w:val="24"/>
        </w:rPr>
        <w:t xml:space="preserve"> events occurring on the enrolled dairy farms.</w:t>
      </w:r>
      <w:r w:rsidR="00605602" w:rsidRPr="00B37C58">
        <w:rPr>
          <w:rFonts w:ascii="Times New Roman" w:hAnsi="Times New Roman" w:cs="Times New Roman"/>
          <w:color w:val="1A1A1A"/>
          <w:sz w:val="24"/>
          <w:szCs w:val="24"/>
        </w:rPr>
        <w:t xml:space="preserve"> </w:t>
      </w:r>
    </w:p>
    <w:p w14:paraId="2372539D" w14:textId="4259214B" w:rsidR="00605602" w:rsidRDefault="00605602">
      <w:pPr>
        <w:rPr>
          <w:color w:val="0E101A"/>
        </w:rPr>
      </w:pPr>
    </w:p>
    <w:p w14:paraId="4D7C9438" w14:textId="0449ED18" w:rsidR="00FC0592" w:rsidRPr="005F0EC1" w:rsidRDefault="00FC0592" w:rsidP="005F0EC1">
      <w:pPr>
        <w:autoSpaceDE w:val="0"/>
        <w:autoSpaceDN w:val="0"/>
        <w:adjustRightInd w:val="0"/>
        <w:spacing w:line="480" w:lineRule="auto"/>
        <w:jc w:val="both"/>
        <w:rPr>
          <w:rFonts w:ascii="Times New Roman" w:hAnsi="Times New Roman" w:cs="Times New Roman"/>
          <w:b/>
          <w:bCs/>
          <w:sz w:val="24"/>
          <w:szCs w:val="24"/>
        </w:rPr>
      </w:pPr>
      <w:r w:rsidRPr="005F0EC1">
        <w:rPr>
          <w:rFonts w:ascii="Times New Roman" w:hAnsi="Times New Roman" w:cs="Times New Roman"/>
          <w:b/>
          <w:bCs/>
          <w:sz w:val="24"/>
          <w:szCs w:val="24"/>
        </w:rPr>
        <w:t>Materials and methods</w:t>
      </w:r>
    </w:p>
    <w:p w14:paraId="6BAA13E1" w14:textId="42907A62" w:rsidR="00FC0592" w:rsidRDefault="006D7EFC" w:rsidP="002457E7">
      <w:pPr>
        <w:spacing w:after="0" w:line="480" w:lineRule="auto"/>
        <w:jc w:val="both"/>
        <w:rPr>
          <w:rFonts w:ascii="Times New Roman" w:hAnsi="Times New Roman" w:cs="Times New Roman"/>
          <w:sz w:val="24"/>
          <w:szCs w:val="24"/>
        </w:rPr>
      </w:pPr>
      <w:r w:rsidRPr="00AD7B20">
        <w:rPr>
          <w:rFonts w:ascii="Times New Roman" w:hAnsi="Times New Roman" w:cs="Times New Roman"/>
          <w:sz w:val="24"/>
          <w:szCs w:val="24"/>
        </w:rPr>
        <w:t xml:space="preserve">In this pilot study, 19 Vermont dairy farms that produce farmstead cheese or milk for artisan cheese </w:t>
      </w:r>
    </w:p>
    <w:p w14:paraId="0819618C" w14:textId="775D88EF" w:rsidR="002162F9" w:rsidRDefault="006D7EFC" w:rsidP="002162F9">
      <w:pPr>
        <w:spacing w:line="480" w:lineRule="auto"/>
        <w:jc w:val="both"/>
        <w:rPr>
          <w:rFonts w:ascii="Times New Roman" w:hAnsi="Times New Roman" w:cs="Times New Roman"/>
          <w:sz w:val="24"/>
          <w:szCs w:val="24"/>
        </w:rPr>
      </w:pPr>
      <w:r w:rsidRPr="00AD7B20">
        <w:rPr>
          <w:rFonts w:ascii="Times New Roman" w:hAnsi="Times New Roman" w:cs="Times New Roman"/>
          <w:bCs/>
          <w:iCs/>
          <w:sz w:val="24"/>
          <w:szCs w:val="24"/>
        </w:rPr>
        <w:t>The samples included human nasal and hand swabs, quarter milk</w:t>
      </w:r>
      <w:r>
        <w:rPr>
          <w:rFonts w:ascii="Times New Roman" w:hAnsi="Times New Roman" w:cs="Times New Roman"/>
          <w:bCs/>
          <w:iCs/>
          <w:sz w:val="24"/>
          <w:szCs w:val="24"/>
        </w:rPr>
        <w:t xml:space="preserve"> (CQM)</w:t>
      </w:r>
      <w:r w:rsidRPr="00AD7B20">
        <w:rPr>
          <w:rFonts w:ascii="Times New Roman" w:hAnsi="Times New Roman" w:cs="Times New Roman"/>
          <w:bCs/>
          <w:iCs/>
          <w:sz w:val="24"/>
          <w:szCs w:val="24"/>
        </w:rPr>
        <w:t xml:space="preserve"> from lactating cows, and </w:t>
      </w:r>
    </w:p>
    <w:p w14:paraId="077736C8" w14:textId="0E0A6713" w:rsidR="001A37B3" w:rsidRDefault="006D7EFC" w:rsidP="00FC059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were transported on ice to the laboratory and </w:t>
      </w:r>
      <w:r w:rsidRPr="0035282F">
        <w:rPr>
          <w:rFonts w:ascii="Times New Roman" w:hAnsi="Times New Roman" w:cs="Times New Roman"/>
          <w:sz w:val="24"/>
          <w:szCs w:val="24"/>
        </w:rPr>
        <w:t>stored at -20 ºC up to 90 days prior to processing.</w:t>
      </w:r>
      <w:r w:rsidR="005F0EC1">
        <w:rPr>
          <w:rFonts w:ascii="Times New Roman" w:hAnsi="Times New Roman" w:cs="Times New Roman"/>
          <w:sz w:val="24"/>
          <w:szCs w:val="24"/>
        </w:rPr>
        <w:t xml:space="preserve"> </w:t>
      </w:r>
    </w:p>
    <w:p w14:paraId="3C882C02" w14:textId="77777777" w:rsidR="005F0EC1" w:rsidRDefault="005F0EC1" w:rsidP="005F0EC1">
      <w:pPr>
        <w:rPr>
          <w:b/>
        </w:rPr>
      </w:pPr>
    </w:p>
    <w:p w14:paraId="1D1C1AE6" w14:textId="0DBA3B78" w:rsidR="00B91228" w:rsidRPr="005F0EC1" w:rsidRDefault="00B91228" w:rsidP="005F0EC1">
      <w:pPr>
        <w:rPr>
          <w:rFonts w:ascii="Times New Roman" w:hAnsi="Times New Roman" w:cs="Times New Roman"/>
          <w:color w:val="0E0E0E"/>
          <w:sz w:val="24"/>
          <w:szCs w:val="24"/>
        </w:rPr>
      </w:pPr>
      <w:commentRangeStart w:id="11"/>
      <w:r w:rsidRPr="005F0EC1">
        <w:rPr>
          <w:rFonts w:ascii="Times New Roman" w:hAnsi="Times New Roman" w:cs="Times New Roman"/>
          <w:b/>
          <w:sz w:val="24"/>
          <w:szCs w:val="24"/>
        </w:rPr>
        <w:t>Results</w:t>
      </w:r>
      <w:commentRangeEnd w:id="11"/>
      <w:r w:rsidR="00B715A3">
        <w:rPr>
          <w:rStyle w:val="CommentReference"/>
          <w:rFonts w:eastAsiaTheme="minorEastAsia"/>
        </w:rPr>
        <w:commentReference w:id="11"/>
      </w:r>
    </w:p>
    <w:p w14:paraId="35DFD0F6" w14:textId="13F068B0" w:rsidR="00B91228" w:rsidRDefault="00D157F1" w:rsidP="00332D22">
      <w:pPr>
        <w:spacing w:line="480" w:lineRule="auto"/>
        <w:jc w:val="both"/>
        <w:rPr>
          <w:rFonts w:ascii="Times New Roman" w:hAnsi="Times New Roman" w:cs="Times New Roman"/>
          <w:bCs/>
          <w:sz w:val="24"/>
          <w:szCs w:val="24"/>
        </w:rPr>
      </w:pPr>
      <w:r w:rsidRPr="00DF7FC2">
        <w:rPr>
          <w:rFonts w:ascii="Times New Roman" w:hAnsi="Times New Roman" w:cs="Times New Roman"/>
          <w:sz w:val="24"/>
          <w:szCs w:val="24"/>
        </w:rPr>
        <w:t xml:space="preserve">This study included 41 human participants </w:t>
      </w:r>
      <w:r>
        <w:rPr>
          <w:rFonts w:ascii="Times New Roman" w:hAnsi="Times New Roman" w:cs="Times New Roman"/>
          <w:sz w:val="24"/>
          <w:szCs w:val="24"/>
        </w:rPr>
        <w:t xml:space="preserve">(1-4) </w:t>
      </w:r>
      <w:r w:rsidRPr="00DF7FC2">
        <w:rPr>
          <w:rFonts w:ascii="Times New Roman" w:hAnsi="Times New Roman" w:cs="Times New Roman"/>
          <w:sz w:val="24"/>
          <w:szCs w:val="24"/>
        </w:rPr>
        <w:t xml:space="preserve">from 19 farms and 589 cows </w:t>
      </w:r>
      <w:r>
        <w:rPr>
          <w:rFonts w:ascii="Times New Roman" w:hAnsi="Times New Roman" w:cs="Times New Roman"/>
          <w:sz w:val="24"/>
          <w:szCs w:val="24"/>
        </w:rPr>
        <w:t>(3</w:t>
      </w:r>
      <w:r w:rsidR="000108C1">
        <w:rPr>
          <w:rFonts w:ascii="Times New Roman" w:hAnsi="Times New Roman" w:cs="Times New Roman"/>
          <w:sz w:val="24"/>
          <w:szCs w:val="24"/>
        </w:rPr>
        <w:t xml:space="preserve"> to </w:t>
      </w:r>
      <w:r>
        <w:rPr>
          <w:rFonts w:ascii="Times New Roman" w:hAnsi="Times New Roman" w:cs="Times New Roman"/>
          <w:sz w:val="24"/>
          <w:szCs w:val="24"/>
        </w:rPr>
        <w:t xml:space="preserve">204 per herd) </w:t>
      </w:r>
      <w:r w:rsidRPr="00DF7FC2">
        <w:rPr>
          <w:rFonts w:ascii="Times New Roman" w:hAnsi="Times New Roman" w:cs="Times New Roman"/>
          <w:sz w:val="24"/>
          <w:szCs w:val="24"/>
        </w:rPr>
        <w:t xml:space="preserve">from 17 participating herds, </w:t>
      </w:r>
      <w:r>
        <w:rPr>
          <w:rFonts w:ascii="Times New Roman" w:hAnsi="Times New Roman" w:cs="Times New Roman"/>
          <w:sz w:val="24"/>
          <w:szCs w:val="24"/>
        </w:rPr>
        <w:t xml:space="preserve">BTM samples from all 19 farms, </w:t>
      </w:r>
      <w:r w:rsidRPr="00DF7FC2">
        <w:rPr>
          <w:rFonts w:ascii="Times New Roman" w:hAnsi="Times New Roman" w:cs="Times New Roman"/>
          <w:sz w:val="24"/>
          <w:szCs w:val="24"/>
        </w:rPr>
        <w:t>and 13 dogs from 9 farms.</w:t>
      </w:r>
      <w:r w:rsidR="00DF7FC2" w:rsidRPr="00DF7FC2">
        <w:rPr>
          <w:rFonts w:ascii="Times New Roman" w:hAnsi="Times New Roman" w:cs="Times New Roman"/>
          <w:sz w:val="24"/>
          <w:szCs w:val="24"/>
        </w:rPr>
        <w:t xml:space="preserve"> </w:t>
      </w:r>
      <w:r w:rsidR="00B91228" w:rsidRPr="00BC6629">
        <w:rPr>
          <w:rFonts w:ascii="Times New Roman" w:hAnsi="Times New Roman" w:cs="Times New Roman"/>
          <w:sz w:val="24"/>
          <w:szCs w:val="24"/>
        </w:rPr>
        <w:t xml:space="preserve">A total of </w:t>
      </w:r>
      <w:r w:rsidR="00B91228">
        <w:rPr>
          <w:rFonts w:ascii="Times New Roman" w:hAnsi="Times New Roman" w:cs="Times New Roman"/>
          <w:sz w:val="24"/>
          <w:szCs w:val="24"/>
        </w:rPr>
        <w:t>1628 isolates were collected</w:t>
      </w:r>
      <w:r w:rsidR="00DF7FC2">
        <w:rPr>
          <w:rFonts w:ascii="Times New Roman" w:hAnsi="Times New Roman" w:cs="Times New Roman"/>
          <w:sz w:val="24"/>
          <w:szCs w:val="24"/>
        </w:rPr>
        <w:t xml:space="preserve">, </w:t>
      </w:r>
      <w:r w:rsidR="00B91228">
        <w:rPr>
          <w:rFonts w:ascii="Times New Roman" w:hAnsi="Times New Roman" w:cs="Times New Roman"/>
          <w:sz w:val="24"/>
          <w:szCs w:val="24"/>
        </w:rPr>
        <w:t>of which 1260 were gram-positive, catalase-positive cocci</w:t>
      </w:r>
      <w:r w:rsidR="00B03740">
        <w:rPr>
          <w:rFonts w:ascii="Times New Roman" w:hAnsi="Times New Roman" w:cs="Times New Roman"/>
          <w:sz w:val="24"/>
          <w:szCs w:val="24"/>
        </w:rPr>
        <w:t xml:space="preserve"> (GPCPC)</w:t>
      </w:r>
      <w:r w:rsidR="00B91228">
        <w:rPr>
          <w:rFonts w:ascii="Times New Roman" w:hAnsi="Times New Roman" w:cs="Times New Roman"/>
          <w:sz w:val="24"/>
          <w:szCs w:val="24"/>
        </w:rPr>
        <w:t xml:space="preserve">. </w:t>
      </w:r>
      <w:r w:rsidR="00DF7FC2" w:rsidRPr="00DF7FC2">
        <w:rPr>
          <w:rFonts w:ascii="Times New Roman" w:hAnsi="Times New Roman" w:cs="Times New Roman"/>
          <w:sz w:val="24"/>
          <w:szCs w:val="24"/>
        </w:rPr>
        <w:t xml:space="preserve">Out of 352 human hand </w:t>
      </w:r>
      <w:r w:rsidR="005C4E02">
        <w:rPr>
          <w:rFonts w:ascii="Times New Roman" w:hAnsi="Times New Roman" w:cs="Times New Roman"/>
          <w:sz w:val="24"/>
          <w:szCs w:val="24"/>
        </w:rPr>
        <w:t xml:space="preserve">isolates </w:t>
      </w:r>
      <w:r w:rsidR="00DF7FC2" w:rsidRPr="00DF7FC2">
        <w:rPr>
          <w:rFonts w:ascii="Times New Roman" w:hAnsi="Times New Roman" w:cs="Times New Roman"/>
          <w:sz w:val="24"/>
          <w:szCs w:val="24"/>
        </w:rPr>
        <w:t xml:space="preserve">and 365 nasal </w:t>
      </w:r>
      <w:r w:rsidR="005C4E02">
        <w:rPr>
          <w:rFonts w:ascii="Times New Roman" w:hAnsi="Times New Roman" w:cs="Times New Roman"/>
          <w:sz w:val="24"/>
          <w:szCs w:val="24"/>
        </w:rPr>
        <w:t>isolates</w:t>
      </w:r>
      <w:r w:rsidR="00DF7FC2" w:rsidRPr="00DF7FC2">
        <w:rPr>
          <w:rFonts w:ascii="Times New Roman" w:hAnsi="Times New Roman" w:cs="Times New Roman"/>
          <w:sz w:val="24"/>
          <w:szCs w:val="24"/>
        </w:rPr>
        <w:t xml:space="preserve">, 166 were GPCPC and 69 were </w:t>
      </w:r>
    </w:p>
    <w:p w14:paraId="22F17A63" w14:textId="77777777" w:rsidR="00FB375B" w:rsidRDefault="00FB375B" w:rsidP="00FB375B">
      <w:pPr>
        <w:rPr>
          <w:rFonts w:ascii="Times New Roman" w:hAnsi="Times New Roman" w:cs="Times New Roman"/>
          <w:b/>
          <w:sz w:val="24"/>
          <w:szCs w:val="24"/>
        </w:rPr>
      </w:pPr>
    </w:p>
    <w:p w14:paraId="45A1B771" w14:textId="5A7F7660" w:rsidR="00FB375B" w:rsidRDefault="00294B87" w:rsidP="00294B87">
      <w:pPr>
        <w:rPr>
          <w:rFonts w:ascii="Times New Roman" w:hAnsi="Times New Roman" w:cs="Times New Roman"/>
          <w:color w:val="0E0E0E"/>
          <w:sz w:val="24"/>
          <w:szCs w:val="24"/>
        </w:rPr>
      </w:pPr>
      <w:r>
        <w:rPr>
          <w:rFonts w:ascii="Times New Roman" w:hAnsi="Times New Roman" w:cs="Times New Roman"/>
          <w:b/>
          <w:sz w:val="24"/>
          <w:szCs w:val="24"/>
        </w:rPr>
        <w:t>Discussion</w:t>
      </w:r>
      <w:commentRangeStart w:id="12"/>
      <w:commentRangeEnd w:id="12"/>
      <w:r>
        <w:rPr>
          <w:rStyle w:val="CommentReference"/>
          <w:rFonts w:eastAsiaTheme="minorEastAsia"/>
        </w:rPr>
        <w:commentReference w:id="12"/>
      </w:r>
    </w:p>
    <w:p w14:paraId="0AC02903" w14:textId="77777777" w:rsidR="00294B87" w:rsidRPr="00294B87" w:rsidRDefault="00294B87" w:rsidP="00294B87">
      <w:pPr>
        <w:rPr>
          <w:rFonts w:ascii="Times New Roman" w:hAnsi="Times New Roman" w:cs="Times New Roman"/>
          <w:color w:val="0E0E0E"/>
          <w:sz w:val="24"/>
          <w:szCs w:val="24"/>
        </w:rPr>
      </w:pPr>
    </w:p>
    <w:p w14:paraId="08983743" w14:textId="70BBB6B4" w:rsidR="00B91228" w:rsidRPr="00294B87" w:rsidRDefault="00B91228" w:rsidP="00B715A3">
      <w:pPr>
        <w:autoSpaceDE w:val="0"/>
        <w:autoSpaceDN w:val="0"/>
        <w:adjustRightInd w:val="0"/>
        <w:spacing w:line="480" w:lineRule="auto"/>
        <w:jc w:val="both"/>
        <w:rPr>
          <w:rFonts w:ascii="Times New Roman" w:hAnsi="Times New Roman" w:cs="Times New Roman"/>
          <w:sz w:val="24"/>
          <w:szCs w:val="24"/>
        </w:rPr>
      </w:pPr>
      <w:commentRangeStart w:id="13"/>
      <w:r w:rsidRPr="00294B87">
        <w:rPr>
          <w:rFonts w:ascii="Times New Roman" w:hAnsi="Times New Roman" w:cs="Times New Roman"/>
          <w:b/>
          <w:bCs/>
          <w:sz w:val="24"/>
          <w:szCs w:val="24"/>
        </w:rPr>
        <w:lastRenderedPageBreak/>
        <w:t>Conclusion</w:t>
      </w:r>
      <w:commentRangeEnd w:id="13"/>
      <w:r w:rsidR="005F6F84" w:rsidRPr="00294B87">
        <w:rPr>
          <w:rStyle w:val="CommentReference"/>
          <w:rFonts w:ascii="Times New Roman" w:eastAsiaTheme="minorEastAsia" w:hAnsi="Times New Roman" w:cs="Times New Roman"/>
          <w:sz w:val="24"/>
          <w:szCs w:val="24"/>
        </w:rPr>
        <w:commentReference w:id="13"/>
      </w:r>
    </w:p>
    <w:p w14:paraId="583B5C6A" w14:textId="6790292D" w:rsidR="005240E2" w:rsidRDefault="00E4259F" w:rsidP="005240E2">
      <w:pPr>
        <w:spacing w:after="0" w:line="480" w:lineRule="auto"/>
        <w:jc w:val="both"/>
        <w:rPr>
          <w:rFonts w:ascii="Times New Roman" w:hAnsi="Times New Roman" w:cs="Times New Roman"/>
          <w:sz w:val="24"/>
          <w:szCs w:val="24"/>
        </w:rPr>
      </w:pPr>
      <w:r w:rsidRPr="007C11BC">
        <w:rPr>
          <w:rFonts w:ascii="Times New Roman" w:hAnsi="Times New Roman" w:cs="Times New Roman"/>
          <w:sz w:val="24"/>
          <w:szCs w:val="24"/>
        </w:rPr>
        <w:t xml:space="preserve">In conclusion, this study provides insights into the prevalence and clonal diversity of </w:t>
      </w:r>
      <w:r w:rsidRPr="006E4D06">
        <w:rPr>
          <w:rFonts w:ascii="Times New Roman" w:hAnsi="Times New Roman" w:cs="Times New Roman"/>
          <w:i/>
          <w:iCs/>
          <w:sz w:val="24"/>
          <w:szCs w:val="24"/>
        </w:rPr>
        <w:t>S. aureus</w:t>
      </w:r>
      <w:r w:rsidRPr="007C11BC">
        <w:rPr>
          <w:rFonts w:ascii="Times New Roman" w:hAnsi="Times New Roman" w:cs="Times New Roman"/>
          <w:sz w:val="24"/>
          <w:szCs w:val="24"/>
        </w:rPr>
        <w:t xml:space="preserve"> strains among dairy workers and dairy cows in cheesemaking farms in Vermont.</w:t>
      </w:r>
      <w:r w:rsidR="00C73158" w:rsidRPr="007C11BC">
        <w:rPr>
          <w:rFonts w:ascii="Times New Roman" w:hAnsi="Times New Roman" w:cs="Times New Roman"/>
          <w:sz w:val="24"/>
          <w:szCs w:val="24"/>
        </w:rPr>
        <w:t xml:space="preserve"> </w:t>
      </w:r>
      <w:r w:rsidRPr="007C11BC">
        <w:rPr>
          <w:rFonts w:ascii="Times New Roman" w:hAnsi="Times New Roman" w:cs="Times New Roman"/>
          <w:sz w:val="24"/>
          <w:szCs w:val="24"/>
        </w:rPr>
        <w:t xml:space="preserve">The study found that human carriers had a higher likelihood of carrying </w:t>
      </w:r>
      <w:r>
        <w:rPr>
          <w:rFonts w:ascii="Times New Roman" w:hAnsi="Times New Roman" w:cs="Times New Roman"/>
          <w:sz w:val="24"/>
          <w:szCs w:val="24"/>
        </w:rPr>
        <w:t>penicillin</w:t>
      </w:r>
      <w:r w:rsidRPr="007C11BC">
        <w:rPr>
          <w:rFonts w:ascii="Times New Roman" w:hAnsi="Times New Roman" w:cs="Times New Roman"/>
          <w:sz w:val="24"/>
          <w:szCs w:val="24"/>
        </w:rPr>
        <w:t xml:space="preserve">-resistant </w:t>
      </w:r>
      <w:r w:rsidRPr="006E4D06">
        <w:rPr>
          <w:rFonts w:ascii="Times New Roman" w:hAnsi="Times New Roman" w:cs="Times New Roman"/>
          <w:i/>
          <w:iCs/>
          <w:sz w:val="24"/>
          <w:szCs w:val="24"/>
        </w:rPr>
        <w:t>S. aureus</w:t>
      </w:r>
      <w:r w:rsidRPr="007C11BC">
        <w:rPr>
          <w:rFonts w:ascii="Times New Roman" w:hAnsi="Times New Roman" w:cs="Times New Roman"/>
          <w:sz w:val="24"/>
          <w:szCs w:val="24"/>
        </w:rPr>
        <w:t xml:space="preserve"> strains, possibly because of the increased use of antibiotics in human medicine.</w:t>
      </w:r>
      <w:r w:rsidR="00C73158" w:rsidRPr="007C11BC">
        <w:rPr>
          <w:rFonts w:ascii="Times New Roman" w:hAnsi="Times New Roman" w:cs="Times New Roman"/>
          <w:sz w:val="24"/>
          <w:szCs w:val="24"/>
        </w:rPr>
        <w:t xml:space="preserve"> </w:t>
      </w:r>
      <w:r>
        <w:rPr>
          <w:rFonts w:ascii="Times New Roman" w:hAnsi="Times New Roman" w:cs="Times New Roman"/>
          <w:sz w:val="24"/>
          <w:szCs w:val="24"/>
        </w:rPr>
        <w:t>Similarly</w:t>
      </w:r>
      <w:r w:rsidRPr="007C11BC">
        <w:rPr>
          <w:rFonts w:ascii="Times New Roman" w:hAnsi="Times New Roman" w:cs="Times New Roman"/>
          <w:sz w:val="24"/>
          <w:szCs w:val="24"/>
        </w:rPr>
        <w:t>, humans working on organic dairy farms may be the main source of resistant isolates because of the widespread use of β-lactam antibiotics in human medicine.</w:t>
      </w:r>
      <w:r w:rsidR="00C73158" w:rsidRPr="007C11BC">
        <w:rPr>
          <w:rFonts w:ascii="Times New Roman" w:hAnsi="Times New Roman" w:cs="Times New Roman"/>
          <w:sz w:val="24"/>
          <w:szCs w:val="24"/>
        </w:rPr>
        <w:t xml:space="preserve"> </w:t>
      </w:r>
      <w:r w:rsidRPr="005240E2">
        <w:rPr>
          <w:rFonts w:ascii="Times New Roman" w:hAnsi="Times New Roman" w:cs="Times New Roman"/>
          <w:sz w:val="24"/>
          <w:szCs w:val="24"/>
        </w:rPr>
        <w:t>Further research, specifically focusing on organic dairy farms, could help further understand the dynamics of antibiotic-resistant gene transfer.</w:t>
      </w:r>
      <w:r w:rsidR="005240E2" w:rsidRPr="005240E2">
        <w:rPr>
          <w:rFonts w:ascii="Times New Roman" w:hAnsi="Times New Roman" w:cs="Times New Roman"/>
          <w:sz w:val="24"/>
          <w:szCs w:val="24"/>
        </w:rPr>
        <w:t xml:space="preserve"> Additionally, the study hints at potential spillover events of </w:t>
      </w:r>
      <w:r w:rsidR="006E4D06" w:rsidRPr="006E4D06">
        <w:rPr>
          <w:rFonts w:ascii="Times New Roman" w:hAnsi="Times New Roman" w:cs="Times New Roman"/>
          <w:i/>
          <w:iCs/>
          <w:sz w:val="24"/>
          <w:szCs w:val="24"/>
        </w:rPr>
        <w:t>S. aureus</w:t>
      </w:r>
      <w:r w:rsidR="005240E2" w:rsidRPr="005240E2">
        <w:rPr>
          <w:rFonts w:ascii="Times New Roman" w:hAnsi="Times New Roman" w:cs="Times New Roman"/>
          <w:sz w:val="24"/>
          <w:szCs w:val="24"/>
        </w:rPr>
        <w:t xml:space="preserve"> </w:t>
      </w:r>
      <w:r w:rsidR="008630D2" w:rsidRPr="008630D2">
        <w:rPr>
          <w:rFonts w:ascii="Times New Roman" w:hAnsi="Times New Roman" w:cs="Times New Roman"/>
          <w:sz w:val="24"/>
          <w:szCs w:val="24"/>
        </w:rPr>
        <w:t>sequence types</w:t>
      </w:r>
      <w:r w:rsidR="005240E2" w:rsidRPr="005240E2">
        <w:rPr>
          <w:rFonts w:ascii="Times New Roman" w:hAnsi="Times New Roman" w:cs="Times New Roman"/>
          <w:sz w:val="24"/>
          <w:szCs w:val="24"/>
        </w:rPr>
        <w:t xml:space="preserve"> between hosts. These findings support the importance of the "One Health Initiative" for continued monitoring of </w:t>
      </w:r>
      <w:r w:rsidR="006E4D06" w:rsidRPr="006E4D06">
        <w:rPr>
          <w:rFonts w:ascii="Times New Roman" w:hAnsi="Times New Roman" w:cs="Times New Roman"/>
          <w:i/>
          <w:iCs/>
          <w:sz w:val="24"/>
          <w:szCs w:val="24"/>
        </w:rPr>
        <w:t>S. aureus</w:t>
      </w:r>
      <w:r w:rsidR="005240E2" w:rsidRPr="005240E2">
        <w:rPr>
          <w:rFonts w:ascii="Times New Roman" w:hAnsi="Times New Roman" w:cs="Times New Roman"/>
          <w:sz w:val="24"/>
          <w:szCs w:val="24"/>
        </w:rPr>
        <w:t xml:space="preserve"> at the human-animal interface.</w:t>
      </w:r>
    </w:p>
    <w:p w14:paraId="5A2904F7" w14:textId="77777777" w:rsidR="004C4853" w:rsidRDefault="004C4853" w:rsidP="005240E2">
      <w:pPr>
        <w:spacing w:after="0" w:line="480" w:lineRule="auto"/>
        <w:jc w:val="both"/>
        <w:rPr>
          <w:rFonts w:ascii="Times New Roman" w:hAnsi="Times New Roman" w:cs="Times New Roman"/>
          <w:b/>
          <w:bCs/>
          <w:noProof/>
          <w:sz w:val="24"/>
          <w:szCs w:val="24"/>
        </w:rPr>
      </w:pPr>
    </w:p>
    <w:p w14:paraId="2EE82E28" w14:textId="79F72B0B" w:rsidR="004A5ACF" w:rsidRPr="00E63A00" w:rsidRDefault="004A5ACF" w:rsidP="004A5ACF">
      <w:pPr>
        <w:spacing w:after="0" w:line="480" w:lineRule="auto"/>
        <w:jc w:val="both"/>
        <w:rPr>
          <w:rFonts w:ascii="Times New Roman" w:hAnsi="Times New Roman" w:cs="Times New Roman"/>
          <w:b/>
          <w:bCs/>
          <w:noProof/>
          <w:sz w:val="24"/>
          <w:szCs w:val="24"/>
        </w:rPr>
      </w:pPr>
      <w:commentRangeStart w:id="14"/>
      <w:r>
        <w:rPr>
          <w:rFonts w:ascii="Times New Roman" w:hAnsi="Times New Roman" w:cs="Times New Roman"/>
          <w:b/>
          <w:bCs/>
          <w:noProof/>
          <w:sz w:val="24"/>
          <w:szCs w:val="24"/>
        </w:rPr>
        <w:t>References</w:t>
      </w:r>
      <w:commentRangeEnd w:id="14"/>
      <w:r>
        <w:rPr>
          <w:rStyle w:val="CommentReference"/>
          <w:rFonts w:eastAsiaTheme="minorEastAsia"/>
        </w:rPr>
        <w:commentReference w:id="14"/>
      </w:r>
    </w:p>
    <w:p w14:paraId="2DBE92BF" w14:textId="77777777" w:rsidR="004A5ACF" w:rsidRDefault="004A5ACF" w:rsidP="005240E2">
      <w:pPr>
        <w:spacing w:after="0" w:line="480" w:lineRule="auto"/>
        <w:jc w:val="both"/>
        <w:rPr>
          <w:rFonts w:ascii="Times New Roman" w:hAnsi="Times New Roman" w:cs="Times New Roman"/>
          <w:b/>
          <w:bCs/>
          <w:noProof/>
          <w:sz w:val="24"/>
          <w:szCs w:val="24"/>
        </w:rPr>
      </w:pPr>
    </w:p>
    <w:p w14:paraId="26B318F5" w14:textId="7DEAABDB" w:rsidR="00EF0AED" w:rsidRDefault="00EF0AED" w:rsidP="00EF0AED">
      <w:pPr>
        <w:spacing w:line="480" w:lineRule="auto"/>
        <w:rPr>
          <w:rFonts w:ascii="Times New Roman" w:hAnsi="Times New Roman" w:cs="Times New Roman"/>
          <w:b/>
          <w:bCs/>
          <w:noProof/>
          <w:sz w:val="24"/>
          <w:szCs w:val="24"/>
        </w:rPr>
      </w:pPr>
      <w:commentRangeStart w:id="15"/>
      <w:r>
        <w:rPr>
          <w:rFonts w:ascii="Times New Roman" w:hAnsi="Times New Roman" w:cs="Times New Roman"/>
          <w:b/>
          <w:bCs/>
          <w:noProof/>
          <w:sz w:val="24"/>
          <w:szCs w:val="24"/>
        </w:rPr>
        <w:t>Figures</w:t>
      </w:r>
      <w:commentRangeEnd w:id="15"/>
      <w:r w:rsidR="00CF677B">
        <w:rPr>
          <w:rStyle w:val="CommentReference"/>
          <w:rFonts w:eastAsiaTheme="minorEastAsia"/>
        </w:rPr>
        <w:commentReference w:id="15"/>
      </w:r>
    </w:p>
    <w:p w14:paraId="0E047AEC" w14:textId="77777777" w:rsidR="00D9754A" w:rsidRDefault="00D9754A" w:rsidP="00EF0AED">
      <w:pPr>
        <w:spacing w:line="480" w:lineRule="auto"/>
        <w:rPr>
          <w:rFonts w:ascii="Times New Roman" w:hAnsi="Times New Roman" w:cs="Times New Roman"/>
          <w:b/>
          <w:bCs/>
          <w:noProof/>
          <w:sz w:val="24"/>
          <w:szCs w:val="24"/>
        </w:rPr>
      </w:pPr>
    </w:p>
    <w:p w14:paraId="0ECD20BA" w14:textId="1801897F" w:rsidR="00CF677B" w:rsidRDefault="00CF677B" w:rsidP="00EF0AED">
      <w:pPr>
        <w:spacing w:line="480" w:lineRule="auto"/>
        <w:rPr>
          <w:rFonts w:ascii="Times New Roman" w:hAnsi="Times New Roman" w:cs="Times New Roman"/>
          <w:b/>
          <w:bCs/>
          <w:noProof/>
          <w:sz w:val="24"/>
          <w:szCs w:val="24"/>
        </w:rPr>
      </w:pPr>
      <w:commentRangeStart w:id="16"/>
      <w:r>
        <w:rPr>
          <w:rFonts w:ascii="Times New Roman" w:hAnsi="Times New Roman" w:cs="Times New Roman"/>
          <w:b/>
          <w:bCs/>
          <w:noProof/>
          <w:sz w:val="24"/>
          <w:szCs w:val="24"/>
        </w:rPr>
        <w:t>Tables</w:t>
      </w:r>
      <w:commentRangeEnd w:id="16"/>
      <w:r>
        <w:rPr>
          <w:rStyle w:val="CommentReference"/>
          <w:rFonts w:eastAsiaTheme="minorEastAsia"/>
        </w:rPr>
        <w:commentReference w:id="16"/>
      </w:r>
    </w:p>
    <w:p w14:paraId="1FAD72A5" w14:textId="566FB647" w:rsidR="00E44A3C" w:rsidRDefault="00E44A3C">
      <w:pPr>
        <w:rPr>
          <w:rFonts w:ascii="Times New Roman" w:hAnsi="Times New Roman" w:cs="Times New Roman"/>
          <w:b/>
          <w:bCs/>
          <w:noProof/>
          <w:sz w:val="24"/>
          <w:szCs w:val="24"/>
        </w:rPr>
      </w:pPr>
    </w:p>
    <w:p w14:paraId="680F93D6" w14:textId="77777777" w:rsidR="00AF7E8C" w:rsidRDefault="00AF7E8C" w:rsidP="00AF7E8C">
      <w:pPr>
        <w:spacing w:after="0" w:line="480" w:lineRule="auto"/>
        <w:jc w:val="both"/>
        <w:rPr>
          <w:rFonts w:ascii="Times New Roman" w:hAnsi="Times New Roman" w:cs="Times New Roman"/>
          <w:b/>
          <w:bCs/>
          <w:noProof/>
          <w:sz w:val="24"/>
          <w:szCs w:val="24"/>
        </w:rPr>
      </w:pPr>
    </w:p>
    <w:p w14:paraId="097A44BF" w14:textId="77777777" w:rsidR="00AF7E8C" w:rsidRDefault="00AF7E8C" w:rsidP="00AF7E8C">
      <w:pPr>
        <w:spacing w:after="0" w:line="480" w:lineRule="auto"/>
        <w:jc w:val="both"/>
        <w:rPr>
          <w:rFonts w:ascii="Times New Roman" w:hAnsi="Times New Roman" w:cs="Times New Roman"/>
          <w:b/>
          <w:bCs/>
          <w:noProof/>
          <w:sz w:val="24"/>
          <w:szCs w:val="24"/>
        </w:rPr>
      </w:pPr>
    </w:p>
    <w:p w14:paraId="342010C0" w14:textId="77777777" w:rsidR="00AF7E8C" w:rsidRDefault="00AF7E8C" w:rsidP="00AF7E8C">
      <w:pPr>
        <w:spacing w:after="0" w:line="480" w:lineRule="auto"/>
        <w:jc w:val="both"/>
        <w:rPr>
          <w:rFonts w:ascii="Times New Roman" w:hAnsi="Times New Roman" w:cs="Times New Roman"/>
          <w:b/>
          <w:bCs/>
          <w:noProof/>
          <w:sz w:val="24"/>
          <w:szCs w:val="24"/>
        </w:rPr>
      </w:pPr>
    </w:p>
    <w:p w14:paraId="66B048B4" w14:textId="77777777" w:rsidR="00AF7E8C" w:rsidRDefault="00AF7E8C" w:rsidP="00AF7E8C">
      <w:pPr>
        <w:spacing w:after="0" w:line="480" w:lineRule="auto"/>
        <w:jc w:val="both"/>
        <w:rPr>
          <w:rFonts w:ascii="Times New Roman" w:hAnsi="Times New Roman" w:cs="Times New Roman"/>
          <w:b/>
          <w:bCs/>
          <w:noProof/>
          <w:sz w:val="24"/>
          <w:szCs w:val="24"/>
        </w:rPr>
      </w:pPr>
    </w:p>
    <w:p w14:paraId="15CF9FCC" w14:textId="3E192BC0" w:rsidR="00AF7E8C" w:rsidRPr="00E63A00" w:rsidRDefault="00AF7E8C" w:rsidP="00AF7E8C">
      <w:pPr>
        <w:spacing w:after="0" w:line="480" w:lineRule="auto"/>
        <w:jc w:val="both"/>
        <w:rPr>
          <w:rFonts w:ascii="Times New Roman" w:hAnsi="Times New Roman" w:cs="Times New Roman"/>
          <w:b/>
          <w:bCs/>
          <w:noProof/>
          <w:sz w:val="24"/>
          <w:szCs w:val="24"/>
        </w:rPr>
      </w:pPr>
      <w:r w:rsidRPr="00E63A00">
        <w:rPr>
          <w:rFonts w:ascii="Times New Roman" w:hAnsi="Times New Roman" w:cs="Times New Roman"/>
          <w:b/>
          <w:bCs/>
          <w:noProof/>
          <w:sz w:val="24"/>
          <w:szCs w:val="24"/>
        </w:rPr>
        <w:lastRenderedPageBreak/>
        <w:t>Funding Sources</w:t>
      </w:r>
    </w:p>
    <w:p w14:paraId="593213D3" w14:textId="77777777" w:rsidR="00AF7E8C" w:rsidRDefault="00AF7E8C" w:rsidP="00AF7E8C">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was funded by</w:t>
      </w:r>
      <w:r w:rsidRPr="0035282F">
        <w:rPr>
          <w:rFonts w:ascii="Times New Roman" w:hAnsi="Times New Roman" w:cs="Times New Roman"/>
          <w:sz w:val="24"/>
          <w:szCs w:val="24"/>
        </w:rPr>
        <w:t xml:space="preserve"> the USDA Hatch Multistate Project VT-H02413MS</w:t>
      </w:r>
      <w:r>
        <w:rPr>
          <w:rFonts w:ascii="Times New Roman" w:hAnsi="Times New Roman" w:cs="Times New Roman"/>
          <w:sz w:val="24"/>
          <w:szCs w:val="24"/>
        </w:rPr>
        <w:t xml:space="preserve">. </w:t>
      </w:r>
    </w:p>
    <w:p w14:paraId="712F60C3" w14:textId="77777777" w:rsidR="00AF7E8C" w:rsidRPr="00E63A00" w:rsidRDefault="00AF7E8C" w:rsidP="00AF7E8C">
      <w:pPr>
        <w:spacing w:line="480" w:lineRule="auto"/>
        <w:jc w:val="both"/>
        <w:rPr>
          <w:rFonts w:ascii="Times New Roman" w:hAnsi="Times New Roman" w:cs="Times New Roman"/>
          <w:b/>
          <w:bCs/>
          <w:sz w:val="24"/>
          <w:szCs w:val="24"/>
        </w:rPr>
      </w:pPr>
      <w:r w:rsidRPr="00E63A00">
        <w:rPr>
          <w:rFonts w:ascii="Times New Roman" w:hAnsi="Times New Roman" w:cs="Times New Roman"/>
          <w:b/>
          <w:bCs/>
          <w:sz w:val="24"/>
          <w:szCs w:val="24"/>
        </w:rPr>
        <w:t>Acknowledgements</w:t>
      </w:r>
    </w:p>
    <w:p w14:paraId="41A0143F" w14:textId="77777777" w:rsidR="00AF7E8C" w:rsidRDefault="00AF7E8C" w:rsidP="00AF7E8C">
      <w:pPr>
        <w:spacing w:line="480" w:lineRule="auto"/>
        <w:jc w:val="both"/>
        <w:rPr>
          <w:rFonts w:ascii="Times New Roman" w:hAnsi="Times New Roman" w:cs="Times New Roman"/>
          <w:sz w:val="24"/>
          <w:szCs w:val="24"/>
        </w:rPr>
      </w:pPr>
      <w:r>
        <w:rPr>
          <w:rFonts w:ascii="Times New Roman" w:hAnsi="Times New Roman" w:cs="Times New Roman"/>
          <w:sz w:val="24"/>
          <w:szCs w:val="24"/>
        </w:rPr>
        <w:t>We acknowledge the University of Vermont Genomics Core Facility for helping with MLST sequencing. We also thank all farms and farm workers who agreed to participate in this study. Finally, we thank all lab personnel who helped with sample collection and sample processing.</w:t>
      </w:r>
    </w:p>
    <w:p w14:paraId="35359505" w14:textId="77777777" w:rsidR="00AF7E8C" w:rsidRPr="00E63A00" w:rsidRDefault="00AF7E8C" w:rsidP="00AF7E8C">
      <w:pPr>
        <w:spacing w:line="480" w:lineRule="auto"/>
        <w:jc w:val="both"/>
        <w:rPr>
          <w:rFonts w:ascii="Times New Roman" w:hAnsi="Times New Roman" w:cs="Times New Roman"/>
          <w:b/>
          <w:bCs/>
          <w:sz w:val="24"/>
          <w:szCs w:val="24"/>
        </w:rPr>
      </w:pPr>
      <w:r w:rsidRPr="00E63A00">
        <w:rPr>
          <w:rFonts w:ascii="Times New Roman" w:hAnsi="Times New Roman" w:cs="Times New Roman"/>
          <w:b/>
          <w:bCs/>
          <w:sz w:val="24"/>
          <w:szCs w:val="24"/>
        </w:rPr>
        <w:t>Conflict of Interest</w:t>
      </w:r>
    </w:p>
    <w:p w14:paraId="63A2BC60" w14:textId="77777777" w:rsidR="00AF7E8C" w:rsidRPr="0035282F" w:rsidRDefault="00AF7E8C" w:rsidP="00AF7E8C">
      <w:pPr>
        <w:spacing w:line="480" w:lineRule="auto"/>
        <w:jc w:val="both"/>
        <w:rPr>
          <w:rFonts w:ascii="Times New Roman" w:hAnsi="Times New Roman" w:cs="Times New Roman"/>
          <w:sz w:val="24"/>
          <w:szCs w:val="24"/>
        </w:rPr>
      </w:pPr>
      <w:r>
        <w:rPr>
          <w:rFonts w:ascii="Times New Roman" w:hAnsi="Times New Roman" w:cs="Times New Roman"/>
          <w:sz w:val="24"/>
          <w:szCs w:val="24"/>
        </w:rPr>
        <w:t>The authors declare no conflicts of interest.</w:t>
      </w:r>
    </w:p>
    <w:p w14:paraId="7521ADBA" w14:textId="77777777" w:rsidR="00AF7E8C" w:rsidRDefault="00AF7E8C" w:rsidP="00AF7E8C">
      <w:pPr>
        <w:spacing w:line="480" w:lineRule="auto"/>
        <w:rPr>
          <w:rFonts w:ascii="Times New Roman" w:hAnsi="Times New Roman" w:cs="Times New Roman"/>
          <w:b/>
          <w:bCs/>
          <w:noProof/>
          <w:sz w:val="24"/>
          <w:szCs w:val="24"/>
        </w:rPr>
      </w:pPr>
      <w:r>
        <w:rPr>
          <w:rFonts w:ascii="Times New Roman" w:hAnsi="Times New Roman" w:cs="Times New Roman"/>
          <w:b/>
          <w:bCs/>
          <w:noProof/>
          <w:sz w:val="24"/>
          <w:szCs w:val="24"/>
        </w:rPr>
        <w:t>Author Contributions</w:t>
      </w:r>
    </w:p>
    <w:p w14:paraId="2812A644" w14:textId="77777777" w:rsidR="00AF7E8C" w:rsidRDefault="00AF7E8C" w:rsidP="00AF7E8C">
      <w:pPr>
        <w:spacing w:line="480" w:lineRule="auto"/>
        <w:rPr>
          <w:rFonts w:ascii="Times New Roman" w:hAnsi="Times New Roman" w:cs="Times New Roman"/>
          <w:noProof/>
          <w:sz w:val="24"/>
          <w:szCs w:val="24"/>
        </w:rPr>
      </w:pPr>
      <w:r>
        <w:rPr>
          <w:rFonts w:ascii="Times New Roman" w:hAnsi="Times New Roman" w:cs="Times New Roman"/>
          <w:noProof/>
          <w:sz w:val="24"/>
          <w:szCs w:val="24"/>
        </w:rPr>
        <w:t>Ashma: Lab work, data collection &amp; analysis, manuscript writing</w:t>
      </w:r>
    </w:p>
    <w:p w14:paraId="6E81558B" w14:textId="77777777" w:rsidR="00AF7E8C" w:rsidRDefault="00AF7E8C" w:rsidP="00AF7E8C">
      <w:pPr>
        <w:spacing w:line="480" w:lineRule="auto"/>
        <w:rPr>
          <w:rFonts w:ascii="Times New Roman" w:hAnsi="Times New Roman" w:cs="Times New Roman"/>
          <w:noProof/>
          <w:sz w:val="24"/>
          <w:szCs w:val="24"/>
        </w:rPr>
      </w:pPr>
      <w:r>
        <w:rPr>
          <w:rFonts w:ascii="Times New Roman" w:hAnsi="Times New Roman" w:cs="Times New Roman"/>
          <w:noProof/>
          <w:sz w:val="24"/>
          <w:szCs w:val="24"/>
        </w:rPr>
        <w:t>Chrsitine: Field sample collection</w:t>
      </w:r>
    </w:p>
    <w:p w14:paraId="72BBA357" w14:textId="77777777" w:rsidR="00AF7E8C" w:rsidRDefault="00AF7E8C" w:rsidP="00AF7E8C">
      <w:pPr>
        <w:spacing w:line="480" w:lineRule="auto"/>
        <w:rPr>
          <w:rFonts w:ascii="Times New Roman" w:hAnsi="Times New Roman" w:cs="Times New Roman"/>
          <w:noProof/>
          <w:sz w:val="24"/>
          <w:szCs w:val="24"/>
        </w:rPr>
      </w:pPr>
      <w:r>
        <w:rPr>
          <w:rFonts w:ascii="Times New Roman" w:hAnsi="Times New Roman" w:cs="Times New Roman"/>
          <w:noProof/>
          <w:sz w:val="24"/>
          <w:szCs w:val="24"/>
        </w:rPr>
        <w:t>Ariela: Field sample collection, Lab work</w:t>
      </w:r>
    </w:p>
    <w:p w14:paraId="23762589" w14:textId="77777777" w:rsidR="00AF7E8C" w:rsidRDefault="00AF7E8C" w:rsidP="00AF7E8C">
      <w:pPr>
        <w:spacing w:line="480" w:lineRule="auto"/>
        <w:rPr>
          <w:rFonts w:ascii="Times New Roman" w:hAnsi="Times New Roman" w:cs="Times New Roman"/>
          <w:noProof/>
          <w:sz w:val="24"/>
          <w:szCs w:val="24"/>
        </w:rPr>
      </w:pPr>
      <w:r>
        <w:rPr>
          <w:rFonts w:ascii="Times New Roman" w:hAnsi="Times New Roman" w:cs="Times New Roman"/>
          <w:noProof/>
          <w:sz w:val="24"/>
          <w:szCs w:val="24"/>
        </w:rPr>
        <w:t>Robert: Sample collection, lab work, data collection &amp; analysis</w:t>
      </w:r>
    </w:p>
    <w:p w14:paraId="068AC606" w14:textId="77777777" w:rsidR="00AF7E8C" w:rsidRDefault="00AF7E8C" w:rsidP="00AF7E8C">
      <w:pPr>
        <w:spacing w:line="480" w:lineRule="auto"/>
        <w:rPr>
          <w:rFonts w:ascii="Times New Roman" w:hAnsi="Times New Roman" w:cs="Times New Roman"/>
          <w:noProof/>
          <w:sz w:val="24"/>
          <w:szCs w:val="24"/>
        </w:rPr>
      </w:pPr>
      <w:r>
        <w:rPr>
          <w:rFonts w:ascii="Times New Roman" w:hAnsi="Times New Roman" w:cs="Times New Roman"/>
          <w:noProof/>
          <w:sz w:val="24"/>
          <w:szCs w:val="24"/>
        </w:rPr>
        <w:t>Amanda: sample collection, lab work</w:t>
      </w:r>
    </w:p>
    <w:p w14:paraId="14DB9213" w14:textId="77777777" w:rsidR="00AF7E8C" w:rsidRDefault="00AF7E8C" w:rsidP="00AF7E8C">
      <w:pPr>
        <w:spacing w:line="480" w:lineRule="auto"/>
        <w:rPr>
          <w:rFonts w:ascii="Times New Roman" w:hAnsi="Times New Roman" w:cs="Times New Roman"/>
          <w:noProof/>
          <w:sz w:val="24"/>
          <w:szCs w:val="24"/>
        </w:rPr>
      </w:pPr>
      <w:r>
        <w:rPr>
          <w:rFonts w:ascii="Times New Roman" w:hAnsi="Times New Roman" w:cs="Times New Roman"/>
          <w:noProof/>
          <w:sz w:val="24"/>
          <w:szCs w:val="24"/>
        </w:rPr>
        <w:t>John: Study design, field sample collection, lab work, data collection &amp; analysis, manuscript preparation</w:t>
      </w:r>
    </w:p>
    <w:p w14:paraId="042E1EFA" w14:textId="77777777" w:rsidR="00AF7E8C" w:rsidRPr="00D1105C" w:rsidRDefault="00AF7E8C">
      <w:pPr>
        <w:rPr>
          <w:rFonts w:ascii="Times New Roman" w:hAnsi="Times New Roman" w:cs="Times New Roman"/>
          <w:b/>
          <w:bCs/>
          <w:noProof/>
          <w:sz w:val="24"/>
          <w:szCs w:val="24"/>
        </w:rPr>
      </w:pPr>
    </w:p>
    <w:sectPr w:rsidR="00AF7E8C" w:rsidRPr="00D1105C" w:rsidSect="002457E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3-06-09T13:03:00Z" w:initials="CJ">
    <w:p w14:paraId="6EA50C40" w14:textId="5E5A9E3A" w:rsidR="006259A1" w:rsidRDefault="006259A1">
      <w:pPr>
        <w:pStyle w:val="CommentText"/>
      </w:pPr>
      <w:r>
        <w:rPr>
          <w:rStyle w:val="CommentReference"/>
        </w:rPr>
        <w:annotationRef/>
      </w:r>
      <w:r w:rsidR="009163C4">
        <w:t>All authors of JDS papers should provide an interpretive summary of 100 words or less that summarizes the project’s expected importance or its economic, environmental, and/or social impact. The summary should appear at the top of the first page of the manuscript. Interpretive summaries will be peer reviewed. The summaries are intended for an audience who may not be familiar with work in the authors’ area of expertise and for government or media researchers, and they will provide JDS readers with a brief overview of the research presented in each issue</w:t>
      </w:r>
    </w:p>
  </w:comment>
  <w:comment w:id="1" w:author="Caitlin Jeffrey" w:date="2023-06-09T13:04:00Z" w:initials="CJ">
    <w:p w14:paraId="113B78DE" w14:textId="0A592917" w:rsidR="00D51CF5" w:rsidRDefault="00D51CF5">
      <w:pPr>
        <w:pStyle w:val="CommentText"/>
      </w:pPr>
      <w:r>
        <w:rPr>
          <w:rStyle w:val="CommentReference"/>
        </w:rPr>
        <w:annotationRef/>
      </w:r>
      <w:r w:rsidR="00822356">
        <w:t xml:space="preserve">The journal now accepts graphical abstracts for inclusion in the journal. Graphical abstracts are not required, but, if submitted, will undergo peer review. A graphical abstract is a single, concise visual summary of the main finding of the article. It should allow readers to quickly understand the main take-home message of the paper. The graphical abstract should include article highlights, which are 3 to 5 bullet points (maximum of 85 characters each, including spaces) aimed at a general audience. Highlights serve as a caption for the graphical abstract and should summarize the main findings of your research and capture the novelty of your results. Avoid technical jargon and abbreviations but use key words that will aid in the discoverability of your research. The graphical abstract and highlights should be placed into one document and uploaded to </w:t>
      </w:r>
      <w:proofErr w:type="spellStart"/>
      <w:r w:rsidR="00822356">
        <w:t>ScholarOne</w:t>
      </w:r>
      <w:proofErr w:type="spellEnd"/>
      <w:r w:rsidR="00822356">
        <w:t xml:space="preserve"> as a separate file from the main text</w:t>
      </w:r>
    </w:p>
  </w:comment>
  <w:comment w:id="2" w:author="Caitlin Jeffrey" w:date="2023-06-09T13:08:00Z" w:initials="CJ">
    <w:p w14:paraId="592122A8" w14:textId="0C69F03B" w:rsidR="00092F7B" w:rsidRDefault="00092F7B">
      <w:pPr>
        <w:pStyle w:val="CommentText"/>
      </w:pPr>
      <w:r>
        <w:rPr>
          <w:rStyle w:val="CommentReference"/>
        </w:rPr>
        <w:annotationRef/>
      </w:r>
      <w:r w:rsidR="00237E88">
        <w:t xml:space="preserve">Across the top of the </w:t>
      </w:r>
      <w:r w:rsidR="00237E88" w:rsidRPr="00CD563A">
        <w:rPr>
          <w:b/>
          <w:bCs/>
        </w:rPr>
        <w:t>title page (first page),</w:t>
      </w:r>
      <w:r w:rsidR="00237E88">
        <w:t xml:space="preserve"> indicate a running head (abbreviated title) of no more than 45 characters, preceded by “Running head:”</w:t>
      </w:r>
    </w:p>
  </w:comment>
  <w:comment w:id="3" w:author="Caitlin Jeffrey" w:date="2023-06-09T13:07:00Z" w:initials="CJ">
    <w:p w14:paraId="34B6AF56" w14:textId="3FB21148" w:rsidR="0045115A" w:rsidRDefault="0045115A">
      <w:pPr>
        <w:pStyle w:val="CommentText"/>
      </w:pPr>
      <w:r>
        <w:rPr>
          <w:rStyle w:val="CommentReference"/>
        </w:rPr>
        <w:annotationRef/>
      </w:r>
      <w:r w:rsidR="00236998">
        <w:t>A descriptive title—one that describes the subject of the article but does not reveal the main conclusions— should be used. The title should be short and informative and contain words or phrases used for indexing</w:t>
      </w:r>
    </w:p>
  </w:comment>
  <w:comment w:id="4" w:author="Caitlin Jeffrey" w:date="2023-06-09T13:16:00Z" w:initials="CJ">
    <w:p w14:paraId="6B05A5E1" w14:textId="2035191C" w:rsidR="007566F7" w:rsidRDefault="007566F7">
      <w:pPr>
        <w:pStyle w:val="CommentText"/>
      </w:pPr>
      <w:r>
        <w:rPr>
          <w:rStyle w:val="CommentReference"/>
        </w:rPr>
        <w:annotationRef/>
      </w:r>
      <w:r>
        <w:t>Under the title, names of authors should be given in mixed case (e.g., T. E. Smith or Tom E. Smith). Institutional addresses are displayed below the author names; numeric footnotes should be used to link each author’s name to an affiliation, in order from first to last author</w:t>
      </w:r>
    </w:p>
  </w:comment>
  <w:comment w:id="5" w:author="Caitlin Jeffrey" w:date="2023-06-09T13:16:00Z" w:initials="CJ">
    <w:p w14:paraId="48766D2E" w14:textId="2DBC3A90" w:rsidR="00CC44B5" w:rsidRDefault="00CC44B5">
      <w:pPr>
        <w:pStyle w:val="CommentText"/>
      </w:pPr>
      <w:r>
        <w:rPr>
          <w:rStyle w:val="CommentReference"/>
        </w:rPr>
        <w:annotationRef/>
      </w:r>
      <w:r w:rsidR="00CF77A9">
        <w:t>The full name, mailing address, phone number, and e-mail address of the corresponding author should appear directly below the affiliations on the title page. The corresponding author will be identified by a footnote symbol and e-mail address below the accepted line on the first page of the published article</w:t>
      </w:r>
    </w:p>
  </w:comment>
  <w:comment w:id="6" w:author="Caitlin Jeffrey" w:date="2023-05-01T12:18:00Z" w:initials="CJ">
    <w:p w14:paraId="4A2EF0B5" w14:textId="266F11A3" w:rsidR="007A7A5F" w:rsidRDefault="007A7A5F">
      <w:pPr>
        <w:pStyle w:val="CommentText"/>
      </w:pPr>
      <w:r>
        <w:rPr>
          <w:rStyle w:val="CommentReference"/>
        </w:rPr>
        <w:annotationRef/>
      </w: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p>
  </w:comment>
  <w:comment w:id="7" w:author="Caitlin Jeffrey" w:date="2023-06-09T13:26:00Z" w:initials="CJ">
    <w:p w14:paraId="6D86D9A5" w14:textId="5AC065B4" w:rsidR="008905A2" w:rsidRDefault="008905A2">
      <w:pPr>
        <w:pStyle w:val="CommentText"/>
      </w:pPr>
      <w:r>
        <w:rPr>
          <w:rStyle w:val="CommentReference"/>
        </w:rPr>
        <w:annotationRef/>
      </w:r>
      <w:r w:rsidR="00BD7FE9">
        <w:t>After the abstract, list 2 to 5 key words or phrases</w:t>
      </w:r>
    </w:p>
  </w:comment>
  <w:comment w:id="8" w:author="Caitlin Jeffrey" w:date="2023-05-01T12:19:00Z" w:initials="CJ">
    <w:p w14:paraId="6ED280BE" w14:textId="53F5DE15" w:rsidR="00123751" w:rsidRDefault="00123751">
      <w:pPr>
        <w:pStyle w:val="CommentText"/>
      </w:pPr>
      <w:r>
        <w:rPr>
          <w:rStyle w:val="CommentReference"/>
        </w:rPr>
        <w:annotationRef/>
      </w:r>
      <w:r w:rsidR="003F7C52">
        <w:t>“</w:t>
      </w:r>
      <w:r w:rsidR="00802582">
        <w:t>Major Headings. Major headings consist of Abstract, Introduction, Materials and Methods, Results, Discussion (or Results and Discussion), Conclusions (optional), Acknowledgments, Appendix (optional), and References.</w:t>
      </w:r>
      <w:r w:rsidR="0045115A">
        <w:t>”</w:t>
      </w:r>
    </w:p>
  </w:comment>
  <w:comment w:id="9" w:author="Caitlin Jeffrey" w:date="2023-05-01T12:21:00Z" w:initials="CJ">
    <w:p w14:paraId="61794095" w14:textId="55B8A167" w:rsidR="00CB39D2" w:rsidRDefault="00CB39D2">
      <w:pPr>
        <w:pStyle w:val="CommentText"/>
      </w:pPr>
      <w:r>
        <w:rPr>
          <w:rStyle w:val="CommentReference"/>
        </w:rPr>
        <w:annotationRef/>
      </w:r>
      <w:r w:rsidR="00D91453">
        <w:t>The body of the paper should contain an introduction to the problem (questions, objectives, reasons for research, and related literature); materials, methods, experimental design, and procedures; and results, discussion, conclusions, and applications.</w:t>
      </w:r>
    </w:p>
  </w:comment>
  <w:comment w:id="10" w:author="Caitlin Jeffrey" w:date="2023-06-09T13:28:00Z" w:initials="CJ">
    <w:p w14:paraId="7DA41063" w14:textId="6EAC40CB" w:rsidR="001A7E4F" w:rsidRDefault="001A7E4F">
      <w:pPr>
        <w:pStyle w:val="CommentText"/>
      </w:pPr>
      <w:r>
        <w:rPr>
          <w:rStyle w:val="CommentReference"/>
        </w:rPr>
        <w:annotationRef/>
      </w:r>
      <w:r>
        <w:t>The introduction should concisely describe the rationale for conducting the study, background, objectives, and hypotheses to be tested</w:t>
      </w:r>
    </w:p>
  </w:comment>
  <w:comment w:id="11" w:author="Caitlin Jeffrey" w:date="2023-06-09T13:30:00Z" w:initials="CJ">
    <w:p w14:paraId="1F2CF706" w14:textId="2CC2011E" w:rsidR="00B715A3" w:rsidRDefault="00B715A3">
      <w:pPr>
        <w:pStyle w:val="CommentText"/>
      </w:pPr>
      <w:r>
        <w:rPr>
          <w:rStyle w:val="CommentReference"/>
        </w:rPr>
        <w:annotationRef/>
      </w:r>
      <w:r w:rsidR="00FB375B">
        <w:t>Results and Discussion may be combined into a single section. If not, the Results section should not contain discussion of previously published work. Results and references to tables and figures already described in the results section should not be repeated in the Discussion.</w:t>
      </w:r>
    </w:p>
  </w:comment>
  <w:comment w:id="12" w:author="Caitlin Jeffrey" w:date="2023-06-09T13:32:00Z" w:initials="CJ">
    <w:p w14:paraId="06EBF5E6" w14:textId="6327129D" w:rsidR="00294B87" w:rsidRDefault="00294B87">
      <w:pPr>
        <w:pStyle w:val="CommentText"/>
      </w:pPr>
      <w:r>
        <w:rPr>
          <w:rStyle w:val="CommentReference"/>
        </w:rPr>
        <w:annotationRef/>
      </w:r>
      <w:r>
        <w:t>The Discussion should begin with a brief summary of the paper. An optional separate conclusions section may follow the discussion</w:t>
      </w:r>
    </w:p>
  </w:comment>
  <w:comment w:id="13" w:author="Caitlin Jeffrey" w:date="2023-05-01T12:23:00Z" w:initials="CJ">
    <w:p w14:paraId="4BF4B4BB" w14:textId="435BECD7" w:rsidR="005F6F84" w:rsidRDefault="005F6F84">
      <w:pPr>
        <w:pStyle w:val="CommentText"/>
      </w:pPr>
      <w:r>
        <w:rPr>
          <w:rStyle w:val="CommentReference"/>
        </w:rPr>
        <w:annotationRef/>
      </w:r>
      <w:r w:rsidR="004F2A53">
        <w:t>The conclusion section should consist of one brief paragraph (approximately 150 words) that states the main conclusions from the study. As such, it should not contain references to other works</w:t>
      </w:r>
    </w:p>
  </w:comment>
  <w:comment w:id="14" w:author="Caitlin Jeffrey" w:date="2023-06-09T13:34:00Z" w:initials="CJ">
    <w:p w14:paraId="6C439132" w14:textId="77777777" w:rsidR="004A5ACF" w:rsidRDefault="004A5ACF">
      <w:pPr>
        <w:pStyle w:val="CommentText"/>
      </w:pPr>
      <w:r>
        <w:rPr>
          <w:rStyle w:val="CommentReference"/>
        </w:rPr>
        <w:annotationRef/>
      </w:r>
      <w:r w:rsidR="00612EAC">
        <w:t>List only pertinent references. No more than 3 references should be needed to support a specific concept. Research papers and reviews should cite a reasonable number of references. Abstracts and articles from nonpeer-reviewed magazines and proceedings should be cited sparingly.</w:t>
      </w:r>
    </w:p>
    <w:p w14:paraId="140E3F7C" w14:textId="77777777" w:rsidR="0012082F" w:rsidRDefault="0012082F">
      <w:pPr>
        <w:pStyle w:val="CommentText"/>
      </w:pPr>
    </w:p>
    <w:p w14:paraId="19CF0F28" w14:textId="67F5EED7" w:rsidR="0012082F" w:rsidRDefault="0012082F">
      <w:pPr>
        <w:pStyle w:val="CommentText"/>
      </w:pPr>
      <w:r>
        <w:t>For journal articles, include all authors (do not use “et al.”), year, article title, abbreviated journal name, volume, page range, and digital object identifier (DOI). Inclusive page numbers (or article identifiers) must be provided and the DOI included if available. Hyde, M. L., M. R. Wilkens, and D. R. Fraser. 2019. In vivo measurement of strontium absorption from the rumen of dairy cows as an index of calcium absorption capacity. J. Dairy Sci. 102:5699–5705. https://doi.org/10.3168/jds.2018 -16052.</w:t>
      </w:r>
    </w:p>
  </w:comment>
  <w:comment w:id="15" w:author="Caitlin Jeffrey" w:date="2023-06-09T13:01:00Z" w:initials="CJ">
    <w:p w14:paraId="16E6A47A" w14:textId="77777777" w:rsidR="00CF677B" w:rsidRDefault="00CF677B">
      <w:pPr>
        <w:pStyle w:val="CommentText"/>
      </w:pPr>
      <w:r>
        <w:rPr>
          <w:rStyle w:val="CommentReference"/>
        </w:rPr>
        <w:annotationRef/>
      </w:r>
      <w:r w:rsidRPr="00CF677B">
        <w:t>Tables and figures should be placed in separate sections at the end of the manuscript</w:t>
      </w:r>
    </w:p>
    <w:p w14:paraId="2BA10524" w14:textId="77777777" w:rsidR="00373AD7" w:rsidRDefault="00373AD7">
      <w:pPr>
        <w:pStyle w:val="CommentText"/>
      </w:pPr>
    </w:p>
    <w:p w14:paraId="21D889DE" w14:textId="77777777" w:rsidR="00373AD7" w:rsidRDefault="00373AD7">
      <w:pPr>
        <w:pStyle w:val="CommentText"/>
      </w:pPr>
      <w:r>
        <w:t>To facilitate review, figures should be placed at the end of the manuscript, with each caption appearing on the same page as the corresponding figure.</w:t>
      </w:r>
    </w:p>
    <w:p w14:paraId="5FB43147" w14:textId="77777777" w:rsidR="00E043A4" w:rsidRDefault="00E043A4">
      <w:pPr>
        <w:pStyle w:val="CommentText"/>
      </w:pPr>
    </w:p>
    <w:p w14:paraId="7760F372" w14:textId="77777777" w:rsidR="00E609AD" w:rsidRDefault="00E043A4">
      <w:pPr>
        <w:pStyle w:val="CommentText"/>
      </w:pPr>
      <w:r>
        <w:t xml:space="preserve">• Figure size. Prepare figures at final size for publication. Figures should be prepared to fit one column (8.9 cm wide), 2 columns (14 cm wide), or full-page width (19 cm wide). </w:t>
      </w:r>
    </w:p>
    <w:p w14:paraId="2C9A713D" w14:textId="71C39611" w:rsidR="00E609AD" w:rsidRDefault="00E043A4">
      <w:pPr>
        <w:pStyle w:val="CommentText"/>
      </w:pPr>
      <w:r>
        <w:t xml:space="preserve">• Font size. Ensure that all type within the figure and axis labels is readable at final publication size. A minimum type size of 8 points (after reduction to publication size) should be used. The font size should be proportional to the overall size of the figure (within a range of 8 to 12 points at final publication size). </w:t>
      </w:r>
    </w:p>
    <w:p w14:paraId="43A3E5B7" w14:textId="77777777" w:rsidR="00E609AD" w:rsidRDefault="00E043A4">
      <w:pPr>
        <w:pStyle w:val="CommentText"/>
      </w:pPr>
      <w:r>
        <w:t xml:space="preserve">• Fonts. For best readability, use Helvetica, Times New Roman, Arial, and the symbols palette within those fonts to annotate and label figures (for data points, axis descriptors, units, legends). </w:t>
      </w:r>
    </w:p>
    <w:p w14:paraId="517839E0" w14:textId="77777777" w:rsidR="00E609AD" w:rsidRDefault="00E043A4">
      <w:pPr>
        <w:pStyle w:val="CommentText"/>
      </w:pPr>
      <w:r>
        <w:t xml:space="preserve">• Line weight. For line graphs, use a minimum stroke weight of 1 point for all lines. Use solid, </w:t>
      </w:r>
      <w:proofErr w:type="spellStart"/>
      <w:r>
        <w:t>longdash</w:t>
      </w:r>
      <w:proofErr w:type="spellEnd"/>
      <w:r>
        <w:t xml:space="preserve">, short-dash, and dotted lines to distinguish line types. Avoid the use of gray lines, as these will not reproduce well. Lines with different symbols for the data points may also be used to distinguish curves. Axes and ticks should be in black (not gray) with a thickness of at least 1 point. </w:t>
      </w:r>
    </w:p>
    <w:p w14:paraId="76BD52DD" w14:textId="77777777" w:rsidR="00E609AD" w:rsidRDefault="00E043A4">
      <w:pPr>
        <w:pStyle w:val="CommentText"/>
      </w:pPr>
      <w:r>
        <w:t xml:space="preserve">• Axis labels. Each axis should have a descriptor and a unit. Units may be separated from the descriptor by a comma or parentheses. </w:t>
      </w:r>
    </w:p>
    <w:p w14:paraId="64B1A3A9" w14:textId="77777777" w:rsidR="00E609AD" w:rsidRDefault="00E043A4">
      <w:pPr>
        <w:pStyle w:val="CommentText"/>
      </w:pPr>
      <w:r>
        <w:t xml:space="preserve">•Shading and fill patterns. With the elimination of print in 2019, full color can be used in all figures at no additional charge. Complex patterns and 3-dimensional effects reproduce poorly and should not be used. Unnecessary backgrounds and grid lines should be removed from graphs. </w:t>
      </w:r>
    </w:p>
    <w:p w14:paraId="471C6F84" w14:textId="77777777" w:rsidR="00E609AD" w:rsidRDefault="00E043A4">
      <w:pPr>
        <w:pStyle w:val="CommentText"/>
      </w:pPr>
      <w:r>
        <w:t xml:space="preserve">• Symbols. Identify curves and data points using the following symbols only: □, </w:t>
      </w:r>
      <w:r>
        <w:rPr>
          <w:rFonts w:ascii="Arial" w:hAnsi="Arial" w:cs="Arial"/>
        </w:rPr>
        <w:t>■</w:t>
      </w:r>
      <w:r>
        <w:t xml:space="preserve">, </w:t>
      </w:r>
      <w:r>
        <w:rPr>
          <w:rFonts w:ascii="Calibri" w:hAnsi="Calibri" w:cs="Calibri"/>
        </w:rPr>
        <w:t>○</w:t>
      </w:r>
      <w:r>
        <w:t xml:space="preserve">, </w:t>
      </w:r>
      <w:r>
        <w:rPr>
          <w:rFonts w:ascii="Calibri" w:hAnsi="Calibri" w:cs="Calibri"/>
        </w:rPr>
        <w:t>●</w:t>
      </w:r>
      <w:r>
        <w:t xml:space="preserve">, </w:t>
      </w:r>
      <w:r>
        <w:rPr>
          <w:rFonts w:ascii="Arial" w:hAnsi="Arial" w:cs="Arial"/>
        </w:rPr>
        <w:t>▲</w:t>
      </w:r>
      <w:r>
        <w:t xml:space="preserve">, </w:t>
      </w:r>
      <w:r>
        <w:rPr>
          <w:rFonts w:ascii="Arial" w:hAnsi="Arial" w:cs="Arial"/>
        </w:rPr>
        <w:t>▼</w:t>
      </w:r>
      <w:r>
        <w:t xml:space="preserve">, +, or </w:t>
      </w:r>
      <w:r>
        <w:rPr>
          <w:rFonts w:ascii="Calibri" w:hAnsi="Calibri" w:cs="Calibri"/>
        </w:rPr>
        <w:t>×</w:t>
      </w:r>
      <w:r>
        <w:t xml:space="preserve">. Symbols should be defined in the figure caption or in a key on the figure (but not both). • File formats. Figures can be submitted in PDF, EPS, TIFF, and JPEG formats or pasted into Microsoft Word. Note that pasting into Word often reduces figure quality. Authors may upload high-resolution figures (preferably as TIFFs) in addition to the figures pasted into Word for review. </w:t>
      </w:r>
    </w:p>
    <w:p w14:paraId="04632DE0" w14:textId="77777777" w:rsidR="00E609AD" w:rsidRDefault="00E043A4">
      <w:pPr>
        <w:pStyle w:val="CommentText"/>
      </w:pPr>
      <w:r>
        <w:t xml:space="preserve">•Color and grayscale figures. Color figures should be prepared and submitted in RGB (not CMYK). Figures that are to be published in grayscale (black and white) should be submitted in grayscale because color may mask contrast problems that are apparent only when the figure is reproduced in grayscale. </w:t>
      </w:r>
    </w:p>
    <w:p w14:paraId="0C72916B" w14:textId="2FB31617" w:rsidR="00E043A4" w:rsidRDefault="00E043A4">
      <w:pPr>
        <w:pStyle w:val="CommentText"/>
      </w:pPr>
      <w:r>
        <w:t>• Resolution. Minimum resolution is 600 dpi for grayscale and color figures, and 1,200 dpi for line art. Submitting figures that do not meet these requirements may delay publication of your article</w:t>
      </w:r>
    </w:p>
    <w:p w14:paraId="2D515281" w14:textId="77777777" w:rsidR="00E609AD" w:rsidRDefault="00E609AD">
      <w:pPr>
        <w:pStyle w:val="CommentText"/>
      </w:pPr>
      <w:r>
        <w:t xml:space="preserve">Captions. The caption should provide sufficient information that the figure can be understood without excessive reference to the text. All author-derived abbreviations and symbols used in the figure should be defined in the caption. </w:t>
      </w:r>
    </w:p>
    <w:p w14:paraId="27520704" w14:textId="00D959A9" w:rsidR="00E609AD" w:rsidRDefault="00E609AD">
      <w:pPr>
        <w:pStyle w:val="CommentText"/>
      </w:pPr>
      <w:r>
        <w:t>• General tips. Do not use three-dimensional bar charts unless essential to the presentation of the data. Use color or the simplest grayscale shading scheme possible to present the data clearly. Ensure that data, symbols, axis labels, lines, and key are clear and easily readable at final publication size.</w:t>
      </w:r>
    </w:p>
  </w:comment>
  <w:comment w:id="16" w:author="Caitlin Jeffrey" w:date="2023-06-09T13:01:00Z" w:initials="CJ">
    <w:p w14:paraId="376B821B" w14:textId="77777777" w:rsidR="00CF677B" w:rsidRDefault="00CF677B">
      <w:pPr>
        <w:pStyle w:val="CommentText"/>
      </w:pPr>
      <w:r>
        <w:rPr>
          <w:rStyle w:val="CommentReference"/>
        </w:rPr>
        <w:annotationRef/>
      </w:r>
      <w:r w:rsidRPr="00CF677B">
        <w:t>Tables and figures should be placed in separate sections at the end of the manuscript</w:t>
      </w:r>
    </w:p>
    <w:p w14:paraId="00AA3573" w14:textId="77777777" w:rsidR="005031C1" w:rsidRDefault="005031C1">
      <w:pPr>
        <w:pStyle w:val="CommentText"/>
      </w:pPr>
    </w:p>
    <w:p w14:paraId="37DB8974" w14:textId="77777777" w:rsidR="005031C1" w:rsidRDefault="005031C1">
      <w:pPr>
        <w:pStyle w:val="CommentText"/>
      </w:pPr>
      <w:r>
        <w:t>Tables should be self-explanatory and understandable without excessive reference to the text</w:t>
      </w:r>
    </w:p>
    <w:p w14:paraId="25D95CB6" w14:textId="77777777" w:rsidR="00E20C3F" w:rsidRDefault="00E20C3F">
      <w:pPr>
        <w:pStyle w:val="CommentText"/>
      </w:pPr>
    </w:p>
    <w:p w14:paraId="384CA652" w14:textId="22823098" w:rsidR="00E20C3F" w:rsidRDefault="00E20C3F">
      <w:pPr>
        <w:pStyle w:val="CommentText"/>
      </w:pPr>
      <w:r>
        <w:t>Tables must be prepared using the table feature in Microsoft Word. When possible, tables should be organized to fit across the page without running landscape. Be aware of the dimensions of the standard page size (8.5 × 11 in) when planning tables (use of more than 15 columns may create layout problems). The table title should describe concisely for comprehensively the data shown; it does not require an ending period. Bold and italic typefaces should not be used in tables. Limit the data field to the minimum needed for meaningful comparison within the accuracy of the methods. Abbreviations should conform to journal style and be consistent with those used in the text. For differences among means within a row or column, superscript letters should be used as appropriate sequentially (e.g., a, ab, b, c, cd) consistently from largest to smallest means and defined in the footnote. Informational footnotes should be numbered and each footnote should begin a new line (see sample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A50C40" w15:done="0"/>
  <w15:commentEx w15:paraId="113B78DE" w15:done="0"/>
  <w15:commentEx w15:paraId="592122A8" w15:done="0"/>
  <w15:commentEx w15:paraId="34B6AF56" w15:done="0"/>
  <w15:commentEx w15:paraId="6B05A5E1" w15:done="0"/>
  <w15:commentEx w15:paraId="48766D2E" w15:done="0"/>
  <w15:commentEx w15:paraId="4A2EF0B5" w15:done="0"/>
  <w15:commentEx w15:paraId="6D86D9A5" w15:done="0"/>
  <w15:commentEx w15:paraId="6ED280BE" w15:done="0"/>
  <w15:commentEx w15:paraId="61794095" w15:done="0"/>
  <w15:commentEx w15:paraId="7DA41063" w15:done="0"/>
  <w15:commentEx w15:paraId="1F2CF706" w15:done="0"/>
  <w15:commentEx w15:paraId="06EBF5E6" w15:done="0"/>
  <w15:commentEx w15:paraId="4BF4B4BB" w15:done="0"/>
  <w15:commentEx w15:paraId="19CF0F28" w15:done="0"/>
  <w15:commentEx w15:paraId="27520704" w15:done="0"/>
  <w15:commentEx w15:paraId="384CA6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DA187" w16cex:dateUtc="2023-06-09T17:03:00Z"/>
  <w16cex:commentExtensible w16cex:durableId="282DA1EC" w16cex:dateUtc="2023-06-09T17:04:00Z"/>
  <w16cex:commentExtensible w16cex:durableId="282DA2B1" w16cex:dateUtc="2023-06-09T17:08:00Z"/>
  <w16cex:commentExtensible w16cex:durableId="282DA278" w16cex:dateUtc="2023-06-09T17:07:00Z"/>
  <w16cex:commentExtensible w16cex:durableId="282DA4AC" w16cex:dateUtc="2023-06-09T17:16:00Z"/>
  <w16cex:commentExtensible w16cex:durableId="282DA4CB" w16cex:dateUtc="2023-06-09T17:16:00Z"/>
  <w16cex:commentExtensible w16cex:durableId="27FA2CA2" w16cex:dateUtc="2023-05-01T16:18:00Z"/>
  <w16cex:commentExtensible w16cex:durableId="282DA6FD" w16cex:dateUtc="2023-06-09T17:26:00Z"/>
  <w16cex:commentExtensible w16cex:durableId="27FA2CCA" w16cex:dateUtc="2023-05-01T16:19:00Z"/>
  <w16cex:commentExtensible w16cex:durableId="27FA2D45" w16cex:dateUtc="2023-05-01T16:21:00Z"/>
  <w16cex:commentExtensible w16cex:durableId="282DA783" w16cex:dateUtc="2023-06-09T17:28:00Z"/>
  <w16cex:commentExtensible w16cex:durableId="282DA811" w16cex:dateUtc="2023-06-09T17:30:00Z"/>
  <w16cex:commentExtensible w16cex:durableId="282DA866" w16cex:dateUtc="2023-06-09T17:32:00Z"/>
  <w16cex:commentExtensible w16cex:durableId="27FA2DC6" w16cex:dateUtc="2023-05-01T16:23:00Z"/>
  <w16cex:commentExtensible w16cex:durableId="282DA8F0" w16cex:dateUtc="2023-06-09T17:34:00Z"/>
  <w16cex:commentExtensible w16cex:durableId="282DA136" w16cex:dateUtc="2023-06-09T17:01:00Z"/>
  <w16cex:commentExtensible w16cex:durableId="282DA142" w16cex:dateUtc="2023-06-09T17: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A50C40" w16cid:durableId="282DA187"/>
  <w16cid:commentId w16cid:paraId="113B78DE" w16cid:durableId="282DA1EC"/>
  <w16cid:commentId w16cid:paraId="592122A8" w16cid:durableId="282DA2B1"/>
  <w16cid:commentId w16cid:paraId="34B6AF56" w16cid:durableId="282DA278"/>
  <w16cid:commentId w16cid:paraId="6B05A5E1" w16cid:durableId="282DA4AC"/>
  <w16cid:commentId w16cid:paraId="48766D2E" w16cid:durableId="282DA4CB"/>
  <w16cid:commentId w16cid:paraId="4A2EF0B5" w16cid:durableId="27FA2CA2"/>
  <w16cid:commentId w16cid:paraId="6D86D9A5" w16cid:durableId="282DA6FD"/>
  <w16cid:commentId w16cid:paraId="6ED280BE" w16cid:durableId="27FA2CCA"/>
  <w16cid:commentId w16cid:paraId="61794095" w16cid:durableId="27FA2D45"/>
  <w16cid:commentId w16cid:paraId="7DA41063" w16cid:durableId="282DA783"/>
  <w16cid:commentId w16cid:paraId="1F2CF706" w16cid:durableId="282DA811"/>
  <w16cid:commentId w16cid:paraId="06EBF5E6" w16cid:durableId="282DA866"/>
  <w16cid:commentId w16cid:paraId="4BF4B4BB" w16cid:durableId="27FA2DC6"/>
  <w16cid:commentId w16cid:paraId="19CF0F28" w16cid:durableId="282DA8F0"/>
  <w16cid:commentId w16cid:paraId="27520704" w16cid:durableId="282DA136"/>
  <w16cid:commentId w16cid:paraId="384CA652" w16cid:durableId="282DA1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6A127" w14:textId="77777777" w:rsidR="00EE005C" w:rsidRDefault="00EE005C">
      <w:pPr>
        <w:spacing w:after="0" w:line="240" w:lineRule="auto"/>
      </w:pPr>
      <w:r>
        <w:separator/>
      </w:r>
    </w:p>
  </w:endnote>
  <w:endnote w:type="continuationSeparator" w:id="0">
    <w:p w14:paraId="471AD62F" w14:textId="77777777" w:rsidR="00EE005C" w:rsidRDefault="00EE0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ABE70" w14:textId="77777777" w:rsidR="00EE005C" w:rsidRDefault="00EE005C">
      <w:pPr>
        <w:spacing w:after="0" w:line="240" w:lineRule="auto"/>
      </w:pPr>
      <w:r>
        <w:separator/>
      </w:r>
    </w:p>
  </w:footnote>
  <w:footnote w:type="continuationSeparator" w:id="0">
    <w:p w14:paraId="2AA63E0F" w14:textId="77777777" w:rsidR="00EE005C" w:rsidRDefault="00EE0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10334564">
    <w:abstractNumId w:val="3"/>
  </w:num>
  <w:num w:numId="2" w16cid:durableId="551842567">
    <w:abstractNumId w:val="5"/>
  </w:num>
  <w:num w:numId="3" w16cid:durableId="1029913699">
    <w:abstractNumId w:val="0"/>
  </w:num>
  <w:num w:numId="4" w16cid:durableId="805896722">
    <w:abstractNumId w:val="2"/>
  </w:num>
  <w:num w:numId="5" w16cid:durableId="1142117712">
    <w:abstractNumId w:val="4"/>
  </w:num>
  <w:num w:numId="6" w16cid:durableId="1597858771">
    <w:abstractNumId w:val="6"/>
  </w:num>
  <w:num w:numId="7" w16cid:durableId="174680163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28"/>
    <w:rsid w:val="0000478B"/>
    <w:rsid w:val="000108C1"/>
    <w:rsid w:val="0001480A"/>
    <w:rsid w:val="00016BD8"/>
    <w:rsid w:val="00023F67"/>
    <w:rsid w:val="00034951"/>
    <w:rsid w:val="00034B10"/>
    <w:rsid w:val="000351E9"/>
    <w:rsid w:val="0003598E"/>
    <w:rsid w:val="00036FB3"/>
    <w:rsid w:val="000375E7"/>
    <w:rsid w:val="000507F4"/>
    <w:rsid w:val="00054801"/>
    <w:rsid w:val="00056584"/>
    <w:rsid w:val="00066E66"/>
    <w:rsid w:val="0007764E"/>
    <w:rsid w:val="000829F6"/>
    <w:rsid w:val="000852C0"/>
    <w:rsid w:val="00085C80"/>
    <w:rsid w:val="0009112F"/>
    <w:rsid w:val="00092F7B"/>
    <w:rsid w:val="000B3194"/>
    <w:rsid w:val="000C13FA"/>
    <w:rsid w:val="000D352F"/>
    <w:rsid w:val="000D589C"/>
    <w:rsid w:val="000E1390"/>
    <w:rsid w:val="000E3D53"/>
    <w:rsid w:val="000F01BF"/>
    <w:rsid w:val="00107FFE"/>
    <w:rsid w:val="0012082F"/>
    <w:rsid w:val="00123751"/>
    <w:rsid w:val="0012615E"/>
    <w:rsid w:val="001277F9"/>
    <w:rsid w:val="00132EFF"/>
    <w:rsid w:val="001530FF"/>
    <w:rsid w:val="00156A22"/>
    <w:rsid w:val="00157F8A"/>
    <w:rsid w:val="001611B7"/>
    <w:rsid w:val="00165FE8"/>
    <w:rsid w:val="0017357C"/>
    <w:rsid w:val="0018138D"/>
    <w:rsid w:val="00184B8F"/>
    <w:rsid w:val="0018692E"/>
    <w:rsid w:val="00186C89"/>
    <w:rsid w:val="00191DC7"/>
    <w:rsid w:val="001A37B3"/>
    <w:rsid w:val="001A7E4F"/>
    <w:rsid w:val="001B0CF2"/>
    <w:rsid w:val="001B25DA"/>
    <w:rsid w:val="001C00E1"/>
    <w:rsid w:val="001C29D8"/>
    <w:rsid w:val="001C4A4D"/>
    <w:rsid w:val="001D5FF4"/>
    <w:rsid w:val="001F2484"/>
    <w:rsid w:val="001F4C30"/>
    <w:rsid w:val="001F6C16"/>
    <w:rsid w:val="00205EC3"/>
    <w:rsid w:val="00206018"/>
    <w:rsid w:val="00207F03"/>
    <w:rsid w:val="00210888"/>
    <w:rsid w:val="00214A2F"/>
    <w:rsid w:val="002162F9"/>
    <w:rsid w:val="0021712A"/>
    <w:rsid w:val="00223E2C"/>
    <w:rsid w:val="002276B4"/>
    <w:rsid w:val="00232B21"/>
    <w:rsid w:val="00236998"/>
    <w:rsid w:val="00237E88"/>
    <w:rsid w:val="002457E7"/>
    <w:rsid w:val="00252532"/>
    <w:rsid w:val="00255B43"/>
    <w:rsid w:val="00265555"/>
    <w:rsid w:val="0027060D"/>
    <w:rsid w:val="00273F6C"/>
    <w:rsid w:val="00291D0A"/>
    <w:rsid w:val="00294B87"/>
    <w:rsid w:val="002A2CAC"/>
    <w:rsid w:val="002A66AA"/>
    <w:rsid w:val="002B2807"/>
    <w:rsid w:val="002B3074"/>
    <w:rsid w:val="002C2FD0"/>
    <w:rsid w:val="002D499C"/>
    <w:rsid w:val="002E3817"/>
    <w:rsid w:val="002F6C23"/>
    <w:rsid w:val="003010AA"/>
    <w:rsid w:val="00303660"/>
    <w:rsid w:val="00303E8F"/>
    <w:rsid w:val="00304311"/>
    <w:rsid w:val="0030752B"/>
    <w:rsid w:val="00314E85"/>
    <w:rsid w:val="00315E63"/>
    <w:rsid w:val="003304BF"/>
    <w:rsid w:val="00330BDC"/>
    <w:rsid w:val="00332D22"/>
    <w:rsid w:val="003353FD"/>
    <w:rsid w:val="003429F7"/>
    <w:rsid w:val="00344694"/>
    <w:rsid w:val="00344830"/>
    <w:rsid w:val="003450AC"/>
    <w:rsid w:val="003454BB"/>
    <w:rsid w:val="003467F9"/>
    <w:rsid w:val="00355E4C"/>
    <w:rsid w:val="00364323"/>
    <w:rsid w:val="00373AD7"/>
    <w:rsid w:val="003903BF"/>
    <w:rsid w:val="00393DF5"/>
    <w:rsid w:val="003A0A98"/>
    <w:rsid w:val="003B5A9E"/>
    <w:rsid w:val="003B69F1"/>
    <w:rsid w:val="003C1185"/>
    <w:rsid w:val="003D5791"/>
    <w:rsid w:val="003E500C"/>
    <w:rsid w:val="003F7C52"/>
    <w:rsid w:val="00403F45"/>
    <w:rsid w:val="00405618"/>
    <w:rsid w:val="00421290"/>
    <w:rsid w:val="00421B27"/>
    <w:rsid w:val="0042558A"/>
    <w:rsid w:val="004259D7"/>
    <w:rsid w:val="00440D93"/>
    <w:rsid w:val="004423AD"/>
    <w:rsid w:val="0045115A"/>
    <w:rsid w:val="004527BC"/>
    <w:rsid w:val="00463B02"/>
    <w:rsid w:val="00471F92"/>
    <w:rsid w:val="00472819"/>
    <w:rsid w:val="00474075"/>
    <w:rsid w:val="004861F1"/>
    <w:rsid w:val="00496972"/>
    <w:rsid w:val="00497BEC"/>
    <w:rsid w:val="004A5ACF"/>
    <w:rsid w:val="004A63E7"/>
    <w:rsid w:val="004A7E61"/>
    <w:rsid w:val="004C4853"/>
    <w:rsid w:val="004C7629"/>
    <w:rsid w:val="004E64BD"/>
    <w:rsid w:val="004F2A53"/>
    <w:rsid w:val="004F7A9E"/>
    <w:rsid w:val="00500ABB"/>
    <w:rsid w:val="005031C1"/>
    <w:rsid w:val="005075BF"/>
    <w:rsid w:val="00514F5E"/>
    <w:rsid w:val="005240E2"/>
    <w:rsid w:val="00531016"/>
    <w:rsid w:val="00541438"/>
    <w:rsid w:val="005457B2"/>
    <w:rsid w:val="00551125"/>
    <w:rsid w:val="00554530"/>
    <w:rsid w:val="00555C08"/>
    <w:rsid w:val="00570223"/>
    <w:rsid w:val="0057327A"/>
    <w:rsid w:val="00576EFC"/>
    <w:rsid w:val="00580DC3"/>
    <w:rsid w:val="00585CC2"/>
    <w:rsid w:val="005A2355"/>
    <w:rsid w:val="005A2433"/>
    <w:rsid w:val="005B017D"/>
    <w:rsid w:val="005B464D"/>
    <w:rsid w:val="005C03F1"/>
    <w:rsid w:val="005C3E1E"/>
    <w:rsid w:val="005C4E02"/>
    <w:rsid w:val="005E3D96"/>
    <w:rsid w:val="005E620F"/>
    <w:rsid w:val="005F0EC1"/>
    <w:rsid w:val="005F6F84"/>
    <w:rsid w:val="00603CA4"/>
    <w:rsid w:val="00605602"/>
    <w:rsid w:val="00610BEB"/>
    <w:rsid w:val="00612EAC"/>
    <w:rsid w:val="006259A1"/>
    <w:rsid w:val="0062647D"/>
    <w:rsid w:val="00626846"/>
    <w:rsid w:val="00627918"/>
    <w:rsid w:val="00635A1F"/>
    <w:rsid w:val="00640473"/>
    <w:rsid w:val="0064575E"/>
    <w:rsid w:val="00664DC1"/>
    <w:rsid w:val="00687D5A"/>
    <w:rsid w:val="006962B3"/>
    <w:rsid w:val="006B0081"/>
    <w:rsid w:val="006B2491"/>
    <w:rsid w:val="006B29D4"/>
    <w:rsid w:val="006C3DA6"/>
    <w:rsid w:val="006C423E"/>
    <w:rsid w:val="006D7EFC"/>
    <w:rsid w:val="006E24D4"/>
    <w:rsid w:val="006E4291"/>
    <w:rsid w:val="006E4D06"/>
    <w:rsid w:val="006E5943"/>
    <w:rsid w:val="006F6B52"/>
    <w:rsid w:val="00715191"/>
    <w:rsid w:val="007170B9"/>
    <w:rsid w:val="007222D7"/>
    <w:rsid w:val="00734C54"/>
    <w:rsid w:val="0075498B"/>
    <w:rsid w:val="007566F7"/>
    <w:rsid w:val="007613CE"/>
    <w:rsid w:val="007670F6"/>
    <w:rsid w:val="00782E32"/>
    <w:rsid w:val="007836CB"/>
    <w:rsid w:val="00785F63"/>
    <w:rsid w:val="00796FF8"/>
    <w:rsid w:val="007A11F8"/>
    <w:rsid w:val="007A7A5F"/>
    <w:rsid w:val="007B67A3"/>
    <w:rsid w:val="007C11BC"/>
    <w:rsid w:val="007D0B95"/>
    <w:rsid w:val="007D0F12"/>
    <w:rsid w:val="007E4BDB"/>
    <w:rsid w:val="007E784A"/>
    <w:rsid w:val="00802582"/>
    <w:rsid w:val="008171FB"/>
    <w:rsid w:val="00821B1B"/>
    <w:rsid w:val="00822356"/>
    <w:rsid w:val="008224C7"/>
    <w:rsid w:val="008245AE"/>
    <w:rsid w:val="00831F73"/>
    <w:rsid w:val="0083626F"/>
    <w:rsid w:val="00856BF7"/>
    <w:rsid w:val="00860691"/>
    <w:rsid w:val="008630D2"/>
    <w:rsid w:val="008671B2"/>
    <w:rsid w:val="00871B8C"/>
    <w:rsid w:val="00882A7C"/>
    <w:rsid w:val="008846A1"/>
    <w:rsid w:val="00885C7B"/>
    <w:rsid w:val="008905A2"/>
    <w:rsid w:val="008B2384"/>
    <w:rsid w:val="008D2C67"/>
    <w:rsid w:val="008E033E"/>
    <w:rsid w:val="008E40E6"/>
    <w:rsid w:val="00902811"/>
    <w:rsid w:val="00903963"/>
    <w:rsid w:val="0090525D"/>
    <w:rsid w:val="009075BC"/>
    <w:rsid w:val="00907FA5"/>
    <w:rsid w:val="00912BAF"/>
    <w:rsid w:val="009163C4"/>
    <w:rsid w:val="0092030F"/>
    <w:rsid w:val="00923AFF"/>
    <w:rsid w:val="0092517B"/>
    <w:rsid w:val="00942CBA"/>
    <w:rsid w:val="00955110"/>
    <w:rsid w:val="00956BF6"/>
    <w:rsid w:val="0095723E"/>
    <w:rsid w:val="00962F12"/>
    <w:rsid w:val="00963BAE"/>
    <w:rsid w:val="00966145"/>
    <w:rsid w:val="0097286B"/>
    <w:rsid w:val="00974374"/>
    <w:rsid w:val="00977549"/>
    <w:rsid w:val="00983C54"/>
    <w:rsid w:val="0099051D"/>
    <w:rsid w:val="00994B29"/>
    <w:rsid w:val="00997914"/>
    <w:rsid w:val="009A3475"/>
    <w:rsid w:val="009A46BF"/>
    <w:rsid w:val="009B03B4"/>
    <w:rsid w:val="009D12CD"/>
    <w:rsid w:val="009D555E"/>
    <w:rsid w:val="009E3F4C"/>
    <w:rsid w:val="009E4FFF"/>
    <w:rsid w:val="009E6C35"/>
    <w:rsid w:val="009F3174"/>
    <w:rsid w:val="00A16568"/>
    <w:rsid w:val="00A22F57"/>
    <w:rsid w:val="00A25493"/>
    <w:rsid w:val="00A44D52"/>
    <w:rsid w:val="00A44E66"/>
    <w:rsid w:val="00A774DA"/>
    <w:rsid w:val="00A84517"/>
    <w:rsid w:val="00A91D8D"/>
    <w:rsid w:val="00AA2399"/>
    <w:rsid w:val="00AA44CC"/>
    <w:rsid w:val="00AC2186"/>
    <w:rsid w:val="00AC39AB"/>
    <w:rsid w:val="00AC6386"/>
    <w:rsid w:val="00AD6E4B"/>
    <w:rsid w:val="00AD7B20"/>
    <w:rsid w:val="00AE62FD"/>
    <w:rsid w:val="00AF2A8F"/>
    <w:rsid w:val="00AF7E8C"/>
    <w:rsid w:val="00B0281F"/>
    <w:rsid w:val="00B03740"/>
    <w:rsid w:val="00B20782"/>
    <w:rsid w:val="00B26838"/>
    <w:rsid w:val="00B37C58"/>
    <w:rsid w:val="00B715A3"/>
    <w:rsid w:val="00B7688B"/>
    <w:rsid w:val="00B77B60"/>
    <w:rsid w:val="00B8277B"/>
    <w:rsid w:val="00B84045"/>
    <w:rsid w:val="00B91228"/>
    <w:rsid w:val="00BA0E19"/>
    <w:rsid w:val="00BA159C"/>
    <w:rsid w:val="00BA2C2E"/>
    <w:rsid w:val="00BA77CF"/>
    <w:rsid w:val="00BC773A"/>
    <w:rsid w:val="00BD53FF"/>
    <w:rsid w:val="00BD6BFD"/>
    <w:rsid w:val="00BD7FE9"/>
    <w:rsid w:val="00BE0F97"/>
    <w:rsid w:val="00BE5A4F"/>
    <w:rsid w:val="00BF184A"/>
    <w:rsid w:val="00BF5813"/>
    <w:rsid w:val="00BF7BE8"/>
    <w:rsid w:val="00BF7F8F"/>
    <w:rsid w:val="00C06DF6"/>
    <w:rsid w:val="00C121AA"/>
    <w:rsid w:val="00C12D49"/>
    <w:rsid w:val="00C23BE0"/>
    <w:rsid w:val="00C325CC"/>
    <w:rsid w:val="00C416BC"/>
    <w:rsid w:val="00C61169"/>
    <w:rsid w:val="00C61C9D"/>
    <w:rsid w:val="00C64CCF"/>
    <w:rsid w:val="00C73158"/>
    <w:rsid w:val="00C767A8"/>
    <w:rsid w:val="00C80F34"/>
    <w:rsid w:val="00C81A31"/>
    <w:rsid w:val="00C85F92"/>
    <w:rsid w:val="00C9308B"/>
    <w:rsid w:val="00CA121B"/>
    <w:rsid w:val="00CA1B82"/>
    <w:rsid w:val="00CA6C50"/>
    <w:rsid w:val="00CB39D2"/>
    <w:rsid w:val="00CC44B5"/>
    <w:rsid w:val="00CD563A"/>
    <w:rsid w:val="00CD7D7E"/>
    <w:rsid w:val="00CE6A6E"/>
    <w:rsid w:val="00CF677B"/>
    <w:rsid w:val="00CF6DE0"/>
    <w:rsid w:val="00CF77A9"/>
    <w:rsid w:val="00D01CC4"/>
    <w:rsid w:val="00D103CD"/>
    <w:rsid w:val="00D108D2"/>
    <w:rsid w:val="00D1105C"/>
    <w:rsid w:val="00D11F2D"/>
    <w:rsid w:val="00D13AEB"/>
    <w:rsid w:val="00D148AC"/>
    <w:rsid w:val="00D1575B"/>
    <w:rsid w:val="00D157F1"/>
    <w:rsid w:val="00D17519"/>
    <w:rsid w:val="00D219E4"/>
    <w:rsid w:val="00D34419"/>
    <w:rsid w:val="00D51CF5"/>
    <w:rsid w:val="00D52BE6"/>
    <w:rsid w:val="00D61975"/>
    <w:rsid w:val="00D67577"/>
    <w:rsid w:val="00D91453"/>
    <w:rsid w:val="00D92442"/>
    <w:rsid w:val="00D9754A"/>
    <w:rsid w:val="00DA1466"/>
    <w:rsid w:val="00DA7BA3"/>
    <w:rsid w:val="00DC0A66"/>
    <w:rsid w:val="00DC58EE"/>
    <w:rsid w:val="00DF4F75"/>
    <w:rsid w:val="00DF7FC2"/>
    <w:rsid w:val="00E043A4"/>
    <w:rsid w:val="00E04BD1"/>
    <w:rsid w:val="00E134D7"/>
    <w:rsid w:val="00E157EB"/>
    <w:rsid w:val="00E20C3F"/>
    <w:rsid w:val="00E346F2"/>
    <w:rsid w:val="00E40251"/>
    <w:rsid w:val="00E4259F"/>
    <w:rsid w:val="00E44A3C"/>
    <w:rsid w:val="00E46AF2"/>
    <w:rsid w:val="00E50E66"/>
    <w:rsid w:val="00E609AD"/>
    <w:rsid w:val="00E63136"/>
    <w:rsid w:val="00E634F7"/>
    <w:rsid w:val="00E670EE"/>
    <w:rsid w:val="00E824D6"/>
    <w:rsid w:val="00E942FF"/>
    <w:rsid w:val="00EA4164"/>
    <w:rsid w:val="00EB712A"/>
    <w:rsid w:val="00EC11BB"/>
    <w:rsid w:val="00ED33E6"/>
    <w:rsid w:val="00ED5A96"/>
    <w:rsid w:val="00EE005C"/>
    <w:rsid w:val="00EE0CF0"/>
    <w:rsid w:val="00EE10F8"/>
    <w:rsid w:val="00EF0AED"/>
    <w:rsid w:val="00EF1709"/>
    <w:rsid w:val="00F07493"/>
    <w:rsid w:val="00F10127"/>
    <w:rsid w:val="00F211F3"/>
    <w:rsid w:val="00F25640"/>
    <w:rsid w:val="00F257BA"/>
    <w:rsid w:val="00F515E7"/>
    <w:rsid w:val="00F653D7"/>
    <w:rsid w:val="00F73B1D"/>
    <w:rsid w:val="00F76BBD"/>
    <w:rsid w:val="00FB2E2E"/>
    <w:rsid w:val="00FB375B"/>
    <w:rsid w:val="00FC0592"/>
    <w:rsid w:val="00FD19CB"/>
    <w:rsid w:val="00FD66C4"/>
    <w:rsid w:val="00FD684B"/>
    <w:rsid w:val="00FE07C8"/>
    <w:rsid w:val="00FE5838"/>
    <w:rsid w:val="00FE6B9E"/>
    <w:rsid w:val="00FF4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styleId="UnresolvedMention">
    <w:name w:val="Unresolved Mention"/>
    <w:basedOn w:val="DefaultParagraphFont"/>
    <w:uiPriority w:val="99"/>
    <w:semiHidden/>
    <w:unhideWhenUsed/>
    <w:rsid w:val="00091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hn.barlow@uvm.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EC265-D043-42BD-8F22-91E3C8891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7</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85</cp:revision>
  <dcterms:created xsi:type="dcterms:W3CDTF">2023-06-09T16:36:00Z</dcterms:created>
  <dcterms:modified xsi:type="dcterms:W3CDTF">2023-06-09T20:24:00Z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