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 xml:space="preserve">PCR): 1) IMI associated with high SCC, where all quarter-day observations had an associated SCC of ≥200,000 cells/mL; and 2) IMI associated with low SCC, where all quarter-day observations had an associated SCC of &lt;200,000 cells/mL.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a significant predictor of SCC category in a mixed-effects logistic regression model.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modulins,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and staphylocoagulase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3A43A8C7"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Wuytack et al., 2020b). </w:t>
      </w:r>
    </w:p>
    <w:p w14:paraId="50FA5099" w14:textId="1E3C546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SCC of 351,000 cells/mL. Wuytack et. al (2020a) found genes encoding various 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while only 19% of isolates associated with infections found in quarters with an SCC of ≤ 50,000 cells/mL.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pulsotype was significantly associated with severe clinical mastitis symptoms but reduced persistence when compared to the 4 other commonly identified pulsotypes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closely-related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1A2909C7"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Wuytack et al. (2020a) and Condas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qSCC).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12B98D0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0" w:name="_Hlk162954620"/>
      <w:r w:rsidRPr="00493874">
        <w:rPr>
          <w:rFonts w:ascii="Times New Roman" w:hAnsi="Times New Roman" w:cs="Times New Roman"/>
          <w:sz w:val="24"/>
          <w:szCs w:val="24"/>
        </w:rPr>
        <w:t>aerobically composting bedded packs and deep bedded packs</w:t>
      </w:r>
      <w:bookmarkEnd w:id="0"/>
      <w:r w:rsidRPr="00493874">
        <w:rPr>
          <w:rFonts w:ascii="Times New Roman" w:hAnsi="Times New Roman" w:cs="Times New Roman"/>
          <w:sz w:val="24"/>
          <w:szCs w:val="24"/>
        </w:rPr>
        <w:t xml:space="preserve">, and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r w:rsidRPr="00493874">
        <w:rPr>
          <w:rFonts w:ascii="Times New Roman" w:hAnsi="Times New Roman" w:cs="Times New Roman"/>
          <w:i/>
          <w:iCs/>
          <w:sz w:val="24"/>
          <w:szCs w:val="24"/>
          <w:shd w:val="clear" w:color="auto" w:fill="FFFFFF"/>
        </w:rPr>
        <w:t>tuf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03A5DA8"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identified in pure culture on both plates (interpretation in series;Dohoo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1) IMI associated with high SCC, where all quarter-day observations had an associated SCC of ≥200,000 cells/mL; and 2) IMI associated with low SCC, where all quarter-day observations had an associated SCC of &lt;200,000 cells/mL.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 xml:space="preserve">extracted using a commercial kit from overnight broth culture following the manufacturer’s instructions (DNeasy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(wt/vol) agarose gels stained with SYBR Safe (0.1 µL/mL; ThermoFisher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 xml:space="preserve">(MagMAX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Porechop v.0.2.4 (https://github.com/rrwick/Porechop) for reads from Illumina and Oxford Nanopore sequencing, respectively. Unicycler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SPAdes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SAMtools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PubMLST.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ABRicate v1.01, which draws from 5 different databases [ResFinder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MegaRES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xml:space="preserve">, ARG-ANNOT (Antibiotic Resistance Gene-ANNOTation), and AMRFinderPlus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“blastp”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r w:rsidRPr="00493874">
        <w:rPr>
          <w:rFonts w:ascii="Times New Roman" w:hAnsi="Times New Roman" w:cs="Times New Roman"/>
          <w:i/>
          <w:iCs/>
          <w:sz w:val="24"/>
          <w:szCs w:val="24"/>
        </w:rPr>
        <w:t>VFid × Lm/Lq</w:t>
      </w:r>
      <w:r w:rsidRPr="00493874">
        <w:rPr>
          <w:rFonts w:ascii="Times New Roman" w:hAnsi="Times New Roman" w:cs="Times New Roman"/>
          <w:sz w:val="24"/>
          <w:szCs w:val="24"/>
        </w:rPr>
        <w:t xml:space="preserve">, where </w:t>
      </w:r>
      <w:r w:rsidRPr="00493874">
        <w:rPr>
          <w:rFonts w:ascii="Times New Roman" w:hAnsi="Times New Roman" w:cs="Times New Roman"/>
          <w:i/>
          <w:iCs/>
          <w:sz w:val="24"/>
          <w:szCs w:val="24"/>
        </w:rPr>
        <w:t xml:space="preserve">VFid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r w:rsidRPr="00493874">
        <w:rPr>
          <w:rFonts w:ascii="Times New Roman" w:hAnsi="Times New Roman" w:cs="Times New Roman"/>
          <w:i/>
          <w:iCs/>
          <w:sz w:val="24"/>
          <w:szCs w:val="24"/>
        </w:rPr>
        <w:t>Lm</w:t>
      </w:r>
      <w:r w:rsidRPr="00493874">
        <w:rPr>
          <w:rFonts w:ascii="Times New Roman" w:hAnsi="Times New Roman" w:cs="Times New Roman"/>
          <w:sz w:val="24"/>
          <w:szCs w:val="24"/>
        </w:rPr>
        <w:t> represents the alignment length, and </w:t>
      </w:r>
      <w:r w:rsidRPr="00493874">
        <w:rPr>
          <w:rFonts w:ascii="Times New Roman" w:hAnsi="Times New Roman" w:cs="Times New Roman"/>
          <w:i/>
          <w:iCs/>
          <w:sz w:val="24"/>
          <w:szCs w:val="24"/>
        </w:rPr>
        <w:t>Lq</w:t>
      </w:r>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r w:rsidRPr="00493874">
        <w:rPr>
          <w:rFonts w:ascii="Times New Roman" w:hAnsi="Times New Roman" w:cs="Times New Roman"/>
          <w:sz w:val="24"/>
          <w:szCs w:val="24"/>
        </w:rPr>
        <w:lastRenderedPageBreak/>
        <w:t xml:space="preserve">in order to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VF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raw reads from ONT and Illumina for all 30 genomes are available under NCBI Bioproject accession number PRJNA1130504 (Biosamples SAMN42232476 to SAMN42232505) in the NCBI BioProject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cells/mL.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PubMLST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w:t>
      </w:r>
      <w:r w:rsidRPr="00493874">
        <w:rPr>
          <w:rFonts w:ascii="Times New Roman" w:hAnsi="Times New Roman" w:cs="Times New Roman"/>
          <w:sz w:val="24"/>
          <w:szCs w:val="24"/>
        </w:rPr>
        <w:lastRenderedPageBreak/>
        <w:t xml:space="preserve">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not possible. All isolates belonging to ST5 and ST48 were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positive, while no isolates belonging to ST25 and ST176 carried the gene. Only isolates belonging to ST6 were varied 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soluble modulins, hemolysins, and an exfoliative toxin. Presence of VF associated with adherence, host immune evasion, type VII secretion system, and production of exoenzymes and exotoxins varied between isolates</w:t>
      </w:r>
      <w:bookmarkEnd w:id="1"/>
      <w:r w:rsidRPr="00493874">
        <w:rPr>
          <w:rFonts w:ascii="Times New Roman" w:hAnsi="Times New Roman" w:cs="Times New Roman"/>
          <w:sz w:val="24"/>
          <w:szCs w:val="24"/>
        </w:rPr>
        <w:t xml:space="preserve">. Some patterns of presence or absence of VF was specific to particular ST. This included the presence of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capH </w:t>
      </w:r>
      <w:r w:rsidRPr="00493874">
        <w:rPr>
          <w:rFonts w:ascii="Times New Roman" w:hAnsi="Times New Roman" w:cs="Times New Roman"/>
          <w:sz w:val="24"/>
          <w:szCs w:val="24"/>
        </w:rPr>
        <w:t xml:space="preserve">(both related to capsule formation), and </w:t>
      </w:r>
      <w:r w:rsidRPr="00493874">
        <w:rPr>
          <w:rFonts w:ascii="Times New Roman" w:hAnsi="Times New Roman" w:cs="Times New Roman"/>
          <w:i/>
          <w:iCs/>
          <w:sz w:val="24"/>
          <w:szCs w:val="24"/>
        </w:rPr>
        <w:t xml:space="preserve">coa </w:t>
      </w:r>
      <w:r w:rsidRPr="00493874">
        <w:rPr>
          <w:rFonts w:ascii="Times New Roman" w:hAnsi="Times New Roman" w:cs="Times New Roman"/>
          <w:sz w:val="24"/>
          <w:szCs w:val="24"/>
        </w:rPr>
        <w:t xml:space="preserve">(staphylocoagulase enzyme), and the absence of </w:t>
      </w:r>
      <w:r w:rsidRPr="00493874">
        <w:rPr>
          <w:rFonts w:ascii="Times New Roman" w:hAnsi="Times New Roman" w:cs="Times New Roman"/>
          <w:i/>
          <w:iCs/>
          <w:sz w:val="24"/>
          <w:szCs w:val="24"/>
        </w:rPr>
        <w:t xml:space="preserve">fnbA, fnbB </w:t>
      </w:r>
      <w:r w:rsidRPr="00493874">
        <w:rPr>
          <w:rFonts w:ascii="Times New Roman" w:hAnsi="Times New Roman" w:cs="Times New Roman"/>
          <w:sz w:val="24"/>
          <w:szCs w:val="24"/>
        </w:rPr>
        <w:t xml:space="preserve">(both related to adherence), 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r w:rsidRPr="00493874">
        <w:rPr>
          <w:rFonts w:ascii="Times New Roman" w:hAnsi="Times New Roman" w:cs="Times New Roman"/>
          <w:i/>
          <w:iCs/>
          <w:sz w:val="24"/>
          <w:szCs w:val="24"/>
        </w:rPr>
        <w:t>esaA, esaB, essA, essB, essC, esxA</w:t>
      </w:r>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718EC56"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2"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2"/>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 xml:space="preserve">coa, set10, set34,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The two isolates positive for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r w:rsidRPr="00493874">
        <w:rPr>
          <w:rFonts w:ascii="Times New Roman" w:hAnsi="Times New Roman" w:cs="Times New Roman"/>
          <w:i/>
          <w:iCs/>
          <w:sz w:val="24"/>
          <w:szCs w:val="24"/>
        </w:rPr>
        <w:t>sdrD,</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3"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
      <w:r w:rsidRPr="00493874">
        <w:rPr>
          <w:rFonts w:ascii="Times New Roman" w:hAnsi="Times New Roman" w:cs="Times New Roman"/>
          <w:sz w:val="24"/>
          <w:szCs w:val="24"/>
        </w:rPr>
        <w:t xml:space="preserve">As the number of VF identified was fairly consistent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jejuni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Streptococcus uberis</w:t>
      </w:r>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091AE4E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PubMLST.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Interestingly, although all isolates in the current study are from </w:t>
      </w:r>
      <w:r w:rsidRPr="00493874">
        <w:rPr>
          <w:rFonts w:ascii="Times New Roman" w:hAnsi="Times New Roman" w:cs="Times New Roman"/>
          <w:sz w:val="24"/>
          <w:szCs w:val="24"/>
        </w:rPr>
        <w:lastRenderedPageBreak/>
        <w:t xml:space="preserve">Vermont, only 2 of 30 isolates belonged to ST15. Only 1 ST15 was found in Sweden (Persson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4"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4"/>
    <w:p w14:paraId="36897041" w14:textId="45D9333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r w:rsidRPr="00493874">
        <w:rPr>
          <w:rFonts w:ascii="Times New Roman" w:hAnsi="Times New Roman" w:cs="Times New Roman"/>
          <w:i/>
          <w:iCs/>
          <w:sz w:val="24"/>
          <w:szCs w:val="24"/>
        </w:rPr>
        <w:t>blaZ. blaZ</w:t>
      </w:r>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esistance to β-lactam antibiotics is the predominant type of AMR present in staphylococci, and the reported proportion of NAS isolates exhibiting β-lactamase resistance can be fairly high depending on geographical location (51.6% in Argentina, Raspanti et al. 2016; 63% in South Africa, Phophi et al. 2019; 23% in Belgium and Norway, Fergestad et al. 2021; 14% in Korea, Kim et al. 2019). 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r w:rsidRPr="00493874">
        <w:rPr>
          <w:rFonts w:ascii="Times New Roman" w:hAnsi="Times New Roman" w:cs="Times New Roman"/>
          <w:i/>
          <w:iCs/>
          <w:sz w:val="24"/>
          <w:szCs w:val="24"/>
        </w:rPr>
        <w:t>ant(3’’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xml:space="preserve">], resistance to amphenicols </w:t>
      </w:r>
      <w:r w:rsidRPr="00493874">
        <w:rPr>
          <w:rFonts w:ascii="Times New Roman" w:hAnsi="Times New Roman" w:cs="Times New Roman"/>
          <w:sz w:val="24"/>
          <w:szCs w:val="24"/>
        </w:rPr>
        <w:lastRenderedPageBreak/>
        <w:t>(</w:t>
      </w:r>
      <w:r w:rsidRPr="00493874">
        <w:rPr>
          <w:rFonts w:ascii="Times New Roman" w:hAnsi="Times New Roman" w:cs="Times New Roman"/>
          <w:i/>
          <w:iCs/>
          <w:sz w:val="24"/>
          <w:szCs w:val="24"/>
        </w:rPr>
        <w:t>fexA</w:t>
      </w:r>
      <w:r w:rsidRPr="00493874">
        <w:rPr>
          <w:rFonts w:ascii="Times New Roman" w:hAnsi="Times New Roman" w:cs="Times New Roman"/>
          <w:sz w:val="24"/>
          <w:szCs w:val="24"/>
        </w:rPr>
        <w:t>), and resistance to tetracyclines (</w:t>
      </w:r>
      <w:r w:rsidRPr="00493874">
        <w:rPr>
          <w:rFonts w:ascii="Times New Roman" w:hAnsi="Times New Roman" w:cs="Times New Roman"/>
          <w:i/>
          <w:iCs/>
          <w:sz w:val="24"/>
          <w:szCs w:val="24"/>
        </w:rPr>
        <w:t>tetK, tetL</w:t>
      </w:r>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Taponen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Taponen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r w:rsidRPr="00493874">
        <w:rPr>
          <w:rFonts w:ascii="Times New Roman" w:hAnsi="Times New Roman" w:cs="Times New Roman"/>
          <w:i/>
          <w:iCs/>
          <w:sz w:val="24"/>
          <w:szCs w:val="24"/>
        </w:rPr>
        <w:t xml:space="preserve">mecA </w:t>
      </w:r>
      <w:r w:rsidRPr="00493874">
        <w:rPr>
          <w:rFonts w:ascii="Times New Roman" w:hAnsi="Times New Roman" w:cs="Times New Roman"/>
          <w:sz w:val="24"/>
          <w:szCs w:val="24"/>
        </w:rPr>
        <w:t xml:space="preserve">(a methicillin-resistance gene) in 21/43 (49%) of NAS isolates originating from clinical mastitis and only 1/16 (6%) isolates from quarters with an SCC of ≤50,000 cells/mL. Based on these findings, the authors suggest that </w:t>
      </w:r>
      <w:r w:rsidRPr="00493874">
        <w:rPr>
          <w:rFonts w:ascii="Times New Roman" w:hAnsi="Times New Roman" w:cs="Times New Roman"/>
          <w:i/>
          <w:iCs/>
          <w:sz w:val="24"/>
          <w:szCs w:val="24"/>
        </w:rPr>
        <w:t>mecA</w:t>
      </w:r>
      <w:r w:rsidRPr="00493874">
        <w:rPr>
          <w:rFonts w:ascii="Times New Roman" w:hAnsi="Times New Roman" w:cs="Times New Roman"/>
          <w:sz w:val="24"/>
          <w:szCs w:val="24"/>
        </w:rPr>
        <w:t xml:space="preserve"> in NAS isolates from bovine IMI may be linked </w:t>
      </w:r>
      <w:r w:rsidRPr="00493874">
        <w:rPr>
          <w:rFonts w:ascii="Times New Roman" w:hAnsi="Times New Roman" w:cs="Times New Roman"/>
          <w:sz w:val="24"/>
          <w:szCs w:val="24"/>
        </w:rPr>
        <w:lastRenderedPageBreak/>
        <w:t>to virulence genes or pathogenicity islands, supposedly both present on a mobile genetic element (</w:t>
      </w:r>
      <w:r w:rsidRPr="00493874">
        <w:rPr>
          <w:rFonts w:ascii="Times New Roman" w:hAnsi="Times New Roman" w:cs="Times New Roman"/>
          <w:i/>
          <w:iCs/>
          <w:sz w:val="24"/>
          <w:szCs w:val="24"/>
        </w:rPr>
        <w:t xml:space="preserve">SCCmec, </w:t>
      </w:r>
      <w:r w:rsidRPr="00493874">
        <w:rPr>
          <w:rFonts w:ascii="Times New Roman" w:hAnsi="Times New Roman" w:cs="Times New Roman"/>
          <w:sz w:val="24"/>
          <w:szCs w:val="24"/>
        </w:rPr>
        <w:t xml:space="preserve">staphylococcal cassette chromosome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 Of the 22 NAS isolates identified as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5684E08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and the associated SCC category of an IMI, results from the current study suggest that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pulsotype associated more with persistent IMI was significantly more likely to harbor the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An association between genetic grouping and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than other clusters of ST. As isolates belonging to </w:t>
      </w:r>
      <w:r w:rsidRPr="00493874">
        <w:rPr>
          <w:rFonts w:ascii="Times New Roman" w:hAnsi="Times New Roman" w:cs="Times New Roman"/>
          <w:sz w:val="24"/>
          <w:szCs w:val="24"/>
        </w:rPr>
        <w:lastRenderedPageBreak/>
        <w:t xml:space="preserve">these ST were distributed over different farms and counties in Sweden, the authors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in the current study were also distributed over multiple farms. Consistent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from ST originating from different farms may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w:t>
      </w:r>
      <w:r w:rsidRPr="00493874">
        <w:rPr>
          <w:rFonts w:ascii="Times New Roman" w:hAnsi="Times New Roman" w:cs="Times New Roman"/>
          <w:sz w:val="24"/>
          <w:szCs w:val="24"/>
        </w:rPr>
        <w:lastRenderedPageBreak/>
        <w:t xml:space="preserve">(2023),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6C59260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r w:rsidRPr="00493874">
        <w:rPr>
          <w:rFonts w:ascii="Times New Roman" w:hAnsi="Times New Roman" w:cs="Times New Roman"/>
          <w:i/>
          <w:iCs/>
          <w:sz w:val="24"/>
          <w:szCs w:val="24"/>
        </w:rPr>
        <w:t xml:space="preserve">capN, capO, capP. </w:t>
      </w:r>
      <w:r w:rsidRPr="00493874">
        <w:rPr>
          <w:rFonts w:ascii="Times New Roman" w:hAnsi="Times New Roman" w:cs="Times New Roman"/>
          <w:sz w:val="24"/>
          <w:szCs w:val="24"/>
        </w:rPr>
        <w:t xml:space="preserve">Two isolates in the current study were missing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but possessed both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1DA31CC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Staphyolococcal complement inhibitor (encoded by the gene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also plays a role in the ability of staphylococci to evade the host’s immune system.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Adenosine synthase A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immuno-suppressive signaling molecule. </w:t>
      </w:r>
      <w:r w:rsidRPr="00493874">
        <w:rPr>
          <w:rFonts w:ascii="Times New Roman" w:hAnsi="Times New Roman" w:cs="Times New Roman"/>
          <w:i/>
          <w:iCs/>
          <w:sz w:val="24"/>
          <w:szCs w:val="24"/>
        </w:rPr>
        <w:t xml:space="preserve">adsA </w:t>
      </w:r>
      <w:r w:rsidRPr="00493874">
        <w:rPr>
          <w:rFonts w:ascii="Times New Roman" w:hAnsi="Times New Roman" w:cs="Times New Roman"/>
          <w:sz w:val="24"/>
          <w:szCs w:val="24"/>
        </w:rPr>
        <w:t xml:space="preserve">allows staphylococci to survive after being </w:t>
      </w:r>
      <w:r w:rsidRPr="00493874">
        <w:rPr>
          <w:rFonts w:ascii="Times New Roman" w:hAnsi="Times New Roman" w:cs="Times New Roman"/>
          <w:sz w:val="24"/>
          <w:szCs w:val="24"/>
        </w:rPr>
        <w:lastRenderedPageBreak/>
        <w:t xml:space="preserve">engulfed by neutrophils, giving it the ability to evade the bactericidal activity of host leukocytes.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the gene encoding for the staphylocoagulase enzyme. Staphylocoagulase binds to prothrombin in the host, ultimately </w:t>
      </w:r>
      <w:r w:rsidRPr="00493874">
        <w:rPr>
          <w:rFonts w:ascii="Times New Roman" w:hAnsi="Times New Roman" w:cs="Times New Roman"/>
          <w:sz w:val="24"/>
          <w:szCs w:val="24"/>
        </w:rPr>
        <w:lastRenderedPageBreak/>
        <w:t xml:space="preserve">forming a fibrin clot which shields the bacteria from the host's defenses and causes localized clotting.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493874">
        <w:rPr>
          <w:rFonts w:ascii="Times New Roman" w:hAnsi="Times New Roman" w:cs="Times New Roman"/>
          <w:i/>
          <w:iCs/>
          <w:sz w:val="24"/>
          <w:szCs w:val="24"/>
        </w:rPr>
        <w:t>vWbp,</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w:t>
      </w:r>
      <w:r w:rsidRPr="00493874">
        <w:rPr>
          <w:rFonts w:ascii="Times New Roman" w:hAnsi="Times New Roman" w:cs="Times New Roman"/>
          <w:sz w:val="24"/>
          <w:szCs w:val="24"/>
        </w:rPr>
        <w:lastRenderedPageBreak/>
        <w:t xml:space="preserve">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w:t>
      </w:r>
      <w:r w:rsidRPr="00493874">
        <w:rPr>
          <w:rFonts w:ascii="Times New Roman" w:hAnsi="Times New Roman" w:cs="Times New Roman"/>
          <w:sz w:val="24"/>
          <w:szCs w:val="24"/>
        </w:rPr>
        <w:lastRenderedPageBreak/>
        <w:t xml:space="preserve">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in the current study were associated with a persistently high SCC IMI.</w:t>
      </w:r>
    </w:p>
    <w:p w14:paraId="747FA5F7" w14:textId="015A00D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w:t>
      </w:r>
      <w:r w:rsidRPr="00493874">
        <w:rPr>
          <w:rFonts w:ascii="Times New Roman" w:hAnsi="Times New Roman" w:cs="Times New Roman"/>
          <w:sz w:val="24"/>
          <w:szCs w:val="24"/>
        </w:rPr>
        <w:lastRenderedPageBreak/>
        <w:t xml:space="preserve">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1D4A80A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Similar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w:t>
      </w:r>
      <w:r w:rsidRPr="00493874">
        <w:rPr>
          <w:rFonts w:ascii="Times New Roman" w:hAnsi="Times New Roman" w:cs="Times New Roman"/>
          <w:sz w:val="24"/>
          <w:szCs w:val="24"/>
        </w:rPr>
        <w:lastRenderedPageBreak/>
        <w:t xml:space="preserve">organized by ST (Figure 3), many of the limited differences in presence or absence of VF occurred at the ST level. The only isolates lacking </w:t>
      </w:r>
      <w:r w:rsidRPr="00493874">
        <w:rPr>
          <w:rFonts w:ascii="Times New Roman" w:hAnsi="Times New Roman" w:cs="Times New Roman"/>
          <w:i/>
          <w:iCs/>
          <w:sz w:val="24"/>
          <w:szCs w:val="24"/>
        </w:rPr>
        <w:t>fnbA,</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fnbB</w:t>
      </w:r>
      <w:r w:rsidRPr="00493874">
        <w:rPr>
          <w:rFonts w:ascii="Times New Roman" w:hAnsi="Times New Roman" w:cs="Times New Roman"/>
          <w:sz w:val="24"/>
          <w:szCs w:val="24"/>
        </w:rPr>
        <w:t xml:space="preserve">, and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and possessing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r w:rsidRPr="00493874">
        <w:rPr>
          <w:rFonts w:ascii="Times New Roman" w:hAnsi="Times New Roman" w:cs="Times New Roman"/>
          <w:i/>
          <w:iCs/>
          <w:sz w:val="24"/>
          <w:szCs w:val="24"/>
        </w:rPr>
        <w:t xml:space="preserve">atl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r w:rsidRPr="00493874">
        <w:rPr>
          <w:rFonts w:ascii="Times New Roman" w:hAnsi="Times New Roman" w:cs="Times New Roman"/>
          <w:i/>
          <w:iCs/>
          <w:sz w:val="24"/>
          <w:szCs w:val="24"/>
        </w:rPr>
        <w:t>atl</w:t>
      </w:r>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w:t>
      </w:r>
      <w:r w:rsidRPr="00493874">
        <w:rPr>
          <w:rFonts w:ascii="Times New Roman" w:hAnsi="Times New Roman" w:cs="Times New Roman"/>
          <w:sz w:val="24"/>
          <w:szCs w:val="24"/>
        </w:rPr>
        <w:lastRenderedPageBreak/>
        <w:t xml:space="preserve">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52021C49"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w:t>
      </w:r>
      <w:r w:rsidRPr="00493874">
        <w:rPr>
          <w:rFonts w:ascii="Times New Roman" w:hAnsi="Times New Roman" w:cs="Times New Roman"/>
          <w:sz w:val="24"/>
          <w:szCs w:val="24"/>
        </w:rPr>
        <w:lastRenderedPageBreak/>
        <w:t xml:space="preserve">isolates (60%) belonging to 1 of these 2 ST.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found to be a significant predictor of SCC 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Chakrawarti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w:t>
      </w:r>
      <w:r w:rsidR="002719D1">
        <w:rPr>
          <w:rFonts w:ascii="Times New Roman" w:hAnsi="Times New Roman" w:cs="Times New Roman"/>
          <w:sz w:val="24"/>
          <w:szCs w:val="24"/>
        </w:rPr>
        <w:lastRenderedPageBreak/>
        <w:t>using Bio</w:t>
      </w:r>
      <w:r w:rsidR="001D0A16">
        <w:rPr>
          <w:rFonts w:ascii="Times New Roman" w:hAnsi="Times New Roman" w:cs="Times New Roman"/>
          <w:sz w:val="24"/>
          <w:szCs w:val="24"/>
        </w:rPr>
        <w:t>N</w:t>
      </w:r>
      <w:r w:rsidR="002719D1">
        <w:rPr>
          <w:rFonts w:ascii="Times New Roman" w:hAnsi="Times New Roman" w:cs="Times New Roman"/>
          <w:sz w:val="24"/>
          <w:szCs w:val="24"/>
        </w:rPr>
        <w:t xml:space="preserve">umerics Software, and </w:t>
      </w:r>
      <w:r>
        <w:rPr>
          <w:rFonts w:ascii="Times New Roman" w:hAnsi="Times New Roman" w:cs="Times New Roman"/>
          <w:sz w:val="24"/>
          <w:szCs w:val="24"/>
        </w:rPr>
        <w:t>reviewed and edited the manuscript</w:t>
      </w:r>
      <w:bookmarkEnd w:id="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r w:rsidRPr="008F1CF1">
        <w:rPr>
          <w:rFonts w:ascii="Times New Roman" w:hAnsi="Times New Roman" w:cs="Times New Roman"/>
          <w:sz w:val="24"/>
          <w:szCs w:val="24"/>
        </w:rPr>
        <w:t xml:space="preserve">Zadoks, R. N., B. E. Gillespie, H. W. Barkema, O. C. Sampimon, S. P. Oliver, and Y. H. Schukken. 2003. Clinical, epidemiological and molecular characteristics of </w:t>
      </w:r>
      <w:r w:rsidRPr="008F1CF1">
        <w:rPr>
          <w:rFonts w:ascii="Times New Roman" w:hAnsi="Times New Roman" w:cs="Times New Roman"/>
          <w:i/>
          <w:iCs/>
          <w:sz w:val="24"/>
          <w:szCs w:val="24"/>
        </w:rPr>
        <w:t>Streptococcus uberis</w:t>
      </w:r>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cells/mL.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PubMLST</w:t>
            </w:r>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r w:rsidRPr="00E73462">
              <w:rPr>
                <w:rFonts w:ascii="Times New Roman" w:eastAsia="Times New Roman" w:hAnsi="Times New Roman" w:cs="Times New Roman"/>
                <w:i/>
                <w:iCs/>
                <w:color w:val="000000"/>
                <w:sz w:val="24"/>
                <w:szCs w:val="24"/>
              </w:rPr>
              <w:t xml:space="preserve">blaZ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atl</w:t>
            </w:r>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fnbA</w:t>
            </w:r>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fnbB</w:t>
            </w:r>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sdrC</w:t>
            </w:r>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sdrD</w:t>
            </w:r>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sdrE</w:t>
            </w:r>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sdrG</w:t>
            </w:r>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capH</w:t>
            </w:r>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capJ</w:t>
            </w:r>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capN</w:t>
            </w:r>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capO</w:t>
            </w:r>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capP</w:t>
            </w:r>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scn</w:t>
            </w:r>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htsA</w:t>
            </w:r>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htsB</w:t>
            </w:r>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htsC</w:t>
            </w:r>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isdF</w:t>
            </w:r>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isdG</w:t>
            </w:r>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isdI</w:t>
            </w:r>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sbnA</w:t>
            </w:r>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sfaA</w:t>
            </w:r>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sfaB</w:t>
            </w:r>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sfaC</w:t>
            </w:r>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sfaD</w:t>
            </w:r>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sirA</w:t>
            </w:r>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sirB</w:t>
            </w:r>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sirC</w:t>
            </w:r>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adsA</w:t>
            </w:r>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Aureolysin</w:t>
            </w:r>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coa</w:t>
            </w:r>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geh</w:t>
            </w:r>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Thermonuclease</w:t>
            </w:r>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nuc</w:t>
            </w:r>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vWbp</w:t>
            </w:r>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Toxins: Phenol             soluble modulins</w:t>
            </w:r>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hlb</w:t>
            </w:r>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etc</w:t>
            </w:r>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esaA</w:t>
            </w:r>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esaB</w:t>
            </w:r>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essA</w:t>
            </w:r>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essB</w:t>
            </w:r>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essC</w:t>
            </w:r>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esxA</w:t>
            </w:r>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0">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1"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2"/>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14"/>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B074E" w14:textId="77777777" w:rsidR="00E049F0" w:rsidRDefault="00E049F0" w:rsidP="006F221B">
      <w:pPr>
        <w:spacing w:after="0" w:line="240" w:lineRule="auto"/>
      </w:pPr>
      <w:r>
        <w:separator/>
      </w:r>
    </w:p>
  </w:endnote>
  <w:endnote w:type="continuationSeparator" w:id="0">
    <w:p w14:paraId="76A6FF4D" w14:textId="77777777" w:rsidR="00E049F0" w:rsidRDefault="00E049F0"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676BA" w14:textId="77777777" w:rsidR="00E049F0" w:rsidRDefault="00E049F0" w:rsidP="006F221B">
      <w:pPr>
        <w:spacing w:after="0" w:line="240" w:lineRule="auto"/>
      </w:pPr>
      <w:r>
        <w:separator/>
      </w:r>
    </w:p>
  </w:footnote>
  <w:footnote w:type="continuationSeparator" w:id="0">
    <w:p w14:paraId="2E26A0DB" w14:textId="77777777" w:rsidR="00E049F0" w:rsidRDefault="00E049F0"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4262A"/>
    <w:rsid w:val="00053439"/>
    <w:rsid w:val="00054C74"/>
    <w:rsid w:val="00056B8B"/>
    <w:rsid w:val="000769D0"/>
    <w:rsid w:val="000776F1"/>
    <w:rsid w:val="00077889"/>
    <w:rsid w:val="000862BE"/>
    <w:rsid w:val="000943AE"/>
    <w:rsid w:val="000B0AF9"/>
    <w:rsid w:val="000B7EEA"/>
    <w:rsid w:val="000D5316"/>
    <w:rsid w:val="000F45FC"/>
    <w:rsid w:val="00117043"/>
    <w:rsid w:val="00145B55"/>
    <w:rsid w:val="001560B8"/>
    <w:rsid w:val="00173CD7"/>
    <w:rsid w:val="0018153F"/>
    <w:rsid w:val="00181729"/>
    <w:rsid w:val="001978DD"/>
    <w:rsid w:val="001B385F"/>
    <w:rsid w:val="001B6ABA"/>
    <w:rsid w:val="001D0A16"/>
    <w:rsid w:val="001E5E25"/>
    <w:rsid w:val="00216C5A"/>
    <w:rsid w:val="00217C6C"/>
    <w:rsid w:val="00224334"/>
    <w:rsid w:val="0022494D"/>
    <w:rsid w:val="00233948"/>
    <w:rsid w:val="00242AAA"/>
    <w:rsid w:val="002462BA"/>
    <w:rsid w:val="00257B2A"/>
    <w:rsid w:val="00260769"/>
    <w:rsid w:val="00266FFF"/>
    <w:rsid w:val="002719D1"/>
    <w:rsid w:val="00284FF2"/>
    <w:rsid w:val="002C578D"/>
    <w:rsid w:val="002D1AB9"/>
    <w:rsid w:val="002D60D6"/>
    <w:rsid w:val="002E3208"/>
    <w:rsid w:val="003007DC"/>
    <w:rsid w:val="00323B0F"/>
    <w:rsid w:val="00344B58"/>
    <w:rsid w:val="0036274C"/>
    <w:rsid w:val="0037444D"/>
    <w:rsid w:val="003A64A0"/>
    <w:rsid w:val="003C29FE"/>
    <w:rsid w:val="003D4CE0"/>
    <w:rsid w:val="003E0F7B"/>
    <w:rsid w:val="003E27A7"/>
    <w:rsid w:val="003E6001"/>
    <w:rsid w:val="003F44E1"/>
    <w:rsid w:val="00406257"/>
    <w:rsid w:val="004151B7"/>
    <w:rsid w:val="004363AA"/>
    <w:rsid w:val="00466657"/>
    <w:rsid w:val="00481491"/>
    <w:rsid w:val="004824BF"/>
    <w:rsid w:val="00493874"/>
    <w:rsid w:val="00496815"/>
    <w:rsid w:val="004A36B5"/>
    <w:rsid w:val="004B07F0"/>
    <w:rsid w:val="004B43CE"/>
    <w:rsid w:val="004C0BB9"/>
    <w:rsid w:val="004D01C0"/>
    <w:rsid w:val="004D54EE"/>
    <w:rsid w:val="004D5854"/>
    <w:rsid w:val="004E2383"/>
    <w:rsid w:val="00501989"/>
    <w:rsid w:val="005118A8"/>
    <w:rsid w:val="00512D9C"/>
    <w:rsid w:val="0052231E"/>
    <w:rsid w:val="005317F9"/>
    <w:rsid w:val="0053203A"/>
    <w:rsid w:val="00542231"/>
    <w:rsid w:val="005540FE"/>
    <w:rsid w:val="005861C6"/>
    <w:rsid w:val="005867BE"/>
    <w:rsid w:val="00586DC3"/>
    <w:rsid w:val="00596920"/>
    <w:rsid w:val="00597112"/>
    <w:rsid w:val="005B61E9"/>
    <w:rsid w:val="005C09E2"/>
    <w:rsid w:val="005E7626"/>
    <w:rsid w:val="0060564F"/>
    <w:rsid w:val="00632784"/>
    <w:rsid w:val="00635BA6"/>
    <w:rsid w:val="006410FE"/>
    <w:rsid w:val="00676E57"/>
    <w:rsid w:val="00685C49"/>
    <w:rsid w:val="006961F1"/>
    <w:rsid w:val="006A5C98"/>
    <w:rsid w:val="006C4B22"/>
    <w:rsid w:val="006D547B"/>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7FEE"/>
    <w:rsid w:val="007E1734"/>
    <w:rsid w:val="007E7636"/>
    <w:rsid w:val="00802A1B"/>
    <w:rsid w:val="00805188"/>
    <w:rsid w:val="00805818"/>
    <w:rsid w:val="008071EE"/>
    <w:rsid w:val="00824D7E"/>
    <w:rsid w:val="00833A1B"/>
    <w:rsid w:val="00851937"/>
    <w:rsid w:val="00864BBD"/>
    <w:rsid w:val="008651EE"/>
    <w:rsid w:val="00867FF8"/>
    <w:rsid w:val="00883032"/>
    <w:rsid w:val="008953ED"/>
    <w:rsid w:val="008A2337"/>
    <w:rsid w:val="008C35CD"/>
    <w:rsid w:val="008D04F8"/>
    <w:rsid w:val="008D0CB0"/>
    <w:rsid w:val="008F1CF1"/>
    <w:rsid w:val="009015BC"/>
    <w:rsid w:val="00904D17"/>
    <w:rsid w:val="009079C9"/>
    <w:rsid w:val="009105E1"/>
    <w:rsid w:val="00912A9E"/>
    <w:rsid w:val="00924562"/>
    <w:rsid w:val="00942E25"/>
    <w:rsid w:val="0096151C"/>
    <w:rsid w:val="00965BB8"/>
    <w:rsid w:val="009934B9"/>
    <w:rsid w:val="00995B2D"/>
    <w:rsid w:val="009C303E"/>
    <w:rsid w:val="009C4123"/>
    <w:rsid w:val="009D76EA"/>
    <w:rsid w:val="009E2FE8"/>
    <w:rsid w:val="00A0091B"/>
    <w:rsid w:val="00A11311"/>
    <w:rsid w:val="00A27C8F"/>
    <w:rsid w:val="00A42F2A"/>
    <w:rsid w:val="00A538EC"/>
    <w:rsid w:val="00A56B7F"/>
    <w:rsid w:val="00A62E33"/>
    <w:rsid w:val="00A67B95"/>
    <w:rsid w:val="00A74F8F"/>
    <w:rsid w:val="00A750EE"/>
    <w:rsid w:val="00A77020"/>
    <w:rsid w:val="00A91A7C"/>
    <w:rsid w:val="00AA1096"/>
    <w:rsid w:val="00AD12D5"/>
    <w:rsid w:val="00AF4224"/>
    <w:rsid w:val="00B12A81"/>
    <w:rsid w:val="00B14D0C"/>
    <w:rsid w:val="00B26B1D"/>
    <w:rsid w:val="00B337CB"/>
    <w:rsid w:val="00B34EAB"/>
    <w:rsid w:val="00B47D45"/>
    <w:rsid w:val="00B5799E"/>
    <w:rsid w:val="00B70AB9"/>
    <w:rsid w:val="00B7385C"/>
    <w:rsid w:val="00B81CC5"/>
    <w:rsid w:val="00B84627"/>
    <w:rsid w:val="00B84F5C"/>
    <w:rsid w:val="00BB6650"/>
    <w:rsid w:val="00BC1988"/>
    <w:rsid w:val="00BD2E26"/>
    <w:rsid w:val="00BF55FF"/>
    <w:rsid w:val="00C003AD"/>
    <w:rsid w:val="00C01477"/>
    <w:rsid w:val="00C07C6D"/>
    <w:rsid w:val="00C4142F"/>
    <w:rsid w:val="00C41744"/>
    <w:rsid w:val="00C53CF7"/>
    <w:rsid w:val="00C77128"/>
    <w:rsid w:val="00C8117A"/>
    <w:rsid w:val="00C84EF4"/>
    <w:rsid w:val="00C97B9B"/>
    <w:rsid w:val="00CA14C1"/>
    <w:rsid w:val="00CD3B46"/>
    <w:rsid w:val="00CE0AEB"/>
    <w:rsid w:val="00CE568C"/>
    <w:rsid w:val="00CE59B4"/>
    <w:rsid w:val="00D03C2E"/>
    <w:rsid w:val="00D163BA"/>
    <w:rsid w:val="00D551C9"/>
    <w:rsid w:val="00D56D58"/>
    <w:rsid w:val="00D72500"/>
    <w:rsid w:val="00D73494"/>
    <w:rsid w:val="00D779B6"/>
    <w:rsid w:val="00D77AA8"/>
    <w:rsid w:val="00D90981"/>
    <w:rsid w:val="00DA5D4D"/>
    <w:rsid w:val="00DD14FD"/>
    <w:rsid w:val="00DD3C55"/>
    <w:rsid w:val="00E049F0"/>
    <w:rsid w:val="00E35C47"/>
    <w:rsid w:val="00E4472C"/>
    <w:rsid w:val="00E66050"/>
    <w:rsid w:val="00E70DFA"/>
    <w:rsid w:val="00E73462"/>
    <w:rsid w:val="00E76B65"/>
    <w:rsid w:val="00E87A80"/>
    <w:rsid w:val="00EE303A"/>
    <w:rsid w:val="00EF5A31"/>
    <w:rsid w:val="00F20BE0"/>
    <w:rsid w:val="00F2470E"/>
    <w:rsid w:val="00F307F7"/>
    <w:rsid w:val="00F3536A"/>
    <w:rsid w:val="00F97325"/>
    <w:rsid w:val="00FA1693"/>
    <w:rsid w:val="00FC2244"/>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54</Pages>
  <Words>15409</Words>
  <Characters>87835</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36</cp:revision>
  <dcterms:created xsi:type="dcterms:W3CDTF">2024-08-07T13:33:00Z</dcterms:created>
  <dcterms:modified xsi:type="dcterms:W3CDTF">2024-08-07T13:59:00Z</dcterms:modified>
</cp:coreProperties>
</file>