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Supplementary Table 1 | Pan-cancer HLA Class I LOH frequencies.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Cancer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(HLA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LOH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HLA-B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3-Locus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WGD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Adrenocortical Carcinoma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Cervical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 Cell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Esophagogastric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and Neck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Ovarian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Uterine Sarcoma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Pancreatic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Colorectal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Nerve Sheath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Non-Small Cell Lung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Bowel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Sellar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Bladder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Cell Carcinoma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Tissue Sarcoma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Hepatobiliary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Cancer, Non-Melanoma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Cell Lung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Mesothelioma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Appendiceal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CNS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Gastrointestinal Neuroendocrine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Retinoblastoma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Endometrial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Salivary Gland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Peripheral Nervous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Gastrointestinal Stromal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</w:tbl>
    <w:p>
      <w:pPr>
        <w:pStyle w:val="BodyText"/>
      </w:pPr>
      <w:r>
        <w:rPr>
          <w:iCs/>
          <w:i/>
        </w:rPr>
        <w:t xml:space="preserve">Data from MSK-IMPACT 50K cohort. Percentages computed among tumors with informative HLA LOH calls. WGD, whole-genome doubling; TMB, tumor mutational burden (mutations per megabase).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2026-06-12T22:57:55Z</dcterms:created>
  <dcterms:modified xsi:type="dcterms:W3CDTF">2026-06-12T22:57:55Z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