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mc:Ignorable="w14 w15 wp14">
  <w:body>
    <w:p w14:paraId="60DABFAA">
      <w:pPr>
        <w:keepNext w:val="0"/>
        <w:keepLines w:val="0"/>
        <w:pageBreakBefore w:val="0"/>
        <w:widowControl w:val="0"/>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8"/>
          <w:szCs w:val="28"/>
        </w:rPr>
      </w:pPr>
      <w:bookmarkStart w:id="0" w:name="_GoBack"/>
      <w:r>
        <w:rPr>
          <w:rFonts w:hint="default" w:ascii="Times New Roman" w:hAnsi="Times New Roman" w:cs="Times New Roman"/>
          <w:sz w:val="28"/>
          <w:szCs w:val="28"/>
        </w:rPr>
        <w:t>Dear Editors:</w:t>
      </w:r>
    </w:p>
    <w:p w14:paraId="59E79769">
      <w:pPr>
        <w:pStyle w:val="4"/>
        <w:keepNext w:val="0"/>
        <w:keepLines w:val="0"/>
        <w:pageBreakBefore w:val="0"/>
        <w:widowControl/>
        <w:suppressLineNumbers w:val="0"/>
        <w:kinsoku/>
        <w:wordWrap/>
        <w:overflowPunct/>
        <w:topLinePunct w:val="0"/>
        <w:autoSpaceDE/>
        <w:autoSpaceDN/>
        <w:bidi w:val="0"/>
        <w:spacing w:before="0" w:beforeAutospacing="0" w:after="0" w:afterAutospacing="0"/>
        <w:ind w:left="0" w:right="0"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would like to submit the enclosed manuscript entitled </w:t>
      </w:r>
      <w:r>
        <w:rPr>
          <w:rFonts w:hint="default" w:ascii="Times New Roman" w:hAnsi="Times New Roman" w:cs="Times New Roman"/>
          <w:sz w:val="24"/>
          <w:szCs w:val="24"/>
          <w:b/>
          <w:bCs/>
        </w:rPr>
        <w:t xml:space="preserve">“A Moving Target, Not a Tipping Point: Attractor Drift, Queue Congestion and Policy Sequencing in the Youth School-to-Work Transition System of China’s Prefecture-Level Cities”</w:t>
      </w:r>
      <w:r>
        <w:rPr>
          <w:rFonts w:hint="default" w:ascii="Times New Roman" w:hAnsi="Times New Roman" w:cs="Times New Roman"/>
          <w:sz w:val="24"/>
          <w:szCs w:val="24"/>
        </w:rPr>
        <w:t xml:space="preserve">, which we wish to be considered for publication in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for the Special Issue </w:t>
      </w:r>
      <w:r>
        <w:rPr>
          <w:rFonts w:hint="default" w:ascii="Times New Roman" w:hAnsi="Times New Roman" w:cs="Times New Roman"/>
          <w:sz w:val="24"/>
          <w:szCs w:val="24"/>
          <w:b/>
          <w:bCs/>
        </w:rPr>
        <w:t xml:space="preserve">“Systems Thinking for Real-World Problem Solving.”</w:t>
      </w:r>
    </w:p>
    <w:p w14:paraId="3ECD5F1C">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No conflict of interest exists in the submission of this manuscript, and the manuscript is approved by all authors for publication. I would like to declare on behalf of my co-authors that the work described was original research that has not been published previously and is not under consideration for publication elsewhere, in whole or in part. All authors listed have approved the manuscript that is enclosed.</w:t>
      </w:r>
    </w:p>
    <w:p w14:paraId="78DE10B5">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study asks why youth employment outcomes deteriorate in an economy where jobs are plentiful and the digital economy is expanding. We treat the graduate school-to-work transition of China’s prefecture-level cities as a socio-technical system and build a six-state continuous-time feedback model in which open search, exam-oriented queueing, matched and mismatched employment, employability capital and aspirations co-evolve with an employer skill threshold that rises as digitalisation proceeds. Six structural parameters are estimated by simulated method of moments against seven published national moments, all of which the calibrated model reproduces within 1.7 per cent. The model is then subjected to fixed-point continuation and a multi-start uniqueness search, eigenvalue analysis, loop-deactivation experiments, Latin-hypercube Monte Carlo, Sobol variance decomposition, logistic and tree-based meta-modelling of the simulation output, and equal-effort policy experiments including deployment sequencing.</w:t>
      </w:r>
    </w:p>
    <w:p w14:paraId="27F540D1">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innovations of this paper are as follows.</w:t>
      </w:r>
    </w:p>
    <w:p w14:paraId="7A4F2D90">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b/>
          <w:bCs/>
        </w:rPr>
        <w:t xml:space="preserve">(1) The paper reports a substantive negative result and shows why it matters.</w:t>
      </w:r>
      <w:r>
        <w:rPr>
          <w:rFonts w:hint="default" w:ascii="Times New Roman" w:hAnsi="Times New Roman" w:cs="Times New Roman"/>
          <w:sz w:val="24"/>
          <w:szCs w:val="24"/>
        </w:rPr>
        <w:t xml:space="preserve"> Two-directional continuation in two control parameters and a multi-start search across forty parameter cells find a unique stable fixed point throughout, so the youth transition system has no fold bifurcation, no second attractor and no hysteresis. What looks like a trap is in fact a drifting attractor combined with a slow state: the equilibrium non-employment rate moves from 0.117 in 2015 to 0.637 in 2040 while the realised state, whose slowest relaxation time is exactly eight years, lags it by about 1.7 years. Measured youth non-employment is therefore a lagging indicator of structural deterioration by a knowable margin. This distinction changes both the diagnosis and the vocabulary that should be used in the policy debate.</w:t>
      </w:r>
    </w:p>
    <w:p w14:paraId="75951CA2">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(2) The paper triangulates structural dominance, variance attribution and statistical meta-modelling on the same calibrated object.</w:t>
      </w:r>
      <w:r>
        <w:rPr>
          <w:rFonts w:hint="default" w:ascii="Times New Roman" w:hAnsi="Times New Roman" w:eastAsia="宋体" w:cs="Times New Roman"/>
          <w:sz w:val="24"/>
          <w:szCs w:val="24"/>
        </w:rPr>
        <w:t xml:space="preserve"> Loop-deactivation experiments identify exam-queue congestion and aspiration adjustment as the dominant balancing loops and threshold escalation as the dominant reinforcing loop; a Sobol decomposition based on 14,336 model runs attributes 66.3 per cent of the output variance to the sensitivity of the employer threshold to digitalisation; and a logistic meta-model of the Monte Carlo sample, with an area under the curve of 0.998 and a non-significant Hosmer–Lemeshow statistic, together with a cross-validated classification tree, identify the same parameter as the root split. That three methods answering different questions converge on one mechanism is itself evidence about the model’s behaviour, and we suggest the triangulation as a routine step in simulation-based social science.</w:t>
      </w:r>
    </w:p>
    <w:p w14:paraId="3FE491FE">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(3) The paper delivers an actionable and counter-intuitive policy result.</w:t>
      </w:r>
      <w:r>
        <w:rPr>
          <w:rFonts w:hint="default" w:ascii="Times New Roman" w:hAnsi="Times New Roman" w:eastAsia="宋体" w:cs="Times New Roman"/>
          <w:sz w:val="24"/>
          <w:szCs w:val="24"/>
        </w:rPr>
        <w:t xml:space="preserve"> At equal standardised effort, moderating the escalation of the employer hiring bar—through competence-based rather than credential-based recruitment standards, certified micro-credentials and structured internships—lowers the 2040 non-employment rate by 0.157, roughly nineteen times the effect of vacancy creation and forty times that of training intensity, the two instruments that dominate public spending. Sequencing matters at unchanged cumulative effort: front-loading expectation guidance before matching-efficiency investment lowers cumulative youth non-employment by about seven per cent relative to the reverse order. An archetype analysis further shows that the most digitally advanced cities face the steepest deterioration, while cities in the middle of the digital transition offer the largest absolute policy dividend.</w:t>
      </w:r>
    </w:p>
    <w:p w14:paraId="34A7BE63">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believe that this manuscript fits well within the scope of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and the Special Issue “Systems Thinking for Real-World Problem Solving”. The Special Issue calls for work that uses systems thinking as a holistic lens on the dynamic interactions, feedback mechanisms and emergent behaviours of socio-technical systems, and that integrates research with practice on a real-world problem. Youth employment in a rapidly digitalising economy is precisely such a problem: the symptoms are widely measured, the single-cause explanations conflict with one another, and the instruments in use are chosen by convention rather than by evidence about leverage. Our contribution is to identify the feedback structure that generates the observed behaviour, to quantify which loops and which parameters dominate it, and to convert that structural knowledge into an effort-normalised ranking of policy instruments and a sequencing rule. The manuscript also connects directly to two recent articles in the journal—Grigorescu, Alistar and Lincaru (Systems 2025, 13, 649) on NEET vulnerability as an emergent systemic outcome, and Chacón-Cuberos et al. (Systems 2025, 13, 479) on employability thinking as a latent competence system—by supplying the temporal dynamics that cross-sectional designs cannot provide.</w:t>
      </w:r>
    </w:p>
    <w:p w14:paraId="64E0EEA9">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sincerely appreciate your consideration of our manuscript and look forward to receiving comments from the reviewers.</w:t>
      </w:r>
    </w:p>
    <w:p w14:paraId="34C1AFF2">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deeply appreciate your consideration of our manuscript and look forward to receiving comments from the reviewers. Correspondence should be directed to Xinyu Cai at the following address:</w:t>
      </w:r>
    </w:p>
    <w:p w14:paraId="0587AB7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40C896F8">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Degree: Ph.D.</w:t>
      </w:r>
    </w:p>
    <w:p w14:paraId="6A54732B">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Institution and address: College of Business, Jiaxing University;</w:t>
      </w:r>
      <w:r>
        <w:rPr>
          <w:rFonts w:hint="default" w:ascii="Times New Roman" w:hAnsi="Times New Roman" w:cs="Times New Roman"/>
          <w:sz w:val="24"/>
          <w:szCs w:val="24"/>
        </w:rPr>
        <w:t xml:space="preserve"> </w:t>
      </w:r>
      <w:r>
        <w:rPr>
          <w:rFonts w:hint="default" w:ascii="Times New Roman" w:hAnsi="Times New Roman" w:cs="Times New Roman"/>
          <w:sz w:val="24"/>
          <w:szCs w:val="24"/>
        </w:rPr>
        <w:t>Jiaxing 314001,China;</w:t>
      </w:r>
    </w:p>
    <w:p w14:paraId="44D338F9">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Email: </w:t>
      </w:r>
      <w:r>
        <w:rPr>
          <w:rFonts w:hint="default" w:ascii="Times New Roman" w:hAnsi="Times New Roman" w:cs="Times New Roman"/>
          <w:sz w:val="24"/>
          <w:szCs w:val="24"/>
        </w:rPr>
        <w:t>caixinyu@zjxu.edu.cn</w:t>
      </w:r>
    </w:p>
    <w:p w14:paraId="763D881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3199C55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Thanks very much for your attention to our paper.</w:t>
      </w:r>
    </w:p>
    <w:p w14:paraId="7333D03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 xml:space="preserve">                                                             Very sincerely yours,</w:t>
      </w:r>
    </w:p>
    <w:p w14:paraId="2E8BE344">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641F7432">
      <w:pPr>
        <w:keepNext w:val="0"/>
        <w:keepLines w:val="0"/>
        <w:pageBreakBefore w:val="0"/>
        <w:widowControl w:val="0"/>
        <w:tabs>
          <w:tab w:val="left" w:pos="7320"/>
        </w:tabs>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Xinyu Cai</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FAF"/>
    <w:rsid w:val="00082FAF"/>
    <w:rsid w:val="002A02D6"/>
    <w:rsid w:val="00326FAC"/>
    <w:rsid w:val="00347474"/>
    <w:rsid w:val="00400E36"/>
    <w:rsid w:val="004D1F03"/>
    <w:rsid w:val="00541EFA"/>
    <w:rsid w:val="00836A0E"/>
    <w:rsid w:val="008D3714"/>
    <w:rsid w:val="009D7DA5"/>
    <w:rsid w:val="00AF43C8"/>
    <w:rsid w:val="00BA346D"/>
    <w:rsid w:val="00D77660"/>
    <w:rsid w:val="00E17960"/>
    <w:rsid w:val="00E7116F"/>
    <w:rsid w:val="00E73937"/>
    <w:rsid w:val="00E83FCF"/>
    <w:rsid w:val="00F350DB"/>
    <w:rsid w:val="00FE364F"/>
    <w:rsid w:val="0586071E"/>
    <w:rsid w:val="384E3F93"/>
    <w:rsid w:val="63B41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styleId="8">
    <w:name w:val="Emphasis"/>
    <w:basedOn w:val="6"/>
    <w:qFormat/>
    <w:uiPriority w:val="20"/>
    <w:rPr>
      <w:i/>
    </w:rPr>
  </w:style>
  <w:style w:type="character" w:styleId="9">
    <w:name w:val="Hyperlink"/>
    <w:qFormat/>
    <w:uiPriority w:val="0"/>
    <w:rPr>
      <w:color w:val="0000FF"/>
      <w:u w:val="single"/>
    </w:rPr>
  </w:style>
  <w:style w:type="character" w:customStyle="1" w:styleId="10">
    <w:name w:val="页眉 字符"/>
    <w:basedOn w:val="6"/>
    <w:link w:val="3"/>
    <w:qFormat/>
    <w:uiPriority w:val="99"/>
    <w:rPr>
      <w:sz w:val="18"/>
      <w:szCs w:val="18"/>
    </w:rPr>
  </w:style>
  <w:style w:type="character" w:customStyle="1" w:styleId="11">
    <w:name w:val="页脚 字符"/>
    <w:basedOn w:val="6"/>
    <w:link w:val="2"/>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556</Words>
  <Characters>3627</Characters>
  <Lines>18</Lines>
  <Paragraphs>5</Paragraphs>
  <TotalTime>28</TotalTime>
  <ScaleCrop>false</ScaleCrop>
  <LinksUpToDate>false</LinksUpToDate>
  <CharactersWithSpaces>4225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2024-06-21T04:10:00Z</dcterms:created>
  <dc:creator>zhu</dc:creator>
  <cp:lastModifiedBy>蔡鑫宇</cp:lastModifiedBy>
  <dcterms:modified xsi:type="dcterms:W3CDTF">2026-07-11T16:46:54Z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235BF508A7C24B29864DE49229F30014_13</vt:lpwstr>
  </property>
  <property fmtid="{D5CDD505-2E9C-101B-9397-08002B2CF9AE}" pid="4" name="KSOTemplateDocerSaveRecord">
    <vt:lpwstr>eyJoZGlkIjoiYjkyZmNhZmMwYTRkMzdjNDc0ZDBiODA4ZTNmNjg2YzYiLCJ1c2VySWQiOiI0NTI1MjUxOTgifQ==</vt:lpwstr>
  </property>
</Properties>
</file>