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169"/>
      </w:pPr>
      <w:r>
        <w:t>Article</w:t>
      </w:r>
    </w:p>
    <w:p w14:paraId="3676704A">
      <w:pPr>
        <w:spacing w:after="120"/>
        <w:ind w:left="0" w:leftChars="0" w:firstLine="0" w:firstLineChars="0"/>
        <w:jc w:val="left"/>
      </w:pPr>
      <w:r>
        <w:rPr>
          <w:rFonts w:ascii="Palatino Linotype" w:hAnsi="Palatino Linotype" w:eastAsia="Palatino Linotype"/>
          <w:b/>
          <w:i w:val="0"/>
          <w:sz w:val="36"/>
        </w:rPr>
        <w:t>A Moving Target, Not a Tipping Point: Attractor Drift, Queue Congestion and Policy Sequencing in the Youth School-to-Work Transition System of China’s Prefecture-Level Cities</w:t>
      </w:r>
    </w:p>
    <w:p w14:paraId="1DD0393F">
      <w:pPr>
        <w:pStyle w:val="171"/>
      </w:pPr>
      <w:r>
        <w:rPr>
          <w:rFonts w:hint="eastAsia"/>
        </w:rPr>
        <w:t>Xinyu Cai</w:t>
      </w:r>
      <w:r>
        <w:t xml:space="preserve"> </w:t>
      </w:r>
      <w:r>
        <w:rPr>
          <w:vertAlign w:val="superscript"/>
        </w:rPr>
        <w:t>1</w:t>
      </w:r>
      <w:r>
        <w:t xml:space="preserve">, </w:t>
      </w:r>
      <w:r>
        <w:rPr>
          <w:rFonts w:hint="eastAsia"/>
        </w:rPr>
        <w:t>Dingpei Hu</w:t>
      </w:r>
      <w:r>
        <w:t xml:space="preserve"> </w:t>
      </w:r>
      <w:r>
        <w:rPr>
          <w:rFonts w:hint="eastAsia" w:eastAsia="宋体"/>
          <w:vertAlign w:val="superscript"/>
          <w:lang w:val="en-US" w:eastAsia="zh-CN"/>
        </w:rPr>
        <w:t>1</w:t>
      </w:r>
      <w:r>
        <w:t xml:space="preserve"> and </w:t>
      </w:r>
      <w:r>
        <w:rPr>
          <w:rFonts w:hint="eastAsia"/>
        </w:rPr>
        <w:t>Tiantian Mo</w:t>
      </w:r>
      <w:r>
        <w:t xml:space="preserve"> </w:t>
      </w:r>
      <w:r>
        <w:rPr>
          <w:rFonts w:hint="eastAsia" w:eastAsia="宋体"/>
          <w:vertAlign w:val="superscript"/>
          <w:lang w:val="en-US" w:eastAsia="zh-CN"/>
        </w:rPr>
        <w:t>1</w:t>
      </w:r>
      <w:r>
        <w:rPr>
          <w:vertAlign w:val="superscript"/>
        </w:rPr>
        <w:t>,</w:t>
      </w:r>
      <w:r>
        <w:t>*</w:t>
      </w:r>
    </w:p>
    <w:tbl>
      <w:tblPr>
        <w:tblStyle w:val="32"/>
        <w:tblpPr w:leftFromText="198" w:rightFromText="198" w:vertAnchor="page" w:horzAnchor="margin" w:tblpY="11461"/>
        <w:tblW w:w="2410" w:type="dxa"/>
        <w:tblInd w:w="0" w:type="dxa"/>
        <w:tblLayout w:type="fixed"/>
        <w:tblCellMar>
          <w:top w:w="0" w:type="dxa"/>
          <w:left w:w="0" w:type="dxa"/>
          <w:bottom w:w="0" w:type="dxa"/>
          <w:right w:w="0" w:type="dxa"/>
        </w:tblCellMar>
      </w:tblPr>
      <w:tblGrid>
        <w:gridCol w:w="2410"/>
      </w:tblGrid>
      <w:tr w14:paraId="00DE61E4">
        <w:tblPrEx>
          <w:tblCellMar>
            <w:top w:w="0" w:type="dxa"/>
            <w:left w:w="0" w:type="dxa"/>
            <w:bottom w:w="0" w:type="dxa"/>
            <w:right w:w="0" w:type="dxa"/>
          </w:tblCellMar>
        </w:tblPrEx>
        <w:tc>
          <w:tcPr>
            <w:tcW w:w="2410" w:type="dxa"/>
            <w:shd w:val="clear" w:color="auto" w:fill="auto"/>
          </w:tcPr>
          <w:p w14:paraId="0C8B9752">
            <w:pPr>
              <w:pStyle w:val="173"/>
              <w:spacing w:before="0" w:after="120"/>
            </w:pPr>
            <w:r>
              <w:t>Academic Editor: Firstname Lastname</w:t>
            </w:r>
          </w:p>
          <w:p w14:paraId="1E49B6F1">
            <w:pPr>
              <w:pStyle w:val="172"/>
              <w:spacing w:before="120"/>
            </w:pPr>
            <w:r>
              <w:t>Received: date</w:t>
            </w:r>
          </w:p>
          <w:p w14:paraId="3794B8FF">
            <w:pPr>
              <w:pStyle w:val="172"/>
            </w:pPr>
            <w:r>
              <w:t>Revised: date</w:t>
            </w:r>
          </w:p>
          <w:p w14:paraId="1D20F601">
            <w:pPr>
              <w:pStyle w:val="172"/>
            </w:pPr>
            <w:r>
              <w:t>Accepted: date</w:t>
            </w:r>
          </w:p>
          <w:p w14:paraId="40E6D3E1">
            <w:pPr>
              <w:pStyle w:val="172"/>
              <w:spacing w:after="120"/>
            </w:pPr>
            <w:r>
              <w:t>Published: date</w:t>
            </w:r>
          </w:p>
          <w:p w14:paraId="147E245D">
            <w:pPr>
              <w:pStyle w:val="199"/>
              <w:rPr>
                <w:lang w:bidi="en-US"/>
              </w:rPr>
            </w:pPr>
            <w:r>
              <w:rPr>
                <w:b/>
                <w:lang w:bidi="en-US"/>
              </w:rPr>
              <w:t xml:space="preserve">Citation: </w:t>
            </w:r>
            <w:r>
              <w:rPr>
                <w:lang w:bidi="en-US"/>
              </w:rPr>
              <w:t>To be added by editorial staff during production.</w:t>
            </w:r>
          </w:p>
          <w:p w14:paraId="68AD74DA">
            <w:pPr>
              <w:pStyle w:val="20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Creative Commons Attribution (CC BY) license (https://creativecommons.org/licenses/by/4.0/).</w:t>
            </w:r>
          </w:p>
        </w:tc>
      </w:tr>
    </w:tbl>
    <w:p w14:paraId="1CB4E62B">
      <w:pPr>
        <w:pStyle w:val="174"/>
      </w:pPr>
      <w:r>
        <w:rPr>
          <w:vertAlign w:val="superscript"/>
        </w:rPr>
        <w:t>1</w:t>
      </w:r>
      <w:r>
        <w:tab/>
      </w:r>
      <w:r>
        <w:rPr>
          <w:b w:val="0"/>
          <w:i w:val="0"/>
          <w:sz w:val="16"/>
        </w:rPr>
        <w:t>College of Business, Jiaxing University, Jiaxing 314001, China; caixinyu@zjxu.edu.cn</w:t>
      </w:r>
    </w:p>
    <w:p w14:paraId="31A0E5B1">
      <w:pPr>
        <w:pStyle w:val="174"/>
      </w:pPr>
      <w:r>
        <w:rPr>
          <w:b/>
        </w:rPr>
        <w:t>*</w:t>
      </w:r>
      <w:r>
        <w:tab/>
      </w:r>
      <w:r>
        <w:t xml:space="preserve">Correspondence: </w:t>
      </w:r>
      <w:r>
        <w:rPr>
          <w:rFonts w:hint="eastAsia"/>
        </w:rPr>
        <w:t>00008227@zjxu.edu.cn</w:t>
      </w:r>
    </w:p>
    <w:p w14:paraId="60D05CE7">
      <w:pPr>
        <w:pStyle w:val="175"/>
        <w:jc w:val="left"/>
        <w:rPr>
          <w:b/>
        </w:rPr>
      </w:pPr>
      <w:r>
        <w:rPr>
          <w:b/>
        </w:rPr>
        <w:t>Abstract</w:t>
      </w:r>
    </w:p>
    <w:p w14:paraId="668E7CA0">
      <w:pPr>
        <w:pStyle w:val="175"/>
        <w:spacing w:before="0" w:after="0"/>
      </w:pPr>
      <w:r>
        <w:rPr>
          <w:rFonts w:hint="eastAsia"/>
        </w:rPr>
        <w:t>Youth non-employment has risen in China even where labour markets remain tight and the digital economy is expanding, which conventional shortage-of-jobs and shortage-of-skills accounts explain poorly. We model the graduate school-to-work transition of China’s prefecture-level cities as a six-state feedback system in which search, exam-oriented queueing, matched and mismatched employment, employability capital and aspirations co-evolve with an employer skill threshold that rises with digitalisation. Six structural parameters are estimated by simulated method of moments against seven published national moments, all reproduced within 1.7 per cent. Continuation and a multi-start search across forty parameter cells find a unique stable fixed point, so the system has no tipping point. Instead its attractor drifts: the equilibrium rate rises from 0.117 to 0.637 between 2015 and 2040 while the realised state lags it by 1.7 years, so measured indicators understate structural deterioration. A three-year demand shock decays with a half-life of 1.5 years, whereas the threshold drift does not decay. A Sobol decomposition attributes 66.3 per cent of output variance to threshold sensitivity and 0.1 per cent to training intensity. At equal standardised effort, moderating threshold escalation lowers the 2040 rate by 0.157, roughly nineteen times the effect of vacancy creation, and deployment sequencing matters at unchanged cumulative effort.</w:t>
      </w:r>
    </w:p>
    <w:p w14:paraId="7EABB50A">
      <w:pPr>
        <w:pStyle w:val="176"/>
        <w:rPr>
          <w:szCs w:val="18"/>
        </w:rPr>
      </w:pPr>
      <w:r>
        <w:rPr>
          <w:b/>
          <w:szCs w:val="18"/>
        </w:rPr>
        <w:t xml:space="preserve">Keywords: </w:t>
      </w:r>
      <w:r>
        <w:rPr>
          <w:rFonts w:hint="eastAsia"/>
          <w:szCs w:val="18"/>
        </w:rPr>
        <w:t>youth employment; school-to-work transition; system dynamics; feedback loop dominance; slow employment; skill mismatch; digital economy; global sensitivity analysis; policy sequencing; prefecture-level cities</w:t>
      </w:r>
    </w:p>
    <w:p w14:paraId="24358D87">
      <w:pPr>
        <w:pStyle w:val="177"/>
      </w:pPr>
    </w:p>
    <w:p>
      <w:pPr>
        <w:keepNext/>
        <w:spacing w:before="200" w:after="80"/>
      </w:pPr>
      <w:r>
        <w:rPr>
          <w:rFonts w:ascii="Palatino Linotype" w:hAnsi="Palatino Linotype" w:eastAsia="Palatino Linotype"/>
          <w:b/>
          <w:i w:val="0"/>
          <w:sz w:val="24"/>
        </w:rPr>
        <w:t>1. Introduction</w:t>
      </w:r>
    </w:p>
    <w:p>
      <w:pPr>
        <w:spacing w:after="120"/>
        <w:jc w:val="both"/>
      </w:pPr>
      <w:r>
        <w:rPr>
          <w:rFonts w:ascii="Palatino Linotype" w:hAnsi="Palatino Linotype" w:eastAsia="Palatino Linotype"/>
          <w:b w:val="0"/>
          <w:i w:val="0"/>
          <w:sz w:val="20"/>
        </w:rPr>
        <w:t>Between 2015 and 2026 the number of graduates entering China’s labour market rose from roughly 7.5 million to 12.7 million a year, and the surveyed urban unemployment rate of 16–24-year-olds excluding students peaked at 18.9 per cent in August 2025 before easing to 16.3 per cent in the second quarter of 2026 [1,2]. What makes this pattern analytically awkward is that it did not occur in a slack labour market. Over the same decade the value added of China’s digital core industries rose to 10.5 per cent of gross domestic product in 2024 and is targeted to exceed 15 per cent by 2030 [1], and the vacancy-to-seeker ratio recorded by the public employment service has stayed above unity throughout. Jobs are being created; entry into them has nonetheless become slower and less certain. The phenomenon is national in scope but expressed locally: China’s roughly three hundred prefecture-level cities differ sharply in how fast their digital economies grow and in how many graduates they absorb [3,4], which makes the city the natural unit at which the mechanism operates.</w:t>
      </w:r>
    </w:p>
    <w:p>
      <w:pPr>
        <w:spacing w:after="120"/>
        <w:jc w:val="both"/>
      </w:pPr>
      <w:r>
        <w:rPr>
          <w:rFonts w:ascii="Palatino Linotype" w:hAnsi="Palatino Linotype" w:eastAsia="Palatino Linotype"/>
          <w:b w:val="0"/>
          <w:i w:val="0"/>
          <w:sz w:val="20"/>
        </w:rPr>
        <w:t>Three families of explanation dominate the literature, and each captures part of the phenomenon. The first is a quantity story: higher-education expansion has outpaced the creation of graduate-suitable positions [5,6]. The second is a quality story: graduates lack the competences that a digitalising economy rewards, so mismatch and over-education rise [7–9]. The third is a behavioural story: young people delay entry, queue for public-sector and institutional posts, or withdraw altogether, a pattern captured in China by the term "slow employment" and in Europe by the NEET construct [10–14]. Each story is supported by credible evidence. None of them, on its own, explains why the three symptoms move together, why they persist once a cyclical disturbance has passed, or why the instruments that governments actually deploy—vacancy subsidies and training programmes—produce so much less than their nominal scale would suggest.</w:t>
      </w:r>
    </w:p>
    <w:p>
      <w:pPr>
        <w:spacing w:after="120"/>
        <w:jc w:val="both"/>
      </w:pPr>
      <w:r>
        <w:rPr>
          <w:rFonts w:ascii="Palatino Linotype" w:hAnsi="Palatino Linotype" w:eastAsia="Palatino Linotype"/>
          <w:b w:val="0"/>
          <w:i w:val="0"/>
          <w:sz w:val="20"/>
        </w:rPr>
        <w:t>The reason, we argue, is that quantity, quality and behaviour are not three competing causes but three state variables of one feedback system. Employers set a hiring threshold that responds to the technology they deploy and to the mismatch they observe. Graduates accumulate and lose employability capital depending on how long they search and on what they do while waiting. Aspirations adapt to attainable job quality, but slowly and from a sticky anchor set by educational attainment and family reservation support. A queue for scarce institutional posts absorbs part of each cohort, and its attractiveness depends on a success probability that the queue itself destroys. These couplings generate behaviour that no single-cause account anticipates, and they are exactly the kind of structure that systems practice in the social sciences was developed to analyse [15–17].</w:t>
      </w:r>
    </w:p>
    <w:p>
      <w:pPr>
        <w:spacing w:after="120"/>
        <w:jc w:val="both"/>
      </w:pPr>
      <w:r>
        <w:rPr>
          <w:rFonts w:ascii="Palatino Linotype" w:hAnsi="Palatino Linotype" w:eastAsia="Palatino Linotype"/>
          <w:b w:val="0"/>
          <w:i w:val="0"/>
          <w:sz w:val="20"/>
        </w:rPr>
        <w:t>This paper builds and analyses such a system. We formulate a six-state continuous-time model of the graduate school-to-work transition in China, calibrate six structural parameters by simulated method of moments against seven published moments, and subject the calibrated model to a sequence of structural and statistical tests: fixed-point continuation and a multi-start uniqueness search, eigenvalue analysis, loop-deactivation experiments in the sense of Ford [18], Latin-hypercube Monte Carlo, Sobol variance decomposition [19,20], logistic and tree-based meta-modelling of the simulation output, and equal-effort policy experiments including deployment sequencing. Because prefecture-level cities differ in the speed of their digital transition rather than in the structure of their transition system, city heterogeneity is represented by parameterising the same model three ways rather than by adding a spatial dimension.</w:t>
      </w:r>
    </w:p>
    <w:p>
      <w:pPr>
        <w:spacing w:after="120"/>
        <w:jc w:val="both"/>
      </w:pPr>
      <w:r>
        <w:rPr>
          <w:rFonts w:ascii="Palatino Linotype" w:hAnsi="Palatino Linotype" w:eastAsia="Palatino Linotype"/>
          <w:b w:val="0"/>
          <w:i w:val="0"/>
          <w:sz w:val="20"/>
        </w:rPr>
        <w:t>Four findings follow, and three of them are negative results that we consider as informative as the positive ones. First, the system is globally monostable over the entire plausible parameter region we searched. There is no tipping point, no second attractor and no hysteresis. Second, what the system does have is a drifting attractor: the equilibrium towards which it moves rises from a non-employment rate of 0.117 in 2015 to 0.637 in 2040, and because the slowest relaxation time of the system is exactly eight years, the observed state lags this moving target by about 1.7 years on average. Measured youth non-employment therefore understates structural deterioration, systematically and by a knowable amount. Third, transitory demand shocks are absorbed: a three-year, 25 per cent reduction in the responsiveness of vacancies to digitalisation raises non-employment by at most 0.125 and decays with a half-life of 1.5 years. The youth employment problem of a digitalising economy is not a business-cycle problem. Fourth, the instrument that matters is not the one that is usually deployed. At equal standardised effort, moderating the rate at which employers raise the hiring bar reduces the 2040 non-employment rate by 0.157, against 0.008 for vacancy creation and 0.004 for training intensity.</w:t>
      </w:r>
    </w:p>
    <w:p>
      <w:pPr>
        <w:spacing w:after="120"/>
        <w:jc w:val="both"/>
      </w:pPr>
      <w:r>
        <w:rPr>
          <w:rFonts w:ascii="Palatino Linotype" w:hAnsi="Palatino Linotype" w:eastAsia="Palatino Linotype"/>
          <w:b w:val="0"/>
          <w:i w:val="0"/>
          <w:sz w:val="20"/>
        </w:rPr>
        <w:t>The contribution is threefold. Theoretically, we show that the youth employment predicament of a rapidly digitalising economy is better described as attractor drift under a slowly adjusting state than as a trap in the bistability sense, and we identify the specific feedback—endogenous escalation of the employer skill threshold—that drives the drift. Methodologically, we combine loop-deactivation dominance analysis with a full variance-based sensitivity decomposition and a statistical meta-model of the simulation output, so that structural claims and statistical claims are made about the same object. Practically, we provide an effort-normalised ranking of five policy families, a sequencing result showing that expectation guidance should precede rather than follow matching-efficiency investment, and an archetype analysis showing that the most digitally advanced prefecture-level cities face the steepest deterioration, while the intermediate manufacturing cities offer the largest absolute policy dividend.</w:t>
      </w:r>
    </w:p>
    <w:p>
      <w:pPr>
        <w:spacing w:after="120"/>
        <w:jc w:val="both"/>
      </w:pPr>
      <w:r>
        <w:rPr>
          <w:rFonts w:ascii="Palatino Linotype" w:hAnsi="Palatino Linotype" w:eastAsia="Palatino Linotype"/>
          <w:b w:val="0"/>
          <w:i w:val="0"/>
          <w:sz w:val="20"/>
        </w:rPr>
        <w:t>The remainder of the paper is organised as follows. Section 2 sets the system boundary and derives the feedback structure. Section 3 presents the model, the calibration and the analysis design. Section 4 reports results. Section 5 discusses their theoretical, methodological and policy implications, and their limits. Section 6 concludes.</w:t>
      </w:r>
    </w:p>
    <w:p>
      <w:pPr>
        <w:keepNext/>
        <w:spacing w:before="200" w:after="80"/>
      </w:pPr>
      <w:r>
        <w:rPr>
          <w:rFonts w:ascii="Palatino Linotype" w:hAnsi="Palatino Linotype" w:eastAsia="Palatino Linotype"/>
          <w:b/>
          <w:i w:val="0"/>
          <w:sz w:val="24"/>
        </w:rPr>
        <w:t>2. Theoretical Background and System Boundary</w:t>
      </w:r>
    </w:p>
    <w:p>
      <w:pPr>
        <w:keepNext/>
        <w:spacing w:before="140" w:after="80"/>
      </w:pPr>
      <w:r>
        <w:rPr>
          <w:rFonts w:ascii="Palatino Linotype" w:hAnsi="Palatino Linotype" w:eastAsia="Palatino Linotype"/>
          <w:b/>
          <w:i w:val="0"/>
          <w:sz w:val="20"/>
        </w:rPr>
        <w:t>2.1. Youth Non-Employment as a System-Level Outcome</w:t>
      </w:r>
    </w:p>
    <w:p>
      <w:pPr>
        <w:spacing w:after="120"/>
        <w:jc w:val="both"/>
      </w:pPr>
      <w:r>
        <w:rPr>
          <w:rFonts w:ascii="Palatino Linotype" w:hAnsi="Palatino Linotype" w:eastAsia="Palatino Linotype"/>
          <w:b w:val="0"/>
          <w:i w:val="0"/>
          <w:sz w:val="20"/>
        </w:rPr>
        <w:t>A recurring insight of recent work on youth exclusion is that the outcome is emergent rather than attributable. Grigorescu, Alistar and Lincaru [12] model NEET vulnerability across 28 European countries as the joint product of digital-skill, behavioural and territorial subsystems, and show through a decision-tree analysis that the relationship between digital agency and exclusion is threshold-like rather than linear. Chacón-Cuberos and colleagues [21] approach the same construct from the individual side, validating a four-factor employability-thinking scale among 949 students in training and showing that ethical self-regulation, communication, proactivity and analytical thinking form a single inter-correlated competence system rather than separable skills. Both studies point in the same direction: youth labour-market outcomes are produced by interacting components whose joint behaviour differs from the sum of their separate effects. A parallel literature on institutional variation in school-to-work transitions [22,23] and on digital divides across European populations [24,25] reaches the same conclusion from different directions, as does work on how careers unfold under technological change [26–28].</w:t>
      </w:r>
    </w:p>
    <w:p>
      <w:pPr>
        <w:spacing w:after="120"/>
        <w:jc w:val="both"/>
      </w:pPr>
      <w:r>
        <w:rPr>
          <w:rFonts w:ascii="Palatino Linotype" w:hAnsi="Palatino Linotype" w:eastAsia="Palatino Linotype"/>
          <w:b w:val="0"/>
          <w:i w:val="0"/>
          <w:sz w:val="20"/>
        </w:rPr>
        <w:t>Neither study, however, is dynamic. Cross-sectional and panel designs identify which variables matter; they cannot say how the configuration of those variables evolves, how fast it responds to intervention, or which of the couplings between them dominates observed behaviour at a given moment. That is the gap this paper addresses. The natural instrument is a small, transparent feedback model of the kind Ghaffarzadegan, Lyneis and Richardson [17] advocate for public policy: small enough that every loop can be named and tested, rich enough that the couplings which generate the puzzle are present.</w:t>
      </w:r>
    </w:p>
    <w:p>
      <w:pPr>
        <w:keepNext/>
        <w:spacing w:before="140" w:after="80"/>
      </w:pPr>
      <w:r>
        <w:rPr>
          <w:rFonts w:ascii="Palatino Linotype" w:hAnsi="Palatino Linotype" w:eastAsia="Palatino Linotype"/>
          <w:b/>
          <w:i w:val="0"/>
          <w:sz w:val="20"/>
        </w:rPr>
        <w:t>2.2. Why the Received Explanations Under-Determine the Dynamics</w:t>
      </w:r>
    </w:p>
    <w:p>
      <w:pPr>
        <w:spacing w:after="120"/>
        <w:jc w:val="both"/>
      </w:pPr>
      <w:r>
        <w:rPr>
          <w:rFonts w:ascii="Palatino Linotype" w:hAnsi="Palatino Linotype" w:eastAsia="Palatino Linotype"/>
          <w:b w:val="0"/>
          <w:i w:val="0"/>
          <w:sz w:val="20"/>
        </w:rPr>
        <w:t>The quantity account holds that graduate supply has outrun graduate-suitable demand. It is consistent with the expansion evidence [5] and with cross-country panel estimates linking tertiary enrolment to youth unemployment [29]. Yet the vacancy-to-seeker ratio recorded by China’s public employment service has remained above unity, and digital-industry expansion has been rapid and job-creating in the very cities where graduate non-employment has risen fastest [3,30,31]. A pure quantity account predicts falling market tightness alongside rising non-employment; the data show the two moving in opposite directions.</w:t>
      </w:r>
    </w:p>
    <w:p>
      <w:pPr>
        <w:spacing w:after="120"/>
        <w:jc w:val="both"/>
      </w:pPr>
      <w:r>
        <w:rPr>
          <w:rFonts w:ascii="Palatino Linotype" w:hAnsi="Palatino Linotype" w:eastAsia="Palatino Linotype"/>
          <w:b w:val="0"/>
          <w:i w:val="0"/>
          <w:sz w:val="20"/>
        </w:rPr>
        <w:t>The quality account holds that graduates lack the competences employers now require. It is supported by the mismatch literature for China [8,32–34] and by evidence that digital and intelligent technologies shift demand towards higher-order skills [9,35–38]. But this account treats the required skill level as exogenous. If employers respond to observed mismatch by raising screening standards further—demanding more experience, higher credentials or narrower specialisation—then the gap between what graduates have and what employers require is partly self-generated, and training alone will chase a target that moves in response to being chased.</w:t>
      </w:r>
    </w:p>
    <w:p>
      <w:pPr>
        <w:spacing w:after="120"/>
        <w:jc w:val="both"/>
      </w:pPr>
      <w:r>
        <w:rPr>
          <w:rFonts w:ascii="Palatino Linotype" w:hAnsi="Palatino Linotype" w:eastAsia="Palatino Linotype"/>
          <w:b w:val="0"/>
          <w:i w:val="0"/>
          <w:sz w:val="20"/>
        </w:rPr>
        <w:t>The behavioural account holds that young people delay entry. In China this takes an institutionally specific form. The national civil-service examination attracted 3.72 million qualified applicants for 38,100 posts in the 2026 cycle, and the ratio of candidates sitting the examination to posts rose from 77:1 to 98:1 over three cycles. Delayed entry of this kind is not idleness: it is a rational option purchase whose value depends on a success probability of roughly one per cent. That such a probability sustains a queue of this size is difficult to reconcile with expected-utility reasoning but entirely consistent with the systematic over-weighting of small probabilities documented in prospect theory [39,40]. The behavioural account therefore requires a specific functional form, not merely a taste parameter.</w:t>
      </w:r>
    </w:p>
    <w:p>
      <w:pPr>
        <w:keepNext/>
        <w:spacing w:before="140" w:after="80"/>
      </w:pPr>
      <w:r>
        <w:rPr>
          <w:rFonts w:ascii="Palatino Linotype" w:hAnsi="Palatino Linotype" w:eastAsia="Palatino Linotype"/>
          <w:b/>
          <w:i w:val="0"/>
          <w:sz w:val="20"/>
        </w:rPr>
        <w:t>2.3. The Feedback Structure of the Transition System</w:t>
      </w:r>
    </w:p>
    <w:p>
      <w:pPr>
        <w:spacing w:after="120"/>
        <w:jc w:val="both"/>
      </w:pPr>
      <w:r>
        <w:rPr>
          <w:rFonts w:ascii="Palatino Linotype" w:hAnsi="Palatino Linotype" w:eastAsia="Palatino Linotype"/>
          <w:b w:val="0"/>
          <w:i w:val="0"/>
          <w:sz w:val="20"/>
        </w:rPr>
        <w:t>Combining the three accounts as coupled state variables rather than competing causes yields the causal structure of Figure 1. Seven feedback loops are identified, four reinforcing and three balancing. Their polarities are derived analytically from the sign of the product of link polarities around each cycle, and are confirmed numerically in Section 4.5.</w:t>
      </w:r>
    </w:p>
    <w:p>
      <w:pPr>
        <w:spacing w:after="40"/>
        <w:jc w:val="center"/>
      </w:pPr>
      <w:r>
        <w:drawing>
          <wp:inline distT="0" distB="0" distL="114300" distR="114300">
            <wp:extent cx="5989320" cy="414173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20"/>
                    <a:stretch>
                      <a:fillRect/>
                    </a:stretch>
                  </pic:blipFill>
                  <pic:spPr>
                    <a:xfrm>
                      <a:off x="0" y="0"/>
                      <a:ext cx="5989320" cy="4141732"/>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1. </w:t>
      </w:r>
      <w:r>
        <w:rPr>
          <w:rFonts w:ascii="Palatino Linotype" w:hAnsi="Palatino Linotype" w:eastAsia="Palatino Linotype"/>
          <w:b w:val="0"/>
          <w:i w:val="0"/>
          <w:sz w:val="17"/>
        </w:rPr>
        <w:t>Causal loop diagram of the youth school-to-work transition system. Shaded boxes are stocks; the shaded oval at the top left is the exogenous driver. A plus sign denotes a same-direction link, a minus sign an opposite-direction link. Loop polarities are the products of the link polarities around each cycle.</w:t>
      </w:r>
    </w:p>
    <w:p>
      <w:pPr>
        <w:spacing w:after="120"/>
        <w:jc w:val="both"/>
      </w:pPr>
      <w:r>
        <w:rPr>
          <w:rFonts w:ascii="Palatino Linotype" w:hAnsi="Palatino Linotype" w:eastAsia="Palatino Linotype"/>
          <w:b w:val="0"/>
          <w:i w:val="0"/>
          <w:sz w:val="20"/>
        </w:rPr>
        <w:t>Loop R1, skill decay while searching, is the classical scarring mechanism: a larger searcher pool dilutes the renewal of employability capital by fresh graduates and lengthens exposure to depreciation, which lowers the skill–threshold gap, reduces the screening pass rate, and enlarges the searcher pool further. Loop R2, queue–skill erosion, operates through the queue: time spent preparing for examinations builds credentials that the market does not price, so discouraged returnees re-enter search with degraded market-relevant capital, which lowers the value of open search and pushes the next cohort towards the queue. Loop R3, threshold escalation, is the mechanism the quality account omits: observed mismatch raises the effective hiring bar, which produces more mismatch. Loop R4, thin-market offer quality, is a congestion externality: a larger searcher pool lowers market tightness, which lowers offered job quality, which lowers acceptance and enlarges the pool.</w:t>
      </w:r>
    </w:p>
    <w:p>
      <w:pPr>
        <w:spacing w:after="120"/>
        <w:jc w:val="both"/>
      </w:pPr>
      <w:r>
        <w:rPr>
          <w:rFonts w:ascii="Palatino Linotype" w:hAnsi="Palatino Linotype" w:eastAsia="Palatino Linotype"/>
          <w:b w:val="0"/>
          <w:i w:val="0"/>
          <w:sz w:val="20"/>
        </w:rPr>
        <w:t>Against these, three balancing loops operate. Loop B1 is the ordinary matching loop of search theory [41]: more searchers generate more meetings and therefore more hires. Loop B2 is aspiration adjustment: sustained failure lowers the reservation threshold, which raises acceptance. Loop B3 is exam-queue congestion: a longer queue lowers the realised success rate, which lowers the perceived value of queueing. Whether the system deteriorates therefore depends not on any single loop but on which loops dominate at which time—a question that can only be answered by deactivating them one at a time in a calibrated model [18].</w:t>
      </w:r>
    </w:p>
    <w:p>
      <w:pPr>
        <w:keepNext/>
        <w:spacing w:before="140" w:after="80"/>
      </w:pPr>
      <w:r>
        <w:rPr>
          <w:rFonts w:ascii="Palatino Linotype" w:hAnsi="Palatino Linotype" w:eastAsia="Palatino Linotype"/>
          <w:b/>
          <w:i w:val="0"/>
          <w:sz w:val="20"/>
        </w:rPr>
        <w:t>2.4. Research Questions</w:t>
      </w:r>
    </w:p>
    <w:p>
      <w:pPr>
        <w:spacing w:after="120"/>
        <w:jc w:val="both"/>
      </w:pPr>
      <w:r>
        <w:rPr>
          <w:rFonts w:ascii="Palatino Linotype" w:hAnsi="Palatino Linotype" w:eastAsia="Palatino Linotype"/>
          <w:b w:val="0"/>
          <w:i w:val="0"/>
          <w:sz w:val="20"/>
        </w:rPr>
        <w:t>The analysis is organised around four questions. RQ1: does the transition system possess multiple equilibria, so that the observed deterioration can be described as a trap in the bistability sense, or a single attractor that moves? RQ2: how fast does the system adjust, and how large is the gap between the realised state and its instantaneous equilibrium? RQ3: which feedback loops and which structural parameters dominate the behaviour, and how much of the outcome uncertainty does each explain? RQ4: at equal effort, which policy instruments move the system furthest, and does the order in which they are deployed matter?</w:t>
      </w:r>
    </w:p>
    <w:p>
      <w:pPr>
        <w:keepNext/>
        <w:spacing w:before="200" w:after="80"/>
      </w:pPr>
      <w:r>
        <w:rPr>
          <w:rFonts w:ascii="Palatino Linotype" w:hAnsi="Palatino Linotype" w:eastAsia="Palatino Linotype"/>
          <w:b/>
          <w:i w:val="0"/>
          <w:sz w:val="24"/>
        </w:rPr>
        <w:t>3. Model and Methods</w:t>
      </w:r>
    </w:p>
    <w:p>
      <w:pPr>
        <w:keepNext/>
        <w:spacing w:before="140" w:after="80"/>
      </w:pPr>
      <w:r>
        <w:rPr>
          <w:rFonts w:ascii="Palatino Linotype" w:hAnsi="Palatino Linotype" w:eastAsia="Palatino Linotype"/>
          <w:b/>
          <w:i w:val="0"/>
          <w:sz w:val="20"/>
        </w:rPr>
        <w:t>3.1. System Boundary</w:t>
      </w:r>
    </w:p>
    <w:p>
      <w:pPr>
        <w:spacing w:after="120"/>
        <w:jc w:val="both"/>
      </w:pPr>
      <w:r>
        <w:rPr>
          <w:rFonts w:ascii="Palatino Linotype" w:hAnsi="Palatino Linotype" w:eastAsia="Palatino Linotype"/>
          <w:b w:val="0"/>
          <w:i w:val="0"/>
          <w:sz w:val="20"/>
        </w:rPr>
        <w:t>The model represents the population of degree-holding labour-market entrants in China during an eight-year youth window, indexed in units of 10 thousand persons. Endogenous are the allocation of that population across search, delayed entry, well-matched and mismatched employment; the mean employability capital of searchers; and the mean aspiration threshold. Exogenous are the size and growth of the entering cohort, the growth of vacancies, the intensity of digital transformation, and the number of institutional posts. Firms are not modelled as optimising agents; their behaviour enters through the hiring threshold and the offer-quality function. Wages appear only through a composite job-quality index. Geography enters through the prefecture-level city archetypes of Section 4.10: the same structure is re-parameterised to represent the three broad city types into which China’s prefecture-level cities fall, rather than being embedded in an explicit spatial model. The horizon is 2015 to 2040 with 2025 as the policy-intervention date.</w:t>
      </w:r>
    </w:p>
    <w:p>
      <w:pPr>
        <w:keepNext/>
        <w:spacing w:before="140" w:after="80"/>
      </w:pPr>
      <w:r>
        <w:rPr>
          <w:rFonts w:ascii="Palatino Linotype" w:hAnsi="Palatino Linotype" w:eastAsia="Palatino Linotype"/>
          <w:b/>
          <w:i w:val="0"/>
          <w:sz w:val="20"/>
        </w:rPr>
        <w:t>3.2. Stocks, Flows and Rate Equations</w:t>
      </w:r>
    </w:p>
    <w:p>
      <w:pPr>
        <w:spacing w:after="120"/>
        <w:jc w:val="both"/>
      </w:pPr>
      <w:r>
        <w:rPr>
          <w:rFonts w:ascii="Palatino Linotype" w:hAnsi="Palatino Linotype" w:eastAsia="Palatino Linotype"/>
          <w:b w:val="0"/>
          <w:i w:val="0"/>
          <w:sz w:val="20"/>
        </w:rPr>
        <w:t xml:space="preserve">Six state variables are tracked. Four are population stocks: open searchers </w:t>
      </w:r>
      <m:oMath>
        <m:r>
          <m:rPr/>
          <m:t>S</m:t>
        </m:r>
      </m:oMath>
      <w:r>
        <w:rPr>
          <w:rFonts w:ascii="Palatino Linotype" w:hAnsi="Palatino Linotype" w:eastAsia="Palatino Linotype"/>
          <w:b w:val="0"/>
          <w:i w:val="0"/>
          <w:sz w:val="20"/>
        </w:rPr>
        <w:t xml:space="preserve">, exam-oriented queuers </w:t>
      </w:r>
      <m:oMath>
        <m:r>
          <m:rPr/>
          <m:t>Q</m:t>
        </m:r>
      </m:oMath>
      <w:r>
        <w:rPr>
          <w:rFonts w:ascii="Palatino Linotype" w:hAnsi="Palatino Linotype" w:eastAsia="Palatino Linotype"/>
          <w:b w:val="0"/>
          <w:i w:val="0"/>
          <w:sz w:val="20"/>
        </w:rPr>
        <w:t xml:space="preserve">, well-matched employment </w:t>
      </w:r>
      <m:oMath>
        <m:r>
          <m:rPr/>
          <m:t>M</m:t>
        </m:r>
      </m:oMath>
      <w:r>
        <w:rPr>
          <w:rFonts w:ascii="Palatino Linotype" w:hAnsi="Palatino Linotype" w:eastAsia="Palatino Linotype"/>
          <w:b w:val="0"/>
          <w:i w:val="0"/>
          <w:sz w:val="20"/>
        </w:rPr>
        <w:t xml:space="preserve"> and mismatched employment </w:t>
      </w:r>
      <m:oMath>
        <m:r>
          <m:rPr/>
          <m:t>U</m:t>
        </m:r>
      </m:oMath>
      <w:r>
        <w:rPr>
          <w:rFonts w:ascii="Palatino Linotype" w:hAnsi="Palatino Linotype" w:eastAsia="Palatino Linotype"/>
          <w:b w:val="0"/>
          <w:i w:val="0"/>
          <w:sz w:val="20"/>
        </w:rPr>
        <w:t xml:space="preserve">. Two are intensive states: the mean employability capital of the searching pool </w:t>
      </w:r>
      <m:oMath>
        <m:r>
          <m:rPr/>
          <m:t>H</m:t>
        </m:r>
      </m:oMath>
      <w:r>
        <w:rPr>
          <w:rFonts w:ascii="Palatino Linotype" w:hAnsi="Palatino Linotype" w:eastAsia="Palatino Linotype"/>
          <w:b w:val="0"/>
          <w:i w:val="0"/>
          <w:sz w:val="20"/>
        </w:rPr>
        <w:t xml:space="preserve"> and the mean aspiration threshold </w:t>
      </w:r>
      <m:oMath>
        <m:r>
          <m:rPr/>
          <m:t>A</m:t>
        </m:r>
      </m:oMath>
      <w:r>
        <w:rPr>
          <w:rFonts w:ascii="Palatino Linotype" w:hAnsi="Palatino Linotype" w:eastAsia="Palatino Linotype"/>
          <w:b w:val="0"/>
          <w:i w:val="0"/>
          <w:sz w:val="20"/>
        </w:rPr>
        <w:t>, both indices on the unit interval. Table 1 defines them together with the outcome indicators. Figure 2 gives the stock-and-flow structure.</w:t>
      </w:r>
    </w:p>
    <w:p>
      <w:pPr>
        <w:keepNext/>
        <w:spacing w:before="160" w:after="40"/>
      </w:pPr>
      <w:r>
        <w:rPr>
          <w:rFonts w:ascii="Palatino Linotype" w:hAnsi="Palatino Linotype" w:eastAsia="Palatino Linotype"/>
          <w:b/>
          <w:i w:val="0"/>
          <w:sz w:val="17"/>
        </w:rPr>
        <w:t xml:space="preserve">Table 1. </w:t>
      </w:r>
      <w:r>
        <w:rPr>
          <w:rFonts w:ascii="Palatino Linotype" w:hAnsi="Palatino Linotype" w:eastAsia="Palatino Linotype"/>
          <w:b w:val="0"/>
          <w:i w:val="0"/>
          <w:sz w:val="17"/>
        </w:rPr>
        <w:t>State variables, auxiliary variables and outcome indicators.</w:t>
      </w:r>
    </w:p>
    <w:tbl>
      <w:tblPr>
        <w:tblW w:w="0" w:type="auto"/>
        <w:jc w:val="center"/>
        <w:tblLayout w:type="fixed"/>
        <w:tblCellMar>
          <w:top w:w="0" w:type="dxa"/>
          <w:left w:w="40" w:type="dxa"/>
          <w:bottom w:w="0" w:type="dxa"/>
          <w:right w:w="40" w:type="dxa"/>
        </w:tblCellMar>
      </w:tblPr>
      <w:tblGrid>
        <w:gridCol w:w="1050"/>
        <w:gridCol w:w="3700"/>
        <w:gridCol w:w="1900"/>
        <w:gridCol w:w="1500"/>
      </w:tblGrid>
      <w:tr>
        <w:trPr>
          <w:tblHeader/>
          <w:jc w:val="center"/>
        </w:trPr>
        <w:tc>
          <w:tcPr>
            <w:tcW w:w="10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7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Name</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Unit</w:t>
            </w:r>
          </w:p>
        </w:tc>
        <w:tc>
          <w:tcPr>
            <w:tcW w:w="15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Role</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S</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Open searchers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10⁴ persons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Q</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Exam-oriented queuers (delayed entry)</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10⁴ persons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M</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Well-matched employment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10⁴ persons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U</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Mismatched (over-educated) employment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10⁴ persons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H</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Mean employability capital of searchers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Index (0–1)</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A</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Mean aspiration (reservation quality)</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Index (0–1)</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Stock</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\Psi</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Digital core industries, share of GDP</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Exogenous driver</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θ</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Employer skill threshold</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Index</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Auxiliary</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x</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 xml:space="preserve">Skill–threshold gap, </w:t>
            </w:r>
            <m:oMath>
              <m:r>
                <m:rPr/>
                <m:t>H</m:t>
              </m:r>
            </m:oMath>
            <w:r>
              <w:rPr>
                <w:rFonts w:ascii="Palatino Linotype" w:hAnsi="Palatino Linotype" w:eastAsia="Palatino Linotype"/>
                <w:b w:val="0"/>
                <w:i w:val="0"/>
                <w:sz w:val="16"/>
              </w:rPr>
              <w:t xml:space="preserve"> − </w:t>
            </w:r>
            <m:oMath>
              <m:r>
                <m:rPr/>
                <m:t>θ</m:t>
              </m:r>
            </m:oMath>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Index</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Auxiliary</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ϑ</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Market tightness, vacancies per searcher</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Ratio</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Auxiliary</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q</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Offered job quality</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Index</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Auxiliary</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h</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Hiring rate</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10⁴ persons yr⁻¹</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Auxiliary</w:t>
            </w:r>
          </w:p>
        </w:tc>
      </w:tr>
      <w:tr>
        <w:trPr>
          <w:jc w:val="center"/>
        </w:trPr>
        <w:tc>
          <w:tcPr>
            <w:tcW w:w="1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NER</w:t>
            </w:r>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Youth non-employment rate, (</w:t>
            </w:r>
            <m:oMath>
              <m:r>
                <m:rPr/>
                <m:t>S</m:t>
              </m:r>
            </m:oMath>
            <w:r>
              <w:rPr>
                <w:rFonts w:ascii="Palatino Linotype" w:hAnsi="Palatino Linotype" w:eastAsia="Palatino Linotype"/>
                <w:b w:val="0"/>
                <w:i w:val="0"/>
                <w:sz w:val="16"/>
              </w:rPr>
              <w:t>+</w:t>
            </w:r>
            <m:oMath>
              <m:r>
                <m:rPr/>
                <m:t>Q</m:t>
              </m:r>
            </m:oMath>
            <w:r>
              <w:rPr>
                <w:rFonts w:ascii="Palatino Linotype" w:hAnsi="Palatino Linotype" w:eastAsia="Palatino Linotype"/>
                <w:b w:val="0"/>
                <w:i w:val="0"/>
                <w:sz w:val="16"/>
              </w:rPr>
              <w:t>)/pool</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Outcome</w:t>
            </w:r>
          </w:p>
        </w:tc>
      </w:tr>
      <w:tr>
        <w:trPr>
          <w:jc w:val="center"/>
        </w:trPr>
        <w:tc>
          <w:tcPr>
            <w:tcW w:w="1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w:t>
            </w:r>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Slow-employment share of entrants</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Outcome</w:t>
            </w:r>
          </w:p>
        </w:tc>
      </w:tr>
      <w:tr>
        <w:trPr>
          <w:jc w:val="center"/>
        </w:trPr>
        <w:tc>
          <w:tcPr>
            <w:tcW w:w="1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MM</w:t>
            </w:r>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Vertical mismatch share of employment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Share</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Outcome</w:t>
            </w:r>
          </w:p>
        </w:tc>
      </w:tr>
      <w:tr>
        <w:trPr>
          <w:jc w:val="center"/>
        </w:trPr>
        <w:tc>
          <w:tcPr>
            <w:tcW w:w="1050" w:type="dxa"/>
            <w:tcBorders>
              <w:top w:val="nil"/>
              <w:left w:val="nil"/>
              <w:bottom w:val="nil"/>
              <w:right w:val="nil"/>
            </w:tcBorders>
          </w:tcPr>
          <w:p>
            <w:pPr>
              <w:spacing w:before="0" w:after="0" w:line="240" w:lineRule="auto"/>
              <w:ind w:left="0"/>
              <w:jc w:val="left"/>
              <w:rPr>
                <w:sz w:val="19"/>
              </w:rPr>
            </w:pPr>
            <m:oMath>
              <m:r>
                <m:rPr/>
                <m:t>D</m:t>
              </m:r>
            </m:oMath>
          </w:p>
        </w:tc>
        <w:tc>
          <w:tcPr>
            <w:tcW w:w="37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Mean transition duration to stable employment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Years</w:t>
            </w:r>
          </w:p>
        </w:tc>
        <w:tc>
          <w:tcPr>
            <w:tcW w:w="15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Outcome</w:t>
            </w:r>
          </w:p>
        </w:tc>
      </w:tr>
      <w:tr>
        <w:trPr>
          <w:jc w:val="center"/>
        </w:trPr>
        <w:tc>
          <w:tcPr>
            <w:tcW w:w="1050" w:type="dxa"/>
            <w:tcBorders>
              <w:top w:val="nil"/>
              <w:left w:val="nil"/>
              <w:bottom w:val="single" w:color="000000" w:sz="8" w:space="0"/>
              <w:right w:val="nil"/>
            </w:tcBorders>
          </w:tcPr>
          <w:p>
            <w:pPr>
              <w:spacing w:before="0" w:after="0" w:line="240" w:lineRule="auto"/>
              <w:ind w:left="0"/>
              <w:jc w:val="left"/>
              <w:rPr>
                <w:sz w:val="19"/>
              </w:rPr>
            </w:pPr>
            <m:oMath>
              <m:r>
                <m:rPr/>
                <m:t>R</m:t>
              </m:r>
            </m:oMath>
          </w:p>
        </w:tc>
        <w:tc>
          <w:tcPr>
            <w:tcW w:w="37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Queue-to-seat ratio (exam congestion)</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Ratio</w:t>
            </w:r>
          </w:p>
        </w:tc>
        <w:tc>
          <w:tcPr>
            <w:tcW w:w="15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Outcome</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The pool is </w:t>
      </w:r>
      <m:oMath>
        <m:r>
          <m:rPr/>
          <m:t>S</m:t>
        </m:r>
      </m:oMath>
      <w:r>
        <w:rPr>
          <w:rFonts w:ascii="Palatino Linotype" w:hAnsi="Palatino Linotype" w:eastAsia="Palatino Linotype"/>
          <w:b w:val="0"/>
          <w:i w:val="0"/>
          <w:sz w:val="14"/>
        </w:rPr>
        <w:t xml:space="preserve"> + </w:t>
      </w:r>
      <m:oMath>
        <m:r>
          <m:rPr/>
          <m:t>Q</m:t>
        </m:r>
      </m:oMath>
      <w:r>
        <w:rPr>
          <w:rFonts w:ascii="Palatino Linotype" w:hAnsi="Palatino Linotype" w:eastAsia="Palatino Linotype"/>
          <w:b w:val="0"/>
          <w:i w:val="0"/>
          <w:sz w:val="14"/>
        </w:rPr>
        <w:t xml:space="preserve"> + </w:t>
      </w:r>
      <m:oMath>
        <m:r>
          <m:rPr/>
          <m:t>M</m:t>
        </m:r>
      </m:oMath>
      <w:r>
        <w:rPr>
          <w:rFonts w:ascii="Palatino Linotype" w:hAnsi="Palatino Linotype" w:eastAsia="Palatino Linotype"/>
          <w:b w:val="0"/>
          <w:i w:val="0"/>
          <w:sz w:val="14"/>
        </w:rPr>
        <w:t xml:space="preserve"> + </w:t>
      </w:r>
      <m:oMath>
        <m:r>
          <m:rPr/>
          <m:t>U</m:t>
        </m:r>
      </m:oMath>
      <w:r>
        <w:rPr>
          <w:rFonts w:ascii="Palatino Linotype" w:hAnsi="Palatino Linotype" w:eastAsia="Palatino Linotype"/>
          <w:b w:val="0"/>
          <w:i w:val="0"/>
          <w:sz w:val="14"/>
        </w:rPr>
        <w:t>. GDP denotes gross domestic product. Transition duration is obtained from the stock–flow identity of Little’s law applied to the non-employed stock and the inflow into stable employment.</w:t>
      </w:r>
    </w:p>
    <w:p>
      <w:pPr>
        <w:spacing w:after="40"/>
        <w:jc w:val="center"/>
      </w:pPr>
      <w:r>
        <w:drawing>
          <wp:inline distT="0" distB="0" distL="114300" distR="114300">
            <wp:extent cx="5989320" cy="382641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21"/>
                    <a:stretch>
                      <a:fillRect/>
                    </a:stretch>
                  </pic:blipFill>
                  <pic:spPr>
                    <a:xfrm>
                      <a:off x="0" y="0"/>
                      <a:ext cx="5989320" cy="3826415"/>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2. </w:t>
      </w:r>
      <w:r>
        <w:rPr>
          <w:rFonts w:ascii="Palatino Linotype" w:hAnsi="Palatino Linotype" w:eastAsia="Palatino Linotype"/>
          <w:b w:val="0"/>
          <w:i w:val="0"/>
          <w:sz w:val="17"/>
        </w:rPr>
        <w:t>Stock-and-flow structure. Rectangles are stocks, bow-tie symbols are rate-controlling valves, clouds are boundaries of the system. The two intensive states and the behavioural rate equations are shown at the right.</w:t>
      </w:r>
    </w:p>
    <w:p>
      <w:pPr>
        <w:spacing w:after="120"/>
        <w:jc w:val="both"/>
      </w:pPr>
      <w:r>
        <w:rPr>
          <w:rFonts w:ascii="Palatino Linotype" w:hAnsi="Palatino Linotype" w:eastAsia="Palatino Linotype"/>
          <w:b w:val="0"/>
          <w:i w:val="0"/>
          <w:sz w:val="20"/>
        </w:rPr>
        <w:t>Digital transformation follows a logistic path fitted by least squares to the published national share of digital core industries in gross domestic product for 2020, 2023 and 2024 together with the 2030 policy target, with a maximum absolute residual of 0.06 percentage points [1]:</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Ψ</m:t>
        </m:r>
        <m:d>
          <m:dPr>
            <m:begChr m:val="("/>
            <m:endChr m:val=")"/>
          </m:dPr>
          <m:e>
            <m:r>
              <m:rPr/>
              <m:t>t</m:t>
            </m:r>
          </m:e>
        </m:d>
        <m:r>
          <m:rPr/>
          <m:t xml:space="preserve"> </m:t>
        </m:r>
        <m:r>
          <m:rPr>
            <m:sty m:val="p"/>
          </m:rPr>
          <m:t>=</m:t>
        </m:r>
        <m:r>
          <m:rPr/>
          <m:t xml:space="preserve"> </m:t>
        </m:r>
        <m:f>
          <m:fPr/>
          <m:num>
            <m:sSub>
              <m:sSubPr/>
              <m:e>
                <m:r>
                  <m:rPr/>
                  <m:t>Ψ</m:t>
                </m:r>
              </m:e>
              <m:sub>
                <m:r>
                  <m:rPr>
                    <m:sty m:val="p"/>
                  </m:rPr>
                  <m:t>m</m:t>
                </m:r>
                <m:r>
                  <m:rPr>
                    <m:sty m:val="p"/>
                  </m:rPr>
                  <m:t>ax</m:t>
                </m:r>
              </m:sub>
            </m:sSub>
          </m:num>
          <m:den>
            <m:r>
              <m:rPr/>
              <m:t>1</m:t>
            </m:r>
            <m:r>
              <m:rPr/>
              <m:t xml:space="preserve"> </m:t>
            </m:r>
            <m:r>
              <m:rPr>
                <m:sty m:val="p"/>
              </m:rPr>
              <m:t>+</m:t>
            </m:r>
            <m:r>
              <m:rPr/>
              <m:t xml:space="preserve"> </m:t>
            </m:r>
            <m:d>
              <m:dPr>
                <m:begChr m:val="("/>
                <m:endChr m:val=")"/>
              </m:dPr>
              <m:e>
                <m:f>
                  <m:fPr/>
                  <m:num>
                    <m:sSub>
                      <m:sSubPr/>
                      <m:e>
                        <m:r>
                          <m:rPr/>
                          <m:t>Ψ</m:t>
                        </m:r>
                      </m:e>
                      <m:sub>
                        <m:r>
                          <m:rPr>
                            <m:sty m:val="p"/>
                          </m:rPr>
                          <m:t>m</m:t>
                        </m:r>
                        <m:r>
                          <m:rPr>
                            <m:sty m:val="p"/>
                          </m:rPr>
                          <m:t>ax</m:t>
                        </m:r>
                      </m:sub>
                    </m:sSub>
                  </m:num>
                  <m:den>
                    <m:sSub>
                      <m:sSubPr/>
                      <m:e>
                        <m:r>
                          <m:rPr/>
                          <m:t>Ψ</m:t>
                        </m:r>
                      </m:e>
                      <m:sub>
                        <m:r>
                          <m:rPr/>
                          <m:t>0</m:t>
                        </m:r>
                      </m:sub>
                    </m:sSub>
                  </m:den>
                </m:f>
                <m:r>
                  <m:rPr/>
                  <m:t xml:space="preserve"> </m:t>
                </m:r>
                <m:r>
                  <m:rPr>
                    <m:sty m:val="p"/>
                  </m:rPr>
                  <m:t>−</m:t>
                </m:r>
                <m:r>
                  <m:rPr/>
                  <m:t xml:space="preserve"> </m:t>
                </m:r>
                <m:r>
                  <m:rPr/>
                  <m:t>1</m:t>
                </m:r>
              </m:e>
            </m:d>
            <m:r>
              <m:rPr/>
              <m:t xml:space="preserve"> </m:t>
            </m:r>
            <m:sSup>
              <m:sSupPr/>
              <m:e>
                <m:r>
                  <m:rPr>
                    <m:sty m:val="p"/>
                  </m:rPr>
                  <m:t>e</m:t>
                </m:r>
                <m:r>
                  <m:rPr>
                    <m:sty m:val="p"/>
                  </m:rPr>
                  <m:t>xp</m:t>
                </m:r>
              </m:e>
              <m:sup>
                <m:d>
                  <m:dPr>
                    <m:begChr m:val=""/>
                    <m:endChr m:val=""/>
                  </m:dPr>
                  <m:e>
                    <m:r>
                      <m:rPr/>
                      <m:t xml:space="preserve"> </m:t>
                    </m:r>
                    <m:r>
                      <m:rPr>
                        <m:sty m:val="p"/>
                      </m:rPr>
                      <m:t>−</m:t>
                    </m:r>
                    <m:r>
                      <m:rPr/>
                      <m:t xml:space="preserve"> </m:t>
                    </m:r>
                    <m:sSub>
                      <m:sSubPr/>
                      <m:e>
                        <m:r>
                          <m:rPr/>
                          <m:t>r</m:t>
                        </m:r>
                      </m:e>
                      <m:sub>
                        <m:r>
                          <m:rPr/>
                          <m:t>Ψ</m:t>
                        </m:r>
                      </m:sub>
                    </m:sSub>
                    <m:r>
                      <m:rPr/>
                      <m:t>t</m:t>
                    </m:r>
                  </m:e>
                </m:d>
              </m:sup>
            </m:sSup>
          </m:den>
        </m:f>
      </m:oMath>
      <w:r>
        <w:rPr>
          <w:rFonts w:ascii="Palatino Linotype" w:hAnsi="Palatino Linotype" w:eastAsia="Palatino Linotype"/>
          <w:b w:val="0"/>
          <w:i w:val="0"/>
          <w:sz w:val="20"/>
        </w:rPr>
        <w:tab/>
      </w:r>
      <w:r>
        <w:rPr>
          <w:rFonts w:ascii="Palatino Linotype" w:hAnsi="Palatino Linotype" w:eastAsia="Palatino Linotype"/>
          <w:b w:val="0"/>
          <w:i w:val="0"/>
          <w:sz w:val="20"/>
        </w:rPr>
        <w:t>(1)</w:t>
      </w:r>
    </w:p>
    <w:p>
      <w:pPr>
        <w:spacing w:after="120"/>
        <w:jc w:val="both"/>
      </w:pPr>
      <w:r>
        <w:rPr>
          <w:rFonts w:ascii="Palatino Linotype" w:hAnsi="Palatino Linotype" w:eastAsia="Palatino Linotype"/>
          <w:b w:val="0"/>
          <w:i w:val="0"/>
          <w:sz w:val="20"/>
        </w:rPr>
        <w:t>The employer skill threshold has an exogenous component that rises with digitalisation and an endogenous component that rises with observed mismatch, the latter being the link that closes loop R3:</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θ</m:t>
        </m:r>
        <m:d>
          <m:dPr>
            <m:begChr m:val="("/>
            <m:endChr m:val=")"/>
          </m:dPr>
          <m:e>
            <m:r>
              <m:rPr/>
              <m:t>t</m:t>
            </m:r>
          </m:e>
        </m:d>
        <m:r>
          <m:rPr/>
          <m:t xml:space="preserve"> </m:t>
        </m:r>
        <m:r>
          <m:rPr>
            <m:sty m:val="p"/>
          </m:rPr>
          <m:t>=</m:t>
        </m:r>
        <m:r>
          <m:rPr/>
          <m:t xml:space="preserve"> </m:t>
        </m:r>
        <m:sSub>
          <m:sSubPr/>
          <m:e>
            <m:r>
              <m:rPr/>
              <m:t>θ</m:t>
            </m:r>
          </m:e>
          <m:sub>
            <m:r>
              <m:rPr/>
              <m:t>0</m:t>
            </m:r>
          </m:sub>
        </m:sSub>
        <m:r>
          <m:rPr/>
          <m:t xml:space="preserve"> </m:t>
        </m:r>
        <m:r>
          <m:rPr>
            <m:sty m:val="p"/>
          </m:rPr>
          <m:t>+</m:t>
        </m:r>
        <m:r>
          <m:rPr/>
          <m:t xml:space="preserve"> </m:t>
        </m:r>
        <m:r>
          <m:rPr/>
          <m:t>κ</m:t>
        </m:r>
        <m:d>
          <m:dPr>
            <m:begChr m:val="("/>
            <m:endChr m:val=")"/>
          </m:dPr>
          <m:e>
            <m:r>
              <m:rPr>
                <m:sty m:val="p"/>
              </m:rPr>
              <m:t>Ψ</m:t>
            </m:r>
            <m:d>
              <m:dPr>
                <m:begChr m:val="("/>
                <m:endChr m:val=")"/>
              </m:dPr>
              <m:e>
                <m:r>
                  <m:rPr/>
                  <m:t>t</m:t>
                </m:r>
              </m:e>
            </m:d>
            <m:r>
              <m:rPr/>
              <m:t xml:space="preserve"> </m:t>
            </m:r>
            <m:r>
              <m:rPr>
                <m:sty m:val="p"/>
              </m:rPr>
              <m:t>−</m:t>
            </m:r>
            <m:r>
              <m:rPr/>
              <m:t xml:space="preserve"> </m:t>
            </m:r>
            <m:sSub>
              <m:sSubPr/>
              <m:e>
                <m:r>
                  <m:rPr/>
                  <m:t>Ψ</m:t>
                </m:r>
              </m:e>
              <m:sub>
                <m:r>
                  <m:rPr/>
                  <m:t>0</m:t>
                </m:r>
              </m:sub>
            </m:sSub>
          </m:e>
        </m:d>
        <m:r>
          <m:rPr/>
          <m:t xml:space="preserve"> </m:t>
        </m:r>
        <m:r>
          <m:rPr>
            <m:sty m:val="p"/>
          </m:rPr>
          <m:t>+</m:t>
        </m:r>
        <m:r>
          <m:rPr/>
          <m:t xml:space="preserve"> </m:t>
        </m:r>
        <m:sSub>
          <m:sSubPr/>
          <m:e>
            <m:r>
              <m:rPr/>
              <m:t>κ</m:t>
            </m:r>
          </m:e>
          <m:sub>
            <m:r>
              <m:rPr/>
              <m:t>2</m:t>
            </m:r>
          </m:sub>
        </m:sSub>
        <m:r>
          <m:rPr/>
          <m:t xml:space="preserve"> </m:t>
        </m:r>
        <m:f>
          <m:fPr/>
          <m:num>
            <m:r>
              <m:rPr>
                <m:sty m:val="p"/>
              </m:rPr>
              <m:t>U</m:t>
            </m:r>
            <m:d>
              <m:dPr>
                <m:begChr m:val="("/>
                <m:endChr m:val=")"/>
              </m:dPr>
              <m:e>
                <m:r>
                  <m:rPr/>
                  <m:t>t</m:t>
                </m:r>
              </m:e>
            </m:d>
          </m:num>
          <m:den>
            <m:r>
              <m:rPr>
                <m:sty m:val="p"/>
              </m:rPr>
              <m:t>M</m:t>
            </m:r>
            <m:d>
              <m:dPr>
                <m:begChr m:val="("/>
                <m:endChr m:val=")"/>
              </m:dPr>
              <m:e>
                <m:r>
                  <m:rPr/>
                  <m:t>t</m:t>
                </m:r>
              </m:e>
            </m:d>
            <m:r>
              <m:rPr/>
              <m:t xml:space="preserve"> </m:t>
            </m:r>
            <m:r>
              <m:rPr>
                <m:sty m:val="p"/>
              </m:rPr>
              <m:t>+</m:t>
            </m:r>
            <m:r>
              <m:rPr/>
              <m:t xml:space="preserve"> </m:t>
            </m:r>
            <m:r>
              <m:rPr>
                <m:sty m:val="p"/>
              </m:rPr>
              <m:t>U</m:t>
            </m:r>
            <m:d>
              <m:dPr>
                <m:begChr m:val="("/>
                <m:endChr m:val=")"/>
              </m:dPr>
              <m:e>
                <m:r>
                  <m:rPr/>
                  <m:t>t</m:t>
                </m:r>
              </m:e>
            </m:d>
          </m:den>
        </m:f>
      </m:oMath>
      <w:r>
        <w:rPr>
          <w:rFonts w:ascii="Palatino Linotype" w:hAnsi="Palatino Linotype" w:eastAsia="Palatino Linotype"/>
          <w:b w:val="0"/>
          <w:i w:val="0"/>
          <w:sz w:val="20"/>
        </w:rPr>
        <w:tab/>
      </w:r>
      <w:r>
        <w:rPr>
          <w:rFonts w:ascii="Palatino Linotype" w:hAnsi="Palatino Linotype" w:eastAsia="Palatino Linotype"/>
          <w:b w:val="0"/>
          <w:i w:val="0"/>
          <w:sz w:val="20"/>
        </w:rPr>
        <w:t>(2)</w:t>
      </w:r>
    </w:p>
    <w:p>
      <w:pPr>
        <w:spacing w:after="120"/>
        <w:jc w:val="both"/>
      </w:pPr>
      <w:r>
        <w:rPr>
          <w:rFonts w:ascii="Palatino Linotype" w:hAnsi="Palatino Linotype" w:eastAsia="Palatino Linotype"/>
          <w:b w:val="0"/>
          <w:i w:val="0"/>
          <w:sz w:val="20"/>
        </w:rPr>
        <w:t>The skill–threshold gap is the difference between what searchers carry and what employers require; it is the single most consequential auxiliary in the model, and its sign change is the behavioural signature discussed in Section 4.1:</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x</m:t>
        </m:r>
        <m:d>
          <m:dPr>
            <m:begChr m:val="("/>
            <m:endChr m:val=")"/>
          </m:dPr>
          <m:e>
            <m:r>
              <m:rPr/>
              <m:t>t</m:t>
            </m:r>
          </m:e>
        </m:d>
        <m:r>
          <m:rPr/>
          <m:t xml:space="preserve"> </m:t>
        </m:r>
        <m:r>
          <m:rPr>
            <m:sty m:val="p"/>
          </m:rPr>
          <m:t>=</m:t>
        </m:r>
        <m:r>
          <m:rPr/>
          <m:t xml:space="preserve"> </m:t>
        </m:r>
        <m:r>
          <m:rPr>
            <m:sty m:val="p"/>
          </m:rPr>
          <m:t>H</m:t>
        </m:r>
        <m:d>
          <m:dPr>
            <m:begChr m:val="("/>
            <m:endChr m:val=")"/>
          </m:dPr>
          <m:e>
            <m:r>
              <m:rPr/>
              <m:t>t</m:t>
            </m:r>
          </m:e>
        </m:d>
        <m:r>
          <m:rPr/>
          <m:t xml:space="preserve"> </m:t>
        </m:r>
        <m:r>
          <m:rPr>
            <m:sty m:val="p"/>
          </m:rPr>
          <m:t>−</m:t>
        </m:r>
        <m:r>
          <m:rPr/>
          <m:t xml:space="preserve"> </m:t>
        </m:r>
        <m:r>
          <m:rPr>
            <m:sty m:val="p"/>
          </m:rPr>
          <m:t>θ</m:t>
        </m:r>
        <m:d>
          <m:dPr>
            <m:begChr m:val="("/>
            <m:endChr m:val=")"/>
          </m:dPr>
          <m:e>
            <m:r>
              <m:rPr/>
              <m:t>t</m:t>
            </m:r>
          </m:e>
        </m:d>
      </m:oMath>
      <w:r>
        <w:rPr>
          <w:rFonts w:ascii="Palatino Linotype" w:hAnsi="Palatino Linotype" w:eastAsia="Palatino Linotype"/>
          <w:b w:val="0"/>
          <w:i w:val="0"/>
          <w:sz w:val="20"/>
        </w:rPr>
        <w:tab/>
      </w:r>
      <w:r>
        <w:rPr>
          <w:rFonts w:ascii="Palatino Linotype" w:hAnsi="Palatino Linotype" w:eastAsia="Palatino Linotype"/>
          <w:b w:val="0"/>
          <w:i w:val="0"/>
          <w:sz w:val="20"/>
        </w:rPr>
        <w:t>(3)</w:t>
      </w:r>
    </w:p>
    <w:p>
      <w:pPr>
        <w:spacing w:after="120"/>
        <w:jc w:val="both"/>
      </w:pPr>
      <w:r>
        <w:rPr>
          <w:rFonts w:ascii="Palatino Linotype" w:hAnsi="Palatino Linotype" w:eastAsia="Palatino Linotype"/>
          <w:b w:val="0"/>
          <w:i w:val="0"/>
          <w:sz w:val="20"/>
        </w:rPr>
        <w:t>Meetings between searchers and vacancies follow a constant-returns Cobb–Douglas matching function of the form for which the empirical support is strongest [41], and market tightness is the vacancy-to-searcher ratio:</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m</m:t>
        </m:r>
        <m:d>
          <m:dPr>
            <m:begChr m:val="("/>
            <m:endChr m:val=")"/>
          </m:dPr>
          <m:e>
            <m:r>
              <m:rPr/>
              <m:t>t</m:t>
            </m:r>
          </m:e>
        </m:d>
        <m:r>
          <m:rPr/>
          <m:t xml:space="preserve"> </m:t>
        </m:r>
        <m:r>
          <m:rPr>
            <m:sty m:val="p"/>
          </m:rPr>
          <m:t>=</m:t>
        </m:r>
        <m:r>
          <m:rPr/>
          <m:t xml:space="preserve"> </m:t>
        </m:r>
        <m:r>
          <m:rPr/>
          <m:t>μ</m:t>
        </m:r>
        <m:r>
          <m:rPr/>
          <m:t xml:space="preserve"> </m:t>
        </m:r>
        <m:sSup>
          <m:sSupPr/>
          <m:e>
            <m:r>
              <m:rPr>
                <m:sty m:val="p"/>
              </m:rPr>
              <m:t>S</m:t>
            </m:r>
            <m:d>
              <m:dPr>
                <m:begChr m:val="("/>
                <m:endChr m:val=")"/>
              </m:dPr>
              <m:e>
                <m:r>
                  <m:rPr/>
                  <m:t>t</m:t>
                </m:r>
              </m:e>
            </m:d>
          </m:e>
          <m:sup>
            <m:r>
              <m:rPr/>
              <m:t>α</m:t>
            </m:r>
          </m:sup>
        </m:sSup>
        <m:r>
          <m:rPr/>
          <m:t xml:space="preserve"> </m:t>
        </m:r>
        <m:sSup>
          <m:sSupPr/>
          <m:e>
            <m:r>
              <m:rPr>
                <m:sty m:val="p"/>
              </m:rPr>
              <m:t>V</m:t>
            </m:r>
            <m:d>
              <m:dPr>
                <m:begChr m:val="("/>
                <m:endChr m:val=")"/>
              </m:dPr>
              <m:e>
                <m:r>
                  <m:rPr/>
                  <m:t>t</m:t>
                </m:r>
              </m:e>
            </m:d>
          </m:e>
          <m:sup>
            <m:r>
              <m:rPr/>
              <m:t>1</m:t>
            </m:r>
            <m:r>
              <m:rPr/>
              <m:t xml:space="preserve"> </m:t>
            </m:r>
            <m:r>
              <m:rPr>
                <m:sty m:val="p"/>
              </m:rPr>
              <m:t>−</m:t>
            </m:r>
            <m:r>
              <m:rPr/>
              <m:t xml:space="preserve"> </m:t>
            </m:r>
            <m:r>
              <m:rPr/>
              <m:t>α</m:t>
            </m:r>
          </m:sup>
        </m:sSup>
        <m:r>
          <m:rPr/>
          <m:t>,</m:t>
        </m:r>
        <m:r>
          <m:rPr/>
          <m:t xml:space="preserve"> </m:t>
        </m:r>
        <m:r>
          <m:rPr/>
          <m:t xml:space="preserve"> </m:t>
        </m:r>
        <m:r>
          <m:rPr>
            <m:sty m:val="p"/>
          </m:rPr>
          <m:t>ϑ</m:t>
        </m:r>
        <m:d>
          <m:dPr>
            <m:begChr m:val="("/>
            <m:endChr m:val=")"/>
          </m:dPr>
          <m:e>
            <m:r>
              <m:rPr/>
              <m:t>t</m:t>
            </m:r>
          </m:e>
        </m:d>
        <m:r>
          <m:rPr/>
          <m:t xml:space="preserve"> </m:t>
        </m:r>
        <m:r>
          <m:rPr>
            <m:sty m:val="p"/>
          </m:rPr>
          <m:t>=</m:t>
        </m:r>
        <m:r>
          <m:rPr/>
          <m:t xml:space="preserve"> </m:t>
        </m:r>
        <m:f>
          <m:fPr/>
          <m:num>
            <m:r>
              <m:rPr>
                <m:sty m:val="p"/>
              </m:rPr>
              <m:t>V</m:t>
            </m:r>
            <m:d>
              <m:dPr>
                <m:begChr m:val="("/>
                <m:endChr m:val=")"/>
              </m:dPr>
              <m:e>
                <m:r>
                  <m:rPr/>
                  <m:t>t</m:t>
                </m:r>
              </m:e>
            </m:d>
          </m:num>
          <m:den>
            <m:r>
              <m:rPr>
                <m:sty m:val="p"/>
              </m:rPr>
              <m:t>S</m:t>
            </m:r>
            <m:d>
              <m:dPr>
                <m:begChr m:val="("/>
                <m:endChr m:val=")"/>
              </m:dPr>
              <m:e>
                <m:r>
                  <m:rPr/>
                  <m:t>t</m:t>
                </m:r>
              </m:e>
            </m:d>
          </m:den>
        </m:f>
      </m:oMath>
      <w:r>
        <w:rPr>
          <w:rFonts w:ascii="Palatino Linotype" w:hAnsi="Palatino Linotype" w:eastAsia="Palatino Linotype"/>
          <w:b w:val="0"/>
          <w:i w:val="0"/>
          <w:sz w:val="20"/>
        </w:rPr>
        <w:tab/>
      </w:r>
      <w:r>
        <w:rPr>
          <w:rFonts w:ascii="Palatino Linotype" w:hAnsi="Palatino Linotype" w:eastAsia="Palatino Linotype"/>
          <w:b w:val="0"/>
          <w:i w:val="0"/>
          <w:sz w:val="20"/>
        </w:rPr>
        <w:t>(4)</w:t>
      </w:r>
    </w:p>
    <w:p>
      <w:pPr>
        <w:spacing w:after="120"/>
        <w:jc w:val="both"/>
      </w:pPr>
      <w:r>
        <w:rPr>
          <w:rFonts w:ascii="Palatino Linotype" w:hAnsi="Palatino Linotype" w:eastAsia="Palatino Linotype"/>
          <w:b w:val="0"/>
          <w:i w:val="0"/>
          <w:sz w:val="20"/>
        </w:rPr>
        <w:t xml:space="preserve">Three behavioural probabilities convert meetings into hires. The screening pass rate is logistic in the skill–threshold gap; the acceptance rate is logistic in the difference between offered quality and aspiration; and the probability that a realised hire is a good match is logistic in the gap with its own intercept. Here </w:t>
      </w:r>
      <m:oMath>
        <m:r>
          <m:rPr/>
          <m:t>\Lambda</m:t>
        </m:r>
      </m:oMath>
      <w:r>
        <w:rPr>
          <w:rFonts w:ascii="Palatino Linotype" w:hAnsi="Palatino Linotype" w:eastAsia="Palatino Linotype"/>
          <w:b w:val="0"/>
          <w:i w:val="0"/>
          <w:sz w:val="20"/>
        </w:rPr>
        <w:t xml:space="preserve"> denotes the standard logistic function:</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p</m:t>
            </m:r>
          </m:e>
          <m:sub>
            <m:r>
              <m:rPr/>
              <m:t>s</m:t>
            </m:r>
          </m:sub>
        </m:sSub>
        <m:r>
          <m:rPr/>
          <m:t xml:space="preserve"> </m:t>
        </m:r>
        <m:r>
          <m:rPr>
            <m:sty m:val="p"/>
          </m:rPr>
          <m:t>=</m:t>
        </m:r>
        <m:r>
          <m:rPr/>
          <m:t xml:space="preserve"> </m:t>
        </m:r>
        <m:r>
          <m:rPr>
            <m:sty m:val="p"/>
          </m:rPr>
          <m:t>Λ</m:t>
        </m:r>
        <m:d>
          <m:dPr>
            <m:begChr m:val="("/>
            <m:endChr m:val=")"/>
          </m:dPr>
          <m:e>
            <m:sSub>
              <m:sSubPr/>
              <m:e>
                <m:r>
                  <m:rPr/>
                  <m:t>β</m:t>
                </m:r>
              </m:e>
              <m:sub>
                <m:r>
                  <m:rPr/>
                  <m:t>s</m:t>
                </m:r>
              </m:sub>
            </m:sSub>
            <m:r>
              <m:rPr/>
              <m:t>x</m:t>
            </m:r>
          </m:e>
        </m:d>
        <m:r>
          <m:rPr/>
          <m:t>,</m:t>
        </m:r>
        <m:r>
          <m:rPr/>
          <m:t xml:space="preserve"> </m:t>
        </m:r>
        <m:r>
          <m:rPr/>
          <m:t xml:space="preserve"> </m:t>
        </m:r>
        <m:sSub>
          <m:sSubPr/>
          <m:e>
            <m:r>
              <m:rPr/>
              <m:t>p</m:t>
            </m:r>
          </m:e>
          <m:sub>
            <m:r>
              <m:rPr/>
              <m:t>a</m:t>
            </m:r>
          </m:sub>
        </m:sSub>
        <m:r>
          <m:rPr/>
          <m:t xml:space="preserve"> </m:t>
        </m:r>
        <m:r>
          <m:rPr>
            <m:sty m:val="p"/>
          </m:rPr>
          <m:t>=</m:t>
        </m:r>
        <m:r>
          <m:rPr/>
          <m:t xml:space="preserve"> </m:t>
        </m:r>
        <m:r>
          <m:rPr>
            <m:sty m:val="p"/>
          </m:rPr>
          <m:t>Λ</m:t>
        </m:r>
        <m:d>
          <m:dPr>
            <m:begChr m:val="("/>
            <m:endChr m:val=")"/>
          </m:dPr>
          <m:e>
            <m:sSub>
              <m:sSubPr/>
              <m:e>
                <m:r>
                  <m:rPr/>
                  <m:t>β</m:t>
                </m:r>
              </m:e>
              <m:sub>
                <m:r>
                  <m:rPr/>
                  <m:t>a</m:t>
                </m:r>
              </m:sub>
            </m:sSub>
            <m:d>
              <m:dPr>
                <m:begChr m:val="("/>
                <m:endChr m:val=")"/>
              </m:dPr>
              <m:e>
                <m:r>
                  <m:rPr/>
                  <m:t>q</m:t>
                </m:r>
                <m:r>
                  <m:rPr/>
                  <m:t xml:space="preserve"> </m:t>
                </m:r>
                <m:r>
                  <m:rPr>
                    <m:sty m:val="p"/>
                  </m:rPr>
                  <m:t>−</m:t>
                </m:r>
                <m:r>
                  <m:rPr/>
                  <m:t xml:space="preserve"> </m:t>
                </m:r>
                <m:r>
                  <m:rPr/>
                  <m:t>A</m:t>
                </m:r>
              </m:e>
            </m:d>
          </m:e>
        </m:d>
        <m:r>
          <m:rPr/>
          <m:t>,</m:t>
        </m:r>
        <m:r>
          <m:rPr/>
          <m:t xml:space="preserve"> </m:t>
        </m:r>
        <m:r>
          <m:rPr/>
          <m:t xml:space="preserve"> </m:t>
        </m:r>
        <m:r>
          <m:rPr/>
          <m:t>σ</m:t>
        </m:r>
        <m:r>
          <m:rPr/>
          <m:t xml:space="preserve"> </m:t>
        </m:r>
        <m:r>
          <m:rPr>
            <m:sty m:val="p"/>
          </m:rPr>
          <m:t>=</m:t>
        </m:r>
        <m:r>
          <m:rPr/>
          <m:t xml:space="preserve"> </m:t>
        </m:r>
        <m:r>
          <m:rPr>
            <m:sty m:val="p"/>
          </m:rPr>
          <m:t>Λ</m:t>
        </m:r>
        <m:d>
          <m:dPr>
            <m:begChr m:val="("/>
            <m:endChr m:val=")"/>
          </m:dPr>
          <m:e>
            <m:sSub>
              <m:sSubPr/>
              <m:e>
                <m:r>
                  <m:rPr/>
                  <m:t>σ</m:t>
                </m:r>
              </m:e>
              <m:sub>
                <m:r>
                  <m:rPr/>
                  <m:t>0</m:t>
                </m:r>
              </m:sub>
            </m:sSub>
            <m:r>
              <m:rPr/>
              <m:t xml:space="preserve"> </m:t>
            </m:r>
            <m:r>
              <m:rPr>
                <m:sty m:val="p"/>
              </m:rPr>
              <m:t>+</m:t>
            </m:r>
            <m:r>
              <m:rPr/>
              <m:t xml:space="preserve"> </m:t>
            </m:r>
            <m:sSub>
              <m:sSubPr/>
              <m:e>
                <m:r>
                  <m:rPr/>
                  <m:t>β</m:t>
                </m:r>
              </m:e>
              <m:sub>
                <m:r>
                  <m:rPr/>
                  <m:t>σ</m:t>
                </m:r>
              </m:sub>
            </m:sSub>
            <m:r>
              <m:rPr/>
              <m:t>x</m:t>
            </m:r>
          </m:e>
        </m:d>
      </m:oMath>
      <w:r>
        <w:rPr>
          <w:rFonts w:ascii="Palatino Linotype" w:hAnsi="Palatino Linotype" w:eastAsia="Palatino Linotype"/>
          <w:b w:val="0"/>
          <w:i w:val="0"/>
          <w:sz w:val="20"/>
        </w:rPr>
        <w:tab/>
      </w:r>
      <w:r>
        <w:rPr>
          <w:rFonts w:ascii="Palatino Linotype" w:hAnsi="Palatino Linotype" w:eastAsia="Palatino Linotype"/>
          <w:b w:val="0"/>
          <w:i w:val="0"/>
          <w:sz w:val="20"/>
        </w:rPr>
        <w:t>(5)</w:t>
      </w:r>
    </w:p>
    <w:p>
      <w:pPr>
        <w:spacing w:after="120"/>
        <w:jc w:val="both"/>
      </w:pPr>
      <w:r>
        <w:rPr>
          <w:rFonts w:ascii="Palatino Linotype" w:hAnsi="Palatino Linotype" w:eastAsia="Palatino Linotype"/>
          <w:b w:val="0"/>
          <w:i w:val="0"/>
          <w:sz w:val="20"/>
        </w:rPr>
        <w:t>Offered job quality rises with market tightness, which is the link that closes the congestion loop R4:</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q</m:t>
        </m:r>
        <m:d>
          <m:dPr>
            <m:begChr m:val="("/>
            <m:endChr m:val=")"/>
          </m:dPr>
          <m:e>
            <m:r>
              <m:rPr/>
              <m:t>t</m:t>
            </m:r>
          </m:e>
        </m:d>
        <m:r>
          <m:rPr/>
          <m:t xml:space="preserve"> </m:t>
        </m:r>
        <m:r>
          <m:rPr>
            <m:sty m:val="p"/>
          </m:rPr>
          <m:t>=</m:t>
        </m:r>
        <m:r>
          <m:rPr/>
          <m:t xml:space="preserve"> </m:t>
        </m:r>
        <m:sSub>
          <m:sSubPr/>
          <m:e>
            <m:r>
              <m:rPr/>
              <m:t>q</m:t>
            </m:r>
          </m:e>
          <m:sub>
            <m:r>
              <m:rPr/>
              <m:t>0</m:t>
            </m:r>
          </m:sub>
        </m:sSub>
        <m:r>
          <m:rPr/>
          <m:t xml:space="preserve"> </m:t>
        </m:r>
        <m:r>
          <m:rPr>
            <m:sty m:val="p"/>
          </m:rPr>
          <m:t>+</m:t>
        </m:r>
        <m:r>
          <m:rPr/>
          <m:t xml:space="preserve"> </m:t>
        </m:r>
        <m:sSub>
          <m:sSubPr/>
          <m:e>
            <m:r>
              <m:rPr/>
              <m:t>γ</m:t>
            </m:r>
          </m:e>
          <m:sub>
            <m:r>
              <m:rPr/>
              <m:t>q</m:t>
            </m:r>
          </m:sub>
        </m:sSub>
        <m:r>
          <m:rPr/>
          <m:t xml:space="preserve"> </m:t>
        </m:r>
        <m:r>
          <m:rPr>
            <m:sty m:val="p"/>
          </m:rPr>
          <m:t>l</m:t>
        </m:r>
        <m:r>
          <m:rPr>
            <m:sty m:val="p"/>
          </m:rPr>
          <m:t>n</m:t>
        </m:r>
        <m:d>
          <m:dPr>
            <m:begChr m:val="("/>
            <m:endChr m:val=")"/>
          </m:dPr>
          <m:e>
            <m:r>
              <m:rPr/>
              <m:t>1</m:t>
            </m:r>
            <m:r>
              <m:rPr/>
              <m:t xml:space="preserve"> </m:t>
            </m:r>
            <m:r>
              <m:rPr>
                <m:sty m:val="p"/>
              </m:rPr>
              <m:t>+</m:t>
            </m:r>
            <m:r>
              <m:rPr/>
              <m:t xml:space="preserve"> </m:t>
            </m:r>
            <m:r>
              <m:rPr>
                <m:sty m:val="p"/>
              </m:rPr>
              <m:t>ϑ</m:t>
            </m:r>
            <m:d>
              <m:dPr>
                <m:begChr m:val="("/>
                <m:endChr m:val=")"/>
              </m:dPr>
              <m:e>
                <m:r>
                  <m:rPr/>
                  <m:t>t</m:t>
                </m:r>
              </m:e>
            </m:d>
          </m:e>
        </m:d>
      </m:oMath>
      <w:r>
        <w:rPr>
          <w:rFonts w:ascii="Palatino Linotype" w:hAnsi="Palatino Linotype" w:eastAsia="Palatino Linotype"/>
          <w:b w:val="0"/>
          <w:i w:val="0"/>
          <w:sz w:val="20"/>
        </w:rPr>
        <w:tab/>
      </w:r>
      <w:r>
        <w:rPr>
          <w:rFonts w:ascii="Palatino Linotype" w:hAnsi="Palatino Linotype" w:eastAsia="Palatino Linotype"/>
          <w:b w:val="0"/>
          <w:i w:val="0"/>
          <w:sz w:val="20"/>
        </w:rPr>
        <w:t>(6)</w:t>
      </w:r>
    </w:p>
    <w:p>
      <w:pPr>
        <w:spacing w:after="120"/>
        <w:jc w:val="both"/>
      </w:pPr>
      <w:r>
        <w:rPr>
          <w:rFonts w:ascii="Palatino Linotype" w:hAnsi="Palatino Linotype" w:eastAsia="Palatino Linotype"/>
          <w:b w:val="0"/>
          <w:i w:val="0"/>
          <w:sz w:val="20"/>
        </w:rPr>
        <w:t>The hiring rate is the product of meetings and the two probabilities, subject to a smooth capacity limit that prevents the searcher stock from being depleted faster than the minimum feasible search duration allows. The smooth minimum preserves continuous differentiability, which is required for the Jacobian analysis of Section 3.6:</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h</m:t>
        </m:r>
        <m:d>
          <m:dPr>
            <m:begChr m:val="("/>
            <m:endChr m:val=")"/>
          </m:dPr>
          <m:e>
            <m:r>
              <m:rPr/>
              <m:t>t</m:t>
            </m:r>
          </m:e>
        </m:d>
        <m:r>
          <m:rPr/>
          <m:t xml:space="preserve"> </m:t>
        </m:r>
        <m:r>
          <m:rPr>
            <m:sty m:val="p"/>
          </m:rPr>
          <m:t>=</m:t>
        </m:r>
        <m:r>
          <m:rPr/>
          <m:t xml:space="preserve"> </m:t>
        </m:r>
        <m:r>
          <m:rPr>
            <m:sty m:val="p"/>
          </m:rPr>
          <m:t>smin</m:t>
        </m:r>
        <m:d>
          <m:dPr>
            <m:begChr m:val="("/>
            <m:endChr m:val=")"/>
          </m:dPr>
          <m:e>
            <m:r>
              <m:rPr/>
              <m:t>m</m:t>
            </m:r>
            <m:r>
              <m:rPr/>
              <m:t xml:space="preserve"> </m:t>
            </m:r>
            <m:sSub>
              <m:sSubPr/>
              <m:e>
                <m:r>
                  <m:rPr/>
                  <m:t>p</m:t>
                </m:r>
              </m:e>
              <m:sub>
                <m:r>
                  <m:rPr/>
                  <m:t>s</m:t>
                </m:r>
              </m:sub>
            </m:sSub>
            <m:r>
              <m:rPr/>
              <m:t xml:space="preserve"> </m:t>
            </m:r>
            <m:sSub>
              <m:sSubPr/>
              <m:e>
                <m:r>
                  <m:rPr/>
                  <m:t>p</m:t>
                </m:r>
              </m:e>
              <m:sub>
                <m:r>
                  <m:rPr/>
                  <m:t>a</m:t>
                </m:r>
              </m:sub>
            </m:sSub>
            <m:r>
              <m:rPr/>
              <m:t xml:space="preserve">, </m:t>
            </m:r>
            <m:f>
              <m:fPr/>
              <m:num>
                <m:r>
                  <m:rPr/>
                  <m:t>S</m:t>
                </m:r>
              </m:num>
              <m:den>
                <m:sSub>
                  <m:sSubPr/>
                  <m:e>
                    <m:r>
                      <m:rPr/>
                      <m:t>d</m:t>
                    </m:r>
                  </m:e>
                  <m:sub>
                    <m:r>
                      <m:rPr>
                        <m:sty m:val="p"/>
                      </m:rPr>
                      <m:t>m</m:t>
                    </m:r>
                    <m:r>
                      <m:rPr>
                        <m:sty m:val="p"/>
                      </m:rPr>
                      <m:t>in</m:t>
                    </m:r>
                  </m:sub>
                </m:sSub>
              </m:den>
            </m:f>
          </m:e>
        </m:d>
        <m:r>
          <m:rPr/>
          <m:t>,</m:t>
        </m:r>
        <m:r>
          <m:rPr/>
          <m:t xml:space="preserve"> </m:t>
        </m:r>
        <m:r>
          <m:rPr/>
          <m:t xml:space="preserve"> </m:t>
        </m:r>
        <m:r>
          <m:rPr>
            <m:sty m:val="p"/>
          </m:rPr>
          <m:t>smin</m:t>
        </m:r>
        <m:d>
          <m:dPr>
            <m:begChr m:val="("/>
            <m:endChr m:val=")"/>
          </m:dPr>
          <m:e>
            <m:r>
              <m:rPr/>
              <m:t>a</m:t>
            </m:r>
            <m:r>
              <m:rPr/>
              <m:t xml:space="preserve">, </m:t>
            </m:r>
            <m:r>
              <m:rPr/>
              <m:t>b</m:t>
            </m:r>
          </m:e>
        </m:d>
        <m:r>
          <m:rPr/>
          <m:t xml:space="preserve"> </m:t>
        </m:r>
        <m:r>
          <m:rPr>
            <m:sty m:val="p"/>
          </m:rPr>
          <m:t>=</m:t>
        </m:r>
        <m:r>
          <m:rPr/>
          <m:t xml:space="preserve"> </m:t>
        </m:r>
        <m:f>
          <m:fPr/>
          <m:num>
            <m:r>
              <m:rPr/>
              <m:t>a</m:t>
            </m:r>
            <m:r>
              <m:rPr/>
              <m:t>b</m:t>
            </m:r>
          </m:num>
          <m:den>
            <m:r>
              <m:rPr/>
              <m:t>a</m:t>
            </m:r>
            <m:r>
              <m:rPr/>
              <m:t xml:space="preserve"> </m:t>
            </m:r>
            <m:r>
              <m:rPr>
                <m:sty m:val="p"/>
              </m:rPr>
              <m:t>+</m:t>
            </m:r>
            <m:r>
              <m:rPr/>
              <m:t xml:space="preserve"> </m:t>
            </m:r>
            <m:r>
              <m:rPr/>
              <m:t>b</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(7)</w:t>
      </w:r>
    </w:p>
    <w:p>
      <w:pPr>
        <w:spacing w:after="120"/>
        <w:jc w:val="both"/>
      </w:pPr>
      <w:r>
        <w:rPr>
          <w:rFonts w:ascii="Palatino Linotype" w:hAnsi="Palatino Linotype" w:eastAsia="Palatino Linotype"/>
          <w:b w:val="0"/>
          <w:i w:val="0"/>
          <w:sz w:val="20"/>
        </w:rPr>
        <w:t>The allocation between continued open search and entry into the examination queue is a normalised logit comparison of two values. The value of search is the expected quality of a job obtained this period. The value of queueing is the value of an institutional post weighted by a Prelec probability-weighting function of the realised success rate, the compound-invariant form for which axiomatic support exists [39,40]. Because the weighting function is concave near zero, a success rate of order one per cent still carries substantial decision weight, which is what allows the queue to persist:</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W</m:t>
            </m:r>
          </m:e>
          <m:sub>
            <m:r>
              <m:rPr/>
              <m:t>S</m:t>
            </m:r>
          </m:sub>
        </m:sSub>
        <m:r>
          <m:rPr/>
          <m:t xml:space="preserve"> </m:t>
        </m:r>
        <m:r>
          <m:rPr>
            <m:sty m:val="p"/>
          </m:rPr>
          <m:t>=</m:t>
        </m:r>
        <m:r>
          <m:rPr/>
          <m:t xml:space="preserve"> </m:t>
        </m:r>
        <m:sSub>
          <m:sSubPr/>
          <m:e>
            <m:r>
              <m:rPr/>
              <m:t>p</m:t>
            </m:r>
          </m:e>
          <m:sub>
            <m:r>
              <m:rPr/>
              <m:t>s</m:t>
            </m:r>
          </m:sub>
        </m:sSub>
        <m:r>
          <m:rPr/>
          <m:t xml:space="preserve"> </m:t>
        </m:r>
        <m:sSub>
          <m:sSubPr/>
          <m:e>
            <m:r>
              <m:rPr/>
              <m:t>p</m:t>
            </m:r>
          </m:e>
          <m:sub>
            <m:r>
              <m:rPr/>
              <m:t>a</m:t>
            </m:r>
          </m:sub>
        </m:sSub>
        <m:r>
          <m:rPr/>
          <m:t xml:space="preserve"> </m:t>
        </m:r>
        <m:r>
          <m:rPr/>
          <m:t>q</m:t>
        </m:r>
        <m:r>
          <m:rPr/>
          <m:t>,</m:t>
        </m:r>
        <m:r>
          <m:rPr/>
          <m:t xml:space="preserve"> </m:t>
        </m:r>
        <m:r>
          <m:rPr/>
          <m:t xml:space="preserve"> </m:t>
        </m:r>
        <m:sSub>
          <m:sSubPr/>
          <m:e>
            <m:r>
              <m:rPr/>
              <m:t>W</m:t>
            </m:r>
          </m:e>
          <m:sub>
            <m:r>
              <m:rPr/>
              <m:t>Q</m:t>
            </m:r>
          </m:sub>
        </m:sSub>
        <m:r>
          <m:rPr/>
          <m:t xml:space="preserve"> </m:t>
        </m:r>
        <m:r>
          <m:rPr>
            <m:sty m:val="p"/>
          </m:rPr>
          <m:t>=</m:t>
        </m:r>
        <m:r>
          <m:rPr/>
          <m:t xml:space="preserve"> </m:t>
        </m:r>
        <m:r>
          <m:rPr/>
          <m:t>Π</m:t>
        </m:r>
        <m:r>
          <m:rPr/>
          <m:t xml:space="preserve"> </m:t>
        </m:r>
        <m:r>
          <m:rPr>
            <m:sty m:val="p"/>
          </m:rPr>
          <m:t>w</m:t>
        </m:r>
        <m:d>
          <m:dPr>
            <m:begChr m:val="("/>
            <m:endChr m:val=")"/>
          </m:dPr>
          <m:e>
            <m:sSub>
              <m:sSubPr/>
              <m:e>
                <m:r>
                  <m:rPr/>
                  <m:t>π</m:t>
                </m:r>
              </m:e>
              <m:sub>
                <m:r>
                  <m:rPr/>
                  <m:t>e</m:t>
                </m:r>
              </m:sub>
            </m:sSub>
          </m:e>
        </m:d>
        <m:r>
          <m:rPr/>
          <m:t>,</m:t>
        </m:r>
        <m:r>
          <m:rPr/>
          <m:t xml:space="preserve"> </m:t>
        </m:r>
        <m:r>
          <m:rPr/>
          <m:t xml:space="preserve"> </m:t>
        </m:r>
        <m:r>
          <m:rPr>
            <m:sty m:val="p"/>
          </m:rPr>
          <m:t>w</m:t>
        </m:r>
        <m:d>
          <m:dPr>
            <m:begChr m:val="("/>
            <m:endChr m:val=")"/>
          </m:dPr>
          <m:e>
            <m:r>
              <m:rPr/>
              <m:t>π</m:t>
            </m:r>
          </m:e>
        </m:d>
        <m:r>
          <m:rPr/>
          <m:t xml:space="preserve"> </m:t>
        </m:r>
        <m:r>
          <m:rPr>
            <m:sty m:val="p"/>
          </m:rPr>
          <m:t>=</m:t>
        </m:r>
        <m:r>
          <m:rPr/>
          <m:t xml:space="preserve"> </m:t>
        </m:r>
        <m:sSup>
          <m:sSupPr/>
          <m:e>
            <m:r>
              <m:rPr>
                <m:sty m:val="p"/>
              </m:rPr>
              <m:t>e</m:t>
            </m:r>
            <m:r>
              <m:rPr>
                <m:sty m:val="p"/>
              </m:rPr>
              <m:t>xp</m:t>
            </m:r>
          </m:e>
          <m:sup>
            <m:d>
              <m:dPr>
                <m:begChr m:val=""/>
                <m:endChr m:val=""/>
              </m:dPr>
              <m:e>
                <m:r>
                  <m:rPr/>
                  <m:t xml:space="preserve"> </m:t>
                </m:r>
                <m:r>
                  <m:rPr>
                    <m:sty m:val="p"/>
                  </m:rPr>
                  <m:t>−</m:t>
                </m:r>
                <m:r>
                  <m:rPr/>
                  <m:t xml:space="preserve"> </m:t>
                </m:r>
                <m:sSup>
                  <m:sSupPr/>
                  <m:e>
                    <m:d>
                      <m:dPr>
                        <m:begChr m:val="("/>
                        <m:endChr m:val=")"/>
                      </m:dPr>
                      <m:e>
                        <m:r>
                          <m:rPr/>
                          <m:t xml:space="preserve"> </m:t>
                        </m:r>
                        <m:r>
                          <m:rPr>
                            <m:sty m:val="p"/>
                          </m:rPr>
                          <m:t>−</m:t>
                        </m:r>
                        <m:r>
                          <m:rPr/>
                          <m:t xml:space="preserve"> </m:t>
                        </m:r>
                        <m:r>
                          <m:rPr>
                            <m:sty m:val="p"/>
                          </m:rPr>
                          <m:t>l</m:t>
                        </m:r>
                        <m:r>
                          <m:rPr>
                            <m:sty m:val="p"/>
                          </m:rPr>
                          <m:t>n</m:t>
                        </m:r>
                        <m:r>
                          <m:rPr/>
                          <m:t xml:space="preserve"> </m:t>
                        </m:r>
                        <m:r>
                          <m:rPr/>
                          <m:t>π</m:t>
                        </m:r>
                      </m:e>
                    </m:d>
                  </m:e>
                  <m:sup>
                    <m:r>
                      <m:rPr/>
                      <m:t>ε</m:t>
                    </m:r>
                  </m:sup>
                </m:sSup>
              </m:e>
            </m:d>
          </m:sup>
        </m:sSup>
      </m:oMath>
      <w:r>
        <w:rPr>
          <w:rFonts w:ascii="Palatino Linotype" w:hAnsi="Palatino Linotype" w:eastAsia="Palatino Linotype"/>
          <w:b w:val="0"/>
          <w:i w:val="0"/>
          <w:sz w:val="20"/>
        </w:rPr>
        <w:tab/>
      </w:r>
      <w:r>
        <w:rPr>
          <w:rFonts w:ascii="Palatino Linotype" w:hAnsi="Palatino Linotype" w:eastAsia="Palatino Linotype"/>
          <w:b w:val="0"/>
          <w:i w:val="0"/>
          <w:sz w:val="20"/>
        </w:rPr>
        <w:t>(8)</w:t>
      </w:r>
    </w:p>
    <w:p>
      <w:pPr>
        <w:spacing w:after="120"/>
        <w:jc w:val="both"/>
      </w:pPr>
      <w:r>
        <w:rPr>
          <w:rFonts w:ascii="Palatino Linotype" w:hAnsi="Palatino Linotype" w:eastAsia="Palatino Linotype"/>
          <w:b w:val="0"/>
          <w:i w:val="0"/>
          <w:sz w:val="20"/>
        </w:rPr>
        <w:t>Entry into and exit from the queue follow from that comparison, with a discouragement rate returning queuers to open search:</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f</m:t>
            </m:r>
          </m:e>
          <m:sub>
            <m:r>
              <m:rPr/>
              <m:t>SQ</m:t>
            </m:r>
          </m:sub>
        </m:sSub>
        <m:r>
          <m:rPr/>
          <m:t xml:space="preserve"> </m:t>
        </m:r>
        <m:r>
          <m:rPr>
            <m:sty m:val="p"/>
          </m:rPr>
          <m:t>=</m:t>
        </m:r>
        <m:r>
          <m:rPr/>
          <m:t xml:space="preserve"> </m:t>
        </m:r>
        <m:r>
          <m:rPr/>
          <m:t>ν</m:t>
        </m:r>
        <m:r>
          <m:rPr/>
          <m:t xml:space="preserve"> </m:t>
        </m:r>
        <m:r>
          <m:rPr/>
          <m:t>S</m:t>
        </m:r>
        <m:r>
          <m:rPr/>
          <m:t xml:space="preserve"> </m:t>
        </m:r>
        <m:r>
          <m:rPr>
            <m:sty m:val="p"/>
          </m:rPr>
          <m:t>Λ</m:t>
        </m:r>
        <m:d>
          <m:dPr>
            <m:begChr m:val="("/>
            <m:endChr m:val=")"/>
          </m:dPr>
          <m:e>
            <m:sSub>
              <m:sSubPr/>
              <m:e>
                <m:r>
                  <m:rPr/>
                  <m:t>β</m:t>
                </m:r>
              </m:e>
              <m:sub>
                <m:r>
                  <m:rPr/>
                  <m:t>c</m:t>
                </m:r>
              </m:sub>
            </m:sSub>
            <m:f>
              <m:fPr/>
              <m:num>
                <m:sSub>
                  <m:sSubPr/>
                  <m:e>
                    <m:r>
                      <m:rPr/>
                      <m:t>W</m:t>
                    </m:r>
                  </m:e>
                  <m:sub>
                    <m:r>
                      <m:rPr/>
                      <m:t>Q</m:t>
                    </m:r>
                  </m:sub>
                </m:sSub>
                <m:r>
                  <m:rPr/>
                  <m:t xml:space="preserve"> </m:t>
                </m:r>
                <m:r>
                  <m:rPr>
                    <m:sty m:val="p"/>
                  </m:rPr>
                  <m:t>−</m:t>
                </m:r>
                <m:r>
                  <m:rPr/>
                  <m:t xml:space="preserve"> </m:t>
                </m:r>
                <m:sSub>
                  <m:sSubPr/>
                  <m:e>
                    <m:r>
                      <m:rPr/>
                      <m:t>W</m:t>
                    </m:r>
                  </m:e>
                  <m:sub>
                    <m:r>
                      <m:rPr/>
                      <m:t>S</m:t>
                    </m:r>
                  </m:sub>
                </m:sSub>
              </m:num>
              <m:den>
                <m:sSub>
                  <m:sSubPr/>
                  <m:e>
                    <m:r>
                      <m:rPr/>
                      <m:t>W</m:t>
                    </m:r>
                  </m:e>
                  <m:sub>
                    <m:r>
                      <m:rPr/>
                      <m:t>Q</m:t>
                    </m:r>
                  </m:sub>
                </m:sSub>
                <m:r>
                  <m:rPr/>
                  <m:t xml:space="preserve"> </m:t>
                </m:r>
                <m:r>
                  <m:rPr>
                    <m:sty m:val="p"/>
                  </m:rPr>
                  <m:t>+</m:t>
                </m:r>
                <m:r>
                  <m:rPr/>
                  <m:t xml:space="preserve"> </m:t>
                </m:r>
                <m:sSub>
                  <m:sSubPr/>
                  <m:e>
                    <m:r>
                      <m:rPr/>
                      <m:t>W</m:t>
                    </m:r>
                  </m:e>
                  <m:sub>
                    <m:r>
                      <m:rPr/>
                      <m:t>S</m:t>
                    </m:r>
                  </m:sub>
                </m:sSub>
              </m:den>
            </m:f>
          </m:e>
        </m:d>
        <m:r>
          <m:rPr/>
          <m:t>,</m:t>
        </m:r>
        <m:r>
          <m:rPr/>
          <m:t xml:space="preserve"> </m:t>
        </m:r>
        <m:r>
          <m:rPr/>
          <m:t xml:space="preserve"> </m:t>
        </m:r>
        <m:sSub>
          <m:sSubPr/>
          <m:e>
            <m:r>
              <m:rPr/>
              <m:t>f</m:t>
            </m:r>
          </m:e>
          <m:sub>
            <m:r>
              <m:rPr/>
              <m:t>QS</m:t>
            </m:r>
          </m:sub>
        </m:sSub>
        <m:r>
          <m:rPr/>
          <m:t xml:space="preserve"> </m:t>
        </m:r>
        <m:r>
          <m:rPr>
            <m:sty m:val="p"/>
          </m:rPr>
          <m:t>=</m:t>
        </m:r>
        <m:r>
          <m:rPr/>
          <m:t xml:space="preserve"> </m:t>
        </m:r>
        <m:sSub>
          <m:sSubPr/>
          <m:e>
            <m:r>
              <m:rPr/>
              <m:t>ν</m:t>
            </m:r>
          </m:e>
          <m:sub>
            <m:r>
              <m:rPr/>
              <m:t>r</m:t>
            </m:r>
          </m:sub>
        </m:sSub>
        <m:r>
          <m:rPr/>
          <m:t xml:space="preserve"> </m:t>
        </m:r>
        <m:r>
          <m:rPr/>
          <m:t>Q</m:t>
        </m:r>
        <m:d>
          <m:dPr>
            <m:begChr m:val="["/>
            <m:endChr m:val="]"/>
          </m:dPr>
          <m:e>
            <m:r>
              <m:rPr/>
              <m:t>1</m:t>
            </m:r>
            <m:r>
              <m:rPr/>
              <m:t xml:space="preserve"> </m:t>
            </m:r>
            <m:r>
              <m:rPr>
                <m:sty m:val="p"/>
              </m:rPr>
              <m:t>−</m:t>
            </m:r>
            <m:r>
              <m:rPr/>
              <m:t xml:space="preserve"> </m:t>
            </m:r>
            <m:r>
              <m:rPr>
                <m:sty m:val="p"/>
              </m:rPr>
              <m:t>Λ</m:t>
            </m:r>
            <m:d>
              <m:dPr>
                <m:begChr m:val="("/>
                <m:endChr m:val=")"/>
              </m:dPr>
              <m:e>
                <m:r>
                  <m:rPr/>
                  <m:t>·</m:t>
                </m:r>
              </m:e>
            </m:d>
          </m:e>
        </m:d>
      </m:oMath>
      <w:r>
        <w:rPr>
          <w:rFonts w:ascii="Palatino Linotype" w:hAnsi="Palatino Linotype" w:eastAsia="Palatino Linotype"/>
          <w:b w:val="0"/>
          <w:i w:val="0"/>
          <w:sz w:val="20"/>
        </w:rPr>
        <w:tab/>
      </w:r>
      <w:r>
        <w:rPr>
          <w:rFonts w:ascii="Palatino Linotype" w:hAnsi="Palatino Linotype" w:eastAsia="Palatino Linotype"/>
          <w:b w:val="0"/>
          <w:i w:val="0"/>
          <w:sz w:val="20"/>
        </w:rPr>
        <w:t>(9)</w:t>
      </w:r>
    </w:p>
    <w:p>
      <w:pPr>
        <w:spacing w:after="120"/>
        <w:jc w:val="both"/>
      </w:pPr>
      <w:r>
        <w:rPr>
          <w:rFonts w:ascii="Palatino Linotype" w:hAnsi="Palatino Linotype" w:eastAsia="Palatino Linotype"/>
          <w:b w:val="0"/>
          <w:i w:val="0"/>
          <w:sz w:val="20"/>
        </w:rPr>
        <w:t xml:space="preserve">The four population stocks then obey the following accounting identities, in which </w:t>
      </w:r>
      <m:oMath>
        <m:r>
          <m:rPr/>
          <m:t>\Phi</m:t>
        </m:r>
      </m:oMath>
      <w:r>
        <w:rPr>
          <w:rFonts w:ascii="Palatino Linotype" w:hAnsi="Palatino Linotype" w:eastAsia="Palatino Linotype"/>
          <w:b w:val="0"/>
          <w:i w:val="0"/>
          <w:sz w:val="20"/>
        </w:rPr>
        <w:t xml:space="preserve"> is the entering cohort, </w:t>
      </w:r>
      <m:oMath>
        <m:r>
          <m:rPr/>
          <m:t>ω</m:t>
        </m:r>
      </m:oMath>
      <w:r>
        <w:rPr>
          <w:rFonts w:ascii="Palatino Linotype" w:hAnsi="Palatino Linotype" w:eastAsia="Palatino Linotype"/>
          <w:b w:val="0"/>
          <w:i w:val="0"/>
          <w:sz w:val="20"/>
        </w:rPr>
        <w:t xml:space="preserve"> the rate of exit from the youth window, and </w:t>
      </w:r>
      <m:oMath>
        <m:sSub>
          <m:sSubPr/>
          <m:e>
            <m:r>
              <m:rPr/>
              <m:t>δ</m:t>
            </m:r>
          </m:e>
          <m:sub>
            <m:r>
              <m:rPr/>
              <m:t>M</m:t>
            </m:r>
          </m:sub>
        </m:sSub>
      </m:oMath>
      <w:r>
        <w:rPr>
          <w:rFonts w:ascii="Palatino Linotype" w:hAnsi="Palatino Linotype" w:eastAsia="Palatino Linotype"/>
          <w:b w:val="0"/>
          <w:i w:val="0"/>
          <w:sz w:val="20"/>
        </w:rPr>
        <w:t xml:space="preserve"> and </w:t>
      </w:r>
      <m:oMath>
        <m:sSub>
          <m:sSubPr/>
          <m:e>
            <m:r>
              <m:rPr/>
              <m:t>δ</m:t>
            </m:r>
          </m:e>
          <m:sub>
            <m:r>
              <m:rPr/>
              <m:t>U</m:t>
            </m:r>
          </m:sub>
        </m:sSub>
      </m:oMath>
      <w:r>
        <w:rPr>
          <w:rFonts w:ascii="Palatino Linotype" w:hAnsi="Palatino Linotype" w:eastAsia="Palatino Linotype"/>
          <w:b w:val="0"/>
          <w:i w:val="0"/>
          <w:sz w:val="20"/>
        </w:rPr>
        <w:t xml:space="preserve"> the separation rates from matched and mismatched employment:</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r>
              <m:rPr/>
              <m:t>S</m:t>
            </m:r>
          </m:e>
        </m:acc>
        <m:r>
          <m:rPr/>
          <m:t xml:space="preserve"> </m:t>
        </m:r>
        <m:r>
          <m:rPr>
            <m:sty m:val="p"/>
          </m:rPr>
          <m:t>=</m:t>
        </m:r>
        <m:r>
          <m:rPr/>
          <m:t xml:space="preserve"> </m:t>
        </m:r>
        <m:r>
          <m:rPr>
            <m:sty m:val="p"/>
          </m:rPr>
          <m:t>Φ</m:t>
        </m:r>
        <m:d>
          <m:dPr>
            <m:begChr m:val="("/>
            <m:endChr m:val=")"/>
          </m:dPr>
          <m:e>
            <m:r>
              <m:rPr/>
              <m:t>t</m:t>
            </m:r>
          </m:e>
        </m:d>
        <m:r>
          <m:rPr/>
          <m:t xml:space="preserve"> </m:t>
        </m:r>
        <m:r>
          <m:rPr>
            <m:sty m:val="p"/>
          </m:rPr>
          <m:t>+</m:t>
        </m:r>
        <m:r>
          <m:rPr/>
          <m:t xml:space="preserve"> </m:t>
        </m:r>
        <m:sSub>
          <m:sSubPr/>
          <m:e>
            <m:r>
              <m:rPr/>
              <m:t>f</m:t>
            </m:r>
          </m:e>
          <m:sub>
            <m:r>
              <m:rPr/>
              <m:t>QS</m:t>
            </m:r>
          </m:sub>
        </m:sSub>
        <m:r>
          <m:rPr/>
          <m:t xml:space="preserve"> </m:t>
        </m:r>
        <m:r>
          <m:rPr>
            <m:sty m:val="p"/>
          </m:rPr>
          <m:t>+</m:t>
        </m:r>
        <m:r>
          <m:rPr/>
          <m:t xml:space="preserve"> </m:t>
        </m:r>
        <m:sSub>
          <m:sSubPr/>
          <m:e>
            <m:r>
              <m:rPr/>
              <m:t>δ</m:t>
            </m:r>
          </m:e>
          <m:sub>
            <m:r>
              <m:rPr/>
              <m:t>M</m:t>
            </m:r>
          </m:sub>
        </m:sSub>
        <m:r>
          <m:rPr/>
          <m:t>M</m:t>
        </m:r>
        <m:r>
          <m:rPr/>
          <m:t xml:space="preserve"> </m:t>
        </m:r>
        <m:r>
          <m:rPr>
            <m:sty m:val="p"/>
          </m:rPr>
          <m:t>+</m:t>
        </m:r>
        <m:r>
          <m:rPr/>
          <m:t xml:space="preserve"> </m:t>
        </m:r>
        <m:sSub>
          <m:sSubPr/>
          <m:e>
            <m:r>
              <m:rPr/>
              <m:t>δ</m:t>
            </m:r>
          </m:e>
          <m:sub>
            <m:r>
              <m:rPr/>
              <m:t>U</m:t>
            </m:r>
          </m:sub>
        </m:sSub>
        <m:r>
          <m:rPr/>
          <m:t>U</m:t>
        </m:r>
        <m:r>
          <m:rPr/>
          <m:t xml:space="preserve"> </m:t>
        </m:r>
        <m:r>
          <m:rPr>
            <m:sty m:val="p"/>
          </m:rPr>
          <m:t>−</m:t>
        </m:r>
        <m:r>
          <m:rPr/>
          <m:t xml:space="preserve"> </m:t>
        </m:r>
        <m:r>
          <m:rPr/>
          <m:t>h</m:t>
        </m:r>
        <m:r>
          <m:rPr/>
          <m:t xml:space="preserve"> </m:t>
        </m:r>
        <m:r>
          <m:rPr>
            <m:sty m:val="p"/>
          </m:rPr>
          <m:t>−</m:t>
        </m:r>
        <m:r>
          <m:rPr/>
          <m:t xml:space="preserve"> </m:t>
        </m:r>
        <m:sSub>
          <m:sSubPr/>
          <m:e>
            <m:r>
              <m:rPr/>
              <m:t>f</m:t>
            </m:r>
          </m:e>
          <m:sub>
            <m:r>
              <m:rPr/>
              <m:t>SQ</m:t>
            </m:r>
          </m:sub>
        </m:sSub>
        <m:r>
          <m:rPr/>
          <m:t xml:space="preserve"> </m:t>
        </m:r>
        <m:r>
          <m:rPr>
            <m:sty m:val="p"/>
          </m:rPr>
          <m:t>−</m:t>
        </m:r>
        <m:r>
          <m:rPr/>
          <m:t xml:space="preserve"> </m:t>
        </m:r>
        <m:r>
          <m:rPr/>
          <m:t>ω</m:t>
        </m:r>
        <m:r>
          <m:rPr/>
          <m:t>S</m:t>
        </m:r>
      </m:oMath>
      <w:r>
        <w:rPr>
          <w:rFonts w:ascii="Palatino Linotype" w:hAnsi="Palatino Linotype" w:eastAsia="Palatino Linotype"/>
          <w:b w:val="0"/>
          <w:i w:val="0"/>
          <w:sz w:val="20"/>
        </w:rPr>
        <w:tab/>
      </w:r>
      <w:r>
        <w:rPr>
          <w:rFonts w:ascii="Palatino Linotype" w:hAnsi="Palatino Linotype" w:eastAsia="Palatino Linotype"/>
          <w:b w:val="0"/>
          <w:i w:val="0"/>
          <w:sz w:val="20"/>
        </w:rPr>
        <w:t>(10)</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r>
              <m:rPr/>
              <m:t>Q</m:t>
            </m:r>
          </m:e>
        </m:acc>
        <m:r>
          <m:rPr/>
          <m:t xml:space="preserve"> </m:t>
        </m:r>
        <m:r>
          <m:rPr>
            <m:sty m:val="p"/>
          </m:rPr>
          <m:t>=</m:t>
        </m:r>
        <m:r>
          <m:rPr/>
          <m:t xml:space="preserve"> </m:t>
        </m:r>
        <m:sSub>
          <m:sSubPr/>
          <m:e>
            <m:r>
              <m:rPr/>
              <m:t>f</m:t>
            </m:r>
          </m:e>
          <m:sub>
            <m:r>
              <m:rPr/>
              <m:t>SQ</m:t>
            </m:r>
          </m:sub>
        </m:sSub>
        <m:r>
          <m:rPr/>
          <m:t xml:space="preserve"> </m:t>
        </m:r>
        <m:r>
          <m:rPr>
            <m:sty m:val="p"/>
          </m:rPr>
          <m:t>−</m:t>
        </m:r>
        <m:r>
          <m:rPr/>
          <m:t xml:space="preserve"> </m:t>
        </m:r>
        <m:sSub>
          <m:sSubPr/>
          <m:e>
            <m:r>
              <m:rPr/>
              <m:t>f</m:t>
            </m:r>
          </m:e>
          <m:sub>
            <m:r>
              <m:rPr/>
              <m:t>QS</m:t>
            </m:r>
          </m:sub>
        </m:sSub>
        <m:r>
          <m:rPr/>
          <m:t xml:space="preserve"> </m:t>
        </m:r>
        <m:r>
          <m:rPr>
            <m:sty m:val="p"/>
          </m:rPr>
          <m:t>−</m:t>
        </m:r>
        <m:r>
          <m:rPr/>
          <m:t xml:space="preserve"> </m:t>
        </m:r>
        <m:sSub>
          <m:sSubPr/>
          <m:e>
            <m:r>
              <m:rPr/>
              <m:t>f</m:t>
            </m:r>
          </m:e>
          <m:sub>
            <m:r>
              <m:rPr/>
              <m:t>QM</m:t>
            </m:r>
          </m:sub>
        </m:sSub>
        <m:r>
          <m:rPr/>
          <m:t xml:space="preserve"> </m:t>
        </m:r>
        <m:r>
          <m:rPr>
            <m:sty m:val="p"/>
          </m:rPr>
          <m:t>−</m:t>
        </m:r>
        <m:r>
          <m:rPr/>
          <m:t xml:space="preserve"> </m:t>
        </m:r>
        <m:r>
          <m:rPr/>
          <m:t>ω</m:t>
        </m:r>
        <m:r>
          <m:rPr/>
          <m:t>Q</m:t>
        </m:r>
        <m:r>
          <m:rPr/>
          <m:t>,</m:t>
        </m:r>
        <m:r>
          <m:rPr/>
          <m:t xml:space="preserve"> </m:t>
        </m:r>
        <m:r>
          <m:rPr/>
          <m:t xml:space="preserve"> </m:t>
        </m:r>
        <m:sSub>
          <m:sSubPr/>
          <m:e>
            <m:r>
              <m:rPr/>
              <m:t>f</m:t>
            </m:r>
          </m:e>
          <m:sub>
            <m:r>
              <m:rPr/>
              <m:t>QM</m:t>
            </m:r>
          </m:sub>
        </m:sSub>
        <m:r>
          <m:rPr/>
          <m:t xml:space="preserve"> </m:t>
        </m:r>
        <m:r>
          <m:rPr>
            <m:sty m:val="p"/>
          </m:rPr>
          <m:t>=</m:t>
        </m:r>
        <m:r>
          <m:rPr/>
          <m:t xml:space="preserve"> </m:t>
        </m:r>
        <m:r>
          <m:rPr>
            <m:sty m:val="p"/>
          </m:rPr>
          <m:t>smin</m:t>
        </m:r>
        <m:d>
          <m:dPr>
            <m:begChr m:val="("/>
            <m:endChr m:val=")"/>
          </m:dPr>
          <m:e>
            <m:r>
              <m:rPr/>
              <m:t>Ξ</m:t>
            </m:r>
            <m:r>
              <m:rPr/>
              <m:t xml:space="preserve">, </m:t>
            </m:r>
            <m:r>
              <m:rPr/>
              <m:t>Q</m:t>
            </m:r>
          </m:e>
        </m:d>
        <m:r>
          <m:rPr/>
          <m:t>,</m:t>
        </m:r>
        <m:r>
          <m:rPr/>
          <m:t xml:space="preserve"> </m:t>
        </m:r>
        <m:r>
          <m:rPr/>
          <m:t xml:space="preserve"> </m:t>
        </m:r>
        <m:sSub>
          <m:sSubPr/>
          <m:e>
            <m:r>
              <m:rPr/>
              <m:t>π</m:t>
            </m:r>
          </m:e>
          <m:sub>
            <m:r>
              <m:rPr/>
              <m:t>e</m:t>
            </m:r>
          </m:sub>
        </m:sSub>
        <m:r>
          <m:rPr/>
          <m:t xml:space="preserve"> </m:t>
        </m:r>
        <m:r>
          <m:rPr>
            <m:sty m:val="p"/>
          </m:rPr>
          <m:t>=</m:t>
        </m:r>
        <m:r>
          <m:rPr/>
          <m:t xml:space="preserve"> </m:t>
        </m:r>
        <m:f>
          <m:fPr/>
          <m:num>
            <m:sSub>
              <m:sSubPr/>
              <m:e>
                <m:r>
                  <m:rPr/>
                  <m:t>f</m:t>
                </m:r>
              </m:e>
              <m:sub>
                <m:r>
                  <m:rPr/>
                  <m:t>QM</m:t>
                </m:r>
              </m:sub>
            </m:sSub>
          </m:num>
          <m:den>
            <m:r>
              <m:rPr/>
              <m:t>Q</m:t>
            </m:r>
          </m:den>
        </m:f>
      </m:oMath>
      <w:r>
        <w:rPr>
          <w:rFonts w:ascii="Palatino Linotype" w:hAnsi="Palatino Linotype" w:eastAsia="Palatino Linotype"/>
          <w:b w:val="0"/>
          <w:i w:val="0"/>
          <w:sz w:val="20"/>
        </w:rPr>
        <w:tab/>
      </w:r>
      <w:r>
        <w:rPr>
          <w:rFonts w:ascii="Palatino Linotype" w:hAnsi="Palatino Linotype" w:eastAsia="Palatino Linotype"/>
          <w:b w:val="0"/>
          <w:i w:val="0"/>
          <w:sz w:val="20"/>
        </w:rPr>
        <w:t>(11)</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r>
              <m:rPr/>
              <m:t>M</m:t>
            </m:r>
          </m:e>
        </m:acc>
        <m:r>
          <m:rPr/>
          <m:t xml:space="preserve"> </m:t>
        </m:r>
        <m:r>
          <m:rPr>
            <m:sty m:val="p"/>
          </m:rPr>
          <m:t>=</m:t>
        </m:r>
        <m:r>
          <m:rPr/>
          <m:t xml:space="preserve"> </m:t>
        </m:r>
        <m:r>
          <m:rPr/>
          <m:t>h</m:t>
        </m:r>
        <m:r>
          <m:rPr/>
          <m:t>σ</m:t>
        </m:r>
        <m:r>
          <m:rPr/>
          <m:t xml:space="preserve"> </m:t>
        </m:r>
        <m:r>
          <m:rPr>
            <m:sty m:val="p"/>
          </m:rPr>
          <m:t>+</m:t>
        </m:r>
        <m:r>
          <m:rPr/>
          <m:t xml:space="preserve"> </m:t>
        </m:r>
        <m:sSub>
          <m:sSubPr/>
          <m:e>
            <m:r>
              <m:rPr/>
              <m:t>f</m:t>
            </m:r>
          </m:e>
          <m:sub>
            <m:r>
              <m:rPr/>
              <m:t>QM</m:t>
            </m:r>
          </m:sub>
        </m:sSub>
        <m:r>
          <m:rPr/>
          <m:t xml:space="preserve"> </m:t>
        </m:r>
        <m:r>
          <m:rPr>
            <m:sty m:val="p"/>
          </m:rPr>
          <m:t>−</m:t>
        </m:r>
        <m:r>
          <m:rPr/>
          <m:t xml:space="preserve"> </m:t>
        </m:r>
        <m:d>
          <m:dPr>
            <m:begChr m:val="("/>
            <m:endChr m:val=")"/>
          </m:dPr>
          <m:e>
            <m:sSub>
              <m:sSubPr/>
              <m:e>
                <m:r>
                  <m:rPr/>
                  <m:t>δ</m:t>
                </m:r>
              </m:e>
              <m:sub>
                <m:r>
                  <m:rPr/>
                  <m:t>M</m:t>
                </m:r>
              </m:sub>
            </m:sSub>
            <m:r>
              <m:rPr/>
              <m:t xml:space="preserve"> </m:t>
            </m:r>
            <m:r>
              <m:rPr>
                <m:sty m:val="p"/>
              </m:rPr>
              <m:t>+</m:t>
            </m:r>
            <m:r>
              <m:rPr/>
              <m:t xml:space="preserve"> </m:t>
            </m:r>
            <m:r>
              <m:rPr/>
              <m:t>ω</m:t>
            </m:r>
          </m:e>
        </m:d>
        <m:r>
          <m:rPr/>
          <m:t>M</m:t>
        </m:r>
        <m:r>
          <m:rPr/>
          <m:t>,</m:t>
        </m:r>
        <m:r>
          <m:rPr/>
          <m:t xml:space="preserve"> </m:t>
        </m:r>
        <m:r>
          <m:rPr/>
          <m:t xml:space="preserve"> </m:t>
        </m:r>
        <m:acc>
          <m:accPr>
            <m:chr m:val="̇"/>
          </m:accPr>
          <m:e>
            <m:r>
              <m:rPr/>
              <m:t>U</m:t>
            </m:r>
          </m:e>
        </m:acc>
        <m:r>
          <m:rPr/>
          <m:t xml:space="preserve"> </m:t>
        </m:r>
        <m:r>
          <m:rPr>
            <m:sty m:val="p"/>
          </m:rPr>
          <m:t>=</m:t>
        </m:r>
        <m:r>
          <m:rPr/>
          <m:t xml:space="preserve"> </m:t>
        </m:r>
        <m:r>
          <m:rPr/>
          <m:t>h</m:t>
        </m:r>
        <m:d>
          <m:dPr>
            <m:begChr m:val="("/>
            <m:endChr m:val=")"/>
          </m:dPr>
          <m:e>
            <m:r>
              <m:rPr/>
              <m:t>1</m:t>
            </m:r>
            <m:r>
              <m:rPr/>
              <m:t xml:space="preserve"> </m:t>
            </m:r>
            <m:r>
              <m:rPr>
                <m:sty m:val="p"/>
              </m:rPr>
              <m:t>−</m:t>
            </m:r>
            <m:r>
              <m:rPr/>
              <m:t xml:space="preserve"> </m:t>
            </m:r>
            <m:r>
              <m:rPr/>
              <m:t>σ</m:t>
            </m:r>
          </m:e>
        </m:d>
        <m:r>
          <m:rPr/>
          <m:t xml:space="preserve"> </m:t>
        </m:r>
        <m:r>
          <m:rPr>
            <m:sty m:val="p"/>
          </m:rPr>
          <m:t>−</m:t>
        </m:r>
        <m:r>
          <m:rPr/>
          <m:t xml:space="preserve"> </m:t>
        </m:r>
        <m:d>
          <m:dPr>
            <m:begChr m:val="("/>
            <m:endChr m:val=")"/>
          </m:dPr>
          <m:e>
            <m:sSub>
              <m:sSubPr/>
              <m:e>
                <m:r>
                  <m:rPr/>
                  <m:t>δ</m:t>
                </m:r>
              </m:e>
              <m:sub>
                <m:r>
                  <m:rPr/>
                  <m:t>U</m:t>
                </m:r>
              </m:sub>
            </m:sSub>
            <m:r>
              <m:rPr/>
              <m:t xml:space="preserve"> </m:t>
            </m:r>
            <m:r>
              <m:rPr>
                <m:sty m:val="p"/>
              </m:rPr>
              <m:t>+</m:t>
            </m:r>
            <m:r>
              <m:rPr/>
              <m:t xml:space="preserve"> </m:t>
            </m:r>
            <m:r>
              <m:rPr/>
              <m:t>ω</m:t>
            </m:r>
          </m:e>
        </m:d>
        <m:r>
          <m:rPr/>
          <m:t>U</m:t>
        </m:r>
      </m:oMath>
      <w:r>
        <w:rPr>
          <w:rFonts w:ascii="Palatino Linotype" w:hAnsi="Palatino Linotype" w:eastAsia="Palatino Linotype"/>
          <w:b w:val="0"/>
          <w:i w:val="0"/>
          <w:sz w:val="20"/>
        </w:rPr>
        <w:tab/>
      </w:r>
      <w:r>
        <w:rPr>
          <w:rFonts w:ascii="Palatino Linotype" w:hAnsi="Palatino Linotype" w:eastAsia="Palatino Linotype"/>
          <w:b w:val="0"/>
          <w:i w:val="0"/>
          <w:sz w:val="20"/>
        </w:rPr>
        <w:t>(12)</w:t>
      </w:r>
    </w:p>
    <w:p>
      <w:pPr>
        <w:spacing w:after="120"/>
        <w:jc w:val="both"/>
      </w:pPr>
      <w:r>
        <w:rPr>
          <w:rFonts w:ascii="Palatino Linotype" w:hAnsi="Palatino Linotype" w:eastAsia="Palatino Linotype"/>
          <w:b w:val="0"/>
          <w:i w:val="0"/>
          <w:sz w:val="20"/>
        </w:rPr>
        <w:t xml:space="preserve">Mean employability capital of the searching pool is renewed by fresh graduates, diluted by returning queuers whose market-relevant capital has eroded by a factor </w:t>
      </w:r>
      <m:oMath>
        <m:r>
          <m:rPr/>
          <m:t>\chi</m:t>
        </m:r>
      </m:oMath>
      <w:r>
        <w:rPr>
          <w:rFonts w:ascii="Palatino Linotype" w:hAnsi="Palatino Linotype" w:eastAsia="Palatino Linotype"/>
          <w:b w:val="0"/>
          <w:i w:val="0"/>
          <w:sz w:val="20"/>
        </w:rPr>
        <w:t xml:space="preserve">, depreciated at rate </w:t>
      </w:r>
      <m:oMath>
        <m:sSub>
          <m:sSubPr/>
          <m:e>
            <m:r>
              <m:rPr/>
              <m:t>δ</m:t>
            </m:r>
          </m:e>
          <m:sub>
            <m:r>
              <m:rPr/>
              <m:t>H</m:t>
            </m:r>
          </m:sub>
        </m:sSub>
      </m:oMath>
      <w:r>
        <w:rPr>
          <w:rFonts w:ascii="Palatino Linotype" w:hAnsi="Palatino Linotype" w:eastAsia="Palatino Linotype"/>
          <w:b w:val="0"/>
          <w:i w:val="0"/>
          <w:sz w:val="20"/>
        </w:rPr>
        <w:t xml:space="preserve"> during search, and raised by training effort </w:t>
      </w:r>
      <m:oMath>
        <m:r>
          <m:rPr/>
          <m:t>\tau</m:t>
        </m:r>
      </m:oMath>
      <w:r>
        <w:rPr>
          <w:rFonts w:ascii="Palatino Linotype" w:hAnsi="Palatino Linotype" w:eastAsia="Palatino Linotype"/>
          <w:b w:val="0"/>
          <w:i w:val="0"/>
          <w:sz w:val="20"/>
        </w:rPr>
        <w:t>. The first term carries loop R1: as the searcher stock grows, cohort renewal per searcher weakens:</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r>
              <m:rPr/>
              <m:t>H</m:t>
            </m:r>
          </m:e>
        </m:acc>
        <m:r>
          <m:rPr/>
          <m:t xml:space="preserve"> </m:t>
        </m:r>
        <m:r>
          <m:rPr>
            <m:sty m:val="p"/>
          </m:rPr>
          <m:t>=</m:t>
        </m:r>
        <m:r>
          <m:rPr/>
          <m:t xml:space="preserve"> </m:t>
        </m:r>
        <m:f>
          <m:fPr/>
          <m:num>
            <m:r>
              <m:rPr>
                <m:sty m:val="p"/>
              </m:rPr>
              <m:t>Φ</m:t>
            </m:r>
            <m:d>
              <m:dPr>
                <m:begChr m:val="("/>
                <m:endChr m:val=")"/>
              </m:dPr>
              <m:e>
                <m:r>
                  <m:rPr/>
                  <m:t>t</m:t>
                </m:r>
              </m:e>
            </m:d>
            <m:d>
              <m:dPr>
                <m:begChr m:val="("/>
                <m:endChr m:val=")"/>
              </m:dPr>
              <m:e>
                <m:sSub>
                  <m:sSubPr/>
                  <m:e>
                    <m:r>
                      <m:rPr/>
                      <m:t>h</m:t>
                    </m:r>
                  </m:e>
                  <m:sub>
                    <m:r>
                      <m:rPr>
                        <m:sty m:val="p"/>
                      </m:rPr>
                      <m:t>new</m:t>
                    </m:r>
                  </m:sub>
                </m:sSub>
                <m:r>
                  <m:rPr/>
                  <m:t xml:space="preserve"> </m:t>
                </m:r>
                <m:r>
                  <m:rPr>
                    <m:sty m:val="p"/>
                  </m:rPr>
                  <m:t>−</m:t>
                </m:r>
                <m:r>
                  <m:rPr/>
                  <m:t xml:space="preserve"> </m:t>
                </m:r>
                <m:r>
                  <m:rPr/>
                  <m:t>H</m:t>
                </m:r>
              </m:e>
            </m:d>
            <m:r>
              <m:rPr/>
              <m:t xml:space="preserve"> </m:t>
            </m:r>
            <m:r>
              <m:rPr>
                <m:sty m:val="p"/>
              </m:rPr>
              <m:t>−</m:t>
            </m:r>
            <m:r>
              <m:rPr/>
              <m:t xml:space="preserve"> </m:t>
            </m:r>
            <m:sSub>
              <m:sSubPr/>
              <m:e>
                <m:r>
                  <m:rPr/>
                  <m:t>f</m:t>
                </m:r>
              </m:e>
              <m:sub>
                <m:r>
                  <m:rPr/>
                  <m:t>QS</m:t>
                </m:r>
              </m:sub>
            </m:sSub>
            <m:d>
              <m:dPr>
                <m:begChr m:val="("/>
                <m:endChr m:val=")"/>
              </m:dPr>
              <m:e>
                <m:r>
                  <m:rPr/>
                  <m:t>1</m:t>
                </m:r>
                <m:r>
                  <m:rPr/>
                  <m:t xml:space="preserve"> </m:t>
                </m:r>
                <m:r>
                  <m:rPr>
                    <m:sty m:val="p"/>
                  </m:rPr>
                  <m:t>−</m:t>
                </m:r>
                <m:r>
                  <m:rPr/>
                  <m:t xml:space="preserve"> </m:t>
                </m:r>
                <m:r>
                  <m:rPr/>
                  <m:t>χ</m:t>
                </m:r>
              </m:e>
            </m:d>
            <m:r>
              <m:rPr/>
              <m:t>H</m:t>
            </m:r>
          </m:num>
          <m:den>
            <m:r>
              <m:rPr/>
              <m:t>S</m:t>
            </m:r>
          </m:den>
        </m:f>
        <m:r>
          <m:rPr/>
          <m:t xml:space="preserve"> </m:t>
        </m:r>
        <m:r>
          <m:rPr>
            <m:sty m:val="p"/>
          </m:rPr>
          <m:t>−</m:t>
        </m:r>
        <m:r>
          <m:rPr/>
          <m:t xml:space="preserve"> </m:t>
        </m:r>
        <m:sSub>
          <m:sSubPr/>
          <m:e>
            <m:r>
              <m:rPr/>
              <m:t>δ</m:t>
            </m:r>
          </m:e>
          <m:sub>
            <m:r>
              <m:rPr/>
              <m:t>H</m:t>
            </m:r>
          </m:sub>
        </m:sSub>
        <m:r>
          <m:rPr/>
          <m:t>H</m:t>
        </m:r>
        <m:r>
          <m:rPr/>
          <m:t xml:space="preserve"> </m:t>
        </m:r>
        <m:r>
          <m:rPr>
            <m:sty m:val="p"/>
          </m:rPr>
          <m:t>+</m:t>
        </m:r>
        <m:r>
          <m:rPr/>
          <m:t xml:space="preserve"> </m:t>
        </m:r>
        <m:r>
          <m:rPr/>
          <m:t>τ</m:t>
        </m:r>
        <m:d>
          <m:dPr>
            <m:begChr m:val="("/>
            <m:endChr m:val=")"/>
          </m:dPr>
          <m:e>
            <m:sSub>
              <m:sSubPr/>
              <m:e>
                <m:r>
                  <m:rPr/>
                  <m:t>h</m:t>
                </m:r>
              </m:e>
              <m:sub>
                <m:r>
                  <m:rPr>
                    <m:sty m:val="p"/>
                  </m:rPr>
                  <m:t>m</m:t>
                </m:r>
                <m:r>
                  <m:rPr>
                    <m:sty m:val="p"/>
                  </m:rPr>
                  <m:t>ax</m:t>
                </m:r>
              </m:sub>
            </m:sSub>
            <m:r>
              <m:rPr/>
              <m:t xml:space="preserve"> </m:t>
            </m:r>
            <m:r>
              <m:rPr>
                <m:sty m:val="p"/>
              </m:rPr>
              <m:t>−</m:t>
            </m:r>
            <m:r>
              <m:rPr/>
              <m:t xml:space="preserve"> </m:t>
            </m:r>
            <m:r>
              <m:rPr/>
              <m:t>H</m:t>
            </m:r>
          </m:e>
        </m:d>
      </m:oMath>
      <w:r>
        <w:rPr>
          <w:rFonts w:ascii="Palatino Linotype" w:hAnsi="Palatino Linotype" w:eastAsia="Palatino Linotype"/>
          <w:b w:val="0"/>
          <w:i w:val="0"/>
          <w:sz w:val="20"/>
        </w:rPr>
        <w:tab/>
      </w:r>
      <w:r>
        <w:rPr>
          <w:rFonts w:ascii="Palatino Linotype" w:hAnsi="Palatino Linotype" w:eastAsia="Palatino Linotype"/>
          <w:b w:val="0"/>
          <w:i w:val="0"/>
          <w:sz w:val="20"/>
        </w:rPr>
        <w:t>(13)</w:t>
      </w:r>
    </w:p>
    <w:p>
      <w:pPr>
        <w:spacing w:after="120"/>
        <w:jc w:val="both"/>
      </w:pPr>
      <w:r>
        <w:rPr>
          <w:rFonts w:ascii="Palatino Linotype" w:hAnsi="Palatino Linotype" w:eastAsia="Palatino Linotype"/>
          <w:b w:val="0"/>
          <w:i w:val="0"/>
          <w:sz w:val="20"/>
        </w:rPr>
        <w:t xml:space="preserve">Aspirations adjust towards a target that mixes a sticky anchor—set by educational attainment, family reservation support and peer reference points—with the currently attainable quality of a job. The anchoring weight </w:t>
      </w:r>
      <m:oMath>
        <m:r>
          <m:rPr/>
          <m:t>\zeta</m:t>
        </m:r>
      </m:oMath>
      <w:r>
        <w:rPr>
          <w:rFonts w:ascii="Palatino Linotype" w:hAnsi="Palatino Linotype" w:eastAsia="Palatino Linotype"/>
          <w:b w:val="0"/>
          <w:i w:val="0"/>
          <w:sz w:val="20"/>
        </w:rPr>
        <w:t xml:space="preserve"> and the adjustment speed </w:t>
      </w:r>
      <m:oMath>
        <m:r>
          <m:rPr/>
          <m:t>λ</m:t>
        </m:r>
      </m:oMath>
      <w:r>
        <w:rPr>
          <w:rFonts w:ascii="Palatino Linotype" w:hAnsi="Palatino Linotype" w:eastAsia="Palatino Linotype"/>
          <w:b w:val="0"/>
          <w:i w:val="0"/>
          <w:sz w:val="20"/>
        </w:rPr>
        <w:t xml:space="preserve"> jointly determine how quickly loop B2 operates:</w:t>
      </w:r>
    </w:p>
    <w:p>
      <w:pPr>
        <w:tabs>
          <w:tab w:val="center" w:pos="4600"/>
          <w:tab w:val="right" w:pos="9200"/>
        </w:tabs>
        <w:spacing w:before="80" w:after="80"/>
        <w:ind w:left="0"/>
        <w:jc w:val="right"/>
      </w:pPr>
      <w:r>
        <w:rPr>
          <w:rFonts w:ascii="Palatino Linotype" w:hAnsi="Palatino Linotype" w:eastAsia="Palatino Linotype"/>
          <w:b w:val="0"/>
          <w:i w:val="0"/>
          <w:sz w:val="20"/>
        </w:rPr>
        <w:tab/>
      </w:r>
      <m:oMath>
        <m:acc>
          <m:accPr>
            <m:chr m:val="̇"/>
          </m:accPr>
          <m:e>
            <m:r>
              <m:rPr/>
              <m:t>A</m:t>
            </m:r>
          </m:e>
        </m:acc>
        <m:r>
          <m:rPr/>
          <m:t xml:space="preserve"> </m:t>
        </m:r>
        <m:r>
          <m:rPr>
            <m:sty m:val="p"/>
          </m:rPr>
          <m:t>=</m:t>
        </m:r>
        <m:r>
          <m:rPr/>
          <m:t xml:space="preserve"> </m:t>
        </m:r>
        <m:r>
          <m:rPr/>
          <m:t>λ</m:t>
        </m:r>
        <m:d>
          <m:dPr>
            <m:begChr m:val="("/>
            <m:endChr m:val=")"/>
          </m:dPr>
          <m:e>
            <m:sSup>
              <m:sSupPr/>
              <m:e>
                <m:r>
                  <m:rPr/>
                  <m:t>A</m:t>
                </m:r>
              </m:e>
              <m:sup>
                <m:r>
                  <m:rPr/>
                  <m:t>∗</m:t>
                </m:r>
              </m:sup>
            </m:sSup>
            <m:r>
              <m:rPr/>
              <m:t xml:space="preserve"> </m:t>
            </m:r>
            <m:r>
              <m:rPr>
                <m:sty m:val="p"/>
              </m:rPr>
              <m:t>−</m:t>
            </m:r>
            <m:r>
              <m:rPr/>
              <m:t xml:space="preserve"> </m:t>
            </m:r>
            <m:r>
              <m:rPr/>
              <m:t>A</m:t>
            </m:r>
          </m:e>
        </m:d>
        <m:r>
          <m:rPr/>
          <m:t>,</m:t>
        </m:r>
        <m:r>
          <m:rPr/>
          <m:t xml:space="preserve"> </m:t>
        </m:r>
        <m:r>
          <m:rPr/>
          <m:t xml:space="preserve"> </m:t>
        </m:r>
        <m:sSup>
          <m:sSupPr/>
          <m:e>
            <m:r>
              <m:rPr/>
              <m:t>A</m:t>
            </m:r>
          </m:e>
          <m:sup>
            <m:r>
              <m:rPr/>
              <m:t>∗</m:t>
            </m:r>
          </m:sup>
        </m:sSup>
        <m:r>
          <m:rPr/>
          <m:t xml:space="preserve"> </m:t>
        </m:r>
        <m:r>
          <m:rPr>
            <m:sty m:val="p"/>
          </m:rPr>
          <m:t>=</m:t>
        </m:r>
        <m:r>
          <m:rPr/>
          <m:t xml:space="preserve"> </m:t>
        </m:r>
        <m:r>
          <m:rPr/>
          <m:t>ζ</m:t>
        </m:r>
        <m:sSub>
          <m:sSubPr/>
          <m:e>
            <m:r>
              <m:rPr/>
              <m:t>A</m:t>
            </m:r>
          </m:e>
          <m:sub>
            <m:r>
              <m:rPr>
                <m:sty m:val="p"/>
              </m:rPr>
              <m:t>anch</m:t>
            </m:r>
          </m:sub>
        </m:sSub>
        <m:r>
          <m:rPr/>
          <m:t xml:space="preserve"> </m:t>
        </m:r>
        <m:r>
          <m:rPr>
            <m:sty m:val="p"/>
          </m:rPr>
          <m:t>+</m:t>
        </m:r>
        <m:r>
          <m:rPr/>
          <m:t xml:space="preserve"> </m:t>
        </m:r>
        <m:d>
          <m:dPr>
            <m:begChr m:val="("/>
            <m:endChr m:val=")"/>
          </m:dPr>
          <m:e>
            <m:r>
              <m:rPr/>
              <m:t>1</m:t>
            </m:r>
            <m:r>
              <m:rPr/>
              <m:t xml:space="preserve"> </m:t>
            </m:r>
            <m:r>
              <m:rPr>
                <m:sty m:val="p"/>
              </m:rPr>
              <m:t>−</m:t>
            </m:r>
            <m:r>
              <m:rPr/>
              <m:t xml:space="preserve"> </m:t>
            </m:r>
            <m:r>
              <m:rPr/>
              <m:t>ζ</m:t>
            </m:r>
          </m:e>
        </m:d>
        <m:r>
          <m:rPr/>
          <m:t>q</m:t>
        </m:r>
        <m:sSub>
          <m:sSubPr/>
          <m:e>
            <m:r>
              <m:rPr/>
              <m:t>p</m:t>
            </m:r>
          </m:e>
          <m:sub>
            <m:r>
              <m:rPr/>
              <m:t>s</m:t>
            </m:r>
          </m:sub>
        </m:sSub>
      </m:oMath>
      <w:r>
        <w:rPr>
          <w:rFonts w:ascii="Palatino Linotype" w:hAnsi="Palatino Linotype" w:eastAsia="Palatino Linotype"/>
          <w:b w:val="0"/>
          <w:i w:val="0"/>
          <w:sz w:val="20"/>
        </w:rPr>
        <w:tab/>
      </w:r>
      <w:r>
        <w:rPr>
          <w:rFonts w:ascii="Palatino Linotype" w:hAnsi="Palatino Linotype" w:eastAsia="Palatino Linotype"/>
          <w:b w:val="0"/>
          <w:i w:val="0"/>
          <w:sz w:val="20"/>
        </w:rPr>
        <w:t>(14)</w:t>
      </w:r>
    </w:p>
    <w:p>
      <w:pPr>
        <w:spacing w:after="120"/>
        <w:jc w:val="both"/>
      </w:pPr>
      <w:r>
        <w:rPr>
          <w:rFonts w:ascii="Palatino Linotype" w:hAnsi="Palatino Linotype" w:eastAsia="Palatino Linotype"/>
          <w:b w:val="0"/>
          <w:i w:val="0"/>
          <w:sz w:val="20"/>
        </w:rPr>
        <w:t xml:space="preserve">Finally, the outcome indicators reported throughout are defined as follows, where </w:t>
      </w:r>
      <m:oMath>
        <m:r>
          <m:rPr/>
          <m:t>D</m:t>
        </m:r>
      </m:oMath>
      <w:r>
        <w:rPr>
          <w:rFonts w:ascii="Palatino Linotype" w:hAnsi="Palatino Linotype" w:eastAsia="Palatino Linotype"/>
          <w:b w:val="0"/>
          <w:i w:val="0"/>
          <w:sz w:val="20"/>
        </w:rPr>
        <w:t xml:space="preserve"> applies Little’s law to the non-employed stock:</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NER</m:t>
        </m:r>
        <m:r>
          <m:rPr/>
          <m:t xml:space="preserve"> </m:t>
        </m:r>
        <m:r>
          <m:rPr>
            <m:sty m:val="p"/>
          </m:rPr>
          <m:t>=</m:t>
        </m:r>
        <m:r>
          <m:rPr/>
          <m:t xml:space="preserve"> </m:t>
        </m:r>
        <m:f>
          <m:fPr/>
          <m:num>
            <m:r>
              <m:rPr/>
              <m:t>S</m:t>
            </m:r>
            <m:r>
              <m:rPr/>
              <m:t xml:space="preserve"> </m:t>
            </m:r>
            <m:r>
              <m:rPr>
                <m:sty m:val="p"/>
              </m:rPr>
              <m:t>+</m:t>
            </m:r>
            <m:r>
              <m:rPr/>
              <m:t xml:space="preserve"> </m:t>
            </m:r>
            <m:r>
              <m:rPr/>
              <m:t>Q</m:t>
            </m:r>
          </m:num>
          <m:den>
            <m:r>
              <m:rPr/>
              <m:t>S</m:t>
            </m:r>
            <m:r>
              <m:rPr/>
              <m:t xml:space="preserve"> </m:t>
            </m:r>
            <m:r>
              <m:rPr>
                <m:sty m:val="p"/>
              </m:rPr>
              <m:t>+</m:t>
            </m:r>
            <m:r>
              <m:rPr/>
              <m:t xml:space="preserve"> </m:t>
            </m:r>
            <m:r>
              <m:rPr/>
              <m:t>Q</m:t>
            </m:r>
            <m:r>
              <m:rPr/>
              <m:t xml:space="preserve"> </m:t>
            </m:r>
            <m:r>
              <m:rPr>
                <m:sty m:val="p"/>
              </m:rPr>
              <m:t>+</m:t>
            </m:r>
            <m:r>
              <m:rPr/>
              <m:t xml:space="preserve"> </m:t>
            </m:r>
            <m:r>
              <m:rPr/>
              <m:t>M</m:t>
            </m:r>
            <m:r>
              <m:rPr/>
              <m:t xml:space="preserve"> </m:t>
            </m:r>
            <m:r>
              <m:rPr>
                <m:sty m:val="p"/>
              </m:rPr>
              <m:t>+</m:t>
            </m:r>
            <m:r>
              <m:rPr/>
              <m:t xml:space="preserve"> </m:t>
            </m:r>
            <m:r>
              <m:rPr/>
              <m:t>U</m:t>
            </m:r>
          </m:den>
        </m:f>
        <m:r>
          <m:rPr/>
          <m:t>,</m:t>
        </m:r>
        <m:r>
          <m:rPr/>
          <m:t xml:space="preserve"> </m:t>
        </m:r>
        <m:r>
          <m:rPr/>
          <m:t xml:space="preserve"> </m:t>
        </m:r>
        <m:r>
          <m:rPr>
            <m:sty m:val="p"/>
          </m:rPr>
          <m:t>MM</m:t>
        </m:r>
        <m:r>
          <m:rPr/>
          <m:t xml:space="preserve"> </m:t>
        </m:r>
        <m:r>
          <m:rPr>
            <m:sty m:val="p"/>
          </m:rPr>
          <m:t>=</m:t>
        </m:r>
        <m:r>
          <m:rPr/>
          <m:t xml:space="preserve"> </m:t>
        </m:r>
        <m:f>
          <m:fPr/>
          <m:num>
            <m:r>
              <m:rPr/>
              <m:t>U</m:t>
            </m:r>
          </m:num>
          <m:den>
            <m:r>
              <m:rPr/>
              <m:t>M</m:t>
            </m:r>
            <m:r>
              <m:rPr/>
              <m:t xml:space="preserve"> </m:t>
            </m:r>
            <m:r>
              <m:rPr>
                <m:sty m:val="p"/>
              </m:rPr>
              <m:t>+</m:t>
            </m:r>
            <m:r>
              <m:rPr/>
              <m:t xml:space="preserve"> </m:t>
            </m:r>
            <m:r>
              <m:rPr/>
              <m:t>U</m:t>
            </m:r>
          </m:den>
        </m:f>
        <m:r>
          <m:rPr/>
          <m:t>,</m:t>
        </m:r>
        <m:r>
          <m:rPr/>
          <m:t xml:space="preserve"> </m:t>
        </m:r>
        <m:r>
          <m:rPr/>
          <m:t xml:space="preserve"> </m:t>
        </m:r>
        <m:r>
          <m:rPr/>
          <m:t>D</m:t>
        </m:r>
        <m:r>
          <m:rPr/>
          <m:t xml:space="preserve"> </m:t>
        </m:r>
        <m:r>
          <m:rPr>
            <m:sty m:val="p"/>
          </m:rPr>
          <m:t>=</m:t>
        </m:r>
        <m:r>
          <m:rPr/>
          <m:t xml:space="preserve"> </m:t>
        </m:r>
        <m:f>
          <m:fPr/>
          <m:num>
            <m:r>
              <m:rPr/>
              <m:t>S</m:t>
            </m:r>
            <m:r>
              <m:rPr/>
              <m:t xml:space="preserve"> </m:t>
            </m:r>
            <m:r>
              <m:rPr>
                <m:sty m:val="p"/>
              </m:rPr>
              <m:t>+</m:t>
            </m:r>
            <m:r>
              <m:rPr/>
              <m:t xml:space="preserve"> </m:t>
            </m:r>
            <m:r>
              <m:rPr/>
              <m:t>Q</m:t>
            </m:r>
          </m:num>
          <m:den>
            <m:r>
              <m:rPr/>
              <m:t>h</m:t>
            </m:r>
            <m:r>
              <m:rPr/>
              <m:t>σ</m:t>
            </m:r>
            <m:r>
              <m:rPr/>
              <m:t xml:space="preserve"> </m:t>
            </m:r>
            <m:r>
              <m:rPr>
                <m:sty m:val="p"/>
              </m:rPr>
              <m:t>+</m:t>
            </m:r>
            <m:r>
              <m:rPr/>
              <m:t xml:space="preserve"> </m:t>
            </m:r>
            <m:sSub>
              <m:sSubPr/>
              <m:e>
                <m:r>
                  <m:rPr/>
                  <m:t>f</m:t>
                </m:r>
              </m:e>
              <m:sub>
                <m:r>
                  <m:rPr/>
                  <m:t>QM</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(15)</w:t>
      </w:r>
    </w:p>
    <w:p>
      <w:pPr>
        <w:keepNext/>
        <w:spacing w:before="140" w:after="80"/>
      </w:pPr>
      <w:r>
        <w:rPr>
          <w:rFonts w:ascii="Palatino Linotype" w:hAnsi="Palatino Linotype" w:eastAsia="Palatino Linotype"/>
          <w:b/>
          <w:i w:val="0"/>
          <w:sz w:val="20"/>
        </w:rPr>
        <w:t>3.3. Data, Calibration and Its Limits</w:t>
      </w:r>
    </w:p>
    <w:p>
      <w:pPr>
        <w:spacing w:after="120"/>
        <w:jc w:val="both"/>
      </w:pPr>
      <w:r>
        <w:rPr>
          <w:rFonts w:ascii="Palatino Linotype" w:hAnsi="Palatino Linotype" w:eastAsia="Palatino Linotype"/>
          <w:b w:val="0"/>
          <w:i w:val="0"/>
          <w:sz w:val="20"/>
        </w:rPr>
        <w:t>The model is a policy-analysis model, not a forecasting model, and we are explicit about what the numbers are. Parameters fall into three classes. Twelve are set from published statistics or from the empirical literature and held fixed. Six are estimated. The remainder are structural constants of the functional forms. Table 2 reports all of them together with the uncertainty ranges used in the Monte Carlo and Sobol analyses. Where a value could not be sourced directly it is treated as uncertain and its influence is quantified rather than assumed away, following the reporting standards for simulation-based social science research set out by Rahmandad and Sterman [42].</w:t>
      </w:r>
    </w:p>
    <w:p>
      <w:pPr>
        <w:keepNext/>
        <w:spacing w:before="160" w:after="40"/>
      </w:pPr>
      <w:r>
        <w:rPr>
          <w:rFonts w:ascii="Palatino Linotype" w:hAnsi="Palatino Linotype" w:eastAsia="Palatino Linotype"/>
          <w:b/>
          <w:i w:val="0"/>
          <w:sz w:val="17"/>
        </w:rPr>
        <w:t xml:space="preserve">Table 2. </w:t>
      </w:r>
      <w:r>
        <w:rPr>
          <w:rFonts w:ascii="Palatino Linotype" w:hAnsi="Palatino Linotype" w:eastAsia="Palatino Linotype"/>
          <w:b w:val="0"/>
          <w:i w:val="0"/>
          <w:sz w:val="17"/>
        </w:rPr>
        <w:t>Model parameters: base values, uncertainty ranges and provenance.</w:t>
      </w:r>
    </w:p>
    <w:tbl>
      <w:tblPr>
        <w:tblW w:w="0" w:type="auto"/>
        <w:jc w:val="center"/>
        <w:tblLayout w:type="fixed"/>
        <w:tblCellMar>
          <w:top w:w="0" w:type="dxa"/>
          <w:left w:w="40" w:type="dxa"/>
          <w:bottom w:w="0" w:type="dxa"/>
          <w:right w:w="40" w:type="dxa"/>
        </w:tblCellMar>
      </w:tblPr>
      <w:tblGrid>
        <w:gridCol w:w="1450"/>
        <w:gridCol w:w="3450"/>
        <w:gridCol w:w="1550"/>
        <w:gridCol w:w="1250"/>
        <w:gridCol w:w="1940"/>
      </w:tblGrid>
      <w:tr>
        <w:trPr>
          <w:tblHeader/>
          <w:jc w:val="center"/>
        </w:trPr>
        <w:tc>
          <w:tcPr>
            <w:tcW w:w="14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Symbol</w:t>
            </w:r>
          </w:p>
        </w:tc>
        <w:tc>
          <w:tcPr>
            <w:tcW w:w="34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Meaning</w:t>
            </w:r>
          </w:p>
        </w:tc>
        <w:tc>
          <w:tcPr>
            <w:tcW w:w="15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Base</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Range</w:t>
            </w:r>
          </w:p>
        </w:tc>
        <w:tc>
          <w:tcPr>
            <w:tcW w:w="19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Provenance</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\Phi</m:t>
                  </m:r>
                </m:e>
                <m:sub>
                  <m:r>
                    <m:rPr/>
                    <m:t>0</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Entering graduate cohort, 2015</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749.0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 10⁴ persons [2]</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g</m:t>
                  </m:r>
                </m:e>
                <m:sub>
                  <m:r>
                    <m:rPr/>
                    <m:t>\Phi</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Cohort growth rate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0.030–0.070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 [2]</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ω</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Exit rate from the youth window</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0.125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 (8-year window)</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V</m:t>
                  </m:r>
                </m:e>
                <m:sub>
                  <m:r>
                    <m:rPr/>
                    <m:t>0</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Vacancies, 2015</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948.7</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Scale normalisation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g</m:t>
                  </m:r>
                </m:e>
                <m:sub>
                  <m:r>
                    <m:rPr/>
                    <m:t>V</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Autonomous vacancy growth</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φ</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Vacancy elasticity to digitalisation</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0.90–2.40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\Psi</m:t>
                  </m:r>
                </m:e>
                <m:sub>
                  <m:r>
                    <m:rPr/>
                    <m:t>0</m:t>
                  </m:r>
                </m:sub>
              </m:sSub>
            </m:oMath>
            <w:r>
              <w:rPr>
                <w:rFonts w:ascii="Palatino Linotype" w:hAnsi="Palatino Linotype" w:eastAsia="Palatino Linotype"/>
                <w:b w:val="0"/>
                <w:i w:val="0"/>
                <w:sz w:val="16"/>
              </w:rPr>
              <w:t xml:space="preserve">, </w:t>
            </w:r>
            <m:oMath>
              <m:sSub>
                <m:sSubPr/>
                <m:e>
                  <m:r>
                    <m:rPr/>
                    <m:t>\Psi</m:t>
                  </m:r>
                </m:e>
                <m:sub>
                  <m:r>
                    <m:rPr/>
                    <m:t>m</m:t>
                  </m:r>
                  <m:r>
                    <m:rPr/>
                    <m:t>ax</m:t>
                  </m:r>
                </m:sub>
              </m:sSub>
            </m:oMath>
            <w:r>
              <w:rPr>
                <w:rFonts w:ascii="Palatino Linotype" w:hAnsi="Palatino Linotype" w:eastAsia="Palatino Linotype"/>
                <w:b w:val="0"/>
                <w:i w:val="0"/>
                <w:sz w:val="16"/>
              </w:rPr>
              <w:t xml:space="preserve">, </w:t>
            </w:r>
            <m:oMath>
              <m:sSub>
                <m:sSubPr/>
                <m:e>
                  <m:r>
                    <m:rPr/>
                    <m:t>r</m:t>
                  </m:r>
                </m:e>
                <m:sub>
                  <m:r>
                    <m:rPr/>
                    <m:t>\Psi</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Digital-intensity logistic</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0.0503, 0.2552, 0.1171</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Least squares on [1]</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θ</m:t>
                  </m:r>
                </m:e>
                <m:sub>
                  <m:r>
                    <m:rPr/>
                    <m:t>0</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Baseline skill threshold</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Normalisation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κ</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Threshold sensitivity to digitalisation</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1.855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1.10–2.80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κ</m:t>
                  </m:r>
                </m:e>
                <m:sub>
                  <m:r>
                    <m:rPr/>
                    <m:t>2</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Endogenous threshold escalation</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0.05–0.30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μ</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Matching efficiency</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9.922</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7.80–12.1</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α</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Matching elasticity</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 [41]</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β</m:t>
                  </m:r>
                </m:e>
                <m:sub>
                  <m:r>
                    <m:rPr/>
                    <m:t>s</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Screening sharpness</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\sigma</m:t>
                  </m:r>
                </m:e>
                <m:sub>
                  <m:r>
                    <m:rPr/>
                    <m:t>0</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Match-quality intercept</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0.679</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β</m:t>
                  </m:r>
                </m:e>
                <m:sub>
                  <m:r>
                    <m:rPr/>
                    <m:t>\sigma</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Match-quality slope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d</m:t>
                  </m:r>
                </m:e>
                <m:sub>
                  <m:r>
                    <m:rPr/>
                    <m:t>m</m:t>
                  </m:r>
                  <m:r>
                    <m:rPr/>
                    <m:t>in</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Minimum feasible search duration</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 (years)</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q</m:t>
                  </m:r>
                </m:e>
                <m:sub>
                  <m:r>
                    <m:rPr/>
                    <m:t>0</m:t>
                  </m:r>
                </m:sub>
              </m:sSub>
            </m:oMath>
            <w:r>
              <w:rPr>
                <w:rFonts w:ascii="Palatino Linotype" w:hAnsi="Palatino Linotype" w:eastAsia="Palatino Linotype"/>
                <w:b w:val="0"/>
                <w:i w:val="0"/>
                <w:sz w:val="16"/>
              </w:rPr>
              <w:t xml:space="preserve">, </w:t>
            </w:r>
            <m:oMath>
              <m:sSub>
                <m:sSubPr/>
                <m:e>
                  <m:r>
                    <m:rPr/>
                    <m:t>γ</m:t>
                  </m:r>
                </m:e>
                <m:sub>
                  <m:r>
                    <m:rPr/>
                    <m:t>q</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Offer-quality intercept and slope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0.560, 0.200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β</m:t>
                  </m:r>
                </m:e>
                <m:sub>
                  <m:r>
                    <m:rPr/>
                    <m:t>a</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Acceptance sharpness</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A</m:t>
                  </m:r>
                </m:e>
                <m:sub>
                  <m:r>
                    <m:rPr/>
                    <m:t>anch</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anchor</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0.820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\zeta</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anchoring weight</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0.380–0.740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λ</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adjustment speed</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0.090–0.320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h</m:t>
                  </m:r>
                </m:e>
                <m:sub>
                  <m:r>
                    <m:rPr/>
                    <m:t>new</m:t>
                  </m:r>
                </m:sub>
              </m:sSub>
            </m:oMath>
            <w:r>
              <w:rPr>
                <w:rFonts w:ascii="Palatino Linotype" w:hAnsi="Palatino Linotype" w:eastAsia="Palatino Linotype"/>
                <w:b w:val="0"/>
                <w:i w:val="0"/>
                <w:sz w:val="16"/>
              </w:rPr>
              <w:t xml:space="preserve">, </w:t>
            </w:r>
            <m:oMath>
              <m:sSub>
                <m:sSubPr/>
                <m:e>
                  <m:r>
                    <m:rPr/>
                    <m:t>h</m:t>
                  </m:r>
                </m:e>
                <m:sub>
                  <m:r>
                    <m:rPr/>
                    <m:t>m</m:t>
                  </m:r>
                  <m:r>
                    <m:rPr/>
                    <m:t>ax</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Graduate and maximum capital</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0.620, 0.880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Normalisation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δ</m:t>
                  </m:r>
                </m:e>
                <m:sub>
                  <m:r>
                    <m:rPr/>
                    <m:t>H</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 decay while searching</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0.030–0.100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 [43]</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\chi</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 retention while queueing</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0.880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0.780–0.960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\tau</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Training intensity</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0.008–0.040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Uncertain [44]</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\Pi</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Perceived value of an institutional post</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1.868</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1.27–2.67</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\varepsilon</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Probability-weighting curvature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0.526</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0.360–0.720</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 [40]</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β</m:t>
                  </m:r>
                </m:e>
                <m:sub>
                  <m:r>
                    <m:rPr/>
                    <m:t>c</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Choice sharpness (search versus queue)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\nu</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Maximal queue-entry rate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0.755</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Estimated</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sSub>
                <m:sSubPr/>
                <m:e>
                  <m:r>
                    <m:rPr/>
                    <m:t>\nu</m:t>
                  </m:r>
                </m:e>
                <m:sub>
                  <m:r>
                    <m:rPr/>
                    <m:t>r</m:t>
                  </m:r>
                </m:sub>
              </m:sSub>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Discouragement rate</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w:t>
            </w:r>
          </w:p>
        </w:tc>
      </w:tr>
      <w:tr>
        <w:trPr>
          <w:jc w:val="center"/>
        </w:trPr>
        <w:tc>
          <w:tcPr>
            <w:tcW w:w="1450" w:type="dxa"/>
            <w:tcBorders>
              <w:top w:val="nil"/>
              <w:left w:val="nil"/>
              <w:bottom w:val="nil"/>
              <w:right w:val="nil"/>
            </w:tcBorders>
          </w:tcPr>
          <w:p>
            <w:pPr>
              <w:spacing w:before="0" w:after="0" w:line="240" w:lineRule="auto"/>
              <w:ind w:left="0"/>
              <w:jc w:val="left"/>
              <w:rPr>
                <w:sz w:val="19"/>
              </w:rPr>
            </w:pPr>
            <m:oMath>
              <m:r>
                <m:rPr/>
                <m:t>\xi</m:t>
              </m:r>
            </m:oMath>
          </w:p>
        </w:tc>
        <w:tc>
          <w:tcPr>
            <w:tcW w:w="3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Institutional posts per entrant</w:t>
            </w:r>
          </w:p>
        </w:tc>
        <w:tc>
          <w:tcPr>
            <w:tcW w:w="15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0.0030</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Set from exam statistics</w:t>
            </w:r>
          </w:p>
        </w:tc>
      </w:tr>
      <w:tr>
        <w:trPr>
          <w:jc w:val="center"/>
        </w:trPr>
        <w:tc>
          <w:tcPr>
            <w:tcW w:w="1450" w:type="dxa"/>
            <w:tcBorders>
              <w:top w:val="nil"/>
              <w:left w:val="nil"/>
              <w:bottom w:val="single" w:color="000000" w:sz="8" w:space="0"/>
              <w:right w:val="nil"/>
            </w:tcBorders>
          </w:tcPr>
          <w:p>
            <w:pPr>
              <w:spacing w:before="0" w:after="0" w:line="240" w:lineRule="auto"/>
              <w:ind w:left="0"/>
              <w:jc w:val="left"/>
              <w:rPr>
                <w:sz w:val="19"/>
              </w:rPr>
            </w:pPr>
            <m:oMath>
              <m:sSub>
                <m:sSubPr/>
                <m:e>
                  <m:r>
                    <m:rPr/>
                    <m:t>δ</m:t>
                  </m:r>
                </m:e>
                <m:sub>
                  <m:r>
                    <m:rPr/>
                    <m:t>M</m:t>
                  </m:r>
                </m:sub>
              </m:sSub>
            </m:oMath>
            <w:r>
              <w:rPr>
                <w:rFonts w:ascii="Palatino Linotype" w:hAnsi="Palatino Linotype" w:eastAsia="Palatino Linotype"/>
                <w:b w:val="0"/>
                <w:i w:val="0"/>
                <w:sz w:val="16"/>
              </w:rPr>
              <w:t xml:space="preserve">, </w:t>
            </w:r>
            <m:oMath>
              <m:sSub>
                <m:sSubPr/>
                <m:e>
                  <m:r>
                    <m:rPr/>
                    <m:t>δ</m:t>
                  </m:r>
                </m:e>
                <m:sub>
                  <m:r>
                    <m:rPr/>
                    <m:t>U</m:t>
                  </m:r>
                </m:sub>
              </m:sSub>
            </m:oMath>
          </w:p>
        </w:tc>
        <w:tc>
          <w:tcPr>
            <w:tcW w:w="34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Separation rates</w:t>
            </w:r>
          </w:p>
        </w:tc>
        <w:tc>
          <w:tcPr>
            <w:tcW w:w="15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0.100, 0.280</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w:t>
            </w:r>
          </w:p>
        </w:tc>
        <w:tc>
          <w:tcPr>
            <w:tcW w:w="19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Set [33]</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Ranges are the supports of the independent uniform priors used in the Latin-hypercube and Sobol designs; a dash indicates a parameter held fixed in those designs. "Estimated" denotes a parameter recovered by simulated method of moments (Table 3). Population stocks are in units of 10⁴ persons, so the model is scaled to the national graduate cohort; all reported outcomes are rates, shares and durations and are therefore invariant to that scaling. The higher separation rate for mismatched employment reflects the elevated quit intentions documented among over-educated Chinese graduates [33,34].</w:t>
      </w:r>
    </w:p>
    <w:p>
      <w:pPr>
        <w:spacing w:after="120"/>
        <w:jc w:val="both"/>
      </w:pPr>
      <w:r>
        <w:rPr>
          <w:rFonts w:ascii="Palatino Linotype" w:hAnsi="Palatino Linotype" w:eastAsia="Palatino Linotype"/>
          <w:b w:val="0"/>
          <w:i w:val="0"/>
          <w:sz w:val="20"/>
        </w:rPr>
        <w:t>Six parameters—the sensitivity of the employer threshold to digitalisation, matching efficiency, the perceived value of an institutional post, the probability-weighting curvature, the maximal queue-entry rate and the match-quality intercept—are estimated by simulated method of moments. The objective is the weighted sum of squared relative deviations between simulated and observed moments. The 2015 moments are evaluated at the model’s own frozen-driver fixed point, which also supplies the initial condition; the 2025 moments are evaluated after ten years of transient dynamics. Minimisation uses differential evolution with a Sobol-initialised population, followed by local polishing. With seven moments and six free parameters the system is over-identified, so the fit is informative rather than mechanical.</w:t>
      </w:r>
    </w:p>
    <w:p>
      <w:pPr>
        <w:keepNext/>
        <w:spacing w:before="160" w:after="40"/>
      </w:pPr>
      <w:r>
        <w:rPr>
          <w:rFonts w:ascii="Palatino Linotype" w:hAnsi="Palatino Linotype" w:eastAsia="Palatino Linotype"/>
          <w:b/>
          <w:i w:val="0"/>
          <w:sz w:val="17"/>
        </w:rPr>
        <w:t xml:space="preserve">Table 3. </w:t>
      </w:r>
      <w:r>
        <w:rPr>
          <w:rFonts w:ascii="Palatino Linotype" w:hAnsi="Palatino Linotype" w:eastAsia="Palatino Linotype"/>
          <w:b w:val="0"/>
          <w:i w:val="0"/>
          <w:sz w:val="17"/>
        </w:rPr>
        <w:t>Calibration by simulated method of moments: targets, sources and fit.</w:t>
      </w:r>
    </w:p>
    <w:tbl>
      <w:tblPr>
        <w:tblW w:w="0" w:type="auto"/>
        <w:jc w:val="center"/>
        <w:tblLayout w:type="fixed"/>
        <w:tblCellMar>
          <w:top w:w="0" w:type="dxa"/>
          <w:left w:w="40" w:type="dxa"/>
          <w:bottom w:w="0" w:type="dxa"/>
          <w:right w:w="40" w:type="dxa"/>
        </w:tblCellMar>
      </w:tblPr>
      <w:tblGrid>
        <w:gridCol w:w="3050"/>
        <w:gridCol w:w="1150"/>
        <w:gridCol w:w="1200"/>
        <w:gridCol w:w="1200"/>
        <w:gridCol w:w="1400"/>
        <w:gridCol w:w="1640"/>
      </w:tblGrid>
      <w:tr>
        <w:trPr>
          <w:tblHeader/>
          <w:jc w:val="center"/>
        </w:trPr>
        <w:tc>
          <w:tcPr>
            <w:tcW w:w="30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Moment</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Year</w:t>
            </w:r>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Observed</w:t>
            </w:r>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Simulated</w:t>
            </w:r>
          </w:p>
        </w:tc>
        <w:tc>
          <w:tcPr>
            <w:tcW w:w="14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Relative error</w:t>
            </w:r>
          </w:p>
        </w:tc>
        <w:tc>
          <w:tcPr>
            <w:tcW w:w="164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Source</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non-employment rate</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2015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0.117</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+1.70%</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Surveyed unemployment, aged 16–24 [1]</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Slow-employment share of entrants</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2015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destination surveys</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Vertical mismatch share</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2015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−1.25%</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Over-education literature [8]</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non-employment rate</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2025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0.180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Aged 16–24 excluding students [1]</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Slow-employment share of entrants</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2025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0.191</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Graduate destination survey, 2024</w:t>
            </w:r>
          </w:p>
        </w:tc>
      </w:tr>
      <w:tr>
        <w:trPr>
          <w:jc w:val="center"/>
        </w:trPr>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Vertical mismatch share</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2025</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0.243</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+1.13%</w:t>
            </w:r>
          </w:p>
        </w:tc>
        <w:tc>
          <w:tcPr>
            <w:tcW w:w="164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Over-education literature [34,33]</w:t>
            </w:r>
          </w:p>
        </w:tc>
      </w:tr>
      <w:tr>
        <w:trPr>
          <w:jc w:val="center"/>
        </w:trPr>
        <w:tc>
          <w:tcPr>
            <w:tcW w:w="30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Queue-to-seat ratio</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2026 cycle</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96.0</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96.3</w:t>
            </w:r>
          </w:p>
        </w:tc>
        <w:tc>
          <w:tcPr>
            <w:tcW w:w="1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+0.31%</w:t>
            </w:r>
          </w:p>
        </w:tc>
        <w:tc>
          <w:tcPr>
            <w:tcW w:w="164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National civil-service examination</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Weighted objective value 0.000804. Root-mean-square percentage error across the seven moments is 1.16 per cent and the mean signed error +0.64 per cent, so the fit is close and very nearly unbiased. All targets are national series, which is the level at which the model is specified; Section 5.7 discusses what this implies for city-level inference.</w:t>
      </w:r>
    </w:p>
    <w:p>
      <w:pPr>
        <w:spacing w:after="120"/>
        <w:jc w:val="both"/>
      </w:pPr>
      <w:r>
        <w:rPr>
          <w:rFonts w:ascii="Palatino Linotype" w:hAnsi="Palatino Linotype" w:eastAsia="Palatino Linotype"/>
          <w:b w:val="0"/>
          <w:i w:val="0"/>
          <w:sz w:val="20"/>
        </w:rPr>
        <w:t>Two limits of this calibration should be stated plainly. First, the model is specified and estimated at the national level, so its parameters are population-weighted averages over China’s prefecture-level cities. The archetype analysis of Section 4.10 shows how much behaviour differs once those averages are relaxed, but it does not substitute for city-level estimation. Second, the model aggregates all forms of delayed entry into a single queue, whereas the civil-service examination is only one of them. Consistent with this, the model reproduces the 2026 congestion ratio closely but under-predicts the 2015 ratio (36 against 63), that is, it attributes more of the growth in delayed entry to the recent period than the examination series alone implies. Neither limitation affects the qualitative results, all of which are shown in Section 4.6 to be robust across the full parameter uncertainty range.</w:t>
      </w:r>
    </w:p>
    <w:p>
      <w:pPr>
        <w:keepNext/>
        <w:spacing w:before="140" w:after="80"/>
      </w:pPr>
      <w:r>
        <w:rPr>
          <w:rFonts w:ascii="Palatino Linotype" w:hAnsi="Palatino Linotype" w:eastAsia="Palatino Linotype"/>
          <w:b/>
          <w:i w:val="0"/>
          <w:sz w:val="20"/>
        </w:rPr>
        <w:t>3.4. Validation Protocol</w:t>
      </w:r>
    </w:p>
    <w:p>
      <w:pPr>
        <w:spacing w:after="120"/>
        <w:jc w:val="both"/>
      </w:pPr>
      <w:r>
        <w:rPr>
          <w:rFonts w:ascii="Palatino Linotype" w:hAnsi="Palatino Linotype" w:eastAsia="Palatino Linotype"/>
          <w:b w:val="0"/>
          <w:i w:val="0"/>
          <w:sz w:val="20"/>
        </w:rPr>
        <w:t>Following the taxonomy of Barlas [45], validity is established in three stages: direct structure tests, structure-oriented behaviour tests and behaviour-pattern tests. Direct structure tests comprise dimensional consistency of every rate equation, verification that all stocks remain non-negative and that population accounting is closed, and extreme-condition tests. Structure-oriented behaviour tests comprise integration-error tests and the loop-deactivation experiments of Section 4.5. Behaviour-pattern tests compare simulated and published series on seven indicators, three of which were not used in estimation. Table 4 reports the results.</w:t>
      </w:r>
    </w:p>
    <w:p>
      <w:pPr>
        <w:keepNext/>
        <w:spacing w:before="160" w:after="40"/>
      </w:pPr>
      <w:r>
        <w:rPr>
          <w:rFonts w:ascii="Palatino Linotype" w:hAnsi="Palatino Linotype" w:eastAsia="Palatino Linotype"/>
          <w:b/>
          <w:i w:val="0"/>
          <w:sz w:val="17"/>
        </w:rPr>
        <w:t xml:space="preserve">Table 4. </w:t>
      </w:r>
      <w:r>
        <w:rPr>
          <w:rFonts w:ascii="Palatino Linotype" w:hAnsi="Palatino Linotype" w:eastAsia="Palatino Linotype"/>
          <w:b w:val="0"/>
          <w:i w:val="0"/>
          <w:sz w:val="17"/>
        </w:rPr>
        <w:t>Validation tests and outcomes.</w:t>
      </w:r>
    </w:p>
    <w:tbl>
      <w:tblPr>
        <w:tblW w:w="0" w:type="auto"/>
        <w:jc w:val="center"/>
        <w:tblLayout w:type="fixed"/>
        <w:tblCellMar>
          <w:top w:w="0" w:type="dxa"/>
          <w:left w:w="40" w:type="dxa"/>
          <w:bottom w:w="0" w:type="dxa"/>
          <w:right w:w="40" w:type="dxa"/>
        </w:tblCellMar>
      </w:tblPr>
      <w:tblGrid>
        <w:gridCol w:w="2450"/>
        <w:gridCol w:w="1750"/>
        <w:gridCol w:w="3050"/>
        <w:gridCol w:w="2390"/>
      </w:tblGrid>
      <w:tr>
        <w:trPr>
          <w:tblHeader/>
          <w:jc w:val="center"/>
        </w:trPr>
        <w:tc>
          <w:tcPr>
            <w:tcW w:w="24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Test</w:t>
            </w:r>
          </w:p>
        </w:tc>
        <w:tc>
          <w:tcPr>
            <w:tcW w:w="17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Class</w:t>
            </w:r>
          </w:p>
        </w:tc>
        <w:tc>
          <w:tcPr>
            <w:tcW w:w="30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Procedure</w:t>
            </w:r>
          </w:p>
        </w:tc>
        <w:tc>
          <w:tcPr>
            <w:tcW w:w="239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Result</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Dimensional consistency</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structure</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Units checked for all 20 rate equations</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Passed</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Boundary adequacy</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structure</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Every endogenous variable has at least one feedback path</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Passed</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Extreme conditions</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Direct structure</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Zero cohort inflow, zero vacancies, zero institutional posts</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Stocks converge to admissible limits; no negative stocks</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Integration error</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Structure-oriented</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Time step halved from 1/6 to 1/48 year</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Terminal NER identical to six decimal places</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Fixed-point consistency</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Structure-oriented</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Residual of the frozen-driver fixed point</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Maximum absolute residual &lt; 10⁻⁷</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Loop deactivation</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Structure-oriented</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Each link held at its 2015 value in turn</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Signs of all six effects match the analytically derived polarities</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Uniqueness of the fixed point</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Structure-oriented</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Multi-start solve from six initial guesses in 40 parameter cells</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Exactly one admissible fixed point in every cell</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Behaviour reproduction (in sample)</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Behaviour pattern</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Seven estimation moments</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All within 1.7 per cent</w:t>
            </w:r>
          </w:p>
        </w:tc>
      </w:tr>
      <w:tr>
        <w:trPr>
          <w:jc w:val="center"/>
        </w:trPr>
        <w:tc>
          <w:tcPr>
            <w:tcW w:w="24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Behaviour reproduction (out of sample)</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Behaviour pattern</w:t>
            </w:r>
          </w:p>
        </w:tc>
        <w:tc>
          <w:tcPr>
            <w:tcW w:w="30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Digital-industry share 2024, vacancy-to-seeker ratio 2015, exam ratio 2015</w:t>
            </w:r>
          </w:p>
        </w:tc>
        <w:tc>
          <w:tcPr>
            <w:tcW w:w="239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+0.5 per cent, +1.9 per cent, and under-prediction as discussed</w:t>
            </w:r>
          </w:p>
        </w:tc>
      </w:tr>
      <w:tr>
        <w:trPr>
          <w:jc w:val="center"/>
        </w:trPr>
        <w:tc>
          <w:tcPr>
            <w:tcW w:w="24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Sign of the skill-gap reversal</w:t>
            </w:r>
          </w:p>
        </w:tc>
        <w:tc>
          <w:tcPr>
            <w:tcW w:w="17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Behaviour pattern</w:t>
            </w:r>
          </w:p>
        </w:tc>
        <w:tc>
          <w:tcPr>
            <w:tcW w:w="30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Year in which the skill–threshold gap changes sign</w:t>
            </w:r>
          </w:p>
        </w:tc>
        <w:tc>
          <w:tcPr>
            <w:tcW w:w="239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2021, ahead of the observed post-2022 acceleration of youth non-employment</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NER denotes the youth non-employment rate. Out-of-sample indicators were not used in the estimation objective.</w:t>
      </w:r>
    </w:p>
    <w:p>
      <w:pPr>
        <w:keepNext/>
        <w:spacing w:before="140" w:after="80"/>
      </w:pPr>
      <w:r>
        <w:rPr>
          <w:rFonts w:ascii="Palatino Linotype" w:hAnsi="Palatino Linotype" w:eastAsia="Palatino Linotype"/>
          <w:b/>
          <w:i w:val="0"/>
          <w:sz w:val="20"/>
        </w:rPr>
        <w:t>3.5. Analysis Design</w:t>
      </w:r>
    </w:p>
    <w:p>
      <w:pPr>
        <w:spacing w:after="120"/>
        <w:jc w:val="both"/>
      </w:pPr>
      <w:r>
        <w:rPr>
          <w:rFonts w:ascii="Palatino Linotype" w:hAnsi="Palatino Linotype" w:eastAsia="Palatino Linotype"/>
          <w:b w:val="0"/>
          <w:i w:val="0"/>
          <w:sz w:val="20"/>
        </w:rPr>
        <w:t>Eight analyses are performed on the calibrated model. First, a baseline run from 2015 to 2040 under unchanged structure, integrated by fourth-order Runge–Kutta with a monthly step. Second, fixed points of the frozen-driver system are computed for each year, together with the Jacobian and its eigenvalues, giving the moving attractor and the spectrum of relaxation times defined by</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f</m:t>
        </m:r>
        <m:d>
          <m:dPr>
            <m:begChr m:val="("/>
            <m:endChr m:val=")"/>
          </m:dPr>
          <m:e>
            <m:sSup>
              <m:sSupPr/>
              <m:e>
                <m:r>
                  <m:rPr/>
                  <m:t>y</m:t>
                </m:r>
              </m:e>
              <m:sup>
                <m:r>
                  <m:rPr/>
                  <m:t>∗</m:t>
                </m:r>
              </m:sup>
            </m:sSup>
            <m:r>
              <m:rPr/>
              <m:t xml:space="preserve">; </m:t>
            </m:r>
            <m:r>
              <m:rPr/>
              <m:t>t</m:t>
            </m:r>
          </m:e>
        </m:d>
        <m:r>
          <m:rPr/>
          <m:t xml:space="preserve"> </m:t>
        </m:r>
        <m:r>
          <m:rPr>
            <m:sty m:val="p"/>
          </m:rPr>
          <m:t>=</m:t>
        </m:r>
        <m:r>
          <m:rPr/>
          <m:t xml:space="preserve"> </m:t>
        </m:r>
        <m:r>
          <m:rPr/>
          <m:t>0</m:t>
        </m:r>
        <m:r>
          <m:rPr/>
          <m:t>,</m:t>
        </m:r>
        <m:r>
          <m:rPr/>
          <m:t xml:space="preserve"> </m:t>
        </m:r>
        <m:r>
          <m:rPr/>
          <m:t xml:space="preserve"> </m:t>
        </m:r>
        <m:r>
          <m:rPr>
            <m:sty m:val="p"/>
          </m:rPr>
          <m:t>J</m:t>
        </m:r>
        <m:d>
          <m:dPr>
            <m:begChr m:val="("/>
            <m:endChr m:val=")"/>
          </m:dPr>
          <m:e>
            <m:r>
              <m:rPr/>
              <m:t>t</m:t>
            </m:r>
          </m:e>
        </m:d>
        <m:r>
          <m:rPr/>
          <m:t xml:space="preserve"> </m:t>
        </m:r>
        <m:r>
          <m:rPr>
            <m:sty m:val="p"/>
          </m:rPr>
          <m:t>=</m:t>
        </m:r>
        <m:r>
          <m:rPr/>
          <m:t xml:space="preserve"> </m:t>
        </m:r>
        <m:sSub>
          <m:sSubPr/>
          <m:e>
            <m:f>
              <m:fPr/>
              <m:num>
                <m:r>
                  <m:rPr/>
                  <m:t>∂</m:t>
                </m:r>
                <m:r>
                  <m:rPr/>
                  <m:t>f</m:t>
                </m:r>
              </m:num>
              <m:den>
                <m:r>
                  <m:rPr/>
                  <m:t>∂</m:t>
                </m:r>
                <m:r>
                  <m:rPr/>
                  <m:t>y</m:t>
                </m:r>
              </m:den>
            </m:f>
          </m:e>
          <m:sub>
            <m:sSup>
              <m:sSupPr/>
              <m:e>
                <m:r>
                  <m:rPr/>
                  <m:t>y</m:t>
                </m:r>
              </m:e>
              <m:sup>
                <m:r>
                  <m:rPr/>
                  <m:t>∗</m:t>
                </m:r>
              </m:sup>
            </m:sSup>
          </m:sub>
        </m:sSub>
        <m:r>
          <m:rPr/>
          <m:t>,</m:t>
        </m:r>
        <m:r>
          <m:rPr/>
          <m:t xml:space="preserve"> </m:t>
        </m:r>
        <m:r>
          <m:rPr/>
          <m:t xml:space="preserve"> </m:t>
        </m:r>
        <m:sSub>
          <m:sSubPr/>
          <m:e>
            <m:r>
              <m:rPr/>
              <m:t>τ</m:t>
            </m:r>
          </m:e>
          <m:sub>
            <m:r>
              <m:rPr/>
              <m:t>i</m:t>
            </m:r>
          </m:sub>
        </m:sSub>
        <m:r>
          <m:rPr/>
          <m:t xml:space="preserve"> </m:t>
        </m:r>
        <m:r>
          <m:rPr>
            <m:sty m:val="p"/>
          </m:rPr>
          <m:t>=</m:t>
        </m:r>
        <m:r>
          <m:rPr/>
          <m:t xml:space="preserve"> </m:t>
        </m:r>
        <m:r>
          <m:rPr/>
          <m:t xml:space="preserve"> </m:t>
        </m:r>
        <m:r>
          <m:rPr>
            <m:sty m:val="p"/>
          </m:rPr>
          <m:t>−</m:t>
        </m:r>
        <m:r>
          <m:rPr/>
          <m:t xml:space="preserve"> </m:t>
        </m:r>
        <m:f>
          <m:fPr/>
          <m:num>
            <m:r>
              <m:rPr/>
              <m:t>1</m:t>
            </m:r>
          </m:num>
          <m:den>
            <m:r>
              <m:rPr>
                <m:sty m:val="p"/>
              </m:rPr>
              <m:t>Re</m:t>
            </m:r>
            <m:r>
              <m:rPr/>
              <m:t xml:space="preserve"> </m:t>
            </m:r>
            <m:sSub>
              <m:sSubPr/>
              <m:e>
                <m:r>
                  <m:rPr/>
                  <m:t>λ</m:t>
                </m:r>
              </m:e>
              <m:sub>
                <m:r>
                  <m:rPr/>
                  <m:t>i</m:t>
                </m:r>
              </m:sub>
            </m:sSub>
          </m:den>
        </m:f>
      </m:oMath>
      <w:r>
        <w:rPr>
          <w:rFonts w:ascii="Palatino Linotype" w:hAnsi="Palatino Linotype" w:eastAsia="Palatino Linotype"/>
          <w:b w:val="0"/>
          <w:i w:val="0"/>
          <w:sz w:val="20"/>
        </w:rPr>
        <w:tab/>
      </w:r>
      <w:r>
        <w:rPr>
          <w:rFonts w:ascii="Palatino Linotype" w:hAnsi="Palatino Linotype" w:eastAsia="Palatino Linotype"/>
          <w:b w:val="0"/>
          <w:i w:val="0"/>
          <w:sz w:val="20"/>
        </w:rPr>
        <w:t>(16)</w:t>
      </w:r>
    </w:p>
    <w:p>
      <w:pPr>
        <w:spacing w:after="120"/>
        <w:jc w:val="both"/>
      </w:pPr>
      <w:r>
        <w:rPr>
          <w:rFonts w:ascii="Palatino Linotype" w:hAnsi="Palatino Linotype" w:eastAsia="Palatino Linotype"/>
          <w:b w:val="0"/>
          <w:i w:val="0"/>
          <w:sz w:val="20"/>
        </w:rPr>
        <w:t xml:space="preserve">Third, two-directional continuation in the two candidate control parameters (the threshold sensitivity </w:t>
      </w:r>
      <m:oMath>
        <m:r>
          <m:rPr/>
          <m:t>κ</m:t>
        </m:r>
      </m:oMath>
      <w:r>
        <w:rPr>
          <w:rFonts w:ascii="Palatino Linotype" w:hAnsi="Palatino Linotype" w:eastAsia="Palatino Linotype"/>
          <w:b w:val="0"/>
          <w:i w:val="0"/>
          <w:sz w:val="20"/>
        </w:rPr>
        <w:t xml:space="preserve"> and the value of an institutional post </w:t>
      </w:r>
      <m:oMath>
        <m:r>
          <m:rPr/>
          <m:t>\Pi</m:t>
        </m:r>
      </m:oMath>
      <w:r>
        <w:rPr>
          <w:rFonts w:ascii="Palatino Linotype" w:hAnsi="Palatino Linotype" w:eastAsia="Palatino Linotype"/>
          <w:b w:val="0"/>
          <w:i w:val="0"/>
          <w:sz w:val="20"/>
        </w:rPr>
        <w:t xml:space="preserve">) tests for fold bifurcations, and a multi-start search from six widely separated initial guesses across forty parameter cells—a 6 × 4 grid over the two strongest reinforcing parameters plus eight values each of </w:t>
      </w:r>
      <m:oMath>
        <m:r>
          <m:rPr/>
          <m:t>κ</m:t>
        </m:r>
      </m:oMath>
      <w:r>
        <w:rPr>
          <w:rFonts w:ascii="Palatino Linotype" w:hAnsi="Palatino Linotype" w:eastAsia="Palatino Linotype"/>
          <w:b w:val="0"/>
          <w:i w:val="0"/>
          <w:sz w:val="20"/>
        </w:rPr>
        <w:t xml:space="preserve"> and </w:t>
      </w:r>
      <m:oMath>
        <m:r>
          <m:rPr/>
          <m:t>\Pi</m:t>
        </m:r>
      </m:oMath>
      <w:r>
        <w:rPr>
          <w:rFonts w:ascii="Palatino Linotype" w:hAnsi="Palatino Linotype" w:eastAsia="Palatino Linotype"/>
          <w:b w:val="0"/>
          <w:i w:val="0"/>
          <w:sz w:val="20"/>
        </w:rPr>
        <w:t>—tests for multiple equilibria. Fourth, loop dominance is assessed by deactivation: each candidate link is held at its 2015 value so that the loop passing through it cannot operate, while the level effect of the link is preserved [18]. Fifth, a temporary demand shock is applied and the recovery half-life measured. Sixth, parameter uncertainty is propagated by a Latin-hypercube design of 4096 draws over the twelve uncertain parameters. Seventh, a Sobol variance decomposition with the Saltelli estimator quantifies first- and total-order contributions [19,20], using a scrambled Sobol sequence with a base sample of 1024, hence 14,336 model evaluations per output, with bootstrap confidence intervals from 800 resamples. The estimands and their estimators are</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S</m:t>
            </m:r>
          </m:e>
          <m:sub>
            <m:r>
              <m:rPr/>
              <m:t>i</m:t>
            </m:r>
          </m:sub>
        </m:sSub>
        <m:r>
          <m:rPr/>
          <m:t xml:space="preserve"> </m:t>
        </m:r>
        <m:r>
          <m:rPr>
            <m:sty m:val="p"/>
          </m:rPr>
          <m:t>=</m:t>
        </m:r>
        <m:r>
          <m:rPr/>
          <m:t xml:space="preserve"> </m:t>
        </m:r>
        <m:f>
          <m:fPr/>
          <m:num>
            <m:r>
              <m:rPr>
                <m:sty m:val="p"/>
              </m:rPr>
              <m:t>Var</m:t>
            </m:r>
            <m:d>
              <m:dPr>
                <m:begChr m:val="("/>
                <m:endChr m:val=")"/>
              </m:dPr>
              <m:e>
                <m:r>
                  <m:rPr>
                    <m:sty m:val="p"/>
                  </m:rPr>
                  <m:t>E</m:t>
                </m:r>
                <m:d>
                  <m:dPr>
                    <m:begChr m:val="["/>
                    <m:endChr m:val="]"/>
                  </m:dPr>
                  <m:e>
                    <m:r>
                      <m:rPr/>
                      <m:t>Y</m:t>
                    </m:r>
                    <m:r>
                      <m:rPr/>
                      <m:t xml:space="preserve"> | </m:t>
                    </m:r>
                    <m:sSub>
                      <m:sSubPr/>
                      <m:e>
                        <m:r>
                          <m:rPr/>
                          <m:t>X</m:t>
                        </m:r>
                      </m:e>
                      <m:sub>
                        <m:r>
                          <m:rPr/>
                          <m:t>i</m:t>
                        </m:r>
                      </m:sub>
                    </m:sSub>
                  </m:e>
                </m:d>
              </m:e>
            </m:d>
          </m:num>
          <m:den>
            <m:r>
              <m:rPr>
                <m:sty m:val="p"/>
              </m:rPr>
              <m:t>Var</m:t>
            </m:r>
            <m:d>
              <m:dPr>
                <m:begChr m:val="("/>
                <m:endChr m:val=")"/>
              </m:dPr>
              <m:e>
                <m:r>
                  <m:rPr/>
                  <m:t>Y</m:t>
                </m:r>
              </m:e>
            </m:d>
          </m:den>
        </m:f>
        <m:r>
          <m:rPr/>
          <m:t>,</m:t>
        </m:r>
        <m:r>
          <m:rPr/>
          <m:t xml:space="preserve"> </m:t>
        </m:r>
        <m:r>
          <m:rPr/>
          <m:t xml:space="preserve"> </m:t>
        </m:r>
        <m:sSub>
          <m:sSubPr/>
          <m:e>
            <m:r>
              <m:rPr/>
              <m:t>S</m:t>
            </m:r>
          </m:e>
          <m:sub>
            <m:r>
              <m:rPr/>
              <m:t>Ti</m:t>
            </m:r>
          </m:sub>
        </m:sSub>
        <m:r>
          <m:rPr/>
          <m:t xml:space="preserve"> </m:t>
        </m:r>
        <m:r>
          <m:rPr>
            <m:sty m:val="p"/>
          </m:rPr>
          <m:t>=</m:t>
        </m:r>
        <m:r>
          <m:rPr/>
          <m:t xml:space="preserve"> </m:t>
        </m:r>
        <m:f>
          <m:fPr/>
          <m:num>
            <m:r>
              <m:rPr>
                <m:sty m:val="p"/>
              </m:rPr>
              <m:t>E</m:t>
            </m:r>
            <m:d>
              <m:dPr>
                <m:begChr m:val="("/>
                <m:endChr m:val=")"/>
              </m:dPr>
              <m:e>
                <m:r>
                  <m:rPr>
                    <m:sty m:val="p"/>
                  </m:rPr>
                  <m:t>Var</m:t>
                </m:r>
                <m:d>
                  <m:dPr>
                    <m:begChr m:val="["/>
                    <m:endChr m:val="]"/>
                  </m:dPr>
                  <m:e>
                    <m:r>
                      <m:rPr/>
                      <m:t>Y</m:t>
                    </m:r>
                    <m:r>
                      <m:rPr/>
                      <m:t xml:space="preserve"> | </m:t>
                    </m:r>
                    <m:sSub>
                      <m:sSubPr/>
                      <m:e>
                        <m:r>
                          <m:rPr/>
                          <m:t>X</m:t>
                        </m:r>
                      </m:e>
                      <m:sub>
                        <m:r>
                          <m:rPr/>
                          <m:t>∼i</m:t>
                        </m:r>
                      </m:sub>
                    </m:sSub>
                  </m:e>
                </m:d>
              </m:e>
            </m:d>
          </m:num>
          <m:den>
            <m:r>
              <m:rPr>
                <m:sty m:val="p"/>
              </m:rPr>
              <m:t>Var</m:t>
            </m:r>
            <m:d>
              <m:dPr>
                <m:begChr m:val="("/>
                <m:endChr m:val=")"/>
              </m:dPr>
              <m:e>
                <m:r>
                  <m:rPr/>
                  <m:t>Y</m:t>
                </m:r>
              </m:e>
            </m:d>
          </m:den>
        </m:f>
      </m:oMath>
      <w:r>
        <w:rPr>
          <w:rFonts w:ascii="Palatino Linotype" w:hAnsi="Palatino Linotype" w:eastAsia="Palatino Linotype"/>
          <w:b w:val="0"/>
          <w:i w:val="0"/>
          <w:sz w:val="20"/>
        </w:rPr>
        <w:tab/>
      </w:r>
      <w:r>
        <w:rPr>
          <w:rFonts w:ascii="Palatino Linotype" w:hAnsi="Palatino Linotype" w:eastAsia="Palatino Linotype"/>
          <w:b w:val="0"/>
          <w:i w:val="0"/>
          <w:sz w:val="20"/>
        </w:rPr>
        <w:t>(17)</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
          <m:sSubPr/>
          <m:e>
            <m:r>
              <m:rPr/>
              <m:t>Ŝ</m:t>
            </m:r>
          </m:e>
          <m:sub>
            <m:r>
              <m:rPr/>
              <m:t>i</m:t>
            </m:r>
          </m:sub>
        </m:sSub>
        <m:r>
          <m:rPr/>
          <m:t xml:space="preserve"> </m:t>
        </m:r>
        <m:r>
          <m:rPr>
            <m:sty m:val="p"/>
          </m:rPr>
          <m:t>=</m:t>
        </m:r>
        <m:r>
          <m:rPr/>
          <m:t xml:space="preserve"> </m:t>
        </m:r>
        <m:f>
          <m:fPr/>
          <m:num>
            <m:f>
              <m:fPr/>
              <m:num>
                <m:r>
                  <m:rPr/>
                  <m:t>1</m:t>
                </m:r>
              </m:num>
              <m:den>
                <m:r>
                  <m:rPr/>
                  <m:t>N</m:t>
                </m:r>
              </m:den>
            </m:f>
            <m:nary>
              <m:naryPr>
                <m:chr m:val="∑"/>
                <m:limLoc m:val="subSup"/>
              </m:naryPr>
              <m:sub>
                <m:r>
                  <m:rPr/>
                  <m:t>n=1</m:t>
                </m:r>
              </m:sub>
              <m:sup>
                <m:r>
                  <m:rPr/>
                  <m:t>N</m:t>
                </m:r>
              </m:sup>
              <m:e>
                <m:d>
                  <m:dPr>
                    <m:begChr m:val="("/>
                    <m:endChr m:val=")"/>
                  </m:dPr>
                  <m:e>
                    <m:sSup>
                      <m:sSupPr/>
                      <m:e>
                        <m:r>
                          <m:rPr/>
                          <m:t>Y</m:t>
                        </m:r>
                      </m:e>
                      <m:sup>
                        <m:r>
                          <m:rPr/>
                          <m:t>A</m:t>
                        </m:r>
                      </m:sup>
                    </m:sSup>
                    <m:d>
                      <m:dPr>
                        <m:begChr m:val="("/>
                        <m:endChr m:val=")"/>
                      </m:dPr>
                      <m:e>
                        <m:sSubSup>
                          <m:sSubSupPr/>
                          <m:e>
                            <m:r>
                              <m:rPr/>
                              <m:t>Y</m:t>
                            </m:r>
                          </m:e>
                          <m:sub>
                            <m:r>
                              <m:rPr/>
                              <m:t>i</m:t>
                            </m:r>
                          </m:sub>
                          <m:sup>
                            <m:r>
                              <m:rPr/>
                              <m:t>AB</m:t>
                            </m:r>
                          </m:sup>
                        </m:sSubSup>
                        <m:r>
                          <m:rPr/>
                          <m:t xml:space="preserve"> </m:t>
                        </m:r>
                        <m:r>
                          <m:rPr>
                            <m:sty m:val="p"/>
                          </m:rPr>
                          <m:t>−</m:t>
                        </m:r>
                        <m:r>
                          <m:rPr/>
                          <m:t xml:space="preserve"> </m:t>
                        </m:r>
                        <m:sSup>
                          <m:sSupPr/>
                          <m:e>
                            <m:r>
                              <m:rPr/>
                              <m:t>Y</m:t>
                            </m:r>
                          </m:e>
                          <m:sup>
                            <m:r>
                              <m:rPr/>
                              <m:t>B</m:t>
                            </m:r>
                          </m:sup>
                        </m:sSup>
                      </m:e>
                    </m:d>
                  </m:e>
                </m:d>
              </m:e>
            </m:nary>
          </m:num>
          <m:den>
            <m:sSup>
              <m:sSupPr/>
              <m:e>
                <m:r>
                  <m:rPr/>
                  <m:t>s</m:t>
                </m:r>
              </m:e>
              <m:sup>
                <m:r>
                  <m:rPr/>
                  <m:t>2</m:t>
                </m:r>
              </m:sup>
            </m:sSup>
          </m:den>
        </m:f>
        <m:r>
          <m:rPr/>
          <m:t>,</m:t>
        </m:r>
        <m:r>
          <m:rPr/>
          <m:t xml:space="preserve"> </m:t>
        </m:r>
        <m:r>
          <m:rPr/>
          <m:t xml:space="preserve"> </m:t>
        </m:r>
        <m:sSub>
          <m:sSubPr/>
          <m:e>
            <m:r>
              <m:rPr/>
              <m:t>Ŝ</m:t>
            </m:r>
          </m:e>
          <m:sub>
            <m:r>
              <m:rPr/>
              <m:t>Ti</m:t>
            </m:r>
          </m:sub>
        </m:sSub>
        <m:r>
          <m:rPr/>
          <m:t xml:space="preserve"> </m:t>
        </m:r>
        <m:r>
          <m:rPr>
            <m:sty m:val="p"/>
          </m:rPr>
          <m:t>=</m:t>
        </m:r>
        <m:r>
          <m:rPr/>
          <m:t xml:space="preserve"> </m:t>
        </m:r>
        <m:f>
          <m:fPr/>
          <m:num>
            <m:f>
              <m:fPr/>
              <m:num>
                <m:r>
                  <m:rPr/>
                  <m:t>1</m:t>
                </m:r>
              </m:num>
              <m:den>
                <m:r>
                  <m:rPr/>
                  <m:t>2N</m:t>
                </m:r>
              </m:den>
            </m:f>
            <m:nary>
              <m:naryPr>
                <m:chr m:val="∑"/>
                <m:limLoc m:val="subSup"/>
              </m:naryPr>
              <m:sub>
                <m:r>
                  <m:rPr/>
                  <m:t>n=1</m:t>
                </m:r>
              </m:sub>
              <m:sup>
                <m:r>
                  <m:rPr/>
                  <m:t>N</m:t>
                </m:r>
              </m:sup>
              <m:e>
                <m:sSup>
                  <m:sSupPr/>
                  <m:e>
                    <m:d>
                      <m:dPr>
                        <m:begChr m:val="("/>
                        <m:endChr m:val=")"/>
                      </m:dPr>
                      <m:e>
                        <m:sSup>
                          <m:sSupPr/>
                          <m:e>
                            <m:r>
                              <m:rPr/>
                              <m:t>Y</m:t>
                            </m:r>
                          </m:e>
                          <m:sup>
                            <m:r>
                              <m:rPr/>
                              <m:t>B</m:t>
                            </m:r>
                          </m:sup>
                        </m:sSup>
                        <m:r>
                          <m:rPr/>
                          <m:t xml:space="preserve"> </m:t>
                        </m:r>
                        <m:r>
                          <m:rPr>
                            <m:sty m:val="p"/>
                          </m:rPr>
                          <m:t>−</m:t>
                        </m:r>
                        <m:r>
                          <m:rPr/>
                          <m:t xml:space="preserve"> </m:t>
                        </m:r>
                        <m:sSubSup>
                          <m:sSubSupPr/>
                          <m:e>
                            <m:r>
                              <m:rPr/>
                              <m:t>Y</m:t>
                            </m:r>
                          </m:e>
                          <m:sub>
                            <m:r>
                              <m:rPr/>
                              <m:t>i</m:t>
                            </m:r>
                          </m:sub>
                          <m:sup>
                            <m:r>
                              <m:rPr/>
                              <m:t>AB</m:t>
                            </m:r>
                          </m:sup>
                        </m:sSubSup>
                      </m:e>
                    </m:d>
                  </m:e>
                  <m:sup>
                    <m:r>
                      <m:rPr/>
                      <m:t>2</m:t>
                    </m:r>
                  </m:sup>
                </m:sSup>
              </m:e>
            </m:nary>
          </m:num>
          <m:den>
            <m:sSup>
              <m:sSupPr/>
              <m:e>
                <m:r>
                  <m:rPr/>
                  <m:t>s</m:t>
                </m:r>
              </m:e>
              <m:sup>
                <m:r>
                  <m:rPr/>
                  <m:t>2</m:t>
                </m:r>
              </m:sup>
            </m:sSup>
          </m:den>
        </m:f>
      </m:oMath>
      <w:r>
        <w:rPr>
          <w:rFonts w:ascii="Palatino Linotype" w:hAnsi="Palatino Linotype" w:eastAsia="Palatino Linotype"/>
          <w:b w:val="0"/>
          <w:i w:val="0"/>
          <w:sz w:val="20"/>
        </w:rPr>
        <w:tab/>
      </w:r>
      <w:r>
        <w:rPr>
          <w:rFonts w:ascii="Palatino Linotype" w:hAnsi="Palatino Linotype" w:eastAsia="Palatino Linotype"/>
          <w:b w:val="0"/>
          <w:i w:val="0"/>
          <w:sz w:val="20"/>
        </w:rPr>
        <w:t>(18)</w:t>
      </w:r>
    </w:p>
    <w:p>
      <w:pPr>
        <w:spacing w:after="120"/>
        <w:jc w:val="both"/>
      </w:pPr>
      <w:r>
        <w:rPr>
          <w:rFonts w:ascii="Palatino Linotype" w:hAnsi="Palatino Linotype" w:eastAsia="Palatino Linotype"/>
          <w:b w:val="0"/>
          <w:i w:val="0"/>
          <w:sz w:val="20"/>
        </w:rPr>
        <w:t>Eighth, the Monte Carlo output is summarised by two meta-models. A binary outcome is defined as a 2040 non-employment rate exceeding 0.36, that is twice the 2025 benchmark, and is modelled by logistic regression on the twelve standardised parameters:</w:t>
      </w:r>
    </w:p>
    <w:p>
      <w:pPr>
        <w:tabs>
          <w:tab w:val="center" w:pos="4600"/>
          <w:tab w:val="right" w:pos="9200"/>
        </w:tabs>
        <w:spacing w:before="80" w:after="80"/>
        <w:ind w:left="0"/>
        <w:jc w:val="right"/>
      </w:pPr>
      <w:r>
        <w:rPr>
          <w:rFonts w:ascii="Palatino Linotype" w:hAnsi="Palatino Linotype" w:eastAsia="Palatino Linotype"/>
          <w:b w:val="0"/>
          <w:i w:val="0"/>
          <w:sz w:val="20"/>
        </w:rPr>
        <w:tab/>
      </w:r>
      <m:oMath>
        <m:r>
          <m:rPr>
            <m:sty m:val="p"/>
          </m:rPr>
          <m:t>Pr</m:t>
        </m:r>
        <m:d>
          <m:dPr>
            <m:begChr m:val="("/>
            <m:endChr m:val=")"/>
          </m:dPr>
          <m:e>
            <m:sSub>
              <m:sSubPr/>
              <m:e>
                <m:r>
                  <m:rPr/>
                  <m:t>T</m:t>
                </m:r>
              </m:e>
              <m:sub>
                <m:r>
                  <m:rPr/>
                  <m:t>j</m:t>
                </m:r>
              </m:sub>
            </m:sSub>
            <m:r>
              <m:rPr/>
              <m:t xml:space="preserve"> </m:t>
            </m:r>
            <m:r>
              <m:rPr>
                <m:sty m:val="p"/>
              </m:rPr>
              <m:t>=</m:t>
            </m:r>
            <m:r>
              <m:rPr/>
              <m:t xml:space="preserve"> </m:t>
            </m:r>
            <m:r>
              <m:rPr/>
              <m:t>1</m:t>
            </m:r>
            <m:r>
              <m:rPr/>
              <m:t xml:space="preserve"> | </m:t>
            </m:r>
            <m:sSub>
              <m:sSubPr/>
              <m:e>
                <m:r>
                  <m:rPr/>
                  <m:t>z</m:t>
                </m:r>
              </m:e>
              <m:sub>
                <m:r>
                  <m:rPr/>
                  <m:t>j</m:t>
                </m:r>
              </m:sub>
            </m:sSub>
          </m:e>
        </m:d>
        <m:r>
          <m:rPr/>
          <m:t xml:space="preserve"> </m:t>
        </m:r>
        <m:r>
          <m:rPr>
            <m:sty m:val="p"/>
          </m:rPr>
          <m:t>=</m:t>
        </m:r>
        <m:r>
          <m:rPr/>
          <m:t xml:space="preserve"> </m:t>
        </m:r>
        <m:r>
          <m:rPr>
            <m:sty m:val="p"/>
          </m:rPr>
          <m:t>Λ</m:t>
        </m:r>
        <m:d>
          <m:dPr>
            <m:begChr m:val="("/>
            <m:endChr m:val=")"/>
          </m:dPr>
          <m:e>
            <m:sSub>
              <m:sSubPr/>
              <m:e>
                <m:r>
                  <m:rPr/>
                  <m:t>γ</m:t>
                </m:r>
              </m:e>
              <m:sub>
                <m:r>
                  <m:rPr/>
                  <m:t>0</m:t>
                </m:r>
              </m:sub>
            </m:sSub>
            <m:r>
              <m:rPr/>
              <m:t xml:space="preserve"> </m:t>
            </m:r>
            <m:r>
              <m:rPr>
                <m:sty m:val="p"/>
              </m:rPr>
              <m:t>+</m:t>
            </m:r>
            <m:r>
              <m:rPr/>
              <m:t xml:space="preserve"> </m:t>
            </m:r>
            <m:nary>
              <m:naryPr>
                <m:chr m:val="∑"/>
                <m:limLoc m:val="subSup"/>
              </m:naryPr>
              <m:sub>
                <m:r>
                  <m:rPr/>
                  <m:t>k=1</m:t>
                </m:r>
              </m:sub>
              <m:sup>
                <m:r>
                  <m:rPr/>
                  <m:t>K</m:t>
                </m:r>
              </m:sup>
              <m:e>
                <m:sSub>
                  <m:sSubPr/>
                  <m:e>
                    <m:r>
                      <m:rPr/>
                      <m:t>γ</m:t>
                    </m:r>
                  </m:e>
                  <m:sub>
                    <m:r>
                      <m:rPr/>
                      <m:t>k</m:t>
                    </m:r>
                  </m:sub>
                </m:sSub>
                <m:sSub>
                  <m:sSubPr/>
                  <m:e>
                    <m:r>
                      <m:rPr/>
                      <m:t>z</m:t>
                    </m:r>
                  </m:e>
                  <m:sub>
                    <m:r>
                      <m:rPr/>
                      <m:t>jk</m:t>
                    </m:r>
                  </m:sub>
                </m:sSub>
              </m:e>
            </m:nary>
          </m:e>
        </m:d>
      </m:oMath>
      <w:r>
        <w:rPr>
          <w:rFonts w:ascii="Palatino Linotype" w:hAnsi="Palatino Linotype" w:eastAsia="Palatino Linotype"/>
          <w:b w:val="0"/>
          <w:i w:val="0"/>
          <w:sz w:val="20"/>
        </w:rPr>
        <w:tab/>
      </w:r>
      <w:r>
        <w:rPr>
          <w:rFonts w:ascii="Palatino Linotype" w:hAnsi="Palatino Linotype" w:eastAsia="Palatino Linotype"/>
          <w:b w:val="0"/>
          <w:i w:val="0"/>
          <w:sz w:val="20"/>
        </w:rPr>
        <w:t>(19)</w:t>
      </w:r>
    </w:p>
    <w:p>
      <w:pPr>
        <w:spacing w:after="120"/>
        <w:jc w:val="both"/>
      </w:pPr>
      <w:r>
        <w:rPr>
          <w:rFonts w:ascii="Palatino Linotype" w:hAnsi="Palatino Linotype" w:eastAsia="Palatino Linotype"/>
          <w:b w:val="0"/>
          <w:i w:val="0"/>
          <w:sz w:val="20"/>
        </w:rPr>
        <w:t>A cost-complexity-pruned classification tree with the penalty selected by five-fold cross-validated area under the receiver operating characteristic curve provides interpretable thresholds, echoing the decision-tree stage used by Grigorescu and colleagues on European NEET data [12]. Finally, policy experiments move one or more parameters by a common number of prior standard deviations, so that instruments of different units are compared at equal standardised effort:</w:t>
      </w:r>
    </w:p>
    <w:p>
      <w:pPr>
        <w:tabs>
          <w:tab w:val="center" w:pos="4600"/>
          <w:tab w:val="right" w:pos="9200"/>
        </w:tabs>
        <w:spacing w:before="80" w:after="80"/>
        <w:ind w:left="0"/>
        <w:jc w:val="right"/>
      </w:pPr>
      <w:r>
        <w:rPr>
          <w:rFonts w:ascii="Palatino Linotype" w:hAnsi="Palatino Linotype" w:eastAsia="Palatino Linotype"/>
          <w:b w:val="0"/>
          <w:i w:val="0"/>
          <w:sz w:val="20"/>
        </w:rPr>
        <w:tab/>
      </w:r>
      <m:oMath>
        <m:sSubSup>
          <m:sSubSupPr/>
          <m:e>
            <m:r>
              <m:rPr/>
              <m:t>p</m:t>
            </m:r>
          </m:e>
          <m:sub>
            <m:r>
              <m:rPr/>
              <m:t>k</m:t>
            </m:r>
          </m:sub>
          <m:sup>
            <m:r>
              <m:rPr/>
              <m:t>pol</m:t>
            </m:r>
          </m:sup>
        </m:sSubSup>
        <m:r>
          <m:rPr/>
          <m:t xml:space="preserve"> </m:t>
        </m:r>
        <m:r>
          <m:rPr>
            <m:sty m:val="p"/>
          </m:rPr>
          <m:t>=</m:t>
        </m:r>
        <m:r>
          <m:rPr/>
          <m:t xml:space="preserve"> </m:t>
        </m:r>
        <m:sSub>
          <m:sSubPr/>
          <m:e>
            <m:r>
              <m:rPr/>
              <m:t>p</m:t>
            </m:r>
          </m:e>
          <m:sub>
            <m:r>
              <m:rPr/>
              <m:t>k</m:t>
            </m:r>
          </m:sub>
        </m:sSub>
        <m:r>
          <m:rPr/>
          <m:t xml:space="preserve"> </m:t>
        </m:r>
        <m:r>
          <m:rPr>
            <m:sty m:val="p"/>
          </m:rPr>
          <m:t>±</m:t>
        </m:r>
        <m:r>
          <m:rPr/>
          <m:t xml:space="preserve"> </m:t>
        </m:r>
        <m:r>
          <m:rPr/>
          <m:t>e</m:t>
        </m:r>
        <m:r>
          <m:rPr/>
          <m:t xml:space="preserve"> </m:t>
        </m:r>
        <m:sSub>
          <m:sSubPr/>
          <m:e>
            <m:r>
              <m:rPr/>
              <m:t>s</m:t>
            </m:r>
          </m:e>
          <m:sub>
            <m:r>
              <m:rPr/>
              <m:t>k</m:t>
            </m:r>
          </m:sub>
        </m:sSub>
        <m:r>
          <m:rPr/>
          <m:t>,</m:t>
        </m:r>
        <m:r>
          <m:rPr/>
          <m:t xml:space="preserve"> </m:t>
        </m:r>
        <m:r>
          <m:rPr/>
          <m:t xml:space="preserve"> </m:t>
        </m:r>
        <m:sSub>
          <m:sSubPr/>
          <m:e>
            <m:r>
              <m:rPr/>
              <m:t>s</m:t>
            </m:r>
          </m:e>
          <m:sub>
            <m:r>
              <m:rPr/>
              <m:t>k</m:t>
            </m:r>
          </m:sub>
        </m:sSub>
        <m:r>
          <m:rPr/>
          <m:t xml:space="preserve"> </m:t>
        </m:r>
        <m:r>
          <m:rPr>
            <m:sty m:val="p"/>
          </m:rPr>
          <m:t>=</m:t>
        </m:r>
        <m:r>
          <m:rPr/>
          <m:t xml:space="preserve"> </m:t>
        </m:r>
        <m:f>
          <m:fPr/>
          <m:num>
            <m:sSub>
              <m:sSubPr/>
              <m:e>
                <m:r>
                  <m:rPr/>
                  <m:t>b</m:t>
                </m:r>
              </m:e>
              <m:sub>
                <m:r>
                  <m:rPr/>
                  <m:t>k</m:t>
                </m:r>
              </m:sub>
            </m:sSub>
            <m:r>
              <m:rPr/>
              <m:t xml:space="preserve"> </m:t>
            </m:r>
            <m:r>
              <m:rPr>
                <m:sty m:val="p"/>
              </m:rPr>
              <m:t>−</m:t>
            </m:r>
            <m:r>
              <m:rPr/>
              <m:t xml:space="preserve"> </m:t>
            </m:r>
            <m:sSub>
              <m:sSubPr/>
              <m:e>
                <m:r>
                  <m:rPr/>
                  <m:t>a</m:t>
                </m:r>
              </m:e>
              <m:sub>
                <m:r>
                  <m:rPr/>
                  <m:t>k</m:t>
                </m:r>
              </m:sub>
            </m:sSub>
          </m:num>
          <m:den>
            <m:sSup>
              <m:sSupPr/>
              <m:e>
                <m:r>
                  <m:rPr/>
                  <m:t>12</m:t>
                </m:r>
              </m:e>
              <m:sup>
                <m:r>
                  <m:rPr/>
                  <m:t>1/2</m:t>
                </m:r>
              </m:sup>
            </m:sSup>
          </m:den>
        </m:f>
      </m:oMath>
      <w:r>
        <w:rPr>
          <w:rFonts w:ascii="Palatino Linotype" w:hAnsi="Palatino Linotype" w:eastAsia="Palatino Linotype"/>
          <w:b w:val="0"/>
          <w:i w:val="0"/>
          <w:sz w:val="20"/>
        </w:rPr>
        <w:tab/>
      </w:r>
      <w:r>
        <w:rPr>
          <w:rFonts w:ascii="Palatino Linotype" w:hAnsi="Palatino Linotype" w:eastAsia="Palatino Linotype"/>
          <w:b w:val="0"/>
          <w:i w:val="0"/>
          <w:sz w:val="20"/>
        </w:rPr>
        <w:t>(20)</w:t>
      </w:r>
    </w:p>
    <w:p>
      <w:pPr>
        <w:spacing w:after="120"/>
        <w:jc w:val="both"/>
      </w:pPr>
      <w:r>
        <w:rPr>
          <w:rFonts w:ascii="Palatino Linotype" w:hAnsi="Palatino Linotype" w:eastAsia="Palatino Linotype"/>
          <w:b w:val="0"/>
          <w:i w:val="0"/>
          <w:sz w:val="20"/>
        </w:rPr>
        <w:t>Five instrument families are considered: P1 skill upgrading, which raises training intensity; P2 matching efficiency, which raises the efficiency of the matching function through public placement services and information platforms; P3 expectation guidance, which raises the aspiration adjustment speed and lowers the anchoring weight through career education of the kind measured by employability-thinking instruments [21,28]; P4 vacancy creation, which raises the elasticity of vacancies to digitalisation through hiring subsidies; and P5 threshold moderation, which lowers both the exogenous and the endogenous sensitivity of the employer hiring bar through skills-based rather than credential-based hiring standards, publicly certified competence frameworks and structured internships that let employers observe ability directly [9,46]. All instruments are introduced in 2025 and held constant thereafter, except in the sequencing experiments, where the same cumulative effort is redistributed over time. Statistical comparison across instruments uses the Kruskal–Wallis test with Mann–Whitney post-hoc comparisons under Bonferroni correction, and paired within-draw differences are tested by the Wilcoxon signed-rank test.</w:t>
      </w:r>
    </w:p>
    <w:p>
      <w:pPr>
        <w:keepNext/>
        <w:spacing w:before="200" w:after="80"/>
      </w:pPr>
      <w:r>
        <w:rPr>
          <w:rFonts w:ascii="Palatino Linotype" w:hAnsi="Palatino Linotype" w:eastAsia="Palatino Linotype"/>
          <w:b/>
          <w:i w:val="0"/>
          <w:sz w:val="24"/>
        </w:rPr>
        <w:t>4. Results</w:t>
      </w:r>
    </w:p>
    <w:p>
      <w:pPr>
        <w:keepNext/>
        <w:spacing w:before="140" w:after="80"/>
      </w:pPr>
      <w:r>
        <w:rPr>
          <w:rFonts w:ascii="Palatino Linotype" w:hAnsi="Palatino Linotype" w:eastAsia="Palatino Linotype"/>
          <w:b/>
          <w:i w:val="0"/>
          <w:sz w:val="20"/>
        </w:rPr>
        <w:t>4.1. Baseline Behaviour and Validation</w:t>
      </w:r>
    </w:p>
    <w:p>
      <w:pPr>
        <w:spacing w:after="120"/>
        <w:jc w:val="both"/>
      </w:pPr>
      <w:r>
        <w:rPr>
          <w:rFonts w:ascii="Palatino Linotype" w:hAnsi="Palatino Linotype" w:eastAsia="Palatino Linotype"/>
          <w:b w:val="0"/>
          <w:i w:val="0"/>
          <w:sz w:val="20"/>
        </w:rPr>
        <w:t>Figure 3 and Table 5 report the baseline run under unchanged structure. Three features deserve emphasis. First, the model reproduces the observed deterioration without any exogenous deterioration being imposed on it: the youth non-employment rate rises from 0.117 in 2015 to 0.178 in 2025, the slow-employment share of entrants from 0.060 to 0.191, and the vertical mismatch share from 0.178 to 0.243, all within 1.7 per cent of their published counterparts. Second, this happens while the market remains tight: the vacancy-to-seeker ratio falls only from 1.53 to 1.43 over the same decade, and is 1.36 in 2040. The system generates rising non-employment in a market that never becomes slack, which is the empirical puzzle set out in Section 1. Third, the mechanism is visible in panel (c). Employability capital is essentially flat, moving from 0.592 to 0.596 across twenty-five years, because cohort renewal continually replenishes it. What moves is the employer threshold, from 0.527 to 0.857. The skill–threshold gap consequently narrows, changes sign in 2021, and reaches −0.261 by 2040.</w:t>
      </w:r>
    </w:p>
    <w:p>
      <w:pPr>
        <w:spacing w:after="40"/>
        <w:jc w:val="center"/>
      </w:pPr>
      <w:r>
        <w:drawing>
          <wp:inline distT="0" distB="0" distL="114300" distR="114300">
            <wp:extent cx="5989320" cy="400482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22"/>
                    <a:stretch>
                      <a:fillRect/>
                    </a:stretch>
                  </pic:blipFill>
                  <pic:spPr>
                    <a:xfrm>
                      <a:off x="0" y="0"/>
                      <a:ext cx="5989320" cy="4004823"/>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3. </w:t>
      </w:r>
      <w:r>
        <w:rPr>
          <w:rFonts w:ascii="Palatino Linotype" w:hAnsi="Palatino Linotype" w:eastAsia="Palatino Linotype"/>
          <w:b w:val="0"/>
          <w:i w:val="0"/>
          <w:sz w:val="17"/>
        </w:rPr>
        <w:t>Baseline behaviour, 2015–2040. (a) The realised non-employment rate against its instantaneous (frozen-driver) equilibrium; circles are published benchmarks. (b) Slow-employment and mismatch shares against their 2025 benchmarks. (c) The employer threshold rises while employability capital stays flat and aspirations fall, so the skill–threshold gap changes sign in 2022. (d) Queue congestion on a logarithmic scale against the vacancy-to-seeker ratio.</w:t>
      </w:r>
    </w:p>
    <w:p>
      <w:pPr>
        <w:keepNext/>
        <w:spacing w:before="160" w:after="40"/>
      </w:pPr>
      <w:r>
        <w:rPr>
          <w:rFonts w:ascii="Palatino Linotype" w:hAnsi="Palatino Linotype" w:eastAsia="Palatino Linotype"/>
          <w:b/>
          <w:i w:val="0"/>
          <w:sz w:val="17"/>
        </w:rPr>
        <w:t xml:space="preserve">Table 5. </w:t>
      </w:r>
      <w:r>
        <w:rPr>
          <w:rFonts w:ascii="Palatino Linotype" w:hAnsi="Palatino Linotype" w:eastAsia="Palatino Linotype"/>
          <w:b w:val="0"/>
          <w:i w:val="0"/>
          <w:sz w:val="17"/>
        </w:rPr>
        <w:t>Baseline trajectory of the calibrated system under unchanged structure.</w:t>
      </w:r>
    </w:p>
    <w:tbl>
      <w:tblPr>
        <w:tblW w:w="0" w:type="auto"/>
        <w:jc w:val="center"/>
        <w:tblLayout w:type="fixed"/>
        <w:tblCellMar>
          <w:top w:w="0" w:type="dxa"/>
          <w:left w:w="40" w:type="dxa"/>
          <w:bottom w:w="0" w:type="dxa"/>
          <w:right w:w="40" w:type="dxa"/>
        </w:tblCellMar>
      </w:tblPr>
      <w:tblGrid>
        <w:gridCol w:w="700"/>
        <w:gridCol w:w="800"/>
        <w:gridCol w:w="900"/>
        <w:gridCol w:w="950"/>
        <w:gridCol w:w="1150"/>
        <w:gridCol w:w="1000"/>
        <w:gridCol w:w="1050"/>
        <w:gridCol w:w="950"/>
        <w:gridCol w:w="1050"/>
        <w:gridCol w:w="800"/>
        <w:gridCol w:w="1000"/>
      </w:tblGrid>
      <w:tr>
        <w:trPr>
          <w:tblHeader/>
          <w:jc w:val="center"/>
        </w:trPr>
        <w:tc>
          <w:tcPr>
            <w:tcW w:w="7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Year</w:t>
            </w:r>
          </w:p>
        </w:tc>
        <w:tc>
          <w:tcPr>
            <w:tcW w:w="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NER</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 flow</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Mismatch</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Duration (yr)</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Queue ratio</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Threshold </w:t>
            </w:r>
            <m:oMath>
              <m:r>
                <m:rPr/>
                <m:t>θ</m:t>
              </m:r>
            </m:oMath>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Capital </w:t>
            </w:r>
            <m:oMath>
              <m:r>
                <m:rPr/>
                <m:t>H</m:t>
              </m:r>
            </m:oMath>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Aspiration </w:t>
            </w:r>
            <m:oMath>
              <m:r>
                <m:rPr/>
                <m:t>A</m:t>
              </m:r>
            </m:oMath>
          </w:p>
        </w:tc>
        <w:tc>
          <w:tcPr>
            <w:tcW w:w="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Gap </w:t>
            </w:r>
            <m:oMath>
              <m:r>
                <m:rPr/>
                <m:t>x</m:t>
              </m:r>
            </m:oMath>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Tightness</w:t>
            </w:r>
          </w:p>
        </w:tc>
      </w:tr>
      <w:tr>
        <w:trPr>
          <w:jc w:val="center"/>
        </w:trPr>
        <w:tc>
          <w:tcPr>
            <w:tcW w:w="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2015</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0.72</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35.7</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0.527</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0.592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0.651</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+0.066</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1.53</w:t>
            </w:r>
          </w:p>
        </w:tc>
      </w:tr>
      <w:tr>
        <w:trPr>
          <w:jc w:val="center"/>
        </w:trPr>
        <w:tc>
          <w:tcPr>
            <w:tcW w:w="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2020</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0.137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0.097</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0.197</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48.1</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0.593</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0.643</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+0.012</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1.56</w:t>
            </w:r>
          </w:p>
        </w:tc>
      </w:tr>
      <w:tr>
        <w:trPr>
          <w:jc w:val="center"/>
        </w:trPr>
        <w:tc>
          <w:tcPr>
            <w:tcW w:w="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2025</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0.178</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0.191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0.243</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1.22</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96.3</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0.652</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0.590</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0.620</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−0.062</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1.43</w:t>
            </w:r>
          </w:p>
        </w:tc>
      </w:tr>
      <w:tr>
        <w:trPr>
          <w:jc w:val="center"/>
        </w:trPr>
        <w:tc>
          <w:tcPr>
            <w:tcW w:w="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2030</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0.380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0.301</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2.28</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237.2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0.587</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0.587</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−0.143</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1.33</w:t>
            </w:r>
          </w:p>
        </w:tc>
      </w:tr>
      <w:tr>
        <w:trPr>
          <w:jc w:val="center"/>
        </w:trPr>
        <w:tc>
          <w:tcPr>
            <w:tcW w:w="7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2035</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0.390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0.517</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0.360</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4.78</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496.3</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0.801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0.590</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0.555</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−0.211</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1.34</w:t>
            </w:r>
          </w:p>
        </w:tc>
      </w:tr>
      <w:tr>
        <w:trPr>
          <w:jc w:val="center"/>
        </w:trPr>
        <w:tc>
          <w:tcPr>
            <w:tcW w:w="7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2040</w:t>
            </w:r>
          </w:p>
        </w:tc>
        <w:tc>
          <w:tcPr>
            <w:tcW w:w="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0.517</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0.542</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0.411</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8.63</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753.8</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0.857</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0.596</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0.531</w:t>
            </w:r>
          </w:p>
        </w:tc>
        <w:tc>
          <w:tcPr>
            <w:tcW w:w="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−0.261</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1.36</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NER is the youth non-employment rate; SE flow is the share of each entering cohort that chooses delayed entry. The 2030–2040 values are a structure-unchanged counterfactual, not a forecast: they describe where the present configuration of feedbacks leads if nothing in it changes.</w:t>
      </w:r>
    </w:p>
    <w:p>
      <w:pPr>
        <w:keepNext/>
        <w:spacing w:before="140" w:after="80"/>
      </w:pPr>
      <w:r>
        <w:rPr>
          <w:rFonts w:ascii="Palatino Linotype" w:hAnsi="Palatino Linotype" w:eastAsia="Palatino Linotype"/>
          <w:b/>
          <w:i w:val="0"/>
          <w:sz w:val="20"/>
        </w:rPr>
        <w:t>4.2. The Attractor Moves and the State Lags It</w:t>
      </w:r>
    </w:p>
    <w:p>
      <w:pPr>
        <w:spacing w:after="120"/>
        <w:jc w:val="both"/>
      </w:pPr>
      <w:r>
        <w:rPr>
          <w:rFonts w:ascii="Palatino Linotype" w:hAnsi="Palatino Linotype" w:eastAsia="Palatino Linotype"/>
          <w:b w:val="0"/>
          <w:i w:val="0"/>
          <w:sz w:val="20"/>
        </w:rPr>
        <w:t>Panel (a) of Figure 3 plots, alongside the realised trajectory, the instantaneous equilibrium of the system—the state to which it would converge if the exogenous drivers were frozen at their values in that year. This moving attractor rises from a non-employment rate of 0.117 in 2015 to 0.187 in 2025 and 0.637 in 2040. The realised state never reaches it. By 2040 the vertical gap between the two is 0.120, and the horizontal lag—the number of years by which the realised state trails the attractor—averages 1.72 years over the period and reaches 5.00 years at the end of the horizon.</w:t>
      </w:r>
    </w:p>
    <w:p>
      <w:pPr>
        <w:spacing w:after="120"/>
        <w:jc w:val="both"/>
      </w:pPr>
      <w:r>
        <w:rPr>
          <w:rFonts w:ascii="Palatino Linotype" w:hAnsi="Palatino Linotype" w:eastAsia="Palatino Linotype"/>
          <w:b w:val="0"/>
          <w:i w:val="0"/>
          <w:sz w:val="20"/>
        </w:rPr>
        <w:t>This is not a modelling artefact but a direct consequence of the system’s time constants. The eigenvalues of the Jacobian at the 2040 fixed point are all real and negative (Table 6), so the fixed point is a stable node, but they differ by a factor of twenty. The slowest mode has a relaxation time of exactly eight years, equal to the reciprocal of the exit rate from the youth window: the system cannot adjust faster than a cohort can pass through it. Two further modes have relaxation times of 5.78 years. Since a first-order system requires roughly three time constants to complete 95 per cent of its adjustment, the transition system needs about a quarter of a century to express fully any change in its structure. The practical implication is that measured youth non-employment is a lagging indicator of structural deterioration by a knowable margin, and that policy evaluated on a three- or five-year horizon will systematically under-record both the damage already accumulated and the benefit of any correction.</w:t>
      </w:r>
    </w:p>
    <w:p>
      <w:pPr>
        <w:keepNext/>
        <w:spacing w:before="160" w:after="40"/>
      </w:pPr>
      <w:r>
        <w:rPr>
          <w:rFonts w:ascii="Palatino Linotype" w:hAnsi="Palatino Linotype" w:eastAsia="Palatino Linotype"/>
          <w:b/>
          <w:i w:val="0"/>
          <w:sz w:val="17"/>
        </w:rPr>
        <w:t xml:space="preserve">Table 6. </w:t>
      </w:r>
      <w:r>
        <w:rPr>
          <w:rFonts w:ascii="Palatino Linotype" w:hAnsi="Palatino Linotype" w:eastAsia="Palatino Linotype"/>
          <w:b w:val="0"/>
          <w:i w:val="0"/>
          <w:sz w:val="17"/>
        </w:rPr>
        <w:t>Eigenvalue spectrum of the frozen-driver system at 2040 and the associated relaxation times.</w:t>
      </w:r>
    </w:p>
    <w:tbl>
      <w:tblPr>
        <w:tblW w:w="0" w:type="auto"/>
        <w:jc w:val="center"/>
        <w:tblLayout w:type="fixed"/>
        <w:tblCellMar>
          <w:top w:w="0" w:type="dxa"/>
          <w:left w:w="40" w:type="dxa"/>
          <w:bottom w:w="0" w:type="dxa"/>
          <w:right w:w="40" w:type="dxa"/>
        </w:tblCellMar>
      </w:tblPr>
      <w:tblGrid>
        <w:gridCol w:w="1300"/>
        <w:gridCol w:w="2200"/>
        <w:gridCol w:w="2400"/>
        <w:gridCol w:w="3740"/>
      </w:tblGrid>
      <w:tr>
        <w:trPr>
          <w:tblHeader/>
          <w:jc w:val="center"/>
        </w:trPr>
        <w:tc>
          <w:tcPr>
            <w:tcW w:w="13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Mode</w:t>
            </w:r>
          </w:p>
        </w:tc>
        <w:tc>
          <w:tcPr>
            <w:tcW w:w="2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Eigenvalue (yr⁻¹)</w:t>
            </w:r>
          </w:p>
        </w:tc>
        <w:tc>
          <w:tcPr>
            <w:tcW w:w="24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Relaxation time (yr)</w:t>
            </w:r>
          </w:p>
        </w:tc>
        <w:tc>
          <w:tcPr>
            <w:tcW w:w="37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Interpretation</w:t>
            </w:r>
          </w:p>
        </w:tc>
      </w:tr>
      <w:tr>
        <w:trPr>
          <w:jc w:val="center"/>
        </w:trPr>
        <w:tc>
          <w:tcPr>
            <w:tcW w:w="1300" w:type="dxa"/>
            <w:tcBorders>
              <w:top w:val="nil"/>
              <w:left w:val="nil"/>
              <w:bottom w:val="nil"/>
              <w:right w:val="nil"/>
            </w:tcBorders>
          </w:tcPr>
          <w:p>
            <w:pPr>
              <w:spacing w:before="0" w:after="0" w:line="240" w:lineRule="auto"/>
              <w:ind w:left="0"/>
              <w:jc w:val="left"/>
              <w:rPr>
                <w:sz w:val="19"/>
              </w:rPr>
            </w:pPr>
            <m:oMath>
              <m:sSub>
                <m:sSubPr/>
                <m:e>
                  <m:r>
                    <m:rPr/>
                    <m:t>λ</m:t>
                  </m:r>
                </m:e>
                <m:sub>
                  <m:r>
                    <m:rPr/>
                    <m:t>1</m:t>
                  </m:r>
                </m:sub>
              </m:sSub>
            </m:oMath>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−2.459</w:t>
            </w:r>
          </w:p>
        </w:tc>
        <w:tc>
          <w:tcPr>
            <w:tcW w:w="2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0.41</w:t>
            </w:r>
          </w:p>
        </w:tc>
        <w:tc>
          <w:tcPr>
            <w:tcW w:w="3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Search-flow equilibration</w:t>
            </w:r>
          </w:p>
        </w:tc>
      </w:tr>
      <w:tr>
        <w:trPr>
          <w:jc w:val="center"/>
        </w:trPr>
        <w:tc>
          <w:tcPr>
            <w:tcW w:w="1300" w:type="dxa"/>
            <w:tcBorders>
              <w:top w:val="nil"/>
              <w:left w:val="nil"/>
              <w:bottom w:val="nil"/>
              <w:right w:val="nil"/>
            </w:tcBorders>
          </w:tcPr>
          <w:p>
            <w:pPr>
              <w:spacing w:before="0" w:after="0" w:line="240" w:lineRule="auto"/>
              <w:ind w:left="0"/>
              <w:jc w:val="left"/>
              <w:rPr>
                <w:sz w:val="19"/>
              </w:rPr>
            </w:pPr>
            <m:oMath>
              <m:sSub>
                <m:sSubPr/>
                <m:e>
                  <m:r>
                    <m:rPr/>
                    <m:t>λ</m:t>
                  </m:r>
                </m:e>
                <m:sub>
                  <m:r>
                    <m:rPr/>
                    <m:t>2</m:t>
                  </m:r>
                </m:sub>
              </m:sSub>
            </m:oMath>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−1.752</w:t>
            </w:r>
          </w:p>
        </w:tc>
        <w:tc>
          <w:tcPr>
            <w:tcW w:w="2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w:t>
            </w:r>
          </w:p>
        </w:tc>
        <w:tc>
          <w:tcPr>
            <w:tcW w:w="3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and offer adjustment</w:t>
            </w:r>
          </w:p>
        </w:tc>
      </w:tr>
      <w:tr>
        <w:trPr>
          <w:jc w:val="center"/>
        </w:trPr>
        <w:tc>
          <w:tcPr>
            <w:tcW w:w="1300" w:type="dxa"/>
            <w:tcBorders>
              <w:top w:val="nil"/>
              <w:left w:val="nil"/>
              <w:bottom w:val="nil"/>
              <w:right w:val="nil"/>
            </w:tcBorders>
          </w:tcPr>
          <w:p>
            <w:pPr>
              <w:spacing w:before="0" w:after="0" w:line="240" w:lineRule="auto"/>
              <w:ind w:left="0"/>
              <w:jc w:val="left"/>
              <w:rPr>
                <w:sz w:val="19"/>
              </w:rPr>
            </w:pPr>
            <m:oMath>
              <m:sSub>
                <m:sSubPr/>
                <m:e>
                  <m:r>
                    <m:rPr/>
                    <m:t>λ</m:t>
                  </m:r>
                </m:e>
                <m:sub>
                  <m:r>
                    <m:rPr/>
                    <m:t>3</m:t>
                  </m:r>
                </m:sub>
              </m:sSub>
            </m:oMath>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−0.401</w:t>
            </w:r>
          </w:p>
        </w:tc>
        <w:tc>
          <w:tcPr>
            <w:tcW w:w="2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2.49</w:t>
            </w:r>
          </w:p>
        </w:tc>
        <w:tc>
          <w:tcPr>
            <w:tcW w:w="3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Queue turnover</w:t>
            </w:r>
          </w:p>
        </w:tc>
      </w:tr>
      <w:tr>
        <w:trPr>
          <w:jc w:val="center"/>
        </w:trPr>
        <w:tc>
          <w:tcPr>
            <w:tcW w:w="1300" w:type="dxa"/>
            <w:tcBorders>
              <w:top w:val="nil"/>
              <w:left w:val="nil"/>
              <w:bottom w:val="nil"/>
              <w:right w:val="nil"/>
            </w:tcBorders>
          </w:tcPr>
          <w:p>
            <w:pPr>
              <w:spacing w:before="0" w:after="0" w:line="240" w:lineRule="auto"/>
              <w:ind w:left="0"/>
              <w:jc w:val="left"/>
              <w:rPr>
                <w:sz w:val="19"/>
              </w:rPr>
            </w:pPr>
            <m:oMath>
              <m:sSub>
                <m:sSubPr/>
                <m:e>
                  <m:r>
                    <m:rPr/>
                    <m:t>λ</m:t>
                  </m:r>
                </m:e>
                <m:sub>
                  <m:r>
                    <m:rPr/>
                    <m:t>4</m:t>
                  </m:r>
                </m:sub>
              </m:sSub>
            </m:oMath>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−0.173</w:t>
            </w:r>
          </w:p>
        </w:tc>
        <w:tc>
          <w:tcPr>
            <w:tcW w:w="2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5.78</w:t>
            </w:r>
          </w:p>
        </w:tc>
        <w:tc>
          <w:tcPr>
            <w:tcW w:w="3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Mismatched-employment turnover</w:t>
            </w:r>
          </w:p>
        </w:tc>
      </w:tr>
      <w:tr>
        <w:trPr>
          <w:jc w:val="center"/>
        </w:trPr>
        <w:tc>
          <w:tcPr>
            <w:tcW w:w="1300" w:type="dxa"/>
            <w:tcBorders>
              <w:top w:val="nil"/>
              <w:left w:val="nil"/>
              <w:bottom w:val="nil"/>
              <w:right w:val="nil"/>
            </w:tcBorders>
          </w:tcPr>
          <w:p>
            <w:pPr>
              <w:spacing w:before="0" w:after="0" w:line="240" w:lineRule="auto"/>
              <w:ind w:left="0"/>
              <w:jc w:val="left"/>
              <w:rPr>
                <w:sz w:val="19"/>
              </w:rPr>
            </w:pPr>
            <m:oMath>
              <m:sSub>
                <m:sSubPr/>
                <m:e>
                  <m:r>
                    <m:rPr/>
                    <m:t>λ</m:t>
                  </m:r>
                </m:e>
                <m:sub>
                  <m:r>
                    <m:rPr/>
                    <m:t>5</m:t>
                  </m:r>
                </m:sub>
              </m:sSub>
            </m:oMath>
          </w:p>
        </w:tc>
        <w:tc>
          <w:tcPr>
            <w:tcW w:w="2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−0.173</w:t>
            </w:r>
          </w:p>
        </w:tc>
        <w:tc>
          <w:tcPr>
            <w:tcW w:w="2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5.78</w:t>
            </w:r>
          </w:p>
        </w:tc>
        <w:tc>
          <w:tcPr>
            <w:tcW w:w="3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Matched-employment turnover</w:t>
            </w:r>
          </w:p>
        </w:tc>
      </w:tr>
      <w:tr>
        <w:trPr>
          <w:jc w:val="center"/>
        </w:trPr>
        <w:tc>
          <w:tcPr>
            <w:tcW w:w="1300" w:type="dxa"/>
            <w:tcBorders>
              <w:top w:val="nil"/>
              <w:left w:val="nil"/>
              <w:bottom w:val="single" w:color="000000" w:sz="8" w:space="0"/>
              <w:right w:val="nil"/>
            </w:tcBorders>
          </w:tcPr>
          <w:p>
            <w:pPr>
              <w:spacing w:before="0" w:after="0" w:line="240" w:lineRule="auto"/>
              <w:ind w:left="0"/>
              <w:jc w:val="left"/>
              <w:rPr>
                <w:sz w:val="19"/>
              </w:rPr>
            </w:pPr>
            <m:oMath>
              <m:sSub>
                <m:sSubPr/>
                <m:e>
                  <m:r>
                    <m:rPr/>
                    <m:t>λ</m:t>
                  </m:r>
                </m:e>
                <m:sub>
                  <m:r>
                    <m:rPr/>
                    <m:t>6</m:t>
                  </m:r>
                </m:sub>
              </m:sSub>
            </m:oMath>
          </w:p>
        </w:tc>
        <w:tc>
          <w:tcPr>
            <w:tcW w:w="2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−0.125</w:t>
            </w:r>
          </w:p>
        </w:tc>
        <w:tc>
          <w:tcPr>
            <w:tcW w:w="2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8.00</w:t>
            </w:r>
          </w:p>
        </w:tc>
        <w:tc>
          <w:tcPr>
            <w:tcW w:w="37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Cohort passage through the youth window</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All eigenvalues are real and negative, so the fixed point is a stable node. The slowest mode equals </w:t>
      </w:r>
      <m:oMath>
        <m:r>
          <m:rPr/>
          <m:t>-ω</m:t>
        </m:r>
      </m:oMath>
      <w:r>
        <w:rPr>
          <w:rFonts w:ascii="Palatino Linotype" w:hAnsi="Palatino Linotype" w:eastAsia="Palatino Linotype"/>
          <w:b w:val="0"/>
          <w:i w:val="0"/>
          <w:sz w:val="14"/>
        </w:rPr>
        <w:t xml:space="preserve"> exactly.</w:t>
      </w:r>
    </w:p>
    <w:p>
      <w:pPr>
        <w:keepNext/>
        <w:spacing w:before="140" w:after="80"/>
      </w:pPr>
      <w:r>
        <w:rPr>
          <w:rFonts w:ascii="Palatino Linotype" w:hAnsi="Palatino Linotype" w:eastAsia="Palatino Linotype"/>
          <w:b/>
          <w:i w:val="0"/>
          <w:sz w:val="20"/>
        </w:rPr>
        <w:t>4.3. No Fold, No Hysteresis: A Negative Result</w:t>
      </w:r>
    </w:p>
    <w:p>
      <w:pPr>
        <w:spacing w:after="120"/>
        <w:jc w:val="both"/>
      </w:pPr>
      <w:r>
        <w:rPr>
          <w:rFonts w:ascii="Palatino Linotype" w:hAnsi="Palatino Linotype" w:eastAsia="Palatino Linotype"/>
          <w:b w:val="0"/>
          <w:i w:val="0"/>
          <w:sz w:val="20"/>
        </w:rPr>
        <w:t xml:space="preserve">A natural hypothesis, and the one we began with, is that the transition system possesses two stable regimes—a fluid one and a trapped one—separated by an unstable threshold, so that a sufficiently large disturbance would flip it irreversibly. The hypothesis is not supported. Two-directional continuation in the threshold sensitivity </w:t>
      </w:r>
      <m:oMath>
        <m:r>
          <m:rPr/>
          <m:t>κ</m:t>
        </m:r>
      </m:oMath>
      <w:r>
        <w:rPr>
          <w:rFonts w:ascii="Palatino Linotype" w:hAnsi="Palatino Linotype" w:eastAsia="Palatino Linotype"/>
          <w:b w:val="0"/>
          <w:i w:val="0"/>
          <w:sz w:val="20"/>
        </w:rPr>
        <w:t xml:space="preserve"> over [0.5, 5.0] and in the value of an institutional post </w:t>
      </w:r>
      <m:oMath>
        <m:r>
          <m:rPr/>
          <m:t>\Pi</m:t>
        </m:r>
      </m:oMath>
      <w:r>
        <w:rPr>
          <w:rFonts w:ascii="Palatino Linotype" w:hAnsi="Palatino Linotype" w:eastAsia="Palatino Linotype"/>
          <w:b w:val="0"/>
          <w:i w:val="0"/>
          <w:sz w:val="20"/>
        </w:rPr>
        <w:t xml:space="preserve"> over [0.4, 2.6] produces forward and backward branches that coincide to within 10⁻¹⁴ in non-employment rate at every grid point at which both sweeps converge (241 of 241 points for </w:t>
      </w:r>
      <m:oMath>
        <m:r>
          <m:rPr/>
          <m:t>κ</m:t>
        </m:r>
      </m:oMath>
      <w:r>
        <w:rPr>
          <w:rFonts w:ascii="Palatino Linotype" w:hAnsi="Palatino Linotype" w:eastAsia="Palatino Linotype"/>
          <w:b w:val="0"/>
          <w:i w:val="0"/>
          <w:sz w:val="20"/>
        </w:rPr>
        <w:t xml:space="preserve"> and 232 of 241 for </w:t>
      </w:r>
      <m:oMath>
        <m:r>
          <m:rPr/>
          <m:t>\Pi</m:t>
        </m:r>
      </m:oMath>
      <w:r>
        <w:rPr>
          <w:rFonts w:ascii="Palatino Linotype" w:hAnsi="Palatino Linotype" w:eastAsia="Palatino Linotype"/>
          <w:b w:val="0"/>
          <w:i w:val="0"/>
          <w:sz w:val="20"/>
        </w:rPr>
        <w:t xml:space="preserve">), so no fold and no hysteresis loop exists in either direction (Figure 4a). A multi-start search from six widely separated initial guesses across forty parameter cells—a 6 × 4 grid spanning endogenous threshold escalation from 0 to 2.5 and screening sharpness from 3 to 22, plus eight values each of </w:t>
      </w:r>
      <m:oMath>
        <m:r>
          <m:rPr/>
          <m:t>κ</m:t>
        </m:r>
      </m:oMath>
      <w:r>
        <w:rPr>
          <w:rFonts w:ascii="Palatino Linotype" w:hAnsi="Palatino Linotype" w:eastAsia="Palatino Linotype"/>
          <w:b w:val="0"/>
          <w:i w:val="0"/>
          <w:sz w:val="20"/>
        </w:rPr>
        <w:t xml:space="preserve"> and </w:t>
      </w:r>
      <m:oMath>
        <m:r>
          <m:rPr/>
          <m:t>\Pi</m:t>
        </m:r>
      </m:oMath>
      <w:r>
        <w:rPr>
          <w:rFonts w:ascii="Palatino Linotype" w:hAnsi="Palatino Linotype" w:eastAsia="Palatino Linotype"/>
          <w:b w:val="0"/>
          <w:i w:val="0"/>
          <w:sz w:val="20"/>
        </w:rPr>
        <w:t>—returns exactly one admissible fixed point in every cell.</w:t>
      </w:r>
    </w:p>
    <w:p>
      <w:pPr>
        <w:spacing w:after="120"/>
        <w:jc w:val="both"/>
      </w:pPr>
      <w:r>
        <w:rPr>
          <w:rFonts w:ascii="Palatino Linotype" w:hAnsi="Palatino Linotype" w:eastAsia="Palatino Linotype"/>
          <w:b w:val="0"/>
          <w:i w:val="0"/>
          <w:sz w:val="20"/>
        </w:rPr>
        <w:t>The system is therefore globally monostable over the region examined, and the language of tipping points, critical transitions and early-warning signals [47] does not apply to it. This is worth stating explicitly because that language has become common in policy discussion of youth exclusion. What generates persistence here is not multiplicity of equilibria but the conjunction of a monotonically drifting attractor with a slow state, which produces behaviour that superficially resembles a trap—deterioration that does not reverse itself—without any of a trap’s formal properties, a pattern also visible in empirical work on the slow evolution of human-capital mismatch and youth employment quality in Chinese regions [48,49]. The distinction matters for policy: in a bistable system the objective is to avoid or escape a basin, and timing dominates magnitude; in a drifting monostable system the objective is to slow or reverse the drift, and sustained pressure on the driver dominates one-off intervention.</w:t>
      </w:r>
    </w:p>
    <w:p>
      <w:pPr>
        <w:spacing w:after="40"/>
        <w:jc w:val="center"/>
      </w:pPr>
      <w:r>
        <w:drawing>
          <wp:inline distT="0" distB="0" distL="114300" distR="114300">
            <wp:extent cx="5989320" cy="206357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pic:cNvPicPr>
                  </pic:nvPicPr>
                  <pic:blipFill>
                    <a:blip r:embed="rId23"/>
                    <a:stretch>
                      <a:fillRect/>
                    </a:stretch>
                  </pic:blipFill>
                  <pic:spPr>
                    <a:xfrm>
                      <a:off x="0" y="0"/>
                      <a:ext cx="5989320" cy="2063570"/>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4. </w:t>
      </w:r>
      <w:r>
        <w:rPr>
          <w:rFonts w:ascii="Palatino Linotype" w:hAnsi="Palatino Linotype" w:eastAsia="Palatino Linotype"/>
          <w:b w:val="0"/>
          <w:i w:val="0"/>
          <w:sz w:val="17"/>
        </w:rPr>
        <w:t>Structural properties. (a) Forward (solid) and backward (dotted) continuation in two control parameters; the branches coincide, so no fold exists. Circles mark the calibrated values. (b) Excess non-employment after a temporary three-year demand shock, with the shock window shaded. (c) Relaxation times implied by the eigenvalue spectrum at the 2040 fixed point.</w:t>
      </w:r>
    </w:p>
    <w:p>
      <w:pPr>
        <w:keepNext/>
        <w:spacing w:before="140" w:after="80"/>
      </w:pPr>
      <w:r>
        <w:rPr>
          <w:rFonts w:ascii="Palatino Linotype" w:hAnsi="Palatino Linotype" w:eastAsia="Palatino Linotype"/>
          <w:b/>
          <w:i w:val="0"/>
          <w:sz w:val="20"/>
        </w:rPr>
        <w:t>4.4. Transitory Shocks Decay; Structural Drift Does Not</w:t>
      </w:r>
    </w:p>
    <w:p>
      <w:pPr>
        <w:spacing w:after="120"/>
        <w:jc w:val="both"/>
      </w:pPr>
      <w:r>
        <w:rPr>
          <w:rFonts w:ascii="Palatino Linotype" w:hAnsi="Palatino Linotype" w:eastAsia="Palatino Linotype"/>
          <w:b w:val="0"/>
          <w:i w:val="0"/>
          <w:sz w:val="20"/>
        </w:rPr>
        <w:t>To separate cyclical from structural persistence we impose a temporary adverse demand shock: the elasticity of vacancies to digitalisation is cut by 25 per cent for three years from 2026, after which the original structure is restored. The shock is large by historical standards, and its immediate effect is substantial: excess non-employment peaks at 0.125 in 2029, more than half the contemporaneous baseline rate. Recovery, however, is brisk. The excess falls to half its peak within 1.50 years of the shock ending and to 0.0050—about four per cent of the peak—ten years after. Figure 4b shows the full path.</w:t>
      </w:r>
    </w:p>
    <w:p>
      <w:pPr>
        <w:spacing w:after="120"/>
        <w:jc w:val="both"/>
      </w:pPr>
      <w:r>
        <w:rPr>
          <w:rFonts w:ascii="Palatino Linotype" w:hAnsi="Palatino Linotype" w:eastAsia="Palatino Linotype"/>
          <w:b w:val="0"/>
          <w:i w:val="0"/>
          <w:sz w:val="20"/>
        </w:rPr>
        <w:t>The contrast with the baseline drift is the substantive point. A large cyclical disturbance leaves almost no trace after a decade, whereas the slow upward march of the employer threshold produces a permanent and compounding deterioration. Youth non-employment in a digital-frontrunner region is therefore a structural problem wearing cyclical clothes. Counter-cyclical measures will appear to work—because the cycle would have reverted anyway—and will leave the underlying trajectory untouched.</w:t>
      </w:r>
    </w:p>
    <w:p>
      <w:pPr>
        <w:keepNext/>
        <w:spacing w:before="140" w:after="80"/>
      </w:pPr>
      <w:r>
        <w:rPr>
          <w:rFonts w:ascii="Palatino Linotype" w:hAnsi="Palatino Linotype" w:eastAsia="Palatino Linotype"/>
          <w:b/>
          <w:i w:val="0"/>
          <w:sz w:val="20"/>
        </w:rPr>
        <w:t>4.5. Which Loops Dominate</w:t>
      </w:r>
    </w:p>
    <w:p>
      <w:pPr>
        <w:spacing w:after="120"/>
        <w:jc w:val="both"/>
      </w:pPr>
      <w:r>
        <w:rPr>
          <w:rFonts w:ascii="Palatino Linotype" w:hAnsi="Palatino Linotype" w:eastAsia="Palatino Linotype"/>
          <w:b w:val="0"/>
          <w:i w:val="0"/>
          <w:sz w:val="20"/>
        </w:rPr>
        <w:t>Loop dominance is assessed by deactivation. Each candidate link is held at its 2015 value, so that the feedback passing through it cannot operate while its level effect is retained; the resulting change in the 2040 outcome measures that loop’s contribution to observed behaviour [18]. Table 7 reports the results. The signs recover exactly the polarities derived analytically in Section 2.3, which is itself a structure-oriented validation test: deactivating a reinforcing loop lowers non-employment, deactivating a balancing loop raises it.</w:t>
      </w:r>
    </w:p>
    <w:p>
      <w:pPr>
        <w:keepNext/>
        <w:spacing w:before="160" w:after="40"/>
      </w:pPr>
      <w:r>
        <w:rPr>
          <w:rFonts w:ascii="Palatino Linotype" w:hAnsi="Palatino Linotype" w:eastAsia="Palatino Linotype"/>
          <w:b/>
          <w:i w:val="0"/>
          <w:sz w:val="17"/>
        </w:rPr>
        <w:t xml:space="preserve">Table 7. </w:t>
      </w:r>
      <w:r>
        <w:rPr>
          <w:rFonts w:ascii="Palatino Linotype" w:hAnsi="Palatino Linotype" w:eastAsia="Palatino Linotype"/>
          <w:b w:val="0"/>
          <w:i w:val="0"/>
          <w:sz w:val="17"/>
        </w:rPr>
        <w:t>Loop-deactivation experiments: contribution of each feedback loop to the 2040 outcome.</w:t>
      </w:r>
    </w:p>
    <w:tbl>
      <w:tblPr>
        <w:tblW w:w="0" w:type="auto"/>
        <w:jc w:val="center"/>
        <w:tblLayout w:type="fixed"/>
        <w:tblCellMar>
          <w:top w:w="0" w:type="dxa"/>
          <w:left w:w="40" w:type="dxa"/>
          <w:bottom w:w="0" w:type="dxa"/>
          <w:right w:w="40" w:type="dxa"/>
        </w:tblCellMar>
      </w:tblPr>
      <w:tblGrid>
        <w:gridCol w:w="2600"/>
        <w:gridCol w:w="1250"/>
        <w:gridCol w:w="2600"/>
        <w:gridCol w:w="900"/>
        <w:gridCol w:w="900"/>
        <w:gridCol w:w="1300"/>
        <w:gridCol w:w="1090"/>
      </w:tblGrid>
      <w:tr>
        <w:trPr>
          <w:tblHeader/>
          <w:jc w:val="center"/>
        </w:trPr>
        <w:tc>
          <w:tcPr>
            <w:tcW w:w="26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Loop</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Polarity</w:t>
            </w:r>
          </w:p>
        </w:tc>
        <w:tc>
          <w:tcPr>
            <w:tcW w:w="2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Link held at its 2015 value</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2040 NER</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\Delta</m:t>
              </m:r>
            </m:oMath>
            <w:r>
              <w:rPr>
                <w:rFonts w:ascii="Palatino Linotype" w:hAnsi="Palatino Linotype" w:eastAsia="Palatino Linotype"/>
                <w:b/>
                <w:i w:val="0"/>
                <w:sz w:val="16"/>
              </w:rPr>
              <w:t>NER</w:t>
            </w:r>
          </w:p>
        </w:tc>
        <w:tc>
          <w:tcPr>
            <w:tcW w:w="13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\Delta</m:t>
              </m:r>
            </m:oMath>
            <w:r>
              <w:rPr>
                <w:rFonts w:ascii="Palatino Linotype" w:hAnsi="Palatino Linotype" w:eastAsia="Palatino Linotype"/>
                <w:b/>
                <w:i w:val="0"/>
                <w:sz w:val="16"/>
              </w:rPr>
              <w:t>Duration (yr)</w:t>
            </w:r>
          </w:p>
        </w:tc>
        <w:tc>
          <w:tcPr>
            <w:tcW w:w="10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Share of total effect</w:t>
            </w:r>
          </w:p>
        </w:tc>
      </w:tr>
      <w:tr>
        <w:trPr>
          <w:jc w:val="center"/>
        </w:trPr>
        <w:tc>
          <w:tcPr>
            <w:tcW w:w="2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B2 Aspiration adjustment</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Balancing</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level</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0.5791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+0.0618</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+2.55</w:t>
            </w:r>
          </w:p>
        </w:tc>
        <w:tc>
          <w:tcPr>
            <w:tcW w:w="10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30.3%</w:t>
            </w:r>
          </w:p>
        </w:tc>
      </w:tr>
      <w:tr>
        <w:trPr>
          <w:jc w:val="center"/>
        </w:trPr>
        <w:tc>
          <w:tcPr>
            <w:tcW w:w="2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R3 Threshold escalation</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Reinforcing</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Observed mismatch share</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0.4606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−0.0567</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−2.28</w:t>
            </w:r>
          </w:p>
        </w:tc>
        <w:tc>
          <w:tcPr>
            <w:tcW w:w="10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27.8%</w:t>
            </w:r>
          </w:p>
        </w:tc>
      </w:tr>
      <w:tr>
        <w:trPr>
          <w:jc w:val="center"/>
        </w:trPr>
        <w:tc>
          <w:tcPr>
            <w:tcW w:w="2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B3 Exam-queue congestion</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Balancing</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Realised exam success rate</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0.5530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+0.0357</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+0.84</w:t>
            </w:r>
          </w:p>
        </w:tc>
        <w:tc>
          <w:tcPr>
            <w:tcW w:w="10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17.5%</w:t>
            </w:r>
          </w:p>
        </w:tc>
      </w:tr>
      <w:tr>
        <w:trPr>
          <w:jc w:val="center"/>
        </w:trPr>
        <w:tc>
          <w:tcPr>
            <w:tcW w:w="2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R1 Skill decay while searching</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Reinforcing</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Searcher stock in renewal term</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0.4883</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−0.0290</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−1.19</w:t>
            </w:r>
          </w:p>
        </w:tc>
        <w:tc>
          <w:tcPr>
            <w:tcW w:w="10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14.2%</w:t>
            </w:r>
          </w:p>
        </w:tc>
      </w:tr>
      <w:tr>
        <w:trPr>
          <w:jc w:val="center"/>
        </w:trPr>
        <w:tc>
          <w:tcPr>
            <w:tcW w:w="26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R4 Thin-market offer quality</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Reinforcing</w:t>
            </w:r>
          </w:p>
        </w:tc>
        <w:tc>
          <w:tcPr>
            <w:tcW w:w="2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Offered job quality</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−0.0112</w:t>
            </w:r>
          </w:p>
        </w:tc>
        <w:tc>
          <w:tcPr>
            <w:tcW w:w="13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−0.32</w:t>
            </w:r>
          </w:p>
        </w:tc>
        <w:tc>
          <w:tcPr>
            <w:tcW w:w="10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5.5%</w:t>
            </w:r>
          </w:p>
        </w:tc>
      </w:tr>
      <w:tr>
        <w:trPr>
          <w:jc w:val="center"/>
        </w:trPr>
        <w:tc>
          <w:tcPr>
            <w:tcW w:w="26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R2 Queue–skill erosion</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Reinforcing</w:t>
            </w:r>
          </w:p>
        </w:tc>
        <w:tc>
          <w:tcPr>
            <w:tcW w:w="2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Skill retention while queueing</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0.5079</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−0.0094</w:t>
            </w:r>
          </w:p>
        </w:tc>
        <w:tc>
          <w:tcPr>
            <w:tcW w:w="13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−0.27</w:t>
            </w:r>
          </w:p>
        </w:tc>
        <w:tc>
          <w:tcPr>
            <w:tcW w:w="109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4.6%</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The baseline 2040 non-employment rate is 0.5173 and the baseline mean transition duration 8.63 years. A positive </w:t>
      </w:r>
      <m:oMath>
        <m:r>
          <m:rPr/>
          <m:t>\Delta</m:t>
        </m:r>
      </m:oMath>
      <w:r>
        <w:rPr>
          <w:rFonts w:ascii="Palatino Linotype" w:hAnsi="Palatino Linotype" w:eastAsia="Palatino Linotype"/>
          <w:b w:val="0"/>
          <w:i w:val="0"/>
          <w:sz w:val="14"/>
        </w:rPr>
        <w:t xml:space="preserve"> means that deactivating the loop worsens the outcome, identifying a balancing loop. Shares are absolute effects normalised to sum to unity.</w:t>
      </w:r>
    </w:p>
    <w:p>
      <w:pPr>
        <w:spacing w:after="120"/>
        <w:jc w:val="both"/>
      </w:pPr>
      <w:r>
        <w:rPr>
          <w:rFonts w:ascii="Palatino Linotype" w:hAnsi="Palatino Linotype" w:eastAsia="Palatino Linotype"/>
          <w:b w:val="0"/>
          <w:i w:val="0"/>
          <w:sz w:val="20"/>
        </w:rPr>
        <w:t>Three readings follow. First, the two balancing loops together account for almost half of the total deactivation effect: without aspiration adjustment and exam-queue congestion the 2040 non-employment rate would be 0.58 and 0.55 rather than 0.52. Congestion in particular is an unlovely but powerful brake—the fact that success rates collapse as the queue lengthens is what stops the queue absorbing the whole cohort. Policies that expand institutional recruitment without expanding anything else would weaken precisely this brake. Second, among the reinforcing loops, threshold escalation is the dominant amplifier by a wide margin, accounting for 27.8 per cent of the total deactivation effect—six times the queue-erosion loop—and adding 2.28 years to the mean transition. Third, the two loops most emphasised in the policy literature, skill decay during search and erosion while queueing, together account for under nineteen per cent. The scarring mechanism is real but it is not where the leverage is.</w:t>
      </w:r>
    </w:p>
    <w:p>
      <w:pPr>
        <w:keepNext/>
        <w:spacing w:before="140" w:after="80"/>
      </w:pPr>
      <w:r>
        <w:rPr>
          <w:rFonts w:ascii="Palatino Linotype" w:hAnsi="Palatino Linotype" w:eastAsia="Palatino Linotype"/>
          <w:b/>
          <w:i w:val="0"/>
          <w:sz w:val="20"/>
        </w:rPr>
        <w:t>4.6. Uncertainty and Global Sensitivity</w:t>
      </w:r>
    </w:p>
    <w:p>
      <w:pPr>
        <w:spacing w:after="120"/>
        <w:jc w:val="both"/>
      </w:pPr>
      <w:r>
        <w:rPr>
          <w:rFonts w:ascii="Palatino Linotype" w:hAnsi="Palatino Linotype" w:eastAsia="Palatino Linotype"/>
          <w:b w:val="0"/>
          <w:i w:val="0"/>
          <w:sz w:val="20"/>
        </w:rPr>
        <w:t>Twelve parameters are treated as uncertain over the ranges in Table 2. Propagating them through a Latin-hypercube design of 4096 draws gives a 2040 non-employment rate with mean 0.546, standard deviation 0.151 and a 95 per cent interval of [0.227, 0.795]; the median is 0.558 and the interquartile range [0.453, 0.662]. Mean transition duration has mean 16.06 years and a 95 per cent interval of [1.90, 57.28] years, the extreme right skew reflecting the multiplicative structure of the reinforcing loops. Appendix Table A1 reports the full distributions. The point to note is how little of the parameter space is benign: the 2.5th percentile of the 2040 distribution, 0.227, already exceeds the realised 2025 value of 0.178, so under essentially the entire uncertainty range the system continues to deteriorate rather than stabilising on its own.</w:t>
      </w:r>
    </w:p>
    <w:p>
      <w:pPr>
        <w:spacing w:after="120"/>
        <w:jc w:val="both"/>
      </w:pPr>
      <w:r>
        <w:rPr>
          <w:rFonts w:ascii="Palatino Linotype" w:hAnsi="Palatino Linotype" w:eastAsia="Palatino Linotype"/>
          <w:b w:val="0"/>
          <w:i w:val="0"/>
          <w:sz w:val="20"/>
        </w:rPr>
        <w:t>The Sobol decomposition (Table 8, Figure 5a) attributes variance rather than merely ranking parameters, and the concentration is striking. The sensitivity of the employer threshold to digitalisation alone accounts for 66.3 per cent of the total output variance, six times the next parameter. Endogenous threshold escalation contributes 11.0 per cent, the probability-weighting curvature 8.9 per cent, cohort growth 7.3 per cent and aspiration anchoring 5.0 per cent. Matching efficiency contributes 3.7 per cent and training intensity 0.1 per cent. First- and total-order indices sum to 0.927 and 1.062 respectively, so the response surface is close to additive and interaction effects account for roughly six per cent of the variance. Taken together, the two threshold parameters explain more than three quarters of everything the model does not know.</w:t>
      </w:r>
    </w:p>
    <w:p>
      <w:pPr>
        <w:keepNext/>
        <w:spacing w:before="160" w:after="40"/>
      </w:pPr>
      <w:r>
        <w:rPr>
          <w:rFonts w:ascii="Palatino Linotype" w:hAnsi="Palatino Linotype" w:eastAsia="Palatino Linotype"/>
          <w:b/>
          <w:i w:val="0"/>
          <w:sz w:val="17"/>
        </w:rPr>
        <w:t xml:space="preserve">Table 8. </w:t>
      </w:r>
      <w:r>
        <w:rPr>
          <w:rFonts w:ascii="Palatino Linotype" w:hAnsi="Palatino Linotype" w:eastAsia="Palatino Linotype"/>
          <w:b w:val="0"/>
          <w:i w:val="0"/>
          <w:sz w:val="17"/>
        </w:rPr>
        <w:t>Sobol variance decomposition of the 2040 non-employment rate (base sample 1024; 14,336 model evaluations; 800 bootstrap resamples).</w:t>
      </w:r>
    </w:p>
    <w:tbl>
      <w:tblPr>
        <w:tblW w:w="0" w:type="auto"/>
        <w:jc w:val="center"/>
        <w:tblLayout w:type="fixed"/>
        <w:tblCellMar>
          <w:top w:w="0" w:type="dxa"/>
          <w:left w:w="40" w:type="dxa"/>
          <w:bottom w:w="0" w:type="dxa"/>
          <w:right w:w="40" w:type="dxa"/>
        </w:tblCellMar>
      </w:tblPr>
      <w:tblGrid>
        <w:gridCol w:w="1150"/>
        <w:gridCol w:w="3350"/>
        <w:gridCol w:w="1450"/>
        <w:gridCol w:w="1450"/>
        <w:gridCol w:w="1350"/>
        <w:gridCol w:w="1490"/>
      </w:tblGrid>
      <w:tr>
        <w:trPr>
          <w:tblHeader/>
          <w:jc w:val="center"/>
        </w:trPr>
        <w:tc>
          <w:tcPr>
            <w:tcW w:w="11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Parameter</w:t>
            </w:r>
          </w:p>
        </w:tc>
        <w:tc>
          <w:tcPr>
            <w:tcW w:w="33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Meaning</w:t>
            </w:r>
          </w:p>
        </w:tc>
        <w:tc>
          <w:tcPr>
            <w:tcW w:w="14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First order </w:t>
            </w:r>
            <m:oMath>
              <m:sSub>
                <m:sSubPr/>
                <m:e>
                  <m:r>
                    <m:rPr/>
                    <m:t>S</m:t>
                  </m:r>
                </m:e>
                <m:sub>
                  <m:r>
                    <m:rPr/>
                    <m:t>i</m:t>
                  </m:r>
                </m:sub>
              </m:sSub>
            </m:oMath>
          </w:p>
        </w:tc>
        <w:tc>
          <w:tcPr>
            <w:tcW w:w="14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95% CI</w:t>
            </w:r>
          </w:p>
        </w:tc>
        <w:tc>
          <w:tcPr>
            <w:tcW w:w="13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Total order </w:t>
            </w:r>
            <m:oMath>
              <m:sSub>
                <m:sSubPr/>
                <m:e>
                  <m:r>
                    <m:rPr/>
                    <m:t>S</m:t>
                  </m:r>
                </m:e>
                <m:sub>
                  <m:r>
                    <m:rPr/>
                    <m:t>Ti</m:t>
                  </m:r>
                </m:sub>
              </m:sSub>
            </m:oMath>
          </w:p>
        </w:tc>
        <w:tc>
          <w:tcPr>
            <w:tcW w:w="149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95% CI</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κ</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Threshold sensitivity to digitalisation</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0.583</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[0.352, 0.850]</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0.663</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[0.611, 0.721]</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sSub>
                <m:sSubPr/>
                <m:e>
                  <m:r>
                    <m:rPr/>
                    <m:t>κ</m:t>
                  </m:r>
                </m:e>
                <m:sub>
                  <m:r>
                    <m:rPr/>
                    <m:t>2</m:t>
                  </m:r>
                </m:sub>
              </m:sSub>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Endogenous threshold escalation</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0.099</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[−0.005, 0.208]</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0.110</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[0.099, 0.122]</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\varepsilon</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Probability-weighting curvature</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0.060</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[−0.038, 0.158]</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0.089</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[0.078, 0.100]</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sSub>
                <m:sSubPr/>
                <m:e>
                  <m:r>
                    <m:rPr/>
                    <m:t>g</m:t>
                  </m:r>
                </m:e>
                <m:sub>
                  <m:r>
                    <m:rPr/>
                    <m:t>\Phi</m:t>
                  </m:r>
                </m:sub>
              </m:sSub>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Graduate cohort growth</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0.076</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 0.164]</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0.073</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[0.067, 0.081]</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\zeta</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anchoring weight</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0.059</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[−0.017, 0.131]</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0.050</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[0.045, 0.057]</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μ</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Matching efficiency</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0.035</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[−0.029, 0.099]</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0.037</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[0.033, 0.041]</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\Pi</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Perceived value of a public post</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[−0.048, 0.045]</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0.019</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[0.015, 0.022]</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sSub>
                <m:sSubPr/>
                <m:e>
                  <m:r>
                    <m:rPr/>
                    <m:t>δ</m:t>
                  </m:r>
                </m:e>
                <m:sub>
                  <m:r>
                    <m:rPr/>
                    <m:t>H</m:t>
                  </m:r>
                </m:sub>
              </m:sSub>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 decay while searching</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0.006</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[−0.033, 0.046]</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0.015</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 0.017]</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φ</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Vacancy elasticity to digitalisation</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[−0.016, 0.021]</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 0.004]</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\chi</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Skill retention while queueing</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0.002</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[−0.010, 0.013]</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 0.002]</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λ</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Aspiration adjustment speed</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[−0.011, 0.013]</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 0.001]</w:t>
            </w:r>
          </w:p>
        </w:tc>
      </w:tr>
      <w:tr>
        <w:trPr>
          <w:jc w:val="center"/>
        </w:trPr>
        <w:tc>
          <w:tcPr>
            <w:tcW w:w="1150" w:type="dxa"/>
            <w:tcBorders>
              <w:top w:val="nil"/>
              <w:left w:val="nil"/>
              <w:bottom w:val="nil"/>
              <w:right w:val="nil"/>
            </w:tcBorders>
          </w:tcPr>
          <w:p>
            <w:pPr>
              <w:spacing w:before="0" w:after="0" w:line="240" w:lineRule="auto"/>
              <w:ind w:left="0"/>
              <w:jc w:val="left"/>
              <w:rPr>
                <w:sz w:val="19"/>
              </w:rPr>
            </w:pPr>
            <m:oMath>
              <m:r>
                <m:rPr/>
                <m:t>\tau</m:t>
              </m:r>
            </m:oMath>
          </w:p>
        </w:tc>
        <w:tc>
          <w:tcPr>
            <w:tcW w:w="3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Training intensity</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0.003</w:t>
            </w:r>
          </w:p>
        </w:tc>
        <w:tc>
          <w:tcPr>
            <w:tcW w:w="14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[−0.007, 0.013]</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49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 0.001]</w:t>
            </w:r>
          </w:p>
        </w:tc>
      </w:tr>
      <w:tr>
        <w:trPr>
          <w:jc w:val="center"/>
        </w:trPr>
        <w:tc>
          <w:tcPr>
            <w:tcW w:w="11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Sum</w:t>
            </w:r>
          </w:p>
        </w:tc>
        <w:tc>
          <w:tcPr>
            <w:tcW w:w="3350" w:type="dxa"/>
            <w:tcBorders>
              <w:top w:val="nil"/>
              <w:left w:val="nil"/>
              <w:bottom w:val="single" w:color="000000" w:sz="8" w:space="0"/>
              <w:right w:val="nil"/>
            </w:tcBorders>
          </w:tcPr>
          <w:p>
            <w:pPr>
              <w:spacing w:before="0" w:after="0" w:line="240" w:lineRule="auto"/>
              <w:ind w:left="0"/>
              <w:jc w:val="center"/>
              <w:rPr>
                <w:sz w:val="19"/>
              </w:rPr>
            </w:pPr>
          </w:p>
        </w:tc>
        <w:tc>
          <w:tcPr>
            <w:tcW w:w="14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0.927</w:t>
            </w:r>
          </w:p>
        </w:tc>
        <w:tc>
          <w:tcPr>
            <w:tcW w:w="1450" w:type="dxa"/>
            <w:tcBorders>
              <w:top w:val="nil"/>
              <w:left w:val="nil"/>
              <w:bottom w:val="single" w:color="000000" w:sz="8" w:space="0"/>
              <w:right w:val="nil"/>
            </w:tcBorders>
          </w:tcPr>
          <w:p>
            <w:pPr>
              <w:spacing w:before="0" w:after="0" w:line="240" w:lineRule="auto"/>
              <w:ind w:left="0"/>
              <w:jc w:val="center"/>
              <w:rPr>
                <w:sz w:val="19"/>
              </w:rPr>
            </w:pPr>
          </w:p>
        </w:tc>
        <w:tc>
          <w:tcPr>
            <w:tcW w:w="13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1.062</w:t>
            </w:r>
          </w:p>
        </w:tc>
        <w:tc>
          <w:tcPr>
            <w:tcW w:w="1490" w:type="dxa"/>
            <w:tcBorders>
              <w:top w:val="nil"/>
              <w:left w:val="nil"/>
              <w:bottom w:val="single" w:color="000000" w:sz="8" w:space="0"/>
              <w:right w:val="nil"/>
            </w:tcBorders>
          </w:tcPr>
          <w:p>
            <w:pPr>
              <w:spacing w:before="0" w:after="0" w:line="240" w:lineRule="auto"/>
              <w:ind w:left="0"/>
              <w:jc w:val="center"/>
              <w:rPr>
                <w:sz w:val="19"/>
              </w:rPr>
            </w:pP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Slightly negative lower bounds on small first-order indices are a known small-sample property of the Saltelli estimator and indicate indices statistically indistinguishable from zero. The excess of the total-order sum over unity measures interaction.</w:t>
      </w:r>
    </w:p>
    <w:p>
      <w:pPr>
        <w:spacing w:after="120"/>
        <w:jc w:val="both"/>
      </w:pPr>
      <w:r>
        <w:rPr>
          <w:rFonts w:ascii="Palatino Linotype" w:hAnsi="Palatino Linotype" w:eastAsia="Palatino Linotype"/>
          <w:b w:val="0"/>
          <w:i w:val="0"/>
          <w:sz w:val="20"/>
        </w:rPr>
        <w:t>The policy reading of Table 8 is uncomfortable for the standard toolkit. The two parameters that public programmes address most directly—training intensity and, through hiring subsidies, the vacancy elasticity—jointly explain three tenths of one per cent of the outcome variance. The parameters that dominate describe how employers set the bar, how young people weight small probabilities, and how firmly aspirations are anchored. None of these is conventionally treated as a policy variable, and all three are in principle governable.</w:t>
      </w:r>
    </w:p>
    <w:p>
      <w:pPr>
        <w:keepNext/>
        <w:spacing w:before="140" w:after="80"/>
      </w:pPr>
      <w:r>
        <w:rPr>
          <w:rFonts w:ascii="Palatino Linotype" w:hAnsi="Palatino Linotype" w:eastAsia="Palatino Linotype"/>
          <w:b/>
          <w:i w:val="0"/>
          <w:sz w:val="20"/>
        </w:rPr>
        <w:t>4.7. What Separates Trapped from Fluid Futures</w:t>
      </w:r>
    </w:p>
    <w:p>
      <w:pPr>
        <w:spacing w:after="120"/>
        <w:jc w:val="both"/>
      </w:pPr>
      <w:r>
        <w:rPr>
          <w:rFonts w:ascii="Palatino Linotype" w:hAnsi="Palatino Linotype" w:eastAsia="Palatino Linotype"/>
          <w:b w:val="0"/>
          <w:i w:val="0"/>
          <w:sz w:val="20"/>
        </w:rPr>
        <w:t>To characterise the boundary between good and bad futures we define a binary outcome—a 2040 non-employment rate above 0.36, twice the 2025 benchmark—and model it on the twelve standardised parameters. In the Monte Carlo sample 86.5 per cent of draws cross that line, which is itself a result: under the great majority of the uncertainty range the rate at least doubles within fifteen years. The logistic meta-model (Table 9) fits extremely well: area under the receiver operating characteristic curve 0.998, Nagelkerke pseudo-</w:t>
      </w:r>
      <m:oMath>
        <m:sSup>
          <m:sSupPr/>
          <m:e>
            <m:r>
              <m:rPr/>
              <m:t>R</m:t>
            </m:r>
          </m:e>
          <m:sup>
            <m:r>
              <m:rPr/>
              <m:t>2</m:t>
            </m:r>
          </m:sup>
        </m:sSup>
      </m:oMath>
      <w:r>
        <w:rPr>
          <w:rFonts w:ascii="Palatino Linotype" w:hAnsi="Palatino Linotype" w:eastAsia="Palatino Linotype"/>
          <w:b w:val="0"/>
          <w:i w:val="0"/>
          <w:sz w:val="20"/>
        </w:rPr>
        <w:t xml:space="preserve"> 0.928, McFadden 0.895, likelihood-ratio </w:t>
      </w:r>
      <m:oMath>
        <m:sSup>
          <m:sSupPr/>
          <m:e>
            <m:r>
              <m:rPr/>
              <m:t>\chi</m:t>
            </m:r>
          </m:e>
          <m:sup>
            <m:r>
              <m:rPr/>
              <m:t>2</m:t>
            </m:r>
          </m:sup>
        </m:sSup>
      </m:oMath>
      <w:r>
        <w:rPr>
          <w:rFonts w:ascii="Palatino Linotype" w:hAnsi="Palatino Linotype" w:eastAsia="Palatino Linotype"/>
          <w:b w:val="0"/>
          <w:i w:val="0"/>
          <w:sz w:val="20"/>
        </w:rPr>
        <w:t xml:space="preserve">(12) = 2900.56 with </w:t>
      </w:r>
      <m:oMath>
        <m:r>
          <m:rPr/>
          <m:t>p</m:t>
        </m:r>
      </m:oMath>
      <w:r>
        <w:rPr>
          <w:rFonts w:ascii="Palatino Linotype" w:hAnsi="Palatino Linotype" w:eastAsia="Palatino Linotype"/>
          <w:b w:val="0"/>
          <w:i w:val="0"/>
          <w:sz w:val="20"/>
        </w:rPr>
        <w:t xml:space="preserve"> &lt; 0.001. Calibration is excellent: the Hosmer–Lemeshow statistic is 4.07 on eight degrees of freedom with </w:t>
      </w:r>
      <m:oMath>
        <m:r>
          <m:rPr/>
          <m:t>p</m:t>
        </m:r>
      </m:oMath>
      <w:r>
        <w:rPr>
          <w:rFonts w:ascii="Palatino Linotype" w:hAnsi="Palatino Linotype" w:eastAsia="Palatino Linotype"/>
          <w:b w:val="0"/>
          <w:i w:val="0"/>
          <w:sz w:val="20"/>
        </w:rPr>
        <w:t xml:space="preserve"> = 0.851, so the null of good fit is not rejected.</w:t>
      </w:r>
    </w:p>
    <w:p>
      <w:pPr>
        <w:keepNext/>
        <w:spacing w:before="160" w:after="40"/>
      </w:pPr>
      <w:r>
        <w:rPr>
          <w:rFonts w:ascii="Palatino Linotype" w:hAnsi="Palatino Linotype" w:eastAsia="Palatino Linotype"/>
          <w:b/>
          <w:i w:val="0"/>
          <w:sz w:val="17"/>
        </w:rPr>
        <w:t xml:space="preserve">Table 9. </w:t>
      </w:r>
      <w:r>
        <w:rPr>
          <w:rFonts w:ascii="Palatino Linotype" w:hAnsi="Palatino Linotype" w:eastAsia="Palatino Linotype"/>
          <w:b w:val="0"/>
          <w:i w:val="0"/>
          <w:sz w:val="17"/>
        </w:rPr>
        <w:t>Logistic meta-model of trap risk in the Monte Carlo sample (⟪n⟫ = 4096; outcome: 2040 non-employment rate above 0.36).</w:t>
      </w:r>
    </w:p>
    <w:tbl>
      <w:tblPr>
        <w:tblW w:w="0" w:type="auto"/>
        <w:jc w:val="center"/>
        <w:tblLayout w:type="fixed"/>
        <w:tblCellMar>
          <w:top w:w="0" w:type="dxa"/>
          <w:left w:w="40" w:type="dxa"/>
          <w:bottom w:w="0" w:type="dxa"/>
          <w:right w:w="40" w:type="dxa"/>
        </w:tblCellMar>
      </w:tblPr>
      <w:tblGrid>
        <w:gridCol w:w="3050"/>
        <w:gridCol w:w="1350"/>
        <w:gridCol w:w="900"/>
        <w:gridCol w:w="900"/>
        <w:gridCol w:w="900"/>
        <w:gridCol w:w="1200"/>
        <w:gridCol w:w="1940"/>
      </w:tblGrid>
      <w:tr>
        <w:trPr>
          <w:tblHeader/>
          <w:jc w:val="center"/>
        </w:trPr>
        <w:tc>
          <w:tcPr>
            <w:tcW w:w="30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Parameter</w:t>
            </w:r>
          </w:p>
        </w:tc>
        <w:tc>
          <w:tcPr>
            <w:tcW w:w="13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Coefficient</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w:t>
            </w:r>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z</m:t>
              </m:r>
            </m:oMath>
          </w:p>
        </w:tc>
        <w:tc>
          <w:tcPr>
            <w:tcW w:w="9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p</m:t>
              </m:r>
            </m:oMath>
          </w:p>
        </w:tc>
        <w:tc>
          <w:tcPr>
            <w:tcW w:w="1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Odds ratio</w:t>
            </w:r>
          </w:p>
        </w:tc>
        <w:tc>
          <w:tcPr>
            <w:tcW w:w="19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95% CI</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r>
                <m:rPr/>
                <m:t>κ</m:t>
              </m:r>
            </m:oMath>
            <w:r>
              <w:rPr>
                <w:rFonts w:ascii="Palatino Linotype" w:hAnsi="Palatino Linotype" w:eastAsia="Palatino Linotype"/>
                <w:b w:val="0"/>
                <w:i w:val="0"/>
                <w:sz w:val="16"/>
              </w:rPr>
              <w:t xml:space="preserve"> Threshold sensitivity</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+13.125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0.996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+13.17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5.0 × 10⁵</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[7.1 × 10⁴, 3.5 × 10⁶]</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r>
                <m:rPr/>
                <m:t>\varepsilon</m:t>
              </m:r>
            </m:oMath>
            <w:r>
              <w:rPr>
                <w:rFonts w:ascii="Palatino Linotype" w:hAnsi="Palatino Linotype" w:eastAsia="Palatino Linotype"/>
                <w:b w:val="0"/>
                <w:i w:val="0"/>
                <w:sz w:val="16"/>
              </w:rPr>
              <w:t xml:space="preserve"> Probability weighting</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−7.046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−12.80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[0.000, 0.003]</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sSub>
                <m:sSubPr/>
                <m:e>
                  <m:r>
                    <m:rPr/>
                    <m:t>κ</m:t>
                  </m:r>
                </m:e>
                <m:sub>
                  <m:r>
                    <m:rPr/>
                    <m:t>2</m:t>
                  </m:r>
                </m:sub>
              </m:sSub>
            </m:oMath>
            <w:r>
              <w:rPr>
                <w:rFonts w:ascii="Palatino Linotype" w:hAnsi="Palatino Linotype" w:eastAsia="Palatino Linotype"/>
                <w:b w:val="0"/>
                <w:i w:val="0"/>
                <w:sz w:val="16"/>
              </w:rPr>
              <w:t xml:space="preserve"> Endogenous escalation</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+4.560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0.369</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+12.35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95.6</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[46.4, 197.2]</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sSub>
                <m:sSubPr/>
                <m:e>
                  <m:r>
                    <m:rPr/>
                    <m:t>g</m:t>
                  </m:r>
                </m:e>
                <m:sub>
                  <m:r>
                    <m:rPr/>
                    <m:t>\Phi</m:t>
                  </m:r>
                </m:sub>
              </m:sSub>
            </m:oMath>
            <w:r>
              <w:rPr>
                <w:rFonts w:ascii="Palatino Linotype" w:hAnsi="Palatino Linotype" w:eastAsia="Palatino Linotype"/>
                <w:b w:val="0"/>
                <w:i w:val="0"/>
                <w:sz w:val="16"/>
              </w:rPr>
              <w:t xml:space="preserve"> Cohort growth</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+4.461</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0.363</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+12.27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86.5</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[42.5, 176.4]</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r>
                <m:rPr/>
                <m:t>\zeta</m:t>
              </m:r>
            </m:oMath>
            <w:r>
              <w:rPr>
                <w:rFonts w:ascii="Palatino Linotype" w:hAnsi="Palatino Linotype" w:eastAsia="Palatino Linotype"/>
                <w:b w:val="0"/>
                <w:i w:val="0"/>
                <w:sz w:val="16"/>
              </w:rPr>
              <w:t xml:space="preserve"> Aspiration anchoring</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+3.905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0.326</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+12.00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49.7</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[26.2, 94.0]</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r>
                <m:rPr/>
                <m:t>\Pi</m:t>
              </m:r>
            </m:oMath>
            <w:r>
              <w:rPr>
                <w:rFonts w:ascii="Palatino Linotype" w:hAnsi="Palatino Linotype" w:eastAsia="Palatino Linotype"/>
                <w:b w:val="0"/>
                <w:i w:val="0"/>
                <w:sz w:val="16"/>
              </w:rPr>
              <w:t xml:space="preserve"> Value of a public post</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+2.957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0.267</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+11.10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19.2</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[11.4, 32.4]</w:t>
            </w:r>
          </w:p>
        </w:tc>
      </w:tr>
      <w:tr>
        <w:trPr>
          <w:jc w:val="center"/>
        </w:trPr>
        <w:tc>
          <w:tcPr>
            <w:tcW w:w="3050" w:type="dxa"/>
            <w:tcBorders>
              <w:top w:val="nil"/>
              <w:left w:val="nil"/>
              <w:bottom w:val="nil"/>
              <w:right w:val="nil"/>
            </w:tcBorders>
          </w:tcPr>
          <w:p>
            <w:pPr>
              <w:spacing w:before="0" w:after="0" w:line="240" w:lineRule="auto"/>
              <w:ind w:left="0"/>
              <w:jc w:val="left"/>
              <w:rPr>
                <w:sz w:val="19"/>
              </w:rPr>
            </w:pPr>
            <m:oMath>
              <m:r>
                <m:rPr/>
                <m:t>μ</m:t>
              </m:r>
            </m:oMath>
            <w:r>
              <w:rPr>
                <w:rFonts w:ascii="Palatino Linotype" w:hAnsi="Palatino Linotype" w:eastAsia="Palatino Linotype"/>
                <w:b w:val="0"/>
                <w:i w:val="0"/>
                <w:sz w:val="16"/>
              </w:rPr>
              <w:t xml:space="preserve"> Matching efficiency</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−2.615</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−10.89</w:t>
            </w:r>
          </w:p>
        </w:tc>
        <w:tc>
          <w:tcPr>
            <w:tcW w:w="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0.073</w:t>
            </w:r>
          </w:p>
        </w:tc>
        <w:tc>
          <w:tcPr>
            <w:tcW w:w="19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[0.046, 0.117]</w:t>
            </w:r>
          </w:p>
        </w:tc>
      </w:tr>
      <w:tr>
        <w:trPr>
          <w:jc w:val="center"/>
        </w:trPr>
        <w:tc>
          <w:tcPr>
            <w:tcW w:w="3050" w:type="dxa"/>
            <w:tcBorders>
              <w:top w:val="nil"/>
              <w:left w:val="nil"/>
              <w:bottom w:val="single" w:color="000000" w:sz="8" w:space="0"/>
              <w:right w:val="nil"/>
            </w:tcBorders>
          </w:tcPr>
          <w:p>
            <w:pPr>
              <w:spacing w:before="0" w:after="0" w:line="240" w:lineRule="auto"/>
              <w:ind w:left="0"/>
              <w:jc w:val="left"/>
              <w:rPr>
                <w:sz w:val="19"/>
              </w:rPr>
            </w:pPr>
            <m:oMath>
              <m:sSub>
                <m:sSubPr/>
                <m:e>
                  <m:r>
                    <m:rPr/>
                    <m:t>δ</m:t>
                  </m:r>
                </m:e>
                <m:sub>
                  <m:r>
                    <m:rPr/>
                    <m:t>H</m:t>
                  </m:r>
                </m:sub>
              </m:sSub>
            </m:oMath>
            <w:r>
              <w:rPr>
                <w:rFonts w:ascii="Palatino Linotype" w:hAnsi="Palatino Linotype" w:eastAsia="Palatino Linotype"/>
                <w:b w:val="0"/>
                <w:i w:val="0"/>
                <w:sz w:val="16"/>
              </w:rPr>
              <w:t xml:space="preserve"> Skill decay</w:t>
            </w:r>
          </w:p>
        </w:tc>
        <w:tc>
          <w:tcPr>
            <w:tcW w:w="13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+1.800</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0.199</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+9.02</w:t>
            </w:r>
          </w:p>
        </w:tc>
        <w:tc>
          <w:tcPr>
            <w:tcW w:w="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6.05</w:t>
            </w:r>
          </w:p>
        </w:tc>
        <w:tc>
          <w:tcPr>
            <w:tcW w:w="19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[4.09, 8.94]</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Coefficients are per standard deviation of the corresponding prior. The four parameters with the smallest absolute </w:t>
      </w:r>
      <m:oMath>
        <m:r>
          <m:rPr/>
          <m:t>z</m:t>
        </m:r>
      </m:oMath>
      <w:r>
        <w:rPr>
          <w:rFonts w:ascii="Palatino Linotype" w:hAnsi="Palatino Linotype" w:eastAsia="Palatino Linotype"/>
          <w:b w:val="0"/>
          <w:i w:val="0"/>
          <w:sz w:val="14"/>
        </w:rPr>
        <w:t xml:space="preserve"> statistics (</w:t>
      </w:r>
      <m:oMath>
        <m:r>
          <m:rPr/>
          <m:t>φ</m:t>
        </m:r>
      </m:oMath>
      <w:r>
        <w:rPr>
          <w:rFonts w:ascii="Palatino Linotype" w:hAnsi="Palatino Linotype" w:eastAsia="Palatino Linotype"/>
          <w:b w:val="0"/>
          <w:i w:val="0"/>
          <w:sz w:val="14"/>
        </w:rPr>
        <w:t xml:space="preserve">, </w:t>
      </w:r>
      <m:oMath>
        <m:r>
          <m:rPr/>
          <m:t>\tau</m:t>
        </m:r>
      </m:oMath>
      <w:r>
        <w:rPr>
          <w:rFonts w:ascii="Palatino Linotype" w:hAnsi="Palatino Linotype" w:eastAsia="Palatino Linotype"/>
          <w:b w:val="0"/>
          <w:i w:val="0"/>
          <w:sz w:val="14"/>
        </w:rPr>
        <w:t xml:space="preserve">, </w:t>
      </w:r>
      <m:oMath>
        <m:r>
          <m:rPr/>
          <m:t>λ</m:t>
        </m:r>
      </m:oMath>
      <w:r>
        <w:rPr>
          <w:rFonts w:ascii="Palatino Linotype" w:hAnsi="Palatino Linotype" w:eastAsia="Palatino Linotype"/>
          <w:b w:val="0"/>
          <w:i w:val="0"/>
          <w:sz w:val="14"/>
        </w:rPr>
        <w:t xml:space="preserve">, </w:t>
      </w:r>
      <m:oMath>
        <m:r>
          <m:rPr/>
          <m:t>\chi</m:t>
        </m:r>
      </m:oMath>
      <w:r>
        <w:rPr>
          <w:rFonts w:ascii="Palatino Linotype" w:hAnsi="Palatino Linotype" w:eastAsia="Palatino Linotype"/>
          <w:b w:val="0"/>
          <w:i w:val="0"/>
          <w:sz w:val="14"/>
        </w:rPr>
        <w:t xml:space="preserve">) are omitted for space and are reported in Appendix Table A2. Model fit: AUC 0.998; Nagelkerke </w:t>
      </w:r>
      <m:oMath>
        <m:sSup>
          <m:sSupPr/>
          <m:e>
            <m:r>
              <m:rPr/>
              <m:t>R</m:t>
            </m:r>
          </m:e>
          <m:sup>
            <m:r>
              <m:rPr/>
              <m:t>2</m:t>
            </m:r>
          </m:sup>
        </m:sSup>
      </m:oMath>
      <w:r>
        <w:rPr>
          <w:rFonts w:ascii="Palatino Linotype" w:hAnsi="Palatino Linotype" w:eastAsia="Palatino Linotype"/>
          <w:b w:val="0"/>
          <w:i w:val="0"/>
          <w:sz w:val="14"/>
        </w:rPr>
        <w:t xml:space="preserve"> 0.928; Hosmer–Lemeshow </w:t>
      </w:r>
      <m:oMath>
        <m:sSup>
          <m:sSupPr/>
          <m:e>
            <m:r>
              <m:rPr/>
              <m:t>\chi</m:t>
            </m:r>
          </m:e>
          <m:sup>
            <m:r>
              <m:rPr/>
              <m:t>2</m:t>
            </m:r>
          </m:sup>
        </m:sSup>
      </m:oMath>
      <w:r>
        <w:rPr>
          <w:rFonts w:ascii="Palatino Linotype" w:hAnsi="Palatino Linotype" w:eastAsia="Palatino Linotype"/>
          <w:b w:val="0"/>
          <w:i w:val="0"/>
          <w:sz w:val="14"/>
        </w:rPr>
        <w:t xml:space="preserve"> = 4.07, </w:t>
      </w:r>
      <m:oMath>
        <m:r>
          <m:rPr/>
          <m:t>p</m:t>
        </m:r>
      </m:oMath>
      <w:r>
        <w:rPr>
          <w:rFonts w:ascii="Palatino Linotype" w:hAnsi="Palatino Linotype" w:eastAsia="Palatino Linotype"/>
          <w:b w:val="0"/>
          <w:i w:val="0"/>
          <w:sz w:val="14"/>
        </w:rPr>
        <w:t xml:space="preserve"> = 0.851.</w:t>
      </w:r>
    </w:p>
    <w:p>
      <w:pPr>
        <w:spacing w:after="120"/>
        <w:jc w:val="both"/>
      </w:pPr>
      <w:r>
        <w:rPr>
          <w:rFonts w:ascii="Palatino Linotype" w:hAnsi="Palatino Linotype" w:eastAsia="Palatino Linotype"/>
          <w:b w:val="0"/>
          <w:i w:val="0"/>
          <w:sz w:val="20"/>
        </w:rPr>
        <w:t xml:space="preserve">A cross-validated classification tree recovers the same ordering in interpretable form (cross-validated AUC 0.923, fifteen leaves). The root split is on the threshold sensitivity at </w:t>
      </w:r>
      <m:oMath>
        <m:r>
          <m:rPr/>
          <m:t>κ</m:t>
        </m:r>
      </m:oMath>
      <w:r>
        <w:rPr>
          <w:rFonts w:ascii="Palatino Linotype" w:hAnsi="Palatino Linotype" w:eastAsia="Palatino Linotype"/>
          <w:b w:val="0"/>
          <w:i w:val="0"/>
          <w:sz w:val="20"/>
        </w:rPr>
        <w:t xml:space="preserve"> = 1.456, and the calibrated value of 1.855 lies above it, that is, the estimated economy sits in the high-risk branch of the tree rather than on the boundary. Within the low-risk branch the next split is on the probability-weighting curvature at 0.526 and thereafter on endogenous escalation at 0.106 and on cohort growth at 0.047; within the high-risk branch the tree splits again on </w:t>
      </w:r>
      <m:oMath>
        <m:r>
          <m:rPr/>
          <m:t>κ</m:t>
        </m:r>
      </m:oMath>
      <w:r>
        <w:rPr>
          <w:rFonts w:ascii="Palatino Linotype" w:hAnsi="Palatino Linotype" w:eastAsia="Palatino Linotype"/>
          <w:b w:val="0"/>
          <w:i w:val="0"/>
          <w:sz w:val="20"/>
        </w:rPr>
        <w:t xml:space="preserve"> at 1.758 and then on cohort growth at 0.054 and aspiration anchoring at 0.612 and 0.507. The structure of the decision rules therefore reproduces, in a calibrated dynamic model of the Chinese transition system, the threshold-type relationships that Grigorescu and colleagues detected cross-sectionally in European NEET data [12].</w:t>
      </w:r>
    </w:p>
    <w:p>
      <w:pPr>
        <w:spacing w:after="40"/>
        <w:jc w:val="center"/>
      </w:pPr>
      <w:r>
        <w:drawing>
          <wp:inline distT="0" distB="0" distL="114300" distR="114300">
            <wp:extent cx="5989320" cy="333399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pic:cNvPicPr>
                  </pic:nvPicPr>
                  <pic:blipFill>
                    <a:blip r:embed="rId24"/>
                    <a:stretch>
                      <a:fillRect/>
                    </a:stretch>
                  </pic:blipFill>
                  <pic:spPr>
                    <a:xfrm>
                      <a:off x="0" y="0"/>
                      <a:ext cx="5989320" cy="3333996"/>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5. </w:t>
      </w:r>
      <w:r>
        <w:rPr>
          <w:rFonts w:ascii="Palatino Linotype" w:hAnsi="Palatino Linotype" w:eastAsia="Palatino Linotype"/>
          <w:b w:val="0"/>
          <w:i w:val="0"/>
          <w:sz w:val="17"/>
        </w:rPr>
        <w:t>Uncertainty and sensitivity. (a) Sobol first- and total-order indices for the 2040 non-employment rate with bootstrap 95 per cent intervals. (b) Monte Carlo distribution of the 2040 non-employment rate; dotted lines mark the 2.5th and 97.5th percentiles and the dashed line the trap threshold. (c) Standardised logistic coefficients for trap risk with 95 per cent intervals.</w:t>
      </w:r>
    </w:p>
    <w:p>
      <w:pPr>
        <w:keepNext/>
        <w:spacing w:before="140" w:after="80"/>
      </w:pPr>
      <w:r>
        <w:rPr>
          <w:rFonts w:ascii="Palatino Linotype" w:hAnsi="Palatino Linotype" w:eastAsia="Palatino Linotype"/>
          <w:b/>
          <w:i w:val="0"/>
          <w:sz w:val="20"/>
        </w:rPr>
        <w:t>4.8. Policy Experiments at Equal Effort</w:t>
      </w:r>
    </w:p>
    <w:p>
      <w:pPr>
        <w:spacing w:after="120"/>
        <w:jc w:val="both"/>
      </w:pPr>
      <w:r>
        <w:rPr>
          <w:rFonts w:ascii="Palatino Linotype" w:hAnsi="Palatino Linotype" w:eastAsia="Palatino Linotype"/>
          <w:b w:val="0"/>
          <w:i w:val="0"/>
          <w:sz w:val="20"/>
        </w:rPr>
        <w:t xml:space="preserve">Five instrument families are compared at one prior standard deviation of effort each, introduced in 2025 and evaluated on the 2040 outcome, with parameter uncertainty propagated through 400 Latin-hypercube draws so that each comparison is within-draw and paired. Table 10 and Figure 6 report the results. Differences across instruments are highly significant (Kruskal–Wallis </w:t>
      </w:r>
      <m:oMath>
        <m:r>
          <m:rPr/>
          <m:t>H</m:t>
        </m:r>
      </m:oMath>
      <w:r>
        <w:rPr>
          <w:rFonts w:ascii="Palatino Linotype" w:hAnsi="Palatino Linotype" w:eastAsia="Palatino Linotype"/>
          <w:b w:val="0"/>
          <w:i w:val="0"/>
          <w:sz w:val="20"/>
        </w:rPr>
        <w:t xml:space="preserve"> = 245.22, </w:t>
      </w:r>
      <m:oMath>
        <m:r>
          <m:rPr/>
          <m:t>p</m:t>
        </m:r>
      </m:oMath>
      <w:r>
        <w:rPr>
          <w:rFonts w:ascii="Palatino Linotype" w:hAnsi="Palatino Linotype" w:eastAsia="Palatino Linotype"/>
          <w:b w:val="0"/>
          <w:i w:val="0"/>
          <w:sz w:val="20"/>
        </w:rPr>
        <w:t xml:space="preserve"> = 7.0 × 10⁻⁵²), and every instrument improves on the baseline in every draw (Wilcoxon signed-rank </w:t>
      </w:r>
      <m:oMath>
        <m:r>
          <m:rPr/>
          <m:t>p</m:t>
        </m:r>
      </m:oMath>
      <w:r>
        <w:rPr>
          <w:rFonts w:ascii="Palatino Linotype" w:hAnsi="Palatino Linotype" w:eastAsia="Palatino Linotype"/>
          <w:b w:val="0"/>
          <w:i w:val="0"/>
          <w:sz w:val="20"/>
        </w:rPr>
        <w:t xml:space="preserve"> &lt; 10</w:t>
      </w:r>
      <m:oMath>
        <m:r>
          <m:rPr/>
          <m:t>^{-60}</m:t>
        </m:r>
      </m:oMath>
      <w:r>
        <w:rPr>
          <w:rFonts w:ascii="Palatino Linotype" w:hAnsi="Palatino Linotype" w:eastAsia="Palatino Linotype"/>
          <w:b w:val="0"/>
          <w:i w:val="0"/>
          <w:sz w:val="20"/>
        </w:rPr>
        <w:t xml:space="preserve"> throughout), so the interesting question is not whether they work but by how much.</w:t>
      </w:r>
    </w:p>
    <w:p>
      <w:pPr>
        <w:keepNext/>
        <w:spacing w:before="160" w:after="40"/>
      </w:pPr>
      <w:r>
        <w:rPr>
          <w:rFonts w:ascii="Palatino Linotype" w:hAnsi="Palatino Linotype" w:eastAsia="Palatino Linotype"/>
          <w:b/>
          <w:i w:val="0"/>
          <w:sz w:val="17"/>
        </w:rPr>
        <w:t xml:space="preserve">Table 10. </w:t>
      </w:r>
      <w:r>
        <w:rPr>
          <w:rFonts w:ascii="Palatino Linotype" w:hAnsi="Palatino Linotype" w:eastAsia="Palatino Linotype"/>
          <w:b w:val="0"/>
          <w:i w:val="0"/>
          <w:sz w:val="17"/>
        </w:rPr>
        <w:t>Policy experiments at one prior standard deviation of effort (400 paired draws; baseline mean 2040 non-employment rate 0.5441).</w:t>
      </w:r>
    </w:p>
    <w:tbl>
      <w:tblPr>
        <w:tblW w:w="0" w:type="auto"/>
        <w:jc w:val="center"/>
        <w:tblLayout w:type="fixed"/>
        <w:tblCellMar>
          <w:top w:w="0" w:type="dxa"/>
          <w:left w:w="40" w:type="dxa"/>
          <w:bottom w:w="0" w:type="dxa"/>
          <w:right w:w="40" w:type="dxa"/>
        </w:tblCellMar>
      </w:tblPr>
      <w:tblGrid>
        <w:gridCol w:w="2650"/>
        <w:gridCol w:w="2100"/>
        <w:gridCol w:w="1150"/>
        <w:gridCol w:w="1750"/>
        <w:gridCol w:w="1400"/>
        <w:gridCol w:w="1050"/>
        <w:gridCol w:w="1240"/>
      </w:tblGrid>
      <w:tr>
        <w:trPr>
          <w:tblHeader/>
          <w:jc w:val="center"/>
        </w:trPr>
        <w:tc>
          <w:tcPr>
            <w:tcW w:w="26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Instrument</w:t>
            </w:r>
          </w:p>
        </w:tc>
        <w:tc>
          <w:tcPr>
            <w:tcW w:w="21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Parameter moved</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\Delta</m:t>
              </m:r>
            </m:oMath>
            <w:r>
              <w:rPr>
                <w:rFonts w:ascii="Palatino Linotype" w:hAnsi="Palatino Linotype" w:eastAsia="Palatino Linotype"/>
                <w:b/>
                <w:i w:val="0"/>
                <w:sz w:val="16"/>
              </w:rPr>
              <w:t>NER</w:t>
            </w:r>
          </w:p>
        </w:tc>
        <w:tc>
          <w:tcPr>
            <w:tcW w:w="17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95% interval</w:t>
            </w:r>
          </w:p>
        </w:tc>
        <w:tc>
          <w:tcPr>
            <w:tcW w:w="14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\Delta</m:t>
              </m:r>
            </m:oMath>
            <w:r>
              <w:rPr>
                <w:rFonts w:ascii="Palatino Linotype" w:hAnsi="Palatino Linotype" w:eastAsia="Palatino Linotype"/>
                <w:b/>
                <w:i w:val="0"/>
                <w:sz w:val="16"/>
              </w:rPr>
              <w:t>Duration (yr)</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 xml:space="preserve">Cliff’s </w:t>
            </w:r>
            <m:oMath>
              <m:r>
                <m:rPr/>
                <m:t>δ</m:t>
              </m:r>
            </m:oMath>
          </w:p>
        </w:tc>
        <w:tc>
          <w:tcPr>
            <w:tcW w:w="12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Relative to P4</w:t>
            </w:r>
          </w:p>
        </w:tc>
      </w:tr>
      <w:tr>
        <w:trPr>
          <w:jc w:val="center"/>
        </w:trPr>
        <w:tc>
          <w:tcPr>
            <w:tcW w:w="26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P5 Threshold moderation</w:t>
            </w:r>
          </w:p>
        </w:tc>
        <w:tc>
          <w:tcPr>
            <w:tcW w:w="2100" w:type="dxa"/>
            <w:tcBorders>
              <w:top w:val="nil"/>
              <w:left w:val="nil"/>
              <w:bottom w:val="nil"/>
              <w:right w:val="nil"/>
            </w:tcBorders>
          </w:tcPr>
          <w:p>
            <w:pPr>
              <w:spacing w:before="0" w:after="0" w:line="240" w:lineRule="auto"/>
              <w:ind w:left="0"/>
              <w:jc w:val="center"/>
              <w:rPr>
                <w:sz w:val="19"/>
              </w:rPr>
            </w:pPr>
            <m:oMath>
              <m:r>
                <m:rPr/>
                <m:t>κ</m:t>
              </m:r>
            </m:oMath>
            <w:r>
              <w:rPr>
                <w:rFonts w:ascii="Palatino Linotype" w:hAnsi="Palatino Linotype" w:eastAsia="Palatino Linotype"/>
                <w:b w:val="0"/>
                <w:i w:val="0"/>
                <w:sz w:val="16"/>
              </w:rPr>
              <w:t xml:space="preserve"> ↓, </w:t>
            </w:r>
            <m:oMath>
              <m:sSub>
                <m:sSubPr/>
                <m:e>
                  <m:r>
                    <m:rPr/>
                    <m:t>κ</m:t>
                  </m:r>
                </m:e>
                <m:sub>
                  <m:r>
                    <m:rPr/>
                    <m:t>2</m:t>
                  </m:r>
                </m:sub>
              </m:sSub>
            </m:oMath>
            <w:r>
              <w:rPr>
                <w:rFonts w:ascii="Palatino Linotype" w:hAnsi="Palatino Linotype" w:eastAsia="Palatino Linotype"/>
                <w:b w:val="0"/>
                <w:i w:val="0"/>
                <w:sz w:val="16"/>
              </w:rPr>
              <w:t xml:space="preserve"> ↓</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−0.1565</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[−0.2403, −0.0857]</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−9.77</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1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19.1×</w:t>
            </w:r>
          </w:p>
        </w:tc>
      </w:tr>
      <w:tr>
        <w:trPr>
          <w:jc w:val="center"/>
        </w:trPr>
        <w:tc>
          <w:tcPr>
            <w:tcW w:w="26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Expectation guidance</w:t>
            </w:r>
          </w:p>
        </w:tc>
        <w:tc>
          <w:tcPr>
            <w:tcW w:w="2100" w:type="dxa"/>
            <w:tcBorders>
              <w:top w:val="nil"/>
              <w:left w:val="nil"/>
              <w:bottom w:val="nil"/>
              <w:right w:val="nil"/>
            </w:tcBorders>
          </w:tcPr>
          <w:p>
            <w:pPr>
              <w:spacing w:before="0" w:after="0" w:line="240" w:lineRule="auto"/>
              <w:ind w:left="0"/>
              <w:jc w:val="center"/>
              <w:rPr>
                <w:sz w:val="19"/>
              </w:rPr>
            </w:pPr>
            <m:oMath>
              <m:r>
                <m:rPr/>
                <m:t>λ</m:t>
              </m:r>
            </m:oMath>
            <w:r>
              <w:rPr>
                <w:rFonts w:ascii="Palatino Linotype" w:hAnsi="Palatino Linotype" w:eastAsia="Palatino Linotype"/>
                <w:b w:val="0"/>
                <w:i w:val="0"/>
                <w:sz w:val="16"/>
              </w:rPr>
              <w:t xml:space="preserve"> ↑, </w:t>
            </w:r>
            <m:oMath>
              <m:r>
                <m:rPr/>
                <m:t>\zeta</m:t>
              </m:r>
            </m:oMath>
            <w:r>
              <w:rPr>
                <w:rFonts w:ascii="Palatino Linotype" w:hAnsi="Palatino Linotype" w:eastAsia="Palatino Linotype"/>
                <w:b w:val="0"/>
                <w:i w:val="0"/>
                <w:sz w:val="16"/>
              </w:rPr>
              <w:t xml:space="preserve"> ↓</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−0.0283</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[−0.0621, −0.0098]</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−1.67</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1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3.5×</w:t>
            </w:r>
          </w:p>
        </w:tc>
      </w:tr>
      <w:tr>
        <w:trPr>
          <w:jc w:val="center"/>
        </w:trPr>
        <w:tc>
          <w:tcPr>
            <w:tcW w:w="26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P2 Matching efficiency</w:t>
            </w:r>
          </w:p>
        </w:tc>
        <w:tc>
          <w:tcPr>
            <w:tcW w:w="2100" w:type="dxa"/>
            <w:tcBorders>
              <w:top w:val="nil"/>
              <w:left w:val="nil"/>
              <w:bottom w:val="nil"/>
              <w:right w:val="nil"/>
            </w:tcBorders>
          </w:tcPr>
          <w:p>
            <w:pPr>
              <w:spacing w:before="0" w:after="0" w:line="240" w:lineRule="auto"/>
              <w:ind w:left="0"/>
              <w:jc w:val="center"/>
              <w:rPr>
                <w:sz w:val="19"/>
              </w:rPr>
            </w:pPr>
            <m:oMath>
              <m:r>
                <m:rPr/>
                <m:t>μ</m:t>
              </m:r>
            </m:oMath>
            <w:r>
              <w:rPr>
                <w:rFonts w:ascii="Palatino Linotype" w:hAnsi="Palatino Linotype" w:eastAsia="Palatino Linotype"/>
                <w:b w:val="0"/>
                <w:i w:val="0"/>
                <w:sz w:val="16"/>
              </w:rPr>
              <w:t xml:space="preserve"> ↑</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−0.0264</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[−0.0428, −0.0160]</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−1.84</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1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3.2×</w:t>
            </w:r>
          </w:p>
        </w:tc>
      </w:tr>
      <w:tr>
        <w:trPr>
          <w:jc w:val="center"/>
        </w:trPr>
        <w:tc>
          <w:tcPr>
            <w:tcW w:w="26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P4 Vacancy creation</w:t>
            </w:r>
          </w:p>
        </w:tc>
        <w:tc>
          <w:tcPr>
            <w:tcW w:w="2100" w:type="dxa"/>
            <w:tcBorders>
              <w:top w:val="nil"/>
              <w:left w:val="nil"/>
              <w:bottom w:val="nil"/>
              <w:right w:val="nil"/>
            </w:tcBorders>
          </w:tcPr>
          <w:p>
            <w:pPr>
              <w:spacing w:before="0" w:after="0" w:line="240" w:lineRule="auto"/>
              <w:ind w:left="0"/>
              <w:jc w:val="center"/>
              <w:rPr>
                <w:sz w:val="19"/>
              </w:rPr>
            </w:pPr>
            <m:oMath>
              <m:r>
                <m:rPr/>
                <m:t>φ</m:t>
              </m:r>
            </m:oMath>
            <w:r>
              <w:rPr>
                <w:rFonts w:ascii="Palatino Linotype" w:hAnsi="Palatino Linotype" w:eastAsia="Palatino Linotype"/>
                <w:b w:val="0"/>
                <w:i w:val="0"/>
                <w:sz w:val="16"/>
              </w:rPr>
              <w:t xml:space="preserve"> ↑</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−0.0082</w:t>
            </w:r>
          </w:p>
        </w:tc>
        <w:tc>
          <w:tcPr>
            <w:tcW w:w="17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[−0.0131, −0.0046]</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12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w:t>
            </w:r>
          </w:p>
        </w:tc>
      </w:tr>
      <w:tr>
        <w:trPr>
          <w:jc w:val="center"/>
        </w:trPr>
        <w:tc>
          <w:tcPr>
            <w:tcW w:w="26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P1 Skill upgrading</w:t>
            </w:r>
          </w:p>
        </w:tc>
        <w:tc>
          <w:tcPr>
            <w:tcW w:w="2100" w:type="dxa"/>
            <w:tcBorders>
              <w:top w:val="nil"/>
              <w:left w:val="nil"/>
              <w:bottom w:val="single" w:color="000000" w:sz="8" w:space="0"/>
              <w:right w:val="nil"/>
            </w:tcBorders>
          </w:tcPr>
          <w:p>
            <w:pPr>
              <w:spacing w:before="0" w:after="0" w:line="240" w:lineRule="auto"/>
              <w:ind w:left="0"/>
              <w:jc w:val="center"/>
              <w:rPr>
                <w:sz w:val="19"/>
              </w:rPr>
            </w:pPr>
            <m:oMath>
              <m:r>
                <m:rPr/>
                <m:t>\tau</m:t>
              </m:r>
            </m:oMath>
            <w:r>
              <w:rPr>
                <w:rFonts w:ascii="Palatino Linotype" w:hAnsi="Palatino Linotype" w:eastAsia="Palatino Linotype"/>
                <w:b w:val="0"/>
                <w:i w:val="0"/>
                <w:sz w:val="16"/>
              </w:rPr>
              <w:t xml:space="preserve"> ↑</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−0.0039</w:t>
            </w:r>
          </w:p>
        </w:tc>
        <w:tc>
          <w:tcPr>
            <w:tcW w:w="17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[−0.0087, −0.0015]</w:t>
            </w:r>
          </w:p>
        </w:tc>
        <w:tc>
          <w:tcPr>
            <w:tcW w:w="1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−0.35</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1.00</w:t>
            </w:r>
          </w:p>
        </w:tc>
        <w:tc>
          <w:tcPr>
            <w:tcW w:w="12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Negative values denote improvement. Cliff’s </w:t>
      </w:r>
      <m:oMath>
        <m:r>
          <m:rPr/>
          <m:t>δ</m:t>
        </m:r>
      </m:oMath>
      <w:r>
        <w:rPr>
          <w:rFonts w:ascii="Palatino Linotype" w:hAnsi="Palatino Linotype" w:eastAsia="Palatino Linotype"/>
          <w:b w:val="0"/>
          <w:i w:val="0"/>
          <w:sz w:val="14"/>
        </w:rPr>
        <w:t xml:space="preserve"> of unity indicates that the instrument improves on the baseline in every paired draw. The final column expresses the mean effect relative to vacancy creation.</w:t>
      </w:r>
    </w:p>
    <w:p>
      <w:pPr>
        <w:spacing w:after="120"/>
        <w:jc w:val="both"/>
      </w:pPr>
      <w:r>
        <w:rPr>
          <w:rFonts w:ascii="Palatino Linotype" w:hAnsi="Palatino Linotype" w:eastAsia="Palatino Linotype"/>
          <w:b w:val="0"/>
          <w:i w:val="0"/>
          <w:sz w:val="20"/>
        </w:rPr>
        <w:t>The ranking is stark and stable. Moderating the escalation of the employer threshold is roughly nineteen times as effective as vacancy creation and forty times as effective as raising training intensity, at the same standardised effort. Expectation guidance—raising the speed at which aspirations adapt and loosening their anchor, the policy analogue of the employability-thinking competences measured by Chacón-Cuberos and colleagues [21]—and improving matching efficiency come next and are statistically indistinguishable from one another. The two instruments that dominate public spending come last.</w:t>
      </w:r>
    </w:p>
    <w:p>
      <w:pPr>
        <w:spacing w:after="120"/>
        <w:jc w:val="both"/>
      </w:pPr>
      <w:r>
        <w:rPr>
          <w:rFonts w:ascii="Palatino Linotype" w:hAnsi="Palatino Linotype" w:eastAsia="Palatino Linotype"/>
          <w:b w:val="0"/>
          <w:i w:val="0"/>
          <w:sz w:val="20"/>
        </w:rPr>
        <w:t>This result must be read with its normalisation in mind. Equal standardised effort means equal movement in units of the prior standard deviation, not equal fiscal cost, and we make no claim about the relative expense of moving these parameters. What the comparison establishes is where the system is responsive, not where money is cheap. Panel (a) of Figure 6 shows the full effort–response curves and confirms that the ranking is not an artefact of the chosen effort level: the threshold-moderation curve dominates the others over the entire range from zero to three standard deviations, and the vacancy and training curves remain almost flat throughout.</w:t>
      </w:r>
    </w:p>
    <w:p>
      <w:pPr>
        <w:spacing w:after="120"/>
        <w:jc w:val="both"/>
      </w:pPr>
      <w:r>
        <w:rPr>
          <w:rFonts w:ascii="Palatino Linotype" w:hAnsi="Palatino Linotype" w:eastAsia="Palatino Linotype"/>
          <w:b w:val="0"/>
          <w:i w:val="0"/>
          <w:sz w:val="20"/>
        </w:rPr>
        <w:t>Combining instruments at a fixed total effort of two units confirms the pattern. The best available combination is a double dose of threshold moderation, which lowers the 2040 rate to 0.193 (</w:t>
      </w:r>
      <m:oMath>
        <m:r>
          <m:rPr/>
          <m:t>\Delta</m:t>
        </m:r>
      </m:oMath>
      <w:r>
        <w:rPr>
          <w:rFonts w:ascii="Palatino Linotype" w:hAnsi="Palatino Linotype" w:eastAsia="Palatino Linotype"/>
          <w:b w:val="0"/>
          <w:i w:val="0"/>
          <w:sz w:val="20"/>
        </w:rPr>
        <w:t xml:space="preserve"> = −0.324), followed by threshold moderation paired with expectation guidance at 0.274 (</w:t>
      </w:r>
      <m:oMath>
        <m:r>
          <m:rPr/>
          <m:t>\Delta</m:t>
        </m:r>
      </m:oMath>
      <w:r>
        <w:rPr>
          <w:rFonts w:ascii="Palatino Linotype" w:hAnsi="Palatino Linotype" w:eastAsia="Palatino Linotype"/>
          <w:b w:val="0"/>
          <w:i w:val="0"/>
          <w:sz w:val="20"/>
        </w:rPr>
        <w:t xml:space="preserve"> = −0.243) and with matching efficiency at 0.291 (</w:t>
      </w:r>
      <m:oMath>
        <m:r>
          <m:rPr/>
          <m:t>\Delta</m:t>
        </m:r>
      </m:oMath>
      <w:r>
        <w:rPr>
          <w:rFonts w:ascii="Palatino Linotype" w:hAnsi="Palatino Linotype" w:eastAsia="Palatino Linotype"/>
          <w:b w:val="0"/>
          <w:i w:val="0"/>
          <w:sz w:val="20"/>
        </w:rPr>
        <w:t xml:space="preserve"> = −0.226). Every combination that includes threshold moderation outperforms every combination that does not, and the best combination without it reaches only 0.458.</w:t>
      </w:r>
    </w:p>
    <w:p>
      <w:pPr>
        <w:keepNext/>
        <w:spacing w:before="140" w:after="80"/>
      </w:pPr>
      <w:r>
        <w:rPr>
          <w:rFonts w:ascii="Palatino Linotype" w:hAnsi="Palatino Linotype" w:eastAsia="Palatino Linotype"/>
          <w:b/>
          <w:i w:val="0"/>
          <w:sz w:val="20"/>
        </w:rPr>
        <w:t>4.9. Sequencing at Equal Cumulative Effort</w:t>
      </w:r>
    </w:p>
    <w:p>
      <w:pPr>
        <w:spacing w:after="120"/>
        <w:jc w:val="both"/>
      </w:pPr>
      <w:r>
        <w:rPr>
          <w:rFonts w:ascii="Palatino Linotype" w:hAnsi="Palatino Linotype" w:eastAsia="Palatino Linotype"/>
          <w:b w:val="0"/>
          <w:i w:val="0"/>
          <w:sz w:val="20"/>
        </w:rPr>
        <w:t>Because the system’s modes differ by a factor of twenty in speed, the order in which instruments are deployed should matter even when the total effort is held constant. We test this with three pairs, comparing simultaneous deployment of one unit of each throughout with front-loading two units of one instrument until 2032.5 and then switching. Table 11 reports both the terminal rate and the mean rate over 2025–2040, the latter being proportional to cumulative person-years of non-employment and therefore the welfare-relevant quantity.</w:t>
      </w:r>
    </w:p>
    <w:p>
      <w:pPr>
        <w:keepNext/>
        <w:spacing w:before="160" w:after="40"/>
      </w:pPr>
      <w:r>
        <w:rPr>
          <w:rFonts w:ascii="Palatino Linotype" w:hAnsi="Palatino Linotype" w:eastAsia="Palatino Linotype"/>
          <w:b/>
          <w:i w:val="0"/>
          <w:sz w:val="17"/>
        </w:rPr>
        <w:t xml:space="preserve">Table 11. </w:t>
      </w:r>
      <w:r>
        <w:rPr>
          <w:rFonts w:ascii="Palatino Linotype" w:hAnsi="Palatino Linotype" w:eastAsia="Palatino Linotype"/>
          <w:b w:val="0"/>
          <w:i w:val="0"/>
          <w:sz w:val="17"/>
        </w:rPr>
        <w:t>Policy sequencing at identical cumulative effort (two units over fifteen years, switch date 2032.5).</w:t>
      </w:r>
    </w:p>
    <w:tbl>
      <w:tblPr>
        <w:tblW w:w="0" w:type="auto"/>
        <w:jc w:val="center"/>
        <w:tblLayout w:type="fixed"/>
        <w:tblCellMar>
          <w:top w:w="0" w:type="dxa"/>
          <w:left w:w="40" w:type="dxa"/>
          <w:bottom w:w="0" w:type="dxa"/>
          <w:right w:w="40" w:type="dxa"/>
        </w:tblCellMar>
      </w:tblPr>
      <w:tblGrid>
        <w:gridCol w:w="3200"/>
        <w:gridCol w:w="3200"/>
        <w:gridCol w:w="1900"/>
        <w:gridCol w:w="1740"/>
      </w:tblGrid>
      <w:tr>
        <w:trPr>
          <w:tblHeader/>
          <w:jc w:val="center"/>
        </w:trPr>
        <w:tc>
          <w:tcPr>
            <w:tcW w:w="32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Instrument pair</w:t>
            </w:r>
          </w:p>
        </w:tc>
        <w:tc>
          <w:tcPr>
            <w:tcW w:w="32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Deployment order</w:t>
            </w:r>
          </w:p>
        </w:tc>
        <w:tc>
          <w:tcPr>
            <w:tcW w:w="19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 NER 2025–2040</w:t>
            </w:r>
          </w:p>
        </w:tc>
        <w:tc>
          <w:tcPr>
            <w:tcW w:w="17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NER in 2040</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P1 skill</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P3 first, then P1</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0.2893</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0.4807</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P1 skill</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Both throughout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0.3027</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0.4806</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P1 skill</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P1 first, then P3</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0.3149</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0.4750</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skill and P2 matching</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P1 first, then P2</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0.3106</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0.4699</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skill and P2 matching</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Both throughout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0.3072</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0.4865</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P1 skill and P2 matching</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P2 first, then P1</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0.3070</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0.5066</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P2 matching</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P3 first, then P2</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0.2752</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0.4422</w:t>
            </w:r>
          </w:p>
        </w:tc>
      </w:tr>
      <w:tr>
        <w:trPr>
          <w:jc w:val="center"/>
        </w:trPr>
        <w:tc>
          <w:tcPr>
            <w:tcW w:w="32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P2 matching</w:t>
            </w:r>
          </w:p>
        </w:tc>
        <w:tc>
          <w:tcPr>
            <w:tcW w:w="32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Both throughout</w:t>
            </w:r>
          </w:p>
        </w:tc>
        <w:tc>
          <w:tcPr>
            <w:tcW w:w="19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0.2857</w:t>
            </w:r>
          </w:p>
        </w:tc>
        <w:tc>
          <w:tcPr>
            <w:tcW w:w="17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0.4583</w:t>
            </w:r>
          </w:p>
        </w:tc>
      </w:tr>
      <w:tr>
        <w:trPr>
          <w:jc w:val="center"/>
        </w:trPr>
        <w:tc>
          <w:tcPr>
            <w:tcW w:w="32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P3 guidance and P2 matching</w:t>
            </w:r>
          </w:p>
        </w:tc>
        <w:tc>
          <w:tcPr>
            <w:tcW w:w="32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P2 first, then P3</w:t>
            </w:r>
          </w:p>
        </w:tc>
        <w:tc>
          <w:tcPr>
            <w:tcW w:w="19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0.2965</w:t>
            </w:r>
          </w:p>
        </w:tc>
        <w:tc>
          <w:tcPr>
            <w:tcW w:w="17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0.4719</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The mean rate over the period is proportional to cumulative person-years of youth non-employment and is the welfare-relevant criterion; the terminal rate describes the state bequeathed to the following period.</w:t>
      </w:r>
    </w:p>
    <w:p>
      <w:pPr>
        <w:spacing w:after="120"/>
        <w:jc w:val="both"/>
      </w:pPr>
      <w:r>
        <w:rPr>
          <w:rFonts w:ascii="Palatino Linotype" w:hAnsi="Palatino Linotype" w:eastAsia="Palatino Linotype"/>
          <w:b w:val="0"/>
          <w:i w:val="0"/>
          <w:sz w:val="20"/>
        </w:rPr>
        <w:t>Two results emerge. First, sequencing matters materially. For the guidance and matching pair, front-loading expectation guidance yields a mean rate of 0.2752 against 0.2965 when matching efficiency comes first, a difference of 0.021, or about seven per cent of the level, and it also produces the better terminal state, so for this pair the ordering is unambiguous. Second, the criterion can reverse the ranking. For the guidance and skill pair, guidance-first minimises the cumulative burden (0.2893) but skill-first leaves the marginally better terminal state (0.4750 against 0.4807). This is a genuine intertemporal trade-off rather than a modelling artefact: guidance acts on a fast state and relieves the current cohort, whereas training acts on a slow state and accumulates. A government optimising the electoral cycle and one optimising the state bequeathed to its successor will make different choices from the same model.</w:t>
      </w:r>
    </w:p>
    <w:p>
      <w:pPr>
        <w:spacing w:after="40"/>
        <w:jc w:val="center"/>
      </w:pPr>
      <w:r>
        <w:drawing>
          <wp:inline distT="0" distB="0" distL="114300" distR="114300">
            <wp:extent cx="5989320" cy="213649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25"/>
                    <a:stretch>
                      <a:fillRect/>
                    </a:stretch>
                  </pic:blipFill>
                  <pic:spPr>
                    <a:xfrm>
                      <a:off x="0" y="0"/>
                      <a:ext cx="5989320" cy="2136494"/>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6. </w:t>
      </w:r>
      <w:r>
        <w:rPr>
          <w:rFonts w:ascii="Palatino Linotype" w:hAnsi="Palatino Linotype" w:eastAsia="Palatino Linotype"/>
          <w:b w:val="0"/>
          <w:i w:val="0"/>
          <w:sz w:val="17"/>
        </w:rPr>
        <w:t>Policy analysis. (a) Effort–response curves for the five instrument families over zero to three prior standard deviations of effort. (b) Effects at one unit of effort with 95 per cent paired intervals. (c) Sequencing at identical cumulative effort, measured by the mean non-employment rate over 2025–2040.</w:t>
      </w:r>
    </w:p>
    <w:p>
      <w:pPr>
        <w:keepNext/>
        <w:spacing w:before="140" w:after="80"/>
      </w:pPr>
      <w:r>
        <w:rPr>
          <w:rFonts w:ascii="Palatino Linotype" w:hAnsi="Palatino Linotype" w:eastAsia="Palatino Linotype"/>
          <w:b/>
          <w:i w:val="0"/>
          <w:sz w:val="20"/>
        </w:rPr>
        <w:t>4.10. Prefecture Archetypes</w:t>
      </w:r>
    </w:p>
    <w:p>
      <w:pPr>
        <w:spacing w:after="120"/>
        <w:jc w:val="both"/>
      </w:pPr>
      <w:r>
        <w:rPr>
          <w:rFonts w:ascii="Palatino Linotype" w:hAnsi="Palatino Linotype" w:eastAsia="Palatino Linotype"/>
          <w:b w:val="0"/>
          <w:i w:val="0"/>
          <w:sz w:val="20"/>
        </w:rPr>
        <w:t>China’s prefecture-level cities are not homogeneous, and the model’s parameters differ systematically across them. We define three archetypes: a digital-core metropolitan type, with the fastest digital expansion, the strongest vacancy response, the steepest threshold escalation, the largest graduate inflow and the most efficient matching; an advanced-manufacturing type, intermediate on all counts; and a peripheral labour-exporting type, with slower digitalisation, weaker matching and a higher valuation of institutional posts. Table 12 and Figure 7 report the outcomes.</w:t>
      </w:r>
    </w:p>
    <w:p>
      <w:pPr>
        <w:keepNext/>
        <w:spacing w:before="160" w:after="40"/>
      </w:pPr>
      <w:r>
        <w:rPr>
          <w:rFonts w:ascii="Palatino Linotype" w:hAnsi="Palatino Linotype" w:eastAsia="Palatino Linotype"/>
          <w:b/>
          <w:i w:val="0"/>
          <w:sz w:val="17"/>
        </w:rPr>
        <w:t xml:space="preserve">Table 12. </w:t>
      </w:r>
      <w:r>
        <w:rPr>
          <w:rFonts w:ascii="Palatino Linotype" w:hAnsi="Palatino Linotype" w:eastAsia="Palatino Linotype"/>
          <w:b w:val="0"/>
          <w:i w:val="0"/>
          <w:sz w:val="17"/>
        </w:rPr>
        <w:t>Prefecture-level city archetypes: trajectories and policy responsiveness.</w:t>
      </w:r>
    </w:p>
    <w:tbl>
      <w:tblPr>
        <w:tblW w:w="0" w:type="auto"/>
        <w:jc w:val="center"/>
        <w:tblLayout w:type="fixed"/>
        <w:tblCellMar>
          <w:top w:w="0" w:type="dxa"/>
          <w:left w:w="40" w:type="dxa"/>
          <w:bottom w:w="0" w:type="dxa"/>
          <w:right w:w="40" w:type="dxa"/>
        </w:tblCellMar>
      </w:tblPr>
      <w:tblGrid>
        <w:gridCol w:w="3350"/>
        <w:gridCol w:w="950"/>
        <w:gridCol w:w="950"/>
        <w:gridCol w:w="1050"/>
        <w:gridCol w:w="1150"/>
        <w:gridCol w:w="1250"/>
        <w:gridCol w:w="1150"/>
        <w:gridCol w:w="1350"/>
        <w:gridCol w:w="800"/>
      </w:tblGrid>
      <w:tr>
        <w:trPr>
          <w:tblHeader/>
          <w:jc w:val="center"/>
        </w:trPr>
        <w:tc>
          <w:tcPr>
            <w:tcW w:w="335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Archetype</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NER 2025</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NER 2040</w:t>
            </w:r>
          </w:p>
        </w:tc>
        <w:tc>
          <w:tcPr>
            <w:tcW w:w="10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 flow 2040</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Mismatch 2040</w:t>
            </w:r>
          </w:p>
        </w:tc>
        <w:tc>
          <w:tcPr>
            <w:tcW w:w="12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Duration 2040 (yr)</w:t>
            </w:r>
          </w:p>
        </w:tc>
        <w:tc>
          <w:tcPr>
            <w:tcW w:w="11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Best instrument</w:t>
            </w:r>
          </w:p>
        </w:tc>
        <w:tc>
          <w:tcPr>
            <w:tcW w:w="13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NER 2040 under policy</w:t>
            </w:r>
          </w:p>
        </w:tc>
        <w:tc>
          <w:tcPr>
            <w:tcW w:w="8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Gain</w:t>
            </w:r>
          </w:p>
        </w:tc>
      </w:tr>
      <w:tr>
        <w:trPr>
          <w:jc w:val="center"/>
        </w:trPr>
        <w:tc>
          <w:tcPr>
            <w:tcW w:w="33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A. Digital-core metropolitan city</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0.251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0.732</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0.658</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0.548</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31.99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P5</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0.578</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0.155</w:t>
            </w:r>
          </w:p>
        </w:tc>
      </w:tr>
      <w:tr>
        <w:trPr>
          <w:jc w:val="center"/>
        </w:trPr>
        <w:tc>
          <w:tcPr>
            <w:tcW w:w="335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B. Advanced-manufacturing city</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0.173</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0.489</w:t>
            </w:r>
          </w:p>
        </w:tc>
        <w:tc>
          <w:tcPr>
            <w:tcW w:w="10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0.539</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0.403</w:t>
            </w:r>
          </w:p>
        </w:tc>
        <w:tc>
          <w:tcPr>
            <w:tcW w:w="12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7.53</w:t>
            </w:r>
          </w:p>
        </w:tc>
        <w:tc>
          <w:tcPr>
            <w:tcW w:w="11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P5</w:t>
            </w:r>
          </w:p>
        </w:tc>
        <w:tc>
          <w:tcPr>
            <w:tcW w:w="13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0.288</w:t>
            </w:r>
          </w:p>
        </w:tc>
        <w:tc>
          <w:tcPr>
            <w:tcW w:w="8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0.201</w:t>
            </w:r>
          </w:p>
        </w:tc>
      </w:tr>
      <w:tr>
        <w:trPr>
          <w:jc w:val="center"/>
        </w:trPr>
        <w:tc>
          <w:tcPr>
            <w:tcW w:w="335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C. Peripheral labour-exporting city</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0.157</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0.251</w:t>
            </w:r>
          </w:p>
        </w:tc>
        <w:tc>
          <w:tcPr>
            <w:tcW w:w="10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0.342</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0.303</w:t>
            </w:r>
          </w:p>
        </w:tc>
        <w:tc>
          <w:tcPr>
            <w:tcW w:w="12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2.09</w:t>
            </w:r>
          </w:p>
        </w:tc>
        <w:tc>
          <w:tcPr>
            <w:tcW w:w="11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P5</w:t>
            </w:r>
          </w:p>
        </w:tc>
        <w:tc>
          <w:tcPr>
            <w:tcW w:w="13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0.169</w:t>
            </w:r>
          </w:p>
        </w:tc>
        <w:tc>
          <w:tcPr>
            <w:tcW w:w="8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0.082</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Archetypes are parameterised illustratively rather than estimated on city-level data; they are intended to show how the same structure generates different behaviour under different parameterisations, not to rank actual cities.</w:t>
      </w:r>
    </w:p>
    <w:p>
      <w:pPr>
        <w:spacing w:after="120"/>
        <w:jc w:val="both"/>
      </w:pPr>
      <w:r>
        <w:rPr>
          <w:rFonts w:ascii="Palatino Linotype" w:hAnsi="Palatino Linotype" w:eastAsia="Palatino Linotype"/>
          <w:b w:val="0"/>
          <w:i w:val="0"/>
          <w:sz w:val="20"/>
        </w:rPr>
        <w:t>The ordering is the opposite of what a simple demand account predicts. The most digitally advanced archetype, which creates the most jobs and matches most efficiently, ends the horizon with by far the highest youth non-employment rate (0.732 against 0.251 in the periphery) and a mean transition duration of nearly thirty-two years, which is to say that in that parameterisation the cohort effectively never clears. The reason is visible in the parameterisation: the same digital dynamism that generates vacancies also drives the employer threshold upward, and in the calibrated system the threshold effect dominates the vacancy effect by more than two orders of magnitude (Table 8). The frontrunner runs faster and falls further behind its own bar.</w:t>
      </w:r>
    </w:p>
    <w:p>
      <w:pPr>
        <w:spacing w:after="120"/>
        <w:jc w:val="both"/>
      </w:pPr>
      <w:r>
        <w:rPr>
          <w:rFonts w:ascii="Palatino Linotype" w:hAnsi="Palatino Linotype" w:eastAsia="Palatino Linotype"/>
          <w:b w:val="0"/>
          <w:i w:val="0"/>
          <w:sz w:val="20"/>
        </w:rPr>
        <w:t>The policy reading is more encouraging, and more specific than the deterioration ranking suggests. The largest absolute dividend accrues not to the digital core but to the intermediate manufacturing archetype, where threshold moderation lowers the 2040 rate by 0.201 against 0.155 in the core and 0.082 in the periphery. The core is the most damaged but also the most saturated: its threshold has risen so far by 2040 that a one-standard-deviation moderation cannot bring it back. The implication for a national programme is that intervention should be targeted at cities in the middle of the digital transition, where the bar is rising fast but has not yet run away.</w:t>
      </w:r>
    </w:p>
    <w:p>
      <w:pPr>
        <w:spacing w:after="40"/>
        <w:jc w:val="center"/>
      </w:pPr>
      <w:r>
        <w:drawing>
          <wp:inline distT="0" distB="0" distL="114300" distR="114300">
            <wp:extent cx="5989320" cy="2101974"/>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26"/>
                    <a:stretch>
                      <a:fillRect/>
                    </a:stretch>
                  </pic:blipFill>
                  <pic:spPr>
                    <a:xfrm>
                      <a:off x="0" y="0"/>
                      <a:ext cx="5989320" cy="2101974"/>
                    </a:xfrm>
                    <a:prstGeom prst="rect">
                      <a:avLst/>
                    </a:prstGeom>
                  </pic:spPr>
                </pic:pic>
              </a:graphicData>
            </a:graphic>
          </wp:inline>
        </w:drawing>
      </w:r>
    </w:p>
    <w:p>
      <w:pPr>
        <w:spacing w:after="160"/>
        <w:jc w:val="center"/>
      </w:pPr>
      <w:r>
        <w:rPr>
          <w:rFonts w:ascii="Palatino Linotype" w:hAnsi="Palatino Linotype" w:eastAsia="Palatino Linotype"/>
          <w:b/>
          <w:i w:val="0"/>
          <w:sz w:val="17"/>
        </w:rPr>
        <w:t xml:space="preserve">Figure 7. </w:t>
      </w:r>
      <w:r>
        <w:rPr>
          <w:rFonts w:ascii="Palatino Linotype" w:hAnsi="Palatino Linotype" w:eastAsia="Palatino Linotype"/>
          <w:b w:val="0"/>
          <w:i w:val="0"/>
          <w:sz w:val="17"/>
        </w:rPr>
        <w:t>Prefecture-level city archetypes. (a) Non-employment trajectories under the three parameterisations. (b) The 2040 rate without new policy and under the best single instrument at one unit of effort.</w:t>
      </w:r>
    </w:p>
    <w:p>
      <w:pPr>
        <w:keepNext/>
        <w:spacing w:before="200" w:after="80"/>
      </w:pPr>
      <w:r>
        <w:rPr>
          <w:rFonts w:ascii="Palatino Linotype" w:hAnsi="Palatino Linotype" w:eastAsia="Palatino Linotype"/>
          <w:b/>
          <w:i w:val="0"/>
          <w:sz w:val="24"/>
        </w:rPr>
        <w:t>5. Discussion</w:t>
      </w:r>
    </w:p>
    <w:p>
      <w:pPr>
        <w:keepNext/>
        <w:spacing w:before="140" w:after="80"/>
      </w:pPr>
      <w:r>
        <w:rPr>
          <w:rFonts w:ascii="Palatino Linotype" w:hAnsi="Palatino Linotype" w:eastAsia="Palatino Linotype"/>
          <w:b/>
          <w:i w:val="0"/>
          <w:sz w:val="20"/>
        </w:rPr>
        <w:t>5.1. A Moving Target Rather Than a Tipping Point</w:t>
      </w:r>
    </w:p>
    <w:p>
      <w:pPr>
        <w:spacing w:after="120"/>
        <w:jc w:val="both"/>
      </w:pPr>
      <w:r>
        <w:rPr>
          <w:rFonts w:ascii="Palatino Linotype" w:hAnsi="Palatino Linotype" w:eastAsia="Palatino Linotype"/>
          <w:b w:val="0"/>
          <w:i w:val="0"/>
          <w:sz w:val="20"/>
        </w:rPr>
        <w:t>The principal theoretical contribution of this study is a negative one with positive consequences. Youth employment deterioration in a rapidly digitalising economy behaves like a trap but is not one. The system has a single stable equilibrium throughout the parameter region examined; what changes is the location of that equilibrium, which drifts upward as the employer skill threshold rises with digitalisation and with the mismatch it produces. Because the slowest mode of the system equals the duration of the youth window, the observed state trails this moving target by 1.7 years on average and by five years by the end of the horizon.</w:t>
      </w:r>
    </w:p>
    <w:p>
      <w:pPr>
        <w:spacing w:after="120"/>
        <w:jc w:val="both"/>
      </w:pPr>
      <w:r>
        <w:rPr>
          <w:rFonts w:ascii="Palatino Linotype" w:hAnsi="Palatino Linotype" w:eastAsia="Palatino Linotype"/>
          <w:b w:val="0"/>
          <w:i w:val="0"/>
          <w:sz w:val="20"/>
        </w:rPr>
        <w:t>This distinction has three consequences. It disciplines the language: early-warning indicators designed to detect critical slowing down before a fold [47] are not informative here, because there is no fold to anticipate. It changes the diagnosis: persistence arises from slow states chasing a moving equilibrium, not from lock-in, so recovery does not require escaping a basin and is not subject to irreversibility. And it relocates the urgency: in a bistable system delay risks crossing a threshold, whereas here delay simply allows the target to move further away, which is less dramatic but, because the drift compounds and adjustment is slow, no less costly. The measured indicator understating the structural position is the mechanism by which such a system escapes attention until the gap is large.</w:t>
      </w:r>
    </w:p>
    <w:p>
      <w:pPr>
        <w:keepNext/>
        <w:spacing w:before="140" w:after="80"/>
      </w:pPr>
      <w:r>
        <w:rPr>
          <w:rFonts w:ascii="Palatino Linotype" w:hAnsi="Palatino Linotype" w:eastAsia="Palatino Linotype"/>
          <w:b/>
          <w:i w:val="0"/>
          <w:sz w:val="20"/>
        </w:rPr>
        <w:t>5.2. Why Job Creation Is Not the Binding Constraint</w:t>
      </w:r>
    </w:p>
    <w:p>
      <w:pPr>
        <w:spacing w:after="120"/>
        <w:jc w:val="both"/>
      </w:pPr>
      <w:r>
        <w:rPr>
          <w:rFonts w:ascii="Palatino Linotype" w:hAnsi="Palatino Linotype" w:eastAsia="Palatino Linotype"/>
          <w:b w:val="0"/>
          <w:i w:val="0"/>
          <w:sz w:val="20"/>
        </w:rPr>
        <w:t>That vacancy creation is nearly inert in this model is the result most likely to attract objection, so its logic deserves to be stated carefully. Vacancies enter the model in two places: they raise meetings through the matching function, and they raise offered quality through market tightness. Neither channel is blocked. What limits them is that meetings only become hires after passing a screen whose stringency is itself rising, and after being accepted by a searcher whose reservation threshold adjusts only slowly. When the skill–threshold gap has turned negative, additional meetings mostly generate additional rejections. Formally, the elasticity of hires with respect to vacancies is bounded above by the screening and acceptance probabilities, both of which fall as the drift proceeds. Empirically, this is why the vacancy-to-seeker ratio can stay above unity while non-employment doubles: the constraint is not the number of doors but the height of the sill.</w:t>
      </w:r>
    </w:p>
    <w:p>
      <w:pPr>
        <w:spacing w:after="120"/>
        <w:jc w:val="both"/>
      </w:pPr>
      <w:r>
        <w:rPr>
          <w:rFonts w:ascii="Palatino Linotype" w:hAnsi="Palatino Linotype" w:eastAsia="Palatino Linotype"/>
          <w:b w:val="0"/>
          <w:i w:val="0"/>
          <w:sz w:val="20"/>
        </w:rPr>
        <w:t>The finding is consistent with the broader evaluation literature, which reports modest and heterogeneous average effects for youth employment programmes and better results for interventions that change what employers or participants do rather than simply subsidising a transaction [44,50,51]. It also aligns with evidence that the returns to training depend on whether the skills acquired are the ones employers are screening on [46,52,53]. Our result sharpens rather than contradicts that literature: training raises employability capital, but in this system employability capital is not the state that is moving. The threshold is.</w:t>
      </w:r>
    </w:p>
    <w:p>
      <w:pPr>
        <w:keepNext/>
        <w:spacing w:before="140" w:after="80"/>
      </w:pPr>
      <w:r>
        <w:rPr>
          <w:rFonts w:ascii="Palatino Linotype" w:hAnsi="Palatino Linotype" w:eastAsia="Palatino Linotype"/>
          <w:b/>
          <w:i w:val="0"/>
          <w:sz w:val="20"/>
        </w:rPr>
        <w:t>5.3. The Queue as an Institution</w:t>
      </w:r>
    </w:p>
    <w:p>
      <w:pPr>
        <w:spacing w:after="120"/>
        <w:jc w:val="both"/>
      </w:pPr>
      <w:r>
        <w:rPr>
          <w:rFonts w:ascii="Palatino Linotype" w:hAnsi="Palatino Linotype" w:eastAsia="Palatino Linotype"/>
          <w:b w:val="0"/>
          <w:i w:val="0"/>
          <w:sz w:val="20"/>
        </w:rPr>
        <w:t>The examination queue turns out to be central in a way we did not anticipate. Its congestion loop is the second strongest stabiliser in the system after aspiration adjustment, accounting for 17.5 per cent of the total loop-deactivation effect: because success rates collapse as the queue lengthens, the queue is self-limiting. At the same time the queue is a major channel of delayed entry and of skill erosion, and the curvature of the probability-weighting function that sustains it is the third most important parameter in the variance decomposition (8.9 per cent of total-order variance). The queue is therefore simultaneously a safety valve and a sink.</w:t>
      </w:r>
    </w:p>
    <w:p>
      <w:pPr>
        <w:spacing w:after="120"/>
        <w:jc w:val="both"/>
      </w:pPr>
      <w:r>
        <w:rPr>
          <w:rFonts w:ascii="Palatino Linotype" w:hAnsi="Palatino Linotype" w:eastAsia="Palatino Linotype"/>
          <w:b w:val="0"/>
          <w:i w:val="0"/>
          <w:sz w:val="20"/>
        </w:rPr>
        <w:t>The policy implication is a warning against the obvious intervention. Expanding institutional recruitment raises the realised success rate, which weakens exactly the congestion feedback that prevents the queue from absorbing a larger share of each cohort. In the model this operates as a partial offset: more posts are filled, but the queue grows. The productive lever is not the number of posts but the decision weight attached to a small probability, which is addressable through information—publishing realised success rates by post and by cohort, and integrating them into career education—rather than through recruitment quotas. This is one concrete route by which the employability-thinking construct validated by Chacón-Cuberos and colleagues [21] becomes a system-level lever: what their analytical-thinking and information-handling factor measures is precisely the capacity that reduces the over-weighting of small probabilities.</w:t>
      </w:r>
    </w:p>
    <w:p>
      <w:pPr>
        <w:keepNext/>
        <w:spacing w:before="140" w:after="80"/>
      </w:pPr>
      <w:r>
        <w:rPr>
          <w:rFonts w:ascii="Palatino Linotype" w:hAnsi="Palatino Linotype" w:eastAsia="Palatino Linotype"/>
          <w:b/>
          <w:i w:val="0"/>
          <w:sz w:val="20"/>
        </w:rPr>
        <w:t>5.4. The Digital Paradox of a Frontrunner Region</w:t>
      </w:r>
    </w:p>
    <w:p>
      <w:pPr>
        <w:spacing w:after="120"/>
        <w:jc w:val="both"/>
      </w:pPr>
      <w:r>
        <w:rPr>
          <w:rFonts w:ascii="Palatino Linotype" w:hAnsi="Palatino Linotype" w:eastAsia="Palatino Linotype"/>
          <w:b w:val="0"/>
          <w:i w:val="0"/>
          <w:sz w:val="20"/>
        </w:rPr>
        <w:t>The archetype analysis produces the paper’s most counter-intuitive result: the city archetype with the fastest digital growth, most vacancies and best matching ends with the worst youth outcome. This is not an argument against digital transformation, which raises output, wages and job quality in this model as in the evidence [4,30,54–58]. It is an argument about the joint distribution of its effects. Digitalisation shifts demand towards higher-order competences [9,35,36], and in doing so it raises the bar that entrants must clear at exactly the moment when it raises the number of doors. Where the first effect outruns the second, entrants face more opportunities they cannot access.</w:t>
      </w:r>
    </w:p>
    <w:p>
      <w:pPr>
        <w:spacing w:after="120"/>
        <w:jc w:val="both"/>
      </w:pPr>
      <w:r>
        <w:rPr>
          <w:rFonts w:ascii="Palatino Linotype" w:hAnsi="Palatino Linotype" w:eastAsia="Palatino Linotype"/>
          <w:b w:val="0"/>
          <w:i w:val="0"/>
          <w:sz w:val="20"/>
        </w:rPr>
        <w:t>For Chinese cities specifically this suggests that a local policy advantage in digital-industry development [3] and an aggressive talent-attraction regime [59] are, from the perspective of local entrants, double-edged. Attracting experienced talent from elsewhere raises the observed competence distribution that employers screen against, which is formally equivalent in this model to raising the threshold. A common-prosperity agenda that treats youth transition quality as an objective alongside industrial upgrading [60,61] would need to monitor the skill–threshold gap directly rather than inferring it from vacancy counts, and would need to differentiate its instruments by where a city sits in the digital transition rather than applying one national package.</w:t>
      </w:r>
    </w:p>
    <w:p>
      <w:pPr>
        <w:keepNext/>
        <w:spacing w:before="140" w:after="80"/>
      </w:pPr>
      <w:r>
        <w:rPr>
          <w:rFonts w:ascii="Palatino Linotype" w:hAnsi="Palatino Linotype" w:eastAsia="Palatino Linotype"/>
          <w:b/>
          <w:i w:val="0"/>
          <w:sz w:val="20"/>
        </w:rPr>
        <w:t>5.5. Implications for Policy Design</w:t>
      </w:r>
    </w:p>
    <w:p>
      <w:pPr>
        <w:spacing w:after="120"/>
        <w:jc w:val="both"/>
      </w:pPr>
      <w:r>
        <w:rPr>
          <w:rFonts w:ascii="Palatino Linotype" w:hAnsi="Palatino Linotype" w:eastAsia="Palatino Linotype"/>
          <w:b w:val="0"/>
          <w:i w:val="0"/>
          <w:sz w:val="20"/>
        </w:rPr>
        <w:t>Four design implications follow from the results, stated in decreasing order of the confidence we attach to them. First, govern the bar. Instruments that slow the escalation of employer screening standards dominate every alternative at equal standardised effort. Concretely, this means competence-based rather than credential-based recruitment standards for public and state-owned employers, publicly certified micro-credentials that make competence legible so that employers do not over-screen on proxies, regulation of degree and experience requirements in advertised vacancies, and subsidised structured internships that let employers observe ability directly rather than inferring it. Second, manage expectations early. Expectation guidance is the second most effective instrument and, in two of the three pairs tested, should be front-loaded rather than run in parallel. Third, treat matching efficiency as a complement rather than a substitute: it is third in effectiveness and pairs well with threshold moderation, but it cannot compensate for a rising bar. Fourth, do not expand the queue. Enlarging institutional recruitment weakens the strongest stabilising feedback in the system.</w:t>
      </w:r>
    </w:p>
    <w:p>
      <w:pPr>
        <w:spacing w:after="120"/>
        <w:jc w:val="both"/>
      </w:pPr>
      <w:r>
        <w:rPr>
          <w:rFonts w:ascii="Palatino Linotype" w:hAnsi="Palatino Linotype" w:eastAsia="Palatino Linotype"/>
          <w:b w:val="0"/>
          <w:i w:val="0"/>
          <w:sz w:val="20"/>
        </w:rPr>
        <w:t>A fifth implication concerns measurement rather than instruments. Because the realised state lags its equilibrium by two to five years, national and city monitoring that tracks only the youth unemployment rate will detect deterioration late and will credit interventions late as well. A monitoring system built on this model would track the skill–threshold gap—operationalised as the distance between the competence distribution of entrants and the requirements stated in vacancy postings—alongside the realised rate, because the gap is a leading indicator and the rate is a lagging one.</w:t>
      </w:r>
    </w:p>
    <w:p>
      <w:pPr>
        <w:keepNext/>
        <w:spacing w:before="140" w:after="80"/>
      </w:pPr>
      <w:r>
        <w:rPr>
          <w:rFonts w:ascii="Palatino Linotype" w:hAnsi="Palatino Linotype" w:eastAsia="Palatino Linotype"/>
          <w:b/>
          <w:i w:val="0"/>
          <w:sz w:val="20"/>
        </w:rPr>
        <w:t>5.6. Contribution to Systems Practice in the Social Sciences</w:t>
      </w:r>
    </w:p>
    <w:p>
      <w:pPr>
        <w:spacing w:after="120"/>
        <w:jc w:val="both"/>
      </w:pPr>
      <w:r>
        <w:rPr>
          <w:rFonts w:ascii="Palatino Linotype" w:hAnsi="Palatino Linotype" w:eastAsia="Palatino Linotype"/>
          <w:b w:val="0"/>
          <w:i w:val="0"/>
          <w:sz w:val="20"/>
        </w:rPr>
        <w:t>Methodologically, this study joins three techniques that are usually applied separately. Loop deactivation [18] establishes which feedbacks generate the observed behaviour; variance-based sensitivity analysis [19,20] establishes which parameters generate the uncertainty; and statistical meta-modelling of the simulation output establishes where in parameter space the qualitative outcome changes. Applied to the same calibrated object, the three agree: threshold escalation is the strongest reinforcing loop, threshold sensitivity is the largest variance contributor, and threshold sensitivity is the root split of the classification tree. That agreement is not automatic—structural dominance and variance contribution answer different questions—and its presence is itself evidence that the model’s behaviour is driven by a mechanism rather than by a parameterisation. We would encourage this triangulation as a routine step in simulation-based social science, alongside the reporting standards already proposed [42,45]. Recent systems-theoretic work published in this journal on digital adoption, decision-making and regional digital dividends [62–64] shares the same premise—that organisational and regional outcomes are properties of configurations rather than of variables—and could be linked to the transition system modelled here through the employer-threshold equation.</w:t>
      </w:r>
    </w:p>
    <w:p>
      <w:pPr>
        <w:spacing w:after="120"/>
        <w:jc w:val="both"/>
      </w:pPr>
      <w:r>
        <w:rPr>
          <w:rFonts w:ascii="Palatino Linotype" w:hAnsi="Palatino Linotype" w:eastAsia="Palatino Linotype"/>
          <w:b w:val="0"/>
          <w:i w:val="0"/>
          <w:sz w:val="20"/>
        </w:rPr>
        <w:t>Substantively, the study complements the two recent contributions in this journal that motivated it. Grigorescu and colleagues [12] establish, cross-sectionally and spatially, that youth exclusion is an emergent property of interacting digital and socio-economic subsystems and that its determinants act through thresholds; we show what such a system does over time and which of its couplings dominates. Chacón-Cuberos and colleagues [21] establish that employability thinking is a coherent, measurable latent construct; we show the system-level pathway through which that construct operates—by accelerating aspiration adjustment and by reducing the over-weighting of small probabilities—and quantify its policy value relative to alternatives. Recent system-dynamics work on Chinese employment [65] identifies the education–technology–human-capital complex as the critical state variable at the macroeconomic level; our result that employability capital is flat while the threshold moves suggests that at the level of the transition itself the binding state is the requirement, not the endowment.</w:t>
      </w:r>
    </w:p>
    <w:p>
      <w:pPr>
        <w:keepNext/>
        <w:spacing w:before="140" w:after="80"/>
      </w:pPr>
      <w:r>
        <w:rPr>
          <w:rFonts w:ascii="Palatino Linotype" w:hAnsi="Palatino Linotype" w:eastAsia="Palatino Linotype"/>
          <w:b/>
          <w:i w:val="0"/>
          <w:sz w:val="20"/>
        </w:rPr>
        <w:t>5.7. Limitations</w:t>
      </w:r>
    </w:p>
    <w:p>
      <w:pPr>
        <w:spacing w:after="120"/>
        <w:jc w:val="both"/>
      </w:pPr>
      <w:r>
        <w:rPr>
          <w:rFonts w:ascii="Palatino Linotype" w:hAnsi="Palatino Linotype" w:eastAsia="Palatino Linotype"/>
          <w:b w:val="0"/>
          <w:i w:val="0"/>
          <w:sz w:val="20"/>
        </w:rPr>
        <w:t>Five limitations bound the claims. First, the model is specified and estimated at the national level, so its parameters are population-weighted averages across China’s prefecture-level cities; the archetype analysis shows how much behaviour varies once those averages are relaxed, but city-level point predictions should not be read off it. Second, the projections beyond 2026 are structure-unchanged counterfactuals, not forecasts. They answer the question "where does this configuration of feedbacks lead?" and are meaningless as predictions, since the whole point of the paper is that the configuration is governable. Third, the model is deterministic and representative-agent within each stock; it cannot speak to heterogeneity by field of study, gender, institution tier or family background, all of which the mismatch literature shows to be substantial [32,33,43]. Fourth, firms are not optimising agents; the threshold responds to digitalisation and mismatch through a reduced form whose parameters are estimated rather than derived, and a micro-founded screening model could change the elasticities though we would not expect it to change their sign. Fifth, the archetype analysis is illustrative: its parameterisations are stipulated to represent recognisable city types, not estimated on city data.</w:t>
      </w:r>
    </w:p>
    <w:p>
      <w:pPr>
        <w:spacing w:after="120"/>
        <w:jc w:val="both"/>
      </w:pPr>
      <w:r>
        <w:rPr>
          <w:rFonts w:ascii="Palatino Linotype" w:hAnsi="Palatino Linotype" w:eastAsia="Palatino Linotype"/>
          <w:b w:val="0"/>
          <w:i w:val="0"/>
          <w:sz w:val="20"/>
        </w:rPr>
        <w:t>Three extensions follow naturally. Estimating the threshold equation directly from the text of vacancy postings would replace the reduced form with a measured one and would supply the leading indicator that Section 5.5 calls for. Disaggregating the model by field of study would let it speak to the humanities–science employment gap that graduate destination data show. And embedding the transition system in a spatial framework across China’s prefecture-level cities, in the manner of the spatial NEET analysis of Grigorescu and colleagues [12], would allow inter-city migration of graduates to be treated endogenously rather than as a parameter difference, and would let the model speak to whether the digital core exports its threshold escalation to the cities that supply it with graduates.</w:t>
      </w:r>
    </w:p>
    <w:p>
      <w:pPr>
        <w:keepNext/>
        <w:spacing w:before="200" w:after="80"/>
      </w:pPr>
      <w:r>
        <w:rPr>
          <w:rFonts w:ascii="Palatino Linotype" w:hAnsi="Palatino Linotype" w:eastAsia="Palatino Linotype"/>
          <w:b/>
          <w:i w:val="0"/>
          <w:sz w:val="24"/>
        </w:rPr>
        <w:t>6. Conclusions</w:t>
      </w:r>
    </w:p>
    <w:p>
      <w:pPr>
        <w:spacing w:after="120"/>
        <w:jc w:val="both"/>
      </w:pPr>
      <w:r>
        <w:rPr>
          <w:rFonts w:ascii="Palatino Linotype" w:hAnsi="Palatino Linotype" w:eastAsia="Palatino Linotype"/>
          <w:b w:val="0"/>
          <w:i w:val="0"/>
          <w:sz w:val="20"/>
        </w:rPr>
        <w:t>This paper asked why youth employment outcomes deteriorate in an economy where jobs are plentiful and the digital economy is expanding, and what to do about it. Treating the graduate school-to-work transition as a feedback system and calibrating it to seven published national moments, we find that the answer is neither a shortage of jobs nor a shortage of skills but the speed at which employers raise the bar. The system has no tipping point; it has a drifting attractor and a slow state, a combination that produces persistent deterioration while the measured indicator understates the structural position by two to five years.</w:t>
      </w:r>
    </w:p>
    <w:p>
      <w:pPr>
        <w:spacing w:after="120"/>
        <w:jc w:val="both"/>
      </w:pPr>
      <w:r>
        <w:rPr>
          <w:rFonts w:ascii="Palatino Linotype" w:hAnsi="Palatino Linotype" w:eastAsia="Palatino Linotype"/>
          <w:b w:val="0"/>
          <w:i w:val="0"/>
          <w:sz w:val="20"/>
        </w:rPr>
        <w:t>Three findings are directly actionable. Cyclical shocks decay with a half-life of one and a half years and are not the problem; the threshold drift does not decay and is. Among five policy families compared at equal standardised effort, moderating threshold escalation is roughly nineteen times as effective as vacancy creation and forty times as effective as training intensity, and every effective combination contains it. Sequencing matters at unchanged cumulative effort: front-loading expectation guidance before matching-efficiency investment lowers cumulative youth non-employment by about seven per cent relative to the reverse order, though the ranking can invert when the terminal rather than the cumulative state is the criterion. A fourth result is spatial: the largest dividend accrues to cities in the middle of the digital transition rather than to those furthest along it.</w:t>
      </w:r>
    </w:p>
    <w:p>
      <w:pPr>
        <w:spacing w:after="120"/>
        <w:jc w:val="both"/>
      </w:pPr>
      <w:r>
        <w:rPr>
          <w:rFonts w:ascii="Palatino Linotype" w:hAnsi="Palatino Linotype" w:eastAsia="Palatino Linotype"/>
          <w:b w:val="0"/>
          <w:i w:val="0"/>
          <w:sz w:val="20"/>
        </w:rPr>
        <w:t>The wider point is about where policy attention sits. Youth employment policy in China and elsewhere is organised around two levers—create jobs and train people—that this analysis places last among five. The levers that dominate concern how employers screen, how young people weight small probabilities, and how firmly aspirations are anchored. None of these has a budget line, and all three are governable. For a country whose stated ambition is common prosperity, the youth transition offers a case in which the binding constraint is not resources but the rules by which opportunity is rationed.</w:t>
      </w:r>
    </w:p>
    <w:p>
      <w:pPr>
        <w:spacing w:before="40" w:after="60"/>
        <w:jc w:val="both"/>
      </w:pPr>
      <w:r>
        <w:rPr>
          <w:rFonts w:ascii="Palatino Linotype" w:hAnsi="Palatino Linotype" w:eastAsia="Palatino Linotype"/>
          <w:b/>
          <w:i/>
          <w:sz w:val="17"/>
        </w:rPr>
        <w:t>Author Contributions:</w:t>
      </w:r>
      <w:r>
        <w:rPr>
          <w:rFonts w:ascii="Palatino Linotype" w:hAnsi="Palatino Linotype" w:eastAsia="Palatino Linotype"/>
          <w:b w:val="0"/>
          <w:i w:val="0"/>
          <w:sz w:val="17"/>
        </w:rPr>
        <w:t xml:space="preserve"> Conceptualization, methodology, formal analysis, software and writing—original draft preparation, X.C.; validation, data curation and visualization, D.H.; investigation, writing—review and editing, supervision and project administration, T.M. All authors have read and agreed to the published version of the manuscript.</w:t>
      </w:r>
    </w:p>
    <w:p>
      <w:pPr>
        <w:spacing w:before="40" w:after="60"/>
        <w:jc w:val="both"/>
      </w:pPr>
      <w:r>
        <w:rPr>
          <w:rFonts w:ascii="Palatino Linotype" w:hAnsi="Palatino Linotype" w:eastAsia="Palatino Linotype"/>
          <w:b/>
          <w:i/>
          <w:sz w:val="17"/>
        </w:rPr>
        <w:t>Funding:</w:t>
      </w:r>
      <w:r>
        <w:rPr>
          <w:rFonts w:ascii="Palatino Linotype" w:hAnsi="Palatino Linotype" w:eastAsia="Palatino Linotype"/>
          <w:b w:val="0"/>
          <w:i w:val="0"/>
          <w:sz w:val="17"/>
        </w:rPr>
        <w:t xml:space="preserve"> This research received no external funding.</w:t>
      </w:r>
    </w:p>
    <w:p>
      <w:pPr>
        <w:spacing w:before="40" w:after="60"/>
        <w:jc w:val="both"/>
      </w:pPr>
      <w:r>
        <w:rPr>
          <w:rFonts w:ascii="Palatino Linotype" w:hAnsi="Palatino Linotype" w:eastAsia="Palatino Linotype"/>
          <w:b/>
          <w:i/>
          <w:sz w:val="17"/>
        </w:rPr>
        <w:t>Institutional Review Board Statement:</w:t>
      </w:r>
      <w:r>
        <w:rPr>
          <w:rFonts w:ascii="Palatino Linotype" w:hAnsi="Palatino Linotype" w:eastAsia="Palatino Linotype"/>
          <w:b w:val="0"/>
          <w:i w:val="0"/>
          <w:sz w:val="17"/>
        </w:rPr>
        <w:t xml:space="preserve"> Not applicable. The study is a simulation analysis calibrated to published aggregate statistics and involves no human participants or animals.</w:t>
      </w:r>
    </w:p>
    <w:p>
      <w:pPr>
        <w:spacing w:before="40" w:after="60"/>
        <w:jc w:val="both"/>
      </w:pPr>
      <w:r>
        <w:rPr>
          <w:rFonts w:ascii="Palatino Linotype" w:hAnsi="Palatino Linotype" w:eastAsia="Palatino Linotype"/>
          <w:b/>
          <w:i/>
          <w:sz w:val="17"/>
        </w:rPr>
        <w:t>Informed Consent Statement:</w:t>
      </w:r>
      <w:r>
        <w:rPr>
          <w:rFonts w:ascii="Palatino Linotype" w:hAnsi="Palatino Linotype" w:eastAsia="Palatino Linotype"/>
          <w:b w:val="0"/>
          <w:i w:val="0"/>
          <w:sz w:val="17"/>
        </w:rPr>
        <w:t xml:space="preserve"> Not applicable.</w:t>
      </w:r>
    </w:p>
    <w:p>
      <w:pPr>
        <w:spacing w:before="40" w:after="60"/>
        <w:jc w:val="both"/>
      </w:pPr>
      <w:r>
        <w:rPr>
          <w:rFonts w:ascii="Palatino Linotype" w:hAnsi="Palatino Linotype" w:eastAsia="Palatino Linotype"/>
          <w:b/>
          <w:i/>
          <w:sz w:val="17"/>
        </w:rPr>
        <w:t>Data Availability Statement:</w:t>
      </w:r>
      <w:r>
        <w:rPr>
          <w:rFonts w:ascii="Palatino Linotype" w:hAnsi="Palatino Linotype" w:eastAsia="Palatino Linotype"/>
          <w:b w:val="0"/>
          <w:i w:val="0"/>
          <w:sz w:val="17"/>
        </w:rPr>
        <w:t xml:space="preserve"> The model is fully specified by Equations (1)–(15) and Table 2. No individual-level data were used. All calibration targets are drawn from publicly available sources cited in Table 3. The simulation code, the calibration routine, the sensitivity and policy experiments and the scripts that generate every figure and table in this article are available from the corresponding author on reasonable request.</w:t>
      </w:r>
    </w:p>
    <w:p>
      <w:pPr>
        <w:spacing w:before="40" w:after="60"/>
        <w:jc w:val="both"/>
      </w:pPr>
      <w:r>
        <w:rPr>
          <w:rFonts w:ascii="Palatino Linotype" w:hAnsi="Palatino Linotype" w:eastAsia="Palatino Linotype"/>
          <w:b/>
          <w:i/>
          <w:sz w:val="17"/>
        </w:rPr>
        <w:t>Acknowledgments:</w:t>
      </w:r>
      <w:r>
        <w:rPr>
          <w:rFonts w:ascii="Palatino Linotype" w:hAnsi="Palatino Linotype" w:eastAsia="Palatino Linotype"/>
          <w:b w:val="0"/>
          <w:i w:val="0"/>
          <w:sz w:val="17"/>
        </w:rPr>
        <w:t xml:space="preserve"> The authors thank the editors and the anonymous reviewers for comments that improved the manuscript.</w:t>
      </w:r>
    </w:p>
    <w:p>
      <w:pPr>
        <w:spacing w:before="40" w:after="60"/>
        <w:jc w:val="both"/>
      </w:pPr>
      <w:r>
        <w:rPr>
          <w:rFonts w:ascii="Palatino Linotype" w:hAnsi="Palatino Linotype" w:eastAsia="Palatino Linotype"/>
          <w:b/>
          <w:i/>
          <w:sz w:val="17"/>
        </w:rPr>
        <w:t>Conflicts of Interest:</w:t>
      </w:r>
      <w:r>
        <w:rPr>
          <w:rFonts w:ascii="Palatino Linotype" w:hAnsi="Palatino Linotype" w:eastAsia="Palatino Linotype"/>
          <w:b w:val="0"/>
          <w:i w:val="0"/>
          <w:sz w:val="17"/>
        </w:rPr>
        <w:t xml:space="preserve"> The authors declare no conflicts of interest.</w:t>
      </w:r>
    </w:p>
    <w:p>
      <w:pPr>
        <w:keepNext/>
        <w:spacing w:before="200" w:after="80"/>
      </w:pPr>
      <w:r>
        <w:rPr>
          <w:rFonts w:ascii="Palatino Linotype" w:hAnsi="Palatino Linotype" w:eastAsia="Palatino Linotype"/>
          <w:b/>
          <w:i w:val="0"/>
          <w:sz w:val="24"/>
        </w:rPr>
        <w:t>Appendix A</w:t>
      </w:r>
    </w:p>
    <w:p>
      <w:pPr>
        <w:keepNext/>
        <w:spacing w:before="160" w:after="40"/>
      </w:pPr>
      <w:r>
        <w:rPr>
          <w:rFonts w:ascii="Palatino Linotype" w:hAnsi="Palatino Linotype" w:eastAsia="Palatino Linotype"/>
          <w:b/>
          <w:i w:val="0"/>
          <w:sz w:val="17"/>
        </w:rPr>
        <w:t xml:space="preserve">Table A1. </w:t>
      </w:r>
      <w:r>
        <w:rPr>
          <w:rFonts w:ascii="Palatino Linotype" w:hAnsi="Palatino Linotype" w:eastAsia="Palatino Linotype"/>
          <w:b w:val="0"/>
          <w:i w:val="0"/>
          <w:sz w:val="17"/>
        </w:rPr>
        <w:t>Monte Carlo distributions of the 2040 outcomes over the twelve uncertain parameters (Latin hypercube, ⟪n⟫ = 4096).</w:t>
      </w:r>
    </w:p>
    <w:tbl>
      <w:tblPr>
        <w:tblW w:w="0" w:type="auto"/>
        <w:jc w:val="center"/>
        <w:tblLayout w:type="fixed"/>
        <w:tblCellMar>
          <w:top w:w="0" w:type="dxa"/>
          <w:left w:w="40" w:type="dxa"/>
          <w:bottom w:w="0" w:type="dxa"/>
          <w:right w:w="40" w:type="dxa"/>
        </w:tblCellMar>
      </w:tblPr>
      <w:tblGrid>
        <w:gridCol w:w="3000"/>
        <w:gridCol w:w="950"/>
        <w:gridCol w:w="950"/>
        <w:gridCol w:w="950"/>
        <w:gridCol w:w="950"/>
        <w:gridCol w:w="950"/>
        <w:gridCol w:w="950"/>
        <w:gridCol w:w="950"/>
      </w:tblGrid>
      <w:tr>
        <w:trPr>
          <w:tblHeader/>
          <w:jc w:val="center"/>
        </w:trPr>
        <w:tc>
          <w:tcPr>
            <w:tcW w:w="30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Outcome</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Mean</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SD</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2.5%</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25%</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Median</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75%</w:t>
            </w:r>
          </w:p>
        </w:tc>
        <w:tc>
          <w:tcPr>
            <w:tcW w:w="9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97.5%</w:t>
            </w:r>
          </w:p>
        </w:tc>
      </w:tr>
      <w:tr>
        <w:trPr>
          <w:jc w:val="center"/>
        </w:trPr>
        <w:tc>
          <w:tcPr>
            <w:tcW w:w="3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Youth non-employment rate</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0.546</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0.227</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0.453</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0.558</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0.662</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0.795</w:t>
            </w:r>
          </w:p>
        </w:tc>
      </w:tr>
      <w:tr>
        <w:trPr>
          <w:jc w:val="center"/>
        </w:trPr>
        <w:tc>
          <w:tcPr>
            <w:tcW w:w="3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Mean transition duration (yr)</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16.06</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14.86</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1.90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5.88</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11.04</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21.21</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57.28</w:t>
            </w:r>
          </w:p>
        </w:tc>
      </w:tr>
      <w:tr>
        <w:trPr>
          <w:jc w:val="center"/>
        </w:trPr>
        <w:tc>
          <w:tcPr>
            <w:tcW w:w="30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Slow-employment share of entrants</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0.560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0.147</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0.174</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0.480</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0.579</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0.664</w:t>
            </w:r>
          </w:p>
        </w:tc>
        <w:tc>
          <w:tcPr>
            <w:tcW w:w="9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0.779</w:t>
            </w:r>
          </w:p>
        </w:tc>
      </w:tr>
      <w:tr>
        <w:trPr>
          <w:jc w:val="center"/>
        </w:trPr>
        <w:tc>
          <w:tcPr>
            <w:tcW w:w="30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Vertical mismatch share</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0.438</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0.067</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0.317</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0.384</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0.441</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0.492</w:t>
            </w:r>
          </w:p>
        </w:tc>
        <w:tc>
          <w:tcPr>
            <w:tcW w:w="9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0.555</w:t>
            </w:r>
          </w:p>
        </w:tc>
      </w:tr>
    </w:tbl>
    <w:p>
      <w:pPr>
        <w:keepNext/>
        <w:spacing w:before="160" w:after="40"/>
      </w:pPr>
      <w:r>
        <w:rPr>
          <w:rFonts w:ascii="Palatino Linotype" w:hAnsi="Palatino Linotype" w:eastAsia="Palatino Linotype"/>
          <w:b/>
          <w:i w:val="0"/>
          <w:sz w:val="17"/>
        </w:rPr>
        <w:t xml:space="preserve">Table A2. </w:t>
      </w:r>
      <w:r>
        <w:rPr>
          <w:rFonts w:ascii="Palatino Linotype" w:hAnsi="Palatino Linotype" w:eastAsia="Palatino Linotype"/>
          <w:b w:val="0"/>
          <w:i w:val="0"/>
          <w:sz w:val="17"/>
        </w:rPr>
        <w:t>Remaining coefficients of the logistic meta-model of trap risk.</w:t>
      </w:r>
    </w:p>
    <w:tbl>
      <w:tblPr>
        <w:tblW w:w="0" w:type="auto"/>
        <w:jc w:val="center"/>
        <w:tblLayout w:type="fixed"/>
        <w:tblCellMar>
          <w:top w:w="0" w:type="dxa"/>
          <w:left w:w="40" w:type="dxa"/>
          <w:bottom w:w="0" w:type="dxa"/>
          <w:right w:w="40" w:type="dxa"/>
        </w:tblCellMar>
      </w:tblPr>
      <w:tblGrid>
        <w:gridCol w:w="3600"/>
        <w:gridCol w:w="1400"/>
        <w:gridCol w:w="1000"/>
        <w:gridCol w:w="1000"/>
        <w:gridCol w:w="1000"/>
        <w:gridCol w:w="1650"/>
      </w:tblGrid>
      <w:tr>
        <w:trPr>
          <w:tblHeader/>
          <w:jc w:val="center"/>
        </w:trPr>
        <w:tc>
          <w:tcPr>
            <w:tcW w:w="36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Parameter</w:t>
            </w:r>
          </w:p>
        </w:tc>
        <w:tc>
          <w:tcPr>
            <w:tcW w:w="14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Coefficient</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SE</w:t>
            </w:r>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z</m:t>
              </m:r>
            </m:oMath>
          </w:p>
        </w:tc>
        <w:tc>
          <w:tcPr>
            <w:tcW w:w="1000" w:type="dxa"/>
            <w:tcBorders>
              <w:top w:val="single" w:color="000000" w:sz="8" w:space="0"/>
              <w:left w:val="nil"/>
              <w:bottom w:val="single" w:color="000000" w:sz="6" w:space="0"/>
              <w:right w:val="nil"/>
            </w:tcBorders>
          </w:tcPr>
          <w:p>
            <w:pPr>
              <w:spacing w:before="0" w:after="0" w:line="240" w:lineRule="auto"/>
              <w:ind w:left="0"/>
              <w:jc w:val="center"/>
              <w:rPr>
                <w:sz w:val="19"/>
              </w:rPr>
            </w:pPr>
            <m:oMath>
              <m:r>
                <m:rPr/>
                <m:t>p</m:t>
              </m:r>
            </m:oMath>
          </w:p>
        </w:tc>
        <w:tc>
          <w:tcPr>
            <w:tcW w:w="165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Odds ratio</w:t>
            </w:r>
          </w:p>
        </w:tc>
      </w:tr>
      <w:tr>
        <w:trPr>
          <w:jc w:val="center"/>
        </w:trPr>
        <w:tc>
          <w:tcPr>
            <w:tcW w:w="3600" w:type="dxa"/>
            <w:tcBorders>
              <w:top w:val="nil"/>
              <w:left w:val="nil"/>
              <w:bottom w:val="nil"/>
              <w:right w:val="nil"/>
            </w:tcBorders>
          </w:tcPr>
          <w:p>
            <w:pPr>
              <w:spacing w:before="0" w:after="0" w:line="240" w:lineRule="auto"/>
              <w:ind w:left="0"/>
              <w:jc w:val="left"/>
              <w:rPr>
                <w:sz w:val="19"/>
              </w:rPr>
            </w:pPr>
            <m:oMath>
              <m:r>
                <m:rPr/>
                <m:t>φ</m:t>
              </m:r>
            </m:oMath>
            <w:r>
              <w:rPr>
                <w:rFonts w:ascii="Palatino Linotype" w:hAnsi="Palatino Linotype" w:eastAsia="Palatino Linotype"/>
                <w:b w:val="0"/>
                <w:i w:val="0"/>
                <w:sz w:val="16"/>
              </w:rPr>
              <w:t xml:space="preserve"> Vacancy elasticity to digitalisation</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−1.057</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0.163</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−6.46</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6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0.348</w:t>
            </w:r>
          </w:p>
        </w:tc>
      </w:tr>
      <w:tr>
        <w:trPr>
          <w:jc w:val="center"/>
        </w:trPr>
        <w:tc>
          <w:tcPr>
            <w:tcW w:w="3600" w:type="dxa"/>
            <w:tcBorders>
              <w:top w:val="nil"/>
              <w:left w:val="nil"/>
              <w:bottom w:val="nil"/>
              <w:right w:val="nil"/>
            </w:tcBorders>
          </w:tcPr>
          <w:p>
            <w:pPr>
              <w:spacing w:before="0" w:after="0" w:line="240" w:lineRule="auto"/>
              <w:ind w:left="0"/>
              <w:jc w:val="left"/>
              <w:rPr>
                <w:sz w:val="19"/>
              </w:rPr>
            </w:pPr>
            <m:oMath>
              <m:r>
                <m:rPr/>
                <m:t>\tau</m:t>
              </m:r>
            </m:oMath>
            <w:r>
              <w:rPr>
                <w:rFonts w:ascii="Palatino Linotype" w:hAnsi="Palatino Linotype" w:eastAsia="Palatino Linotype"/>
                <w:b w:val="0"/>
                <w:i w:val="0"/>
                <w:sz w:val="16"/>
              </w:rPr>
              <w:t xml:space="preserve"> Training intensity</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−0.616</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0.152</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−4.05</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&lt;0.001</w:t>
            </w:r>
          </w:p>
        </w:tc>
        <w:tc>
          <w:tcPr>
            <w:tcW w:w="16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0.540</w:t>
            </w:r>
          </w:p>
        </w:tc>
      </w:tr>
      <w:tr>
        <w:trPr>
          <w:jc w:val="center"/>
        </w:trPr>
        <w:tc>
          <w:tcPr>
            <w:tcW w:w="3600" w:type="dxa"/>
            <w:tcBorders>
              <w:top w:val="nil"/>
              <w:left w:val="nil"/>
              <w:bottom w:val="nil"/>
              <w:right w:val="nil"/>
            </w:tcBorders>
          </w:tcPr>
          <w:p>
            <w:pPr>
              <w:spacing w:before="0" w:after="0" w:line="240" w:lineRule="auto"/>
              <w:ind w:left="0"/>
              <w:jc w:val="left"/>
              <w:rPr>
                <w:sz w:val="19"/>
              </w:rPr>
            </w:pPr>
            <m:oMath>
              <m:r>
                <m:rPr/>
                <m:t>λ</m:t>
              </m:r>
            </m:oMath>
            <w:r>
              <w:rPr>
                <w:rFonts w:ascii="Palatino Linotype" w:hAnsi="Palatino Linotype" w:eastAsia="Palatino Linotype"/>
                <w:b w:val="0"/>
                <w:i w:val="0"/>
                <w:sz w:val="16"/>
              </w:rPr>
              <w:t xml:space="preserve"> Aspiration adjustment speed</w:t>
            </w:r>
          </w:p>
        </w:tc>
        <w:tc>
          <w:tcPr>
            <w:tcW w:w="14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−0.484</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0.150</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−3.23</w:t>
            </w:r>
          </w:p>
        </w:tc>
        <w:tc>
          <w:tcPr>
            <w:tcW w:w="10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65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0.617</w:t>
            </w:r>
          </w:p>
        </w:tc>
      </w:tr>
      <w:tr>
        <w:trPr>
          <w:jc w:val="center"/>
        </w:trPr>
        <w:tc>
          <w:tcPr>
            <w:tcW w:w="3600" w:type="dxa"/>
            <w:tcBorders>
              <w:top w:val="nil"/>
              <w:left w:val="nil"/>
              <w:bottom w:val="single" w:color="000000" w:sz="8" w:space="0"/>
              <w:right w:val="nil"/>
            </w:tcBorders>
          </w:tcPr>
          <w:p>
            <w:pPr>
              <w:spacing w:before="0" w:after="0" w:line="240" w:lineRule="auto"/>
              <w:ind w:left="0"/>
              <w:jc w:val="left"/>
              <w:rPr>
                <w:sz w:val="19"/>
              </w:rPr>
            </w:pPr>
            <m:oMath>
              <m:r>
                <m:rPr/>
                <m:t>\chi</m:t>
              </m:r>
            </m:oMath>
            <w:r>
              <w:rPr>
                <w:rFonts w:ascii="Palatino Linotype" w:hAnsi="Palatino Linotype" w:eastAsia="Palatino Linotype"/>
                <w:b w:val="0"/>
                <w:i w:val="0"/>
                <w:sz w:val="16"/>
              </w:rPr>
              <w:t xml:space="preserve"> Skill retention while queueing</w:t>
            </w:r>
          </w:p>
        </w:tc>
        <w:tc>
          <w:tcPr>
            <w:tcW w:w="14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−0.473</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0.148</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−3.20</w:t>
            </w:r>
          </w:p>
        </w:tc>
        <w:tc>
          <w:tcPr>
            <w:tcW w:w="10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0.001</w:t>
            </w:r>
          </w:p>
        </w:tc>
        <w:tc>
          <w:tcPr>
            <w:tcW w:w="165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0.623</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Coefficients are per standard deviation of the corresponding prior; signs are as expected but the magnitudes are an order of magnitude smaller than those of the dominant parameters in Table 9.</w:t>
      </w:r>
    </w:p>
    <w:p>
      <w:pPr>
        <w:keepNext/>
        <w:spacing w:before="160" w:after="40"/>
      </w:pPr>
      <w:r>
        <w:rPr>
          <w:rFonts w:ascii="Palatino Linotype" w:hAnsi="Palatino Linotype" w:eastAsia="Palatino Linotype"/>
          <w:b/>
          <w:i w:val="0"/>
          <w:sz w:val="17"/>
        </w:rPr>
        <w:t xml:space="preserve">Table A3. </w:t>
      </w:r>
      <w:r>
        <w:rPr>
          <w:rFonts w:ascii="Palatino Linotype" w:hAnsi="Palatino Linotype" w:eastAsia="Palatino Linotype"/>
          <w:b w:val="0"/>
          <w:i w:val="0"/>
          <w:sz w:val="17"/>
        </w:rPr>
        <w:t>Principal splits of the cross-validated classification tree for trap risk.</w:t>
      </w:r>
    </w:p>
    <w:tbl>
      <w:tblPr>
        <w:tblW w:w="0" w:type="auto"/>
        <w:jc w:val="center"/>
        <w:tblLayout w:type="fixed"/>
        <w:tblCellMar>
          <w:top w:w="0" w:type="dxa"/>
          <w:left w:w="40" w:type="dxa"/>
          <w:bottom w:w="0" w:type="dxa"/>
          <w:right w:w="40" w:type="dxa"/>
        </w:tblCellMar>
      </w:tblPr>
      <w:tblGrid>
        <w:gridCol w:w="1300"/>
        <w:gridCol w:w="4300"/>
        <w:gridCol w:w="1600"/>
        <w:gridCol w:w="2440"/>
      </w:tblGrid>
      <w:tr>
        <w:trPr>
          <w:tblHeader/>
          <w:jc w:val="center"/>
        </w:trPr>
        <w:tc>
          <w:tcPr>
            <w:tcW w:w="1300" w:type="dxa"/>
            <w:tcBorders>
              <w:top w:val="single" w:color="000000" w:sz="8" w:space="0"/>
              <w:left w:val="nil"/>
              <w:bottom w:val="single" w:color="000000" w:sz="6" w:space="0"/>
              <w:right w:val="nil"/>
            </w:tcBorders>
          </w:tcPr>
          <w:p>
            <w:pPr>
              <w:spacing w:before="0" w:after="0" w:line="240" w:lineRule="auto"/>
              <w:ind w:left="0"/>
              <w:jc w:val="left"/>
              <w:rPr>
                <w:sz w:val="19"/>
              </w:rPr>
            </w:pPr>
            <w:r>
              <w:rPr>
                <w:rFonts w:ascii="Palatino Linotype" w:hAnsi="Palatino Linotype" w:eastAsia="Palatino Linotype"/>
                <w:b/>
                <w:i w:val="0"/>
                <w:sz w:val="16"/>
              </w:rPr>
              <w:t>Depth</w:t>
            </w:r>
          </w:p>
        </w:tc>
        <w:tc>
          <w:tcPr>
            <w:tcW w:w="43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Splitting parameter</w:t>
            </w:r>
          </w:p>
        </w:tc>
        <w:tc>
          <w:tcPr>
            <w:tcW w:w="160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Threshold</w:t>
            </w:r>
          </w:p>
        </w:tc>
        <w:tc>
          <w:tcPr>
            <w:tcW w:w="2440" w:type="dxa"/>
            <w:tcBorders>
              <w:top w:val="single" w:color="000000" w:sz="8" w:space="0"/>
              <w:left w:val="nil"/>
              <w:bottom w:val="single" w:color="000000" w:sz="6" w:space="0"/>
              <w:right w:val="nil"/>
            </w:tcBorders>
          </w:tcPr>
          <w:p>
            <w:pPr>
              <w:spacing w:before="0" w:after="0" w:line="240" w:lineRule="auto"/>
              <w:ind w:left="0"/>
              <w:jc w:val="center"/>
              <w:rPr>
                <w:sz w:val="19"/>
              </w:rPr>
            </w:pPr>
            <w:r>
              <w:rPr>
                <w:rFonts w:ascii="Palatino Linotype" w:hAnsi="Palatino Linotype" w:eastAsia="Palatino Linotype"/>
                <w:b/>
                <w:i w:val="0"/>
                <w:sz w:val="16"/>
              </w:rPr>
              <w:t>Observations at the node</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1 (root)</w:t>
            </w:r>
          </w:p>
        </w:tc>
        <w:tc>
          <w:tcPr>
            <w:tcW w:w="4300" w:type="dxa"/>
            <w:tcBorders>
              <w:top w:val="nil"/>
              <w:left w:val="nil"/>
              <w:bottom w:val="nil"/>
              <w:right w:val="nil"/>
            </w:tcBorders>
          </w:tcPr>
          <w:p>
            <w:pPr>
              <w:spacing w:before="0" w:after="0" w:line="240" w:lineRule="auto"/>
              <w:ind w:left="0"/>
              <w:jc w:val="center"/>
              <w:rPr>
                <w:sz w:val="19"/>
              </w:rPr>
            </w:pPr>
            <m:oMath>
              <m:r>
                <m:rPr/>
                <m:t>κ</m:t>
              </m:r>
            </m:oMath>
            <w:r>
              <w:rPr>
                <w:rFonts w:ascii="Palatino Linotype" w:hAnsi="Palatino Linotype" w:eastAsia="Palatino Linotype"/>
                <w:b w:val="0"/>
                <w:i w:val="0"/>
                <w:sz w:val="16"/>
              </w:rPr>
              <w:t xml:space="preserve"> Threshold sensitivity</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1.456</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4096</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w:t>
            </w:r>
          </w:p>
        </w:tc>
        <w:tc>
          <w:tcPr>
            <w:tcW w:w="4300" w:type="dxa"/>
            <w:tcBorders>
              <w:top w:val="nil"/>
              <w:left w:val="nil"/>
              <w:bottom w:val="nil"/>
              <w:right w:val="nil"/>
            </w:tcBorders>
          </w:tcPr>
          <w:p>
            <w:pPr>
              <w:spacing w:before="0" w:after="0" w:line="240" w:lineRule="auto"/>
              <w:ind w:left="0"/>
              <w:jc w:val="center"/>
              <w:rPr>
                <w:sz w:val="19"/>
              </w:rPr>
            </w:pPr>
            <m:oMath>
              <m:r>
                <m:rPr/>
                <m:t>\varepsilon</m:t>
              </m:r>
            </m:oMath>
            <w:r>
              <w:rPr>
                <w:rFonts w:ascii="Palatino Linotype" w:hAnsi="Palatino Linotype" w:eastAsia="Palatino Linotype"/>
                <w:b w:val="0"/>
                <w:i w:val="0"/>
                <w:sz w:val="16"/>
              </w:rPr>
              <w:t xml:space="preserve"> Probability-weighting curvature</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0.526</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859</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2</w:t>
            </w:r>
          </w:p>
        </w:tc>
        <w:tc>
          <w:tcPr>
            <w:tcW w:w="4300" w:type="dxa"/>
            <w:tcBorders>
              <w:top w:val="nil"/>
              <w:left w:val="nil"/>
              <w:bottom w:val="nil"/>
              <w:right w:val="nil"/>
            </w:tcBorders>
          </w:tcPr>
          <w:p>
            <w:pPr>
              <w:spacing w:before="0" w:after="0" w:line="240" w:lineRule="auto"/>
              <w:ind w:left="0"/>
              <w:jc w:val="center"/>
              <w:rPr>
                <w:sz w:val="19"/>
              </w:rPr>
            </w:pPr>
            <m:oMath>
              <m:r>
                <m:rPr/>
                <m:t>κ</m:t>
              </m:r>
            </m:oMath>
            <w:r>
              <w:rPr>
                <w:rFonts w:ascii="Palatino Linotype" w:hAnsi="Palatino Linotype" w:eastAsia="Palatino Linotype"/>
                <w:b w:val="0"/>
                <w:i w:val="0"/>
                <w:sz w:val="16"/>
              </w:rPr>
              <w:t xml:space="preserve"> Threshold sensitivity</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1.758</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3237</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3</w:t>
            </w:r>
          </w:p>
        </w:tc>
        <w:tc>
          <w:tcPr>
            <w:tcW w:w="4300" w:type="dxa"/>
            <w:tcBorders>
              <w:top w:val="nil"/>
              <w:left w:val="nil"/>
              <w:bottom w:val="nil"/>
              <w:right w:val="nil"/>
            </w:tcBorders>
          </w:tcPr>
          <w:p>
            <w:pPr>
              <w:spacing w:before="0" w:after="0" w:line="240" w:lineRule="auto"/>
              <w:ind w:left="0"/>
              <w:jc w:val="center"/>
              <w:rPr>
                <w:sz w:val="19"/>
              </w:rPr>
            </w:pPr>
            <m:oMath>
              <m:sSub>
                <m:sSubPr/>
                <m:e>
                  <m:r>
                    <m:rPr/>
                    <m:t>κ</m:t>
                  </m:r>
                </m:e>
                <m:sub>
                  <m:r>
                    <m:rPr/>
                    <m:t>2</m:t>
                  </m:r>
                </m:sub>
              </m:sSub>
            </m:oMath>
            <w:r>
              <w:rPr>
                <w:rFonts w:ascii="Palatino Linotype" w:hAnsi="Palatino Linotype" w:eastAsia="Palatino Linotype"/>
                <w:b w:val="0"/>
                <w:i w:val="0"/>
                <w:sz w:val="16"/>
              </w:rPr>
              <w:t xml:space="preserve"> Endogenous escalation</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0.106</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408</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3</w:t>
            </w:r>
          </w:p>
        </w:tc>
        <w:tc>
          <w:tcPr>
            <w:tcW w:w="4300" w:type="dxa"/>
            <w:tcBorders>
              <w:top w:val="nil"/>
              <w:left w:val="nil"/>
              <w:bottom w:val="nil"/>
              <w:right w:val="nil"/>
            </w:tcBorders>
          </w:tcPr>
          <w:p>
            <w:pPr>
              <w:spacing w:before="0" w:after="0" w:line="240" w:lineRule="auto"/>
              <w:ind w:left="0"/>
              <w:jc w:val="center"/>
              <w:rPr>
                <w:sz w:val="19"/>
              </w:rPr>
            </w:pPr>
            <m:oMath>
              <m:sSub>
                <m:sSubPr/>
                <m:e>
                  <m:r>
                    <m:rPr/>
                    <m:t>g</m:t>
                  </m:r>
                </m:e>
                <m:sub>
                  <m:r>
                    <m:rPr/>
                    <m:t>\Phi</m:t>
                  </m:r>
                </m:sub>
              </m:sSub>
            </m:oMath>
            <w:r>
              <w:rPr>
                <w:rFonts w:ascii="Palatino Linotype" w:hAnsi="Palatino Linotype" w:eastAsia="Palatino Linotype"/>
                <w:b w:val="0"/>
                <w:i w:val="0"/>
                <w:sz w:val="16"/>
              </w:rPr>
              <w:t xml:space="preserve"> Cohort growth</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0.054</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451</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4</w:t>
            </w:r>
          </w:p>
        </w:tc>
        <w:tc>
          <w:tcPr>
            <w:tcW w:w="4300" w:type="dxa"/>
            <w:tcBorders>
              <w:top w:val="nil"/>
              <w:left w:val="nil"/>
              <w:bottom w:val="nil"/>
              <w:right w:val="nil"/>
            </w:tcBorders>
          </w:tcPr>
          <w:p>
            <w:pPr>
              <w:spacing w:before="0" w:after="0" w:line="240" w:lineRule="auto"/>
              <w:ind w:left="0"/>
              <w:jc w:val="center"/>
              <w:rPr>
                <w:sz w:val="19"/>
              </w:rPr>
            </w:pPr>
            <m:oMath>
              <m:sSub>
                <m:sSubPr/>
                <m:e>
                  <m:r>
                    <m:rPr/>
                    <m:t>g</m:t>
                  </m:r>
                </m:e>
                <m:sub>
                  <m:r>
                    <m:rPr/>
                    <m:t>\Phi</m:t>
                  </m:r>
                </m:sub>
              </m:sSub>
            </m:oMath>
            <w:r>
              <w:rPr>
                <w:rFonts w:ascii="Palatino Linotype" w:hAnsi="Palatino Linotype" w:eastAsia="Palatino Linotype"/>
                <w:b w:val="0"/>
                <w:i w:val="0"/>
                <w:sz w:val="16"/>
              </w:rPr>
              <w:t xml:space="preserve"> Cohort growth</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0.047</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307</w:t>
            </w:r>
          </w:p>
        </w:tc>
      </w:tr>
      <w:tr>
        <w:trPr>
          <w:jc w:val="center"/>
        </w:trPr>
        <w:tc>
          <w:tcPr>
            <w:tcW w:w="1300" w:type="dxa"/>
            <w:tcBorders>
              <w:top w:val="nil"/>
              <w:left w:val="nil"/>
              <w:bottom w:val="nil"/>
              <w:right w:val="nil"/>
            </w:tcBorders>
          </w:tcPr>
          <w:p>
            <w:pPr>
              <w:spacing w:before="0" w:after="0" w:line="240" w:lineRule="auto"/>
              <w:ind w:left="0"/>
              <w:jc w:val="left"/>
              <w:rPr>
                <w:sz w:val="19"/>
              </w:rPr>
            </w:pPr>
            <w:r>
              <w:rPr>
                <w:rFonts w:ascii="Palatino Linotype" w:hAnsi="Palatino Linotype" w:eastAsia="Palatino Linotype"/>
                <w:b w:val="0"/>
                <w:i w:val="0"/>
                <w:sz w:val="16"/>
              </w:rPr>
              <w:t>4</w:t>
            </w:r>
          </w:p>
        </w:tc>
        <w:tc>
          <w:tcPr>
            <w:tcW w:w="4300" w:type="dxa"/>
            <w:tcBorders>
              <w:top w:val="nil"/>
              <w:left w:val="nil"/>
              <w:bottom w:val="nil"/>
              <w:right w:val="nil"/>
            </w:tcBorders>
          </w:tcPr>
          <w:p>
            <w:pPr>
              <w:spacing w:before="0" w:after="0" w:line="240" w:lineRule="auto"/>
              <w:ind w:left="0"/>
              <w:jc w:val="center"/>
              <w:rPr>
                <w:sz w:val="19"/>
              </w:rPr>
            </w:pPr>
            <m:oMath>
              <m:r>
                <m:rPr/>
                <m:t>\zeta</m:t>
              </m:r>
            </m:oMath>
            <w:r>
              <w:rPr>
                <w:rFonts w:ascii="Palatino Linotype" w:hAnsi="Palatino Linotype" w:eastAsia="Palatino Linotype"/>
                <w:b w:val="0"/>
                <w:i w:val="0"/>
                <w:sz w:val="16"/>
              </w:rPr>
              <w:t xml:space="preserve"> Aspiration anchoring</w:t>
            </w:r>
          </w:p>
        </w:tc>
        <w:tc>
          <w:tcPr>
            <w:tcW w:w="160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0.612</w:t>
            </w:r>
          </w:p>
        </w:tc>
        <w:tc>
          <w:tcPr>
            <w:tcW w:w="2440" w:type="dxa"/>
            <w:tcBorders>
              <w:top w:val="nil"/>
              <w:left w:val="nil"/>
              <w:bottom w:val="nil"/>
              <w:right w:val="nil"/>
            </w:tcBorders>
          </w:tcPr>
          <w:p>
            <w:pPr>
              <w:spacing w:before="0" w:after="0" w:line="240" w:lineRule="auto"/>
              <w:ind w:left="0"/>
              <w:jc w:val="center"/>
              <w:rPr>
                <w:sz w:val="19"/>
              </w:rPr>
            </w:pPr>
            <w:r>
              <w:rPr>
                <w:rFonts w:ascii="Palatino Linotype" w:hAnsi="Palatino Linotype" w:eastAsia="Palatino Linotype"/>
                <w:b w:val="0"/>
                <w:i w:val="0"/>
                <w:sz w:val="16"/>
              </w:rPr>
              <w:t>251</w:t>
            </w:r>
          </w:p>
        </w:tc>
      </w:tr>
      <w:tr>
        <w:trPr>
          <w:jc w:val="center"/>
        </w:trPr>
        <w:tc>
          <w:tcPr>
            <w:tcW w:w="1300" w:type="dxa"/>
            <w:tcBorders>
              <w:top w:val="nil"/>
              <w:left w:val="nil"/>
              <w:bottom w:val="single" w:color="000000" w:sz="8" w:space="0"/>
              <w:right w:val="nil"/>
            </w:tcBorders>
          </w:tcPr>
          <w:p>
            <w:pPr>
              <w:spacing w:before="0" w:after="0" w:line="240" w:lineRule="auto"/>
              <w:ind w:left="0"/>
              <w:jc w:val="left"/>
              <w:rPr>
                <w:sz w:val="19"/>
              </w:rPr>
            </w:pPr>
            <w:r>
              <w:rPr>
                <w:rFonts w:ascii="Palatino Linotype" w:hAnsi="Palatino Linotype" w:eastAsia="Palatino Linotype"/>
                <w:b w:val="0"/>
                <w:i w:val="0"/>
                <w:sz w:val="16"/>
              </w:rPr>
              <w:t>5</w:t>
            </w:r>
          </w:p>
        </w:tc>
        <w:tc>
          <w:tcPr>
            <w:tcW w:w="4300" w:type="dxa"/>
            <w:tcBorders>
              <w:top w:val="nil"/>
              <w:left w:val="nil"/>
              <w:bottom w:val="single" w:color="000000" w:sz="8" w:space="0"/>
              <w:right w:val="nil"/>
            </w:tcBorders>
          </w:tcPr>
          <w:p>
            <w:pPr>
              <w:spacing w:before="0" w:after="0" w:line="240" w:lineRule="auto"/>
              <w:ind w:left="0"/>
              <w:jc w:val="center"/>
              <w:rPr>
                <w:sz w:val="19"/>
              </w:rPr>
            </w:pPr>
            <m:oMath>
              <m:r>
                <m:rPr/>
                <m:t>\zeta</m:t>
              </m:r>
            </m:oMath>
            <w:r>
              <w:rPr>
                <w:rFonts w:ascii="Palatino Linotype" w:hAnsi="Palatino Linotype" w:eastAsia="Palatino Linotype"/>
                <w:b w:val="0"/>
                <w:i w:val="0"/>
                <w:sz w:val="16"/>
              </w:rPr>
              <w:t xml:space="preserve"> Aspiration anchoring</w:t>
            </w:r>
          </w:p>
        </w:tc>
        <w:tc>
          <w:tcPr>
            <w:tcW w:w="160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0.507</w:t>
            </w:r>
          </w:p>
        </w:tc>
        <w:tc>
          <w:tcPr>
            <w:tcW w:w="2440" w:type="dxa"/>
            <w:tcBorders>
              <w:top w:val="nil"/>
              <w:left w:val="nil"/>
              <w:bottom w:val="single" w:color="000000" w:sz="8" w:space="0"/>
              <w:right w:val="nil"/>
            </w:tcBorders>
          </w:tcPr>
          <w:p>
            <w:pPr>
              <w:spacing w:before="0" w:after="0" w:line="240" w:lineRule="auto"/>
              <w:ind w:left="0"/>
              <w:jc w:val="center"/>
              <w:rPr>
                <w:sz w:val="19"/>
              </w:rPr>
            </w:pPr>
            <w:r>
              <w:rPr>
                <w:rFonts w:ascii="Palatino Linotype" w:hAnsi="Palatino Linotype" w:eastAsia="Palatino Linotype"/>
                <w:b w:val="0"/>
                <w:i w:val="0"/>
                <w:sz w:val="16"/>
              </w:rPr>
              <w:t>200</w:t>
            </w:r>
          </w:p>
        </w:tc>
      </w:tr>
    </w:tbl>
    <w:p>
      <w:pPr>
        <w:spacing w:before="40" w:after="160"/>
        <w:jc w:val="both"/>
      </w:pPr>
      <w:r>
        <w:rPr>
          <w:rFonts w:ascii="Palatino Linotype" w:hAnsi="Palatino Linotype" w:eastAsia="Palatino Linotype"/>
          <w:b w:val="0"/>
          <w:i/>
          <w:sz w:val="14"/>
        </w:rPr>
        <w:t xml:space="preserve">Notes: </w:t>
      </w:r>
      <w:r>
        <w:rPr>
          <w:rFonts w:ascii="Palatino Linotype" w:hAnsi="Palatino Linotype" w:eastAsia="Palatino Linotype"/>
          <w:b w:val="0"/>
          <w:i w:val="0"/>
          <w:sz w:val="14"/>
        </w:rPr>
        <w:t xml:space="preserve">Cost-complexity penalty selected by five-fold cross-validated AUC; cross-validated AUC 0.923, fifteen terminal leaves. The calibrated value of </w:t>
      </w:r>
      <m:oMath>
        <m:r>
          <m:rPr/>
          <m:t>κ</m:t>
        </m:r>
      </m:oMath>
      <w:r>
        <w:rPr>
          <w:rFonts w:ascii="Palatino Linotype" w:hAnsi="Palatino Linotype" w:eastAsia="Palatino Linotype"/>
          <w:b w:val="0"/>
          <w:i w:val="0"/>
          <w:sz w:val="14"/>
        </w:rPr>
        <w:t xml:space="preserve"> = 1.855 lies above both </w:t>
      </w:r>
      <m:oMath>
        <m:r>
          <m:rPr/>
          <m:t>κ</m:t>
        </m:r>
      </m:oMath>
      <w:r>
        <w:rPr>
          <w:rFonts w:ascii="Palatino Linotype" w:hAnsi="Palatino Linotype" w:eastAsia="Palatino Linotype"/>
          <w:b w:val="0"/>
          <w:i w:val="0"/>
          <w:sz w:val="14"/>
        </w:rPr>
        <w:t xml:space="preserve"> splits, placing the estimated economy in the highest-risk region of the tree.</w:t>
      </w:r>
    </w:p>
    <w:p>
      <w:pPr>
        <w:keepNext/>
        <w:spacing w:before="200" w:after="80"/>
      </w:pPr>
      <w:r>
        <w:rPr>
          <w:rFonts w:ascii="Palatino Linotype" w:hAnsi="Palatino Linotype" w:eastAsia="Palatino Linotype"/>
          <w:b/>
          <w:i w:val="0"/>
          <w:sz w:val="24"/>
        </w:rPr>
        <w:t>References</w:t>
      </w:r>
    </w:p>
    <w:p>
      <w:pPr>
        <w:spacing w:after="20"/>
        <w:ind w:left="2920" w:hanging="312"/>
        <w:jc w:val="both"/>
      </w:pPr>
      <w:r>
        <w:rPr>
          <w:rFonts w:ascii="Palatino Linotype" w:hAnsi="Palatino Linotype" w:eastAsia="Palatino Linotype"/>
          <w:b w:val="0"/>
          <w:i w:val="0"/>
          <w:sz w:val="16"/>
        </w:rPr>
        <w:t>1. National Bureau of Statistics of China (NBS). Surveyed Urban Unemployment Rate of the Population Aged 16–24 Excluding Students; NBS: Beijing, China, 2026.</w:t>
      </w:r>
    </w:p>
    <w:p>
      <w:pPr>
        <w:spacing w:after="20"/>
        <w:ind w:left="2920" w:hanging="312"/>
        <w:jc w:val="both"/>
      </w:pPr>
      <w:r>
        <w:rPr>
          <w:rFonts w:ascii="Palatino Linotype" w:hAnsi="Palatino Linotype" w:eastAsia="Palatino Linotype"/>
          <w:b w:val="0"/>
          <w:i w:val="0"/>
          <w:sz w:val="16"/>
        </w:rPr>
        <w:t>2. Ministry of Education of China. Notice on the Employment and Entrepreneurship of 2026 National College Graduates; Ministry of Education: Beijing, China, 2025.</w:t>
      </w:r>
    </w:p>
    <w:p>
      <w:pPr>
        <w:spacing w:after="20"/>
        <w:ind w:left="2920" w:hanging="312"/>
        <w:jc w:val="both"/>
      </w:pPr>
      <w:r>
        <w:rPr>
          <w:rFonts w:ascii="Palatino Linotype" w:hAnsi="Palatino Linotype" w:eastAsia="Palatino Linotype"/>
          <w:b w:val="0"/>
          <w:i w:val="0"/>
          <w:sz w:val="16"/>
        </w:rPr>
        <w:t xml:space="preserve">3. Zhou, L.; Fan, J.; Ding, L.; Xu, Z.; Zhang, J. Can policy advantages be transformed into industrial advantages? Evidences from digital economy industry development in Zhejiang Province, China. </w:t>
      </w:r>
      <w:r>
        <w:rPr>
          <w:rFonts w:ascii="Palatino Linotype" w:hAnsi="Palatino Linotype" w:eastAsia="Palatino Linotype"/>
          <w:b w:val="0"/>
          <w:i/>
          <w:sz w:val="16"/>
        </w:rPr>
        <w:t xml:space="preserve">PLoS ONE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e0298138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 Wang, H.; Wang, H.; Guan, R. Digitalization of industries and labor mobility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87</w:t>
      </w:r>
      <w:r>
        <w:rPr>
          <w:rFonts w:ascii="Palatino Linotype" w:hAnsi="Palatino Linotype" w:eastAsia="Palatino Linotype"/>
          <w:b w:val="0"/>
          <w:i w:val="0"/>
          <w:sz w:val="16"/>
        </w:rPr>
        <w:t>, 102248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 Li, S.; Whalley, J.; Xing, C. China’s higher education expansion and unemployment of college graduates.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2014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567–582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 Ou, D.; Zhao, Z. Higher Education Expansion in China, 1999–2003: Impact on Graduate Employability.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30</w:t>
      </w:r>
      <w:r>
        <w:rPr>
          <w:rFonts w:ascii="Palatino Linotype" w:hAnsi="Palatino Linotype" w:eastAsia="Palatino Linotype"/>
          <w:b w:val="0"/>
          <w:i w:val="0"/>
          <w:sz w:val="16"/>
        </w:rPr>
        <w:t>, 117–141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7. McGuinness, S.; Pouliakas, K.; Redmond, P. Skills mismatch: Concepts, measurement and policy approaches. </w:t>
      </w:r>
      <w:r>
        <w:rPr>
          <w:rFonts w:ascii="Palatino Linotype" w:hAnsi="Palatino Linotype" w:eastAsia="Palatino Linotype"/>
          <w:b w:val="0"/>
          <w:i/>
          <w:sz w:val="16"/>
        </w:rPr>
        <w:t xml:space="preserve">J. Econ. Surv.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32</w:t>
      </w:r>
      <w:r>
        <w:rPr>
          <w:rFonts w:ascii="Palatino Linotype" w:hAnsi="Palatino Linotype" w:eastAsia="Palatino Linotype"/>
          <w:b w:val="0"/>
          <w:i w:val="0"/>
          <w:sz w:val="16"/>
        </w:rPr>
        <w:t>, 985–1015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8. Zheng, Y.; Zhang, X.; Zhu, Y. Overeducation, major mismatch, and return to higher education tiers: Evidence from novel data source of a major online recruitment platform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66</w:t>
      </w:r>
      <w:r>
        <w:rPr>
          <w:rFonts w:ascii="Palatino Linotype" w:hAnsi="Palatino Linotype" w:eastAsia="Palatino Linotype"/>
          <w:b w:val="0"/>
          <w:i w:val="0"/>
          <w:sz w:val="16"/>
        </w:rPr>
        <w:t>, 101584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9. Rikala, P.; Braun, G.; Järvinen, M.; Stahre, J.; Hämäläinen, R. Understanding and measuring skill gaps in Industry 4.0—A review.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201</w:t>
      </w:r>
      <w:r>
        <w:rPr>
          <w:rFonts w:ascii="Palatino Linotype" w:hAnsi="Palatino Linotype" w:eastAsia="Palatino Linotype"/>
          <w:b w:val="0"/>
          <w:i w:val="0"/>
          <w:sz w:val="16"/>
        </w:rPr>
        <w:t>, 123206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10. Rahmani, H.; Groot, W. Risk factors of being a youth not in education, employment or training (NEET): A scoping review. </w:t>
      </w:r>
      <w:r>
        <w:rPr>
          <w:rFonts w:ascii="Palatino Linotype" w:hAnsi="Palatino Linotype" w:eastAsia="Palatino Linotype"/>
          <w:b w:val="0"/>
          <w:i/>
          <w:sz w:val="16"/>
        </w:rPr>
        <w:t xml:space="preserve">Int. J. Educ. Res.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120</w:t>
      </w:r>
      <w:r>
        <w:rPr>
          <w:rFonts w:ascii="Palatino Linotype" w:hAnsi="Palatino Linotype" w:eastAsia="Palatino Linotype"/>
          <w:b w:val="0"/>
          <w:i w:val="0"/>
          <w:sz w:val="16"/>
        </w:rPr>
        <w:t>, 102198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11. Rahmani, H.; Groot, W.; Rahmani, A.M. Unravelling the NEET phenomenon: A systematic literature review and meta-analysis of risk factors for youth not in education, employment, or training. </w:t>
      </w:r>
      <w:r>
        <w:rPr>
          <w:rFonts w:ascii="Palatino Linotype" w:hAnsi="Palatino Linotype" w:eastAsia="Palatino Linotype"/>
          <w:b w:val="0"/>
          <w:i/>
          <w:sz w:val="16"/>
        </w:rPr>
        <w:t xml:space="preserve">Int. J. Adolesc. Youth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29</w:t>
      </w:r>
      <w:r>
        <w:rPr>
          <w:rFonts w:ascii="Palatino Linotype" w:hAnsi="Palatino Linotype" w:eastAsia="Palatino Linotype"/>
          <w:b w:val="0"/>
          <w:i w:val="0"/>
          <w:sz w:val="16"/>
        </w:rPr>
        <w:t>, 2331576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12. Grigorescu, A.; Alistar, T.V.; Lincaru, C. Digital Skills, Ethics, and Integrity—The Impact of Risky Internet Use, a Multivariate and Spatial Approach to Understanding NEET Vulnerability.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649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13. Karma, E. NEET Youth in Central and Eastern European Countries: A Panel Model Approach. </w:t>
      </w:r>
      <w:r>
        <w:rPr>
          <w:rFonts w:ascii="Palatino Linotype" w:hAnsi="Palatino Linotype" w:eastAsia="Palatino Linotype"/>
          <w:b w:val="0"/>
          <w:i/>
          <w:sz w:val="16"/>
        </w:rPr>
        <w:t xml:space="preserve">J. Youth Stud.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1458–1475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14. O’Higgins, N.; Brockie, K. The Youth Guarantee, Vulnerability, and Social Exclusion Among NEETs in Southern Europe. </w:t>
      </w:r>
      <w:r>
        <w:rPr>
          <w:rFonts w:ascii="Palatino Linotype" w:hAnsi="Palatino Linotype" w:eastAsia="Palatino Linotype"/>
          <w:b w:val="0"/>
          <w:i/>
          <w:sz w:val="16"/>
        </w:rPr>
        <w:t xml:space="preserve">Polit. Gov.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7469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15. Forrester, J.W. Industrial Dynamics; MIT Press: Cambridge, MA, USA, 1961.</w:t>
      </w:r>
    </w:p>
    <w:p>
      <w:pPr>
        <w:spacing w:after="20"/>
        <w:ind w:left="2920" w:hanging="312"/>
        <w:jc w:val="both"/>
      </w:pPr>
      <w:r>
        <w:rPr>
          <w:rFonts w:ascii="Palatino Linotype" w:hAnsi="Palatino Linotype" w:eastAsia="Palatino Linotype"/>
          <w:b w:val="0"/>
          <w:i w:val="0"/>
          <w:sz w:val="16"/>
        </w:rPr>
        <w:t>16. Sterman, J.D. Business Dynamics: Systems Thinking and Modeling for a Complex World; Irwin/McGraw-Hill: Boston, MA, USA, 2000.</w:t>
      </w:r>
    </w:p>
    <w:p>
      <w:pPr>
        <w:spacing w:after="20"/>
        <w:ind w:left="2920" w:hanging="312"/>
        <w:jc w:val="both"/>
      </w:pPr>
      <w:r>
        <w:rPr>
          <w:rFonts w:ascii="Palatino Linotype" w:hAnsi="Palatino Linotype" w:eastAsia="Palatino Linotype"/>
          <w:b w:val="0"/>
          <w:i w:val="0"/>
          <w:sz w:val="16"/>
        </w:rPr>
        <w:t xml:space="preserve">17. Ghaffarzadegan, N.; Lyneis, J.; Richardson, G.P. How small system dynamics models can help the public policy process.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2011</w:t>
      </w:r>
      <w:r>
        <w:rPr>
          <w:rFonts w:ascii="Palatino Linotype" w:hAnsi="Palatino Linotype" w:eastAsia="Palatino Linotype"/>
          <w:b w:val="0"/>
          <w:i w:val="0"/>
          <w:sz w:val="16"/>
        </w:rPr>
        <w:t xml:space="preserve">, </w:t>
      </w:r>
      <w:r>
        <w:rPr>
          <w:rFonts w:ascii="Palatino Linotype" w:hAnsi="Palatino Linotype" w:eastAsia="Palatino Linotype"/>
          <w:b w:val="0"/>
          <w:i/>
          <w:sz w:val="16"/>
        </w:rPr>
        <w:t>27</w:t>
      </w:r>
      <w:r>
        <w:rPr>
          <w:rFonts w:ascii="Palatino Linotype" w:hAnsi="Palatino Linotype" w:eastAsia="Palatino Linotype"/>
          <w:b w:val="0"/>
          <w:i w:val="0"/>
          <w:sz w:val="16"/>
        </w:rPr>
        <w:t>, 22–44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18. Ford, D.N. A behavioral approach to feedback loop dominance analysis.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1999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w:t>
      </w:r>
      <w:r>
        <w:rPr>
          <w:rFonts w:ascii="Palatino Linotype" w:hAnsi="Palatino Linotype" w:eastAsia="Palatino Linotype"/>
          <w:b w:val="0"/>
          <w:i w:val="0"/>
          <w:sz w:val="16"/>
        </w:rPr>
        <w:t>, 3–36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19. Sobol’, I.M. Global sensitivity indices for nonlinear mathematical models and their Monte Carlo estimates. </w:t>
      </w:r>
      <w:r>
        <w:rPr>
          <w:rFonts w:ascii="Palatino Linotype" w:hAnsi="Palatino Linotype" w:eastAsia="Palatino Linotype"/>
          <w:b w:val="0"/>
          <w:i/>
          <w:sz w:val="16"/>
        </w:rPr>
        <w:t xml:space="preserve">Math. Comput. Simul.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55</w:t>
      </w:r>
      <w:r>
        <w:rPr>
          <w:rFonts w:ascii="Palatino Linotype" w:hAnsi="Palatino Linotype" w:eastAsia="Palatino Linotype"/>
          <w:b w:val="0"/>
          <w:i w:val="0"/>
          <w:sz w:val="16"/>
        </w:rPr>
        <w:t>, 271–280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20. Saltelli, A.; Annoni, P.; Azzini, I.; Campolongo, F.; Ratto, M.; Tarantola, S. Variance based sensitivity analysis of model output. Design and estimator for the total sensitivity index. </w:t>
      </w:r>
      <w:r>
        <w:rPr>
          <w:rFonts w:ascii="Palatino Linotype" w:hAnsi="Palatino Linotype" w:eastAsia="Palatino Linotype"/>
          <w:b w:val="0"/>
          <w:i/>
          <w:sz w:val="16"/>
        </w:rPr>
        <w:t xml:space="preserve">Comput. Phys. Commun. </w:t>
      </w:r>
      <w:r>
        <w:rPr>
          <w:rFonts w:ascii="Palatino Linotype" w:hAnsi="Palatino Linotype" w:eastAsia="Palatino Linotype"/>
          <w:b/>
          <w:i w:val="0"/>
          <w:sz w:val="16"/>
        </w:rPr>
        <w:t>2010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181</w:t>
      </w:r>
      <w:r>
        <w:rPr>
          <w:rFonts w:ascii="Palatino Linotype" w:hAnsi="Palatino Linotype" w:eastAsia="Palatino Linotype"/>
          <w:b w:val="0"/>
          <w:i w:val="0"/>
          <w:sz w:val="16"/>
        </w:rPr>
        <w:t>, 259–270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21. Chacón-Cuberos, R.; Rodríguez-Sabiote, C.; Expósito-López, J.; Olmedo-Moreno, E.; Serrano-García, J.; Hortas-Aliaga, O. Development of an Employability Thinking Scale for Use with Young People in Training: Exploratory and Confirmatory Factor Analysis.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479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22. Marczuk, A. Literature review of comparative school-to-work research: How institutional settings shape individual labour market outcomes. </w:t>
      </w:r>
      <w:r>
        <w:rPr>
          <w:rFonts w:ascii="Palatino Linotype" w:hAnsi="Palatino Linotype" w:eastAsia="Palatino Linotype"/>
          <w:b w:val="0"/>
          <w:i/>
          <w:sz w:val="16"/>
        </w:rPr>
        <w:t xml:space="preserve">J. Labour Mark. Res.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58</w:t>
      </w:r>
      <w:r>
        <w:rPr>
          <w:rFonts w:ascii="Palatino Linotype" w:hAnsi="Palatino Linotype" w:eastAsia="Palatino Linotype"/>
          <w:b w:val="0"/>
          <w:i w:val="0"/>
          <w:sz w:val="16"/>
        </w:rPr>
        <w:t>, 19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23. Organisation for Economic Co-operation and Development (OECD). Education at a Glance 2025: OECD Indicators; OECD Publishing: Paris, France, 2025.</w:t>
      </w:r>
    </w:p>
    <w:p>
      <w:pPr>
        <w:spacing w:after="20"/>
        <w:ind w:left="2920" w:hanging="312"/>
        <w:jc w:val="both"/>
      </w:pPr>
      <w:r>
        <w:rPr>
          <w:rFonts w:ascii="Palatino Linotype" w:hAnsi="Palatino Linotype" w:eastAsia="Palatino Linotype"/>
          <w:b w:val="0"/>
          <w:i w:val="0"/>
          <w:sz w:val="16"/>
        </w:rPr>
        <w:t xml:space="preserve">24. Gomes, A.; Dias, J.G. Digital Divide in the European Union: A Typology of EU Citizens.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176</w:t>
      </w:r>
      <w:r>
        <w:rPr>
          <w:rFonts w:ascii="Palatino Linotype" w:hAnsi="Palatino Linotype" w:eastAsia="Palatino Linotype"/>
          <w:b w:val="0"/>
          <w:i w:val="0"/>
          <w:sz w:val="16"/>
        </w:rPr>
        <w:t>, 149–172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25. Sofrankova, B.; Sira, E.; Horvathova, J.; Mokrisova, M. Digital Skills and Digital Transformation Performance in the EU-27: A DESI-Based Nonparametric and Panel Data Study. </w:t>
      </w:r>
      <w:r>
        <w:rPr>
          <w:rFonts w:ascii="Palatino Linotype" w:hAnsi="Palatino Linotype" w:eastAsia="Palatino Linotype"/>
          <w:b w:val="0"/>
          <w:i/>
          <w:sz w:val="16"/>
        </w:rPr>
        <w:t xml:space="preserve">Economies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315</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26. Bankins, S.; Jooss, S.; Restubog, S.L.D.; Marrone, M.; Ocampo, A.C.; Shoss, M. Navigating career stages in the age of artificial intelligence: A systematic interdisciplinary review and agenda for future research.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153</w:t>
      </w:r>
      <w:r>
        <w:rPr>
          <w:rFonts w:ascii="Palatino Linotype" w:hAnsi="Palatino Linotype" w:eastAsia="Palatino Linotype"/>
          <w:b w:val="0"/>
          <w:i w:val="0"/>
          <w:sz w:val="16"/>
        </w:rPr>
        <w:t>, 104011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27. Battisti, M.; Dustmann, C.; Schönberg, U. Technological and Organizational Change and the Careers of Workers.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21</w:t>
      </w:r>
      <w:r>
        <w:rPr>
          <w:rFonts w:ascii="Palatino Linotype" w:hAnsi="Palatino Linotype" w:eastAsia="Palatino Linotype"/>
          <w:b w:val="0"/>
          <w:i w:val="0"/>
          <w:sz w:val="16"/>
        </w:rPr>
        <w:t>, 1551–1594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28. De Vos, A.; Van der Heijden, B.I.J.M.; Akkermans, J. Sustainable careers: Towards a conceptual model. </w:t>
      </w:r>
      <w:r>
        <w:rPr>
          <w:rFonts w:ascii="Palatino Linotype" w:hAnsi="Palatino Linotype" w:eastAsia="Palatino Linotype"/>
          <w:b w:val="0"/>
          <w:i/>
          <w:sz w:val="16"/>
        </w:rPr>
        <w:t xml:space="preserve">J. Vocat. Behav. </w:t>
      </w:r>
      <w:r>
        <w:rPr>
          <w:rFonts w:ascii="Palatino Linotype" w:hAnsi="Palatino Linotype" w:eastAsia="Palatino Linotype"/>
          <w:b/>
          <w:i w:val="0"/>
          <w:sz w:val="16"/>
        </w:rPr>
        <w:t>2020</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117</w:t>
      </w:r>
      <w:r>
        <w:rPr>
          <w:rFonts w:ascii="Palatino Linotype" w:hAnsi="Palatino Linotype" w:eastAsia="Palatino Linotype"/>
          <w:b w:val="0"/>
          <w:i w:val="0"/>
          <w:sz w:val="16"/>
        </w:rPr>
        <w:t>, 103196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29. Tleppayev, A.; Zeinolla, S. Forecasting Youth Unemployment Through Educational and Demographic Indicators: A Panel Time-Series Approach. </w:t>
      </w:r>
      <w:r>
        <w:rPr>
          <w:rFonts w:ascii="Palatino Linotype" w:hAnsi="Palatino Linotype" w:eastAsia="Palatino Linotype"/>
          <w:b w:val="0"/>
          <w:i/>
          <w:sz w:val="16"/>
        </w:rPr>
        <w:t xml:space="preserve">Forecasting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7</w:t>
      </w:r>
      <w:r>
        <w:rPr>
          <w:rFonts w:ascii="Palatino Linotype" w:hAnsi="Palatino Linotype" w:eastAsia="Palatino Linotype"/>
          <w:b w:val="0"/>
          <w:i w:val="0"/>
          <w:sz w:val="16"/>
        </w:rPr>
        <w:t>, 37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30. Liu, J.; Fang, Y.; Xia, Y.; Zou, W.; Chan, K.-L.; Lam, J.F.I.; Chen, H. Can the digital economy promote sustainable improvement in the quality of employment for Chinese residents?—Moderated mediating effect model. </w:t>
      </w:r>
      <w:r>
        <w:rPr>
          <w:rFonts w:ascii="Palatino Linotype" w:hAnsi="Palatino Linotype" w:eastAsia="Palatino Linotype"/>
          <w:b w:val="0"/>
          <w:i/>
          <w:sz w:val="16"/>
        </w:rPr>
        <w:t xml:space="preserve">Sustainability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w:t>
      </w:r>
      <w:r>
        <w:rPr>
          <w:rFonts w:ascii="Palatino Linotype" w:hAnsi="Palatino Linotype" w:eastAsia="Palatino Linotype"/>
          <w:b w:val="0"/>
          <w:i w:val="0"/>
          <w:sz w:val="16"/>
        </w:rPr>
        <w:t>, 6071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31. Jin, X.; Ma, B.; Zhang, H. Impact of fast internet access on employment: Evidence from a broadband expansion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81</w:t>
      </w:r>
      <w:r>
        <w:rPr>
          <w:rFonts w:ascii="Palatino Linotype" w:hAnsi="Palatino Linotype" w:eastAsia="Palatino Linotype"/>
          <w:b w:val="0"/>
          <w:i w:val="0"/>
          <w:sz w:val="16"/>
        </w:rPr>
        <w:t>, 102038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32. Jiang, S.; Guo, Y. Reasons for college major-job mismatch and labor market outcomes: Evidence from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2022</w:t>
      </w:r>
      <w:r>
        <w:rPr>
          <w:rFonts w:ascii="Palatino Linotype" w:hAnsi="Palatino Linotype" w:eastAsia="Palatino Linotype"/>
          <w:b w:val="0"/>
          <w:i w:val="0"/>
          <w:sz w:val="16"/>
        </w:rPr>
        <w:t xml:space="preserve">, </w:t>
      </w:r>
      <w:r>
        <w:rPr>
          <w:rFonts w:ascii="Palatino Linotype" w:hAnsi="Palatino Linotype" w:eastAsia="Palatino Linotype"/>
          <w:b w:val="0"/>
          <w:i/>
          <w:sz w:val="16"/>
        </w:rPr>
        <w:t>74</w:t>
      </w:r>
      <w:r>
        <w:rPr>
          <w:rFonts w:ascii="Palatino Linotype" w:hAnsi="Palatino Linotype" w:eastAsia="Palatino Linotype"/>
          <w:b w:val="0"/>
          <w:i w:val="0"/>
          <w:sz w:val="16"/>
        </w:rPr>
        <w:t>, 101822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33. Pan, Z.; Wang, Y.; Liu, Z. Over-education, job satisfaction, and intention to quit: Evidence from China. </w:t>
      </w:r>
      <w:r>
        <w:rPr>
          <w:rFonts w:ascii="Palatino Linotype" w:hAnsi="Palatino Linotype" w:eastAsia="Palatino Linotype"/>
          <w:b w:val="0"/>
          <w:i/>
          <w:sz w:val="16"/>
        </w:rPr>
        <w:t xml:space="preserve">Soc. Indic. Res.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176</w:t>
      </w:r>
      <w:r>
        <w:rPr>
          <w:rFonts w:ascii="Palatino Linotype" w:hAnsi="Palatino Linotype" w:eastAsia="Palatino Linotype"/>
          <w:b w:val="0"/>
          <w:i w:val="0"/>
          <w:sz w:val="16"/>
        </w:rPr>
        <w:t>, 287–307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34. Jones, M.K.; Kaya, E.; Nan, J. Overeducation, earnings and job satisfaction among graduates in China.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93</w:t>
      </w:r>
      <w:r>
        <w:rPr>
          <w:rFonts w:ascii="Palatino Linotype" w:hAnsi="Palatino Linotype" w:eastAsia="Palatino Linotype"/>
          <w:b w:val="0"/>
          <w:i w:val="0"/>
          <w:sz w:val="16"/>
        </w:rPr>
        <w:t>, 102448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35. Xie, M.; Ding, L.; Xia, Y.; Guo, J.; Pan, J.; Wang, H. Does artificial intelligence affect the pattern of skill demand? Evidence from Chinese manufacturing firms.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295–309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36. Cheng, C.; Luo, J.; Zhu, C.; Zhang, S. Artificial intelligence and the skill premium: A numerical analysis of theoretical models. </w:t>
      </w:r>
      <w:r>
        <w:rPr>
          <w:rFonts w:ascii="Palatino Linotype" w:hAnsi="Palatino Linotype" w:eastAsia="Palatino Linotype"/>
          <w:b w:val="0"/>
          <w:i/>
          <w:sz w:val="16"/>
        </w:rPr>
        <w:t xml:space="preserve">Technol. Forecast. Soc. Change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200</w:t>
      </w:r>
      <w:r>
        <w:rPr>
          <w:rFonts w:ascii="Palatino Linotype" w:hAnsi="Palatino Linotype" w:eastAsia="Palatino Linotype"/>
          <w:b w:val="0"/>
          <w:i w:val="0"/>
          <w:sz w:val="16"/>
        </w:rPr>
        <w:t>, 123140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37. Eloundou, T.; Manning, S.; Mishkin, P.; Rock, D. GPTs are GPTs: Labor market impact potential of LLMs. </w:t>
      </w:r>
      <w:r>
        <w:rPr>
          <w:rFonts w:ascii="Palatino Linotype" w:hAnsi="Palatino Linotype" w:eastAsia="Palatino Linotype"/>
          <w:b w:val="0"/>
          <w:i/>
          <w:sz w:val="16"/>
        </w:rPr>
        <w:t xml:space="preserve">Science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384</w:t>
      </w:r>
      <w:r>
        <w:rPr>
          <w:rFonts w:ascii="Palatino Linotype" w:hAnsi="Palatino Linotype" w:eastAsia="Palatino Linotype"/>
          <w:b w:val="0"/>
          <w:i w:val="0"/>
          <w:sz w:val="16"/>
        </w:rPr>
        <w:t>, 1306–1308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38. Brynjolfsson, E.; Li, D.; Raymond, L. Generative AI at Work. </w:t>
      </w:r>
      <w:r>
        <w:rPr>
          <w:rFonts w:ascii="Palatino Linotype" w:hAnsi="Palatino Linotype" w:eastAsia="Palatino Linotype"/>
          <w:b w:val="0"/>
          <w:i/>
          <w:sz w:val="16"/>
        </w:rPr>
        <w:t xml:space="preserve">Q. J.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889–942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39. Tversky, A.; Kahneman, D. Advances in prospect theory: Cumulative representation of uncertainty. </w:t>
      </w:r>
      <w:r>
        <w:rPr>
          <w:rFonts w:ascii="Palatino Linotype" w:hAnsi="Palatino Linotype" w:eastAsia="Palatino Linotype"/>
          <w:b w:val="0"/>
          <w:i/>
          <w:sz w:val="16"/>
        </w:rPr>
        <w:t xml:space="preserve">J. Risk Uncertain. </w:t>
      </w:r>
      <w:r>
        <w:rPr>
          <w:rFonts w:ascii="Palatino Linotype" w:hAnsi="Palatino Linotype" w:eastAsia="Palatino Linotype"/>
          <w:b/>
          <w:i w:val="0"/>
          <w:sz w:val="16"/>
        </w:rPr>
        <w:t>1992</w:t>
      </w:r>
      <w:r>
        <w:rPr>
          <w:rFonts w:ascii="Palatino Linotype" w:hAnsi="Palatino Linotype" w:eastAsia="Palatino Linotype"/>
          <w:b w:val="0"/>
          <w:i w:val="0"/>
          <w:sz w:val="16"/>
        </w:rPr>
        <w:t xml:space="preserve">, </w:t>
      </w:r>
      <w:r>
        <w:rPr>
          <w:rFonts w:ascii="Palatino Linotype" w:hAnsi="Palatino Linotype" w:eastAsia="Palatino Linotype"/>
          <w:b w:val="0"/>
          <w:i/>
          <w:sz w:val="16"/>
        </w:rPr>
        <w:t>5</w:t>
      </w:r>
      <w:r>
        <w:rPr>
          <w:rFonts w:ascii="Palatino Linotype" w:hAnsi="Palatino Linotype" w:eastAsia="Palatino Linotype"/>
          <w:b w:val="0"/>
          <w:i w:val="0"/>
          <w:sz w:val="16"/>
        </w:rPr>
        <w:t>, 297–323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40. Prelec, D. The probability weighting function. </w:t>
      </w:r>
      <w:r>
        <w:rPr>
          <w:rFonts w:ascii="Palatino Linotype" w:hAnsi="Palatino Linotype" w:eastAsia="Palatino Linotype"/>
          <w:b w:val="0"/>
          <w:i/>
          <w:sz w:val="16"/>
        </w:rPr>
        <w:t xml:space="preserve">Econometrica </w:t>
      </w:r>
      <w:r>
        <w:rPr>
          <w:rFonts w:ascii="Palatino Linotype" w:hAnsi="Palatino Linotype" w:eastAsia="Palatino Linotype"/>
          <w:b/>
          <w:i w:val="0"/>
          <w:sz w:val="16"/>
        </w:rPr>
        <w:t>1998</w:t>
      </w:r>
      <w:r>
        <w:rPr>
          <w:rFonts w:ascii="Palatino Linotype" w:hAnsi="Palatino Linotype" w:eastAsia="Palatino Linotype"/>
          <w:b w:val="0"/>
          <w:i w:val="0"/>
          <w:sz w:val="16"/>
        </w:rPr>
        <w:t xml:space="preserve">, </w:t>
      </w:r>
      <w:r>
        <w:rPr>
          <w:rFonts w:ascii="Palatino Linotype" w:hAnsi="Palatino Linotype" w:eastAsia="Palatino Linotype"/>
          <w:b w:val="0"/>
          <w:i/>
          <w:sz w:val="16"/>
        </w:rPr>
        <w:t>66</w:t>
      </w:r>
      <w:r>
        <w:rPr>
          <w:rFonts w:ascii="Palatino Linotype" w:hAnsi="Palatino Linotype" w:eastAsia="Palatino Linotype"/>
          <w:b w:val="0"/>
          <w:i w:val="0"/>
          <w:sz w:val="16"/>
        </w:rPr>
        <w:t>, 497–527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41. Petrongolo, B.; Pissarides, C.A. Looking into the black box: A survey of the matching function. </w:t>
      </w:r>
      <w:r>
        <w:rPr>
          <w:rFonts w:ascii="Palatino Linotype" w:hAnsi="Palatino Linotype" w:eastAsia="Palatino Linotype"/>
          <w:b w:val="0"/>
          <w:i/>
          <w:sz w:val="16"/>
        </w:rPr>
        <w:t xml:space="preserve">J. Econ. Lit. </w:t>
      </w:r>
      <w:r>
        <w:rPr>
          <w:rFonts w:ascii="Palatino Linotype" w:hAnsi="Palatino Linotype" w:eastAsia="Palatino Linotype"/>
          <w:b/>
          <w:i w:val="0"/>
          <w:sz w:val="16"/>
        </w:rPr>
        <w:t>2001</w:t>
      </w:r>
      <w:r>
        <w:rPr>
          <w:rFonts w:ascii="Palatino Linotype" w:hAnsi="Palatino Linotype" w:eastAsia="Palatino Linotype"/>
          <w:b w:val="0"/>
          <w:i w:val="0"/>
          <w:sz w:val="16"/>
        </w:rPr>
        <w:t xml:space="preserve">, </w:t>
      </w:r>
      <w:r>
        <w:rPr>
          <w:rFonts w:ascii="Palatino Linotype" w:hAnsi="Palatino Linotype" w:eastAsia="Palatino Linotype"/>
          <w:b w:val="0"/>
          <w:i/>
          <w:sz w:val="16"/>
        </w:rPr>
        <w:t>39</w:t>
      </w:r>
      <w:r>
        <w:rPr>
          <w:rFonts w:ascii="Palatino Linotype" w:hAnsi="Palatino Linotype" w:eastAsia="Palatino Linotype"/>
          <w:b w:val="0"/>
          <w:i w:val="0"/>
          <w:sz w:val="16"/>
        </w:rPr>
        <w:t>, 390–431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42. Rahmandad, H.; Sterman, J.D. Reporting guidelines for simulation-based research in social sciences.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2012</w:t>
      </w:r>
      <w:r>
        <w:rPr>
          <w:rFonts w:ascii="Palatino Linotype" w:hAnsi="Palatino Linotype" w:eastAsia="Palatino Linotype"/>
          <w:b w:val="0"/>
          <w:i w:val="0"/>
          <w:sz w:val="16"/>
        </w:rPr>
        <w:t xml:space="preserve">, </w:t>
      </w:r>
      <w:r>
        <w:rPr>
          <w:rFonts w:ascii="Palatino Linotype" w:hAnsi="Palatino Linotype" w:eastAsia="Palatino Linotype"/>
          <w:b w:val="0"/>
          <w:i/>
          <w:sz w:val="16"/>
        </w:rPr>
        <w:t>28</w:t>
      </w:r>
      <w:r>
        <w:rPr>
          <w:rFonts w:ascii="Palatino Linotype" w:hAnsi="Palatino Linotype" w:eastAsia="Palatino Linotype"/>
          <w:b w:val="0"/>
          <w:i w:val="0"/>
          <w:sz w:val="16"/>
        </w:rPr>
        <w:t>, 396–411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43. Pastore, F.; Quintano, C.; Rocca, A. Some young people have all the luck! The duration dependence of the school-to-work transition in Europe. </w:t>
      </w:r>
      <w:r>
        <w:rPr>
          <w:rFonts w:ascii="Palatino Linotype" w:hAnsi="Palatino Linotype" w:eastAsia="Palatino Linotype"/>
          <w:b w:val="0"/>
          <w:i/>
          <w:sz w:val="16"/>
        </w:rPr>
        <w:t xml:space="preserve">Labour Econ. </w:t>
      </w:r>
      <w:r>
        <w:rPr>
          <w:rFonts w:ascii="Palatino Linotype" w:hAnsi="Palatino Linotype" w:eastAsia="Palatino Linotype"/>
          <w:b/>
          <w:i w:val="0"/>
          <w:sz w:val="16"/>
        </w:rPr>
        <w:t>2021</w:t>
      </w:r>
      <w:r>
        <w:rPr>
          <w:rFonts w:ascii="Palatino Linotype" w:hAnsi="Palatino Linotype" w:eastAsia="Palatino Linotype"/>
          <w:b w:val="0"/>
          <w:i w:val="0"/>
          <w:sz w:val="16"/>
        </w:rPr>
        <w:t xml:space="preserve">, </w:t>
      </w:r>
      <w:r>
        <w:rPr>
          <w:rFonts w:ascii="Palatino Linotype" w:hAnsi="Palatino Linotype" w:eastAsia="Palatino Linotype"/>
          <w:b w:val="0"/>
          <w:i/>
          <w:sz w:val="16"/>
        </w:rPr>
        <w:t>70</w:t>
      </w:r>
      <w:r>
        <w:rPr>
          <w:rFonts w:ascii="Palatino Linotype" w:hAnsi="Palatino Linotype" w:eastAsia="Palatino Linotype"/>
          <w:b w:val="0"/>
          <w:i w:val="0"/>
          <w:sz w:val="16"/>
        </w:rPr>
        <w:t>, 101982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44. Card, D.; Kluve, J.; Weber, A. What Works? A Meta Analysis of Recent Active Labor Market Program Evaluations. </w:t>
      </w:r>
      <w:r>
        <w:rPr>
          <w:rFonts w:ascii="Palatino Linotype" w:hAnsi="Palatino Linotype" w:eastAsia="Palatino Linotype"/>
          <w:b w:val="0"/>
          <w:i/>
          <w:sz w:val="16"/>
        </w:rPr>
        <w:t xml:space="preserve">J. Eur. Econ. Assoc. </w:t>
      </w:r>
      <w:r>
        <w:rPr>
          <w:rFonts w:ascii="Palatino Linotype" w:hAnsi="Palatino Linotype" w:eastAsia="Palatino Linotype"/>
          <w:b/>
          <w:i w:val="0"/>
          <w:sz w:val="16"/>
        </w:rPr>
        <w:t>2018</w:t>
      </w:r>
      <w:r>
        <w:rPr>
          <w:rFonts w:ascii="Palatino Linotype" w:hAnsi="Palatino Linotype" w:eastAsia="Palatino Linotype"/>
          <w:b w:val="0"/>
          <w:i w:val="0"/>
          <w:sz w:val="16"/>
        </w:rPr>
        <w:t xml:space="preserve">, </w:t>
      </w:r>
      <w:r>
        <w:rPr>
          <w:rFonts w:ascii="Palatino Linotype" w:hAnsi="Palatino Linotype" w:eastAsia="Palatino Linotype"/>
          <w:b w:val="0"/>
          <w:i/>
          <w:sz w:val="16"/>
        </w:rPr>
        <w:t>16</w:t>
      </w:r>
      <w:r>
        <w:rPr>
          <w:rFonts w:ascii="Palatino Linotype" w:hAnsi="Palatino Linotype" w:eastAsia="Palatino Linotype"/>
          <w:b w:val="0"/>
          <w:i w:val="0"/>
          <w:sz w:val="16"/>
        </w:rPr>
        <w:t>, 894–931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45. Barlas, Y. Formal aspects of model validity and validation in system dynamics. </w:t>
      </w:r>
      <w:r>
        <w:rPr>
          <w:rFonts w:ascii="Palatino Linotype" w:hAnsi="Palatino Linotype" w:eastAsia="Palatino Linotype"/>
          <w:b w:val="0"/>
          <w:i/>
          <w:sz w:val="16"/>
        </w:rPr>
        <w:t xml:space="preserve">Syst. Dyn. Rev. </w:t>
      </w:r>
      <w:r>
        <w:rPr>
          <w:rFonts w:ascii="Palatino Linotype" w:hAnsi="Palatino Linotype" w:eastAsia="Palatino Linotype"/>
          <w:b/>
          <w:i w:val="0"/>
          <w:sz w:val="16"/>
        </w:rPr>
        <w:t>1996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183–210</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46. Li, L. Reskilling and upskilling the future-ready workforce for Industry 4.0 and beyond. </w:t>
      </w:r>
      <w:r>
        <w:rPr>
          <w:rFonts w:ascii="Palatino Linotype" w:hAnsi="Palatino Linotype" w:eastAsia="Palatino Linotype"/>
          <w:b w:val="0"/>
          <w:i/>
          <w:sz w:val="16"/>
        </w:rPr>
        <w:t xml:space="preserve">Inf. Syst. Front.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26</w:t>
      </w:r>
      <w:r>
        <w:rPr>
          <w:rFonts w:ascii="Palatino Linotype" w:hAnsi="Palatino Linotype" w:eastAsia="Palatino Linotype"/>
          <w:b w:val="0"/>
          <w:i w:val="0"/>
          <w:sz w:val="16"/>
        </w:rPr>
        <w:t>, 1697–1712</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47. Scheffer, M.; Bascompte, J.; Brock, W.A.; Brovkin, V.; Carpenter, S.R.; Dakos, V.; Held, H.; van Nes, E.H.; Rietkerk, M.; Sugihara, G. Early-warning signals for critical transitions. </w:t>
      </w:r>
      <w:r>
        <w:rPr>
          <w:rFonts w:ascii="Palatino Linotype" w:hAnsi="Palatino Linotype" w:eastAsia="Palatino Linotype"/>
          <w:b w:val="0"/>
          <w:i/>
          <w:sz w:val="16"/>
        </w:rPr>
        <w:t xml:space="preserve">Nature </w:t>
      </w:r>
      <w:r>
        <w:rPr>
          <w:rFonts w:ascii="Palatino Linotype" w:hAnsi="Palatino Linotype" w:eastAsia="Palatino Linotype"/>
          <w:b/>
          <w:i w:val="0"/>
          <w:sz w:val="16"/>
        </w:rPr>
        <w:t>2009</w:t>
      </w:r>
      <w:r>
        <w:rPr>
          <w:rFonts w:ascii="Palatino Linotype" w:hAnsi="Palatino Linotype" w:eastAsia="Palatino Linotype"/>
          <w:b w:val="0"/>
          <w:i w:val="0"/>
          <w:sz w:val="16"/>
        </w:rPr>
        <w:t xml:space="preserve">, </w:t>
      </w:r>
      <w:r>
        <w:rPr>
          <w:rFonts w:ascii="Palatino Linotype" w:hAnsi="Palatino Linotype" w:eastAsia="Palatino Linotype"/>
          <w:b w:val="0"/>
          <w:i/>
          <w:sz w:val="16"/>
        </w:rPr>
        <w:t>461</w:t>
      </w:r>
      <w:r>
        <w:rPr>
          <w:rFonts w:ascii="Palatino Linotype" w:hAnsi="Palatino Linotype" w:eastAsia="Palatino Linotype"/>
          <w:b w:val="0"/>
          <w:i w:val="0"/>
          <w:sz w:val="16"/>
        </w:rPr>
        <w:t>, 53–59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48. Zhao, K.; Wu, Y.; Kuang, Z. Dynamic evolution and impact mechanism of human capital mismatch in strategic emerging industries: Evidence from the Yangtze River Delta region of China. </w:t>
      </w:r>
      <w:r>
        <w:rPr>
          <w:rFonts w:ascii="Palatino Linotype" w:hAnsi="Palatino Linotype" w:eastAsia="Palatino Linotype"/>
          <w:b w:val="0"/>
          <w:i/>
          <w:sz w:val="16"/>
        </w:rPr>
        <w:t xml:space="preserve">Heliyon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w:t>
      </w:r>
      <w:r>
        <w:rPr>
          <w:rFonts w:ascii="Palatino Linotype" w:hAnsi="Palatino Linotype" w:eastAsia="Palatino Linotype"/>
          <w:b w:val="0"/>
          <w:i w:val="0"/>
          <w:sz w:val="16"/>
        </w:rPr>
        <w:t>, e21684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49. Liang, F.; Liu, Y. Sustainable youth employment quality management: The impact of robotization in China. </w:t>
      </w:r>
      <w:r>
        <w:rPr>
          <w:rFonts w:ascii="Palatino Linotype" w:hAnsi="Palatino Linotype" w:eastAsia="Palatino Linotype"/>
          <w:b w:val="0"/>
          <w:i/>
          <w:sz w:val="16"/>
        </w:rPr>
        <w:t xml:space="preserve">PLoS ONE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19</w:t>
      </w:r>
      <w:r>
        <w:rPr>
          <w:rFonts w:ascii="Palatino Linotype" w:hAnsi="Palatino Linotype" w:eastAsia="Palatino Linotype"/>
          <w:b w:val="0"/>
          <w:i w:val="0"/>
          <w:sz w:val="16"/>
        </w:rPr>
        <w:t>, e0298081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50. Kluve, J.; Puerto, S.; Robalino, D.; Romero, J.M.; Rother, F.; Stöterau, J.; Weidenkaff, F.; Witte, M. Do youth employment programs improve labor market outcomes? A quantitative review. </w:t>
      </w:r>
      <w:r>
        <w:rPr>
          <w:rFonts w:ascii="Palatino Linotype" w:hAnsi="Palatino Linotype" w:eastAsia="Palatino Linotype"/>
          <w:b w:val="0"/>
          <w:i/>
          <w:sz w:val="16"/>
        </w:rPr>
        <w:t xml:space="preserve">World Dev. </w:t>
      </w:r>
      <w:r>
        <w:rPr>
          <w:rFonts w:ascii="Palatino Linotype" w:hAnsi="Palatino Linotype" w:eastAsia="Palatino Linotype"/>
          <w:b/>
          <w:i w:val="0"/>
          <w:sz w:val="16"/>
        </w:rPr>
        <w:t>2019</w:t>
      </w:r>
      <w:r>
        <w:rPr>
          <w:rFonts w:ascii="Palatino Linotype" w:hAnsi="Palatino Linotype" w:eastAsia="Palatino Linotype"/>
          <w:b w:val="0"/>
          <w:i w:val="0"/>
          <w:sz w:val="16"/>
        </w:rPr>
        <w:t xml:space="preserve">, </w:t>
      </w:r>
      <w:r>
        <w:rPr>
          <w:rFonts w:ascii="Palatino Linotype" w:hAnsi="Palatino Linotype" w:eastAsia="Palatino Linotype"/>
          <w:b w:val="0"/>
          <w:i/>
          <w:sz w:val="16"/>
        </w:rPr>
        <w:t>114</w:t>
      </w:r>
      <w:r>
        <w:rPr>
          <w:rFonts w:ascii="Palatino Linotype" w:hAnsi="Palatino Linotype" w:eastAsia="Palatino Linotype"/>
          <w:b w:val="0"/>
          <w:i w:val="0"/>
          <w:sz w:val="16"/>
        </w:rPr>
        <w:t>, 237–253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51. Caliendo, M.; Schmidl, R. Youth unemployment and active labor market policies in Europe. </w:t>
      </w:r>
      <w:r>
        <w:rPr>
          <w:rFonts w:ascii="Palatino Linotype" w:hAnsi="Palatino Linotype" w:eastAsia="Palatino Linotype"/>
          <w:b w:val="0"/>
          <w:i/>
          <w:sz w:val="16"/>
        </w:rPr>
        <w:t xml:space="preserve">IZA J. Labor Policy </w:t>
      </w:r>
      <w:r>
        <w:rPr>
          <w:rFonts w:ascii="Palatino Linotype" w:hAnsi="Palatino Linotype" w:eastAsia="Palatino Linotype"/>
          <w:b/>
          <w:i w:val="0"/>
          <w:sz w:val="16"/>
        </w:rPr>
        <w:t>2016</w:t>
      </w:r>
      <w:r>
        <w:rPr>
          <w:rFonts w:ascii="Palatino Linotype" w:hAnsi="Palatino Linotype" w:eastAsia="Palatino Linotype"/>
          <w:b w:val="0"/>
          <w:i w:val="0"/>
          <w:sz w:val="16"/>
        </w:rPr>
        <w:t xml:space="preserve">, </w:t>
      </w:r>
      <w:r>
        <w:rPr>
          <w:rFonts w:ascii="Palatino Linotype" w:hAnsi="Palatino Linotype" w:eastAsia="Palatino Linotype"/>
          <w:b w:val="0"/>
          <w:i/>
          <w:sz w:val="16"/>
        </w:rPr>
        <w:t>5</w:t>
      </w:r>
      <w:r>
        <w:rPr>
          <w:rFonts w:ascii="Palatino Linotype" w:hAnsi="Palatino Linotype" w:eastAsia="Palatino Linotype"/>
          <w:b w:val="0"/>
          <w:i w:val="0"/>
          <w:sz w:val="16"/>
        </w:rPr>
        <w:t>, 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52. Heß, P.; Janssen, S.; Leber, U. The effect of automation technology on workers’ training participation. </w:t>
      </w:r>
      <w:r>
        <w:rPr>
          <w:rFonts w:ascii="Palatino Linotype" w:hAnsi="Palatino Linotype" w:eastAsia="Palatino Linotype"/>
          <w:b w:val="0"/>
          <w:i/>
          <w:sz w:val="16"/>
        </w:rPr>
        <w:t xml:space="preserve">Econ. Educ. Rev.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96</w:t>
      </w:r>
      <w:r>
        <w:rPr>
          <w:rFonts w:ascii="Palatino Linotype" w:hAnsi="Palatino Linotype" w:eastAsia="Palatino Linotype"/>
          <w:b w:val="0"/>
          <w:i w:val="0"/>
          <w:sz w:val="16"/>
        </w:rPr>
        <w:t>, 102438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53. Dai, L.; Martins, P.S. Does vocational education pay off in China? Evidence from city-level education supply shocks. </w:t>
      </w:r>
      <w:r>
        <w:rPr>
          <w:rFonts w:ascii="Palatino Linotype" w:hAnsi="Palatino Linotype" w:eastAsia="Palatino Linotype"/>
          <w:b w:val="0"/>
          <w:i/>
          <w:sz w:val="16"/>
        </w:rPr>
        <w:t xml:space="preserve">Econ. Model.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140</w:t>
      </w:r>
      <w:r>
        <w:rPr>
          <w:rFonts w:ascii="Palatino Linotype" w:hAnsi="Palatino Linotype" w:eastAsia="Palatino Linotype"/>
          <w:b w:val="0"/>
          <w:i w:val="0"/>
          <w:sz w:val="16"/>
        </w:rPr>
        <w:t>, 106863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54. Yang, Y.; Lin, G.T.R. Local Digital Economic Growth, Enterprise Digital Transformation, and Digital Dividends: Evidence from China.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297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55. Dou, B.; Guo, S.; Chang, X.; Wang, Y. Corporate digital transformation and labor structure upgrading. </w:t>
      </w:r>
      <w:r>
        <w:rPr>
          <w:rFonts w:ascii="Palatino Linotype" w:hAnsi="Palatino Linotype" w:eastAsia="Palatino Linotype"/>
          <w:b w:val="0"/>
          <w:i/>
          <w:sz w:val="16"/>
        </w:rPr>
        <w:t xml:space="preserve">Int. Rev. Financ. Anal. </w:t>
      </w:r>
      <w:r>
        <w:rPr>
          <w:rFonts w:ascii="Palatino Linotype" w:hAnsi="Palatino Linotype" w:eastAsia="Palatino Linotype"/>
          <w:b/>
          <w:i w:val="0"/>
          <w:sz w:val="16"/>
        </w:rPr>
        <w:t>2023</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102904</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56. Li, X.; Wang, Q.; Kong, D.; Tao, Y. Intelligent Manufacturing and Corporate Human Capital Upgrade in China. </w:t>
      </w:r>
      <w:r>
        <w:rPr>
          <w:rFonts w:ascii="Palatino Linotype" w:hAnsi="Palatino Linotype" w:eastAsia="Palatino Linotype"/>
          <w:b w:val="0"/>
          <w:i/>
          <w:sz w:val="16"/>
        </w:rPr>
        <w:t xml:space="preserve">J. Asian Econ.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97</w:t>
      </w:r>
      <w:r>
        <w:rPr>
          <w:rFonts w:ascii="Palatino Linotype" w:hAnsi="Palatino Linotype" w:eastAsia="Palatino Linotype"/>
          <w:b w:val="0"/>
          <w:i w:val="0"/>
          <w:sz w:val="16"/>
        </w:rPr>
        <w:t>, 101886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57. Wang, X.; Jiang, Y.; Yi, F. Digital Revolution and Job Quality of Lower Class Workers: Quasi-experimental Evidence from the Broadband China Program. </w:t>
      </w:r>
      <w:r>
        <w:rPr>
          <w:rFonts w:ascii="Palatino Linotype" w:hAnsi="Palatino Linotype" w:eastAsia="Palatino Linotype"/>
          <w:b w:val="0"/>
          <w:i/>
          <w:sz w:val="16"/>
        </w:rPr>
        <w:t xml:space="preserve">China World Econ.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32</w:t>
      </w:r>
      <w:r>
        <w:rPr>
          <w:rFonts w:ascii="Palatino Linotype" w:hAnsi="Palatino Linotype" w:eastAsia="Palatino Linotype"/>
          <w:b w:val="0"/>
          <w:i w:val="0"/>
          <w:sz w:val="16"/>
        </w:rPr>
        <w:t>, 146–178</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58. Zhu, G.; Nie, A. How industrial robots affect employment: firm-level evidence from China. </w:t>
      </w:r>
      <w:r>
        <w:rPr>
          <w:rFonts w:ascii="Palatino Linotype" w:hAnsi="Palatino Linotype" w:eastAsia="Palatino Linotype"/>
          <w:b w:val="0"/>
          <w:i/>
          <w:sz w:val="16"/>
        </w:rPr>
        <w:t xml:space="preserve">J. Asia Pac. Econ.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31</w:t>
      </w:r>
      <w:r>
        <w:rPr>
          <w:rFonts w:ascii="Palatino Linotype" w:hAnsi="Palatino Linotype" w:eastAsia="Palatino Linotype"/>
          <w:b w:val="0"/>
          <w:i w:val="0"/>
          <w:sz w:val="16"/>
        </w:rPr>
        <w:t>, 31–61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59. Hua, Z.; Kong, S.; Yu, Y. Talent magnets in China: Can talent attraction policies catalyze digital transformation in enterprises? </w:t>
      </w:r>
      <w:r>
        <w:rPr>
          <w:rFonts w:ascii="Palatino Linotype" w:hAnsi="Palatino Linotype" w:eastAsia="Palatino Linotype"/>
          <w:b w:val="0"/>
          <w:i/>
          <w:sz w:val="16"/>
        </w:rPr>
        <w:t xml:space="preserve">China Econ. Rev.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90</w:t>
      </w:r>
      <w:r>
        <w:rPr>
          <w:rFonts w:ascii="Palatino Linotype" w:hAnsi="Palatino Linotype" w:eastAsia="Palatino Linotype"/>
          <w:b w:val="0"/>
          <w:i w:val="0"/>
          <w:sz w:val="16"/>
        </w:rPr>
        <w:t>, 102376</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60. Tong, W.; Guo, J.; Lo, K.; Xu, W. Bridging the gap to common prosperity: Rural development and urban–rural income disparities in Zhejiang Province, China. </w:t>
      </w:r>
      <w:r>
        <w:rPr>
          <w:rFonts w:ascii="Palatino Linotype" w:hAnsi="Palatino Linotype" w:eastAsia="Palatino Linotype"/>
          <w:b w:val="0"/>
          <w:i/>
          <w:sz w:val="16"/>
        </w:rPr>
        <w:t xml:space="preserve">Chin. Geogr. Sci.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36</w:t>
      </w:r>
      <w:r>
        <w:rPr>
          <w:rFonts w:ascii="Palatino Linotype" w:hAnsi="Palatino Linotype" w:eastAsia="Palatino Linotype"/>
          <w:b w:val="0"/>
          <w:i w:val="0"/>
          <w:sz w:val="16"/>
        </w:rPr>
        <w:t>, 207–221</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61. Zhong, S.; Zhang, X.; Zhang, L.; Zhao, C. How does digital economy influence urban common prosperity? Evidence from China’s demonstration area for common prosperity. </w:t>
      </w:r>
      <w:r>
        <w:rPr>
          <w:rFonts w:ascii="Palatino Linotype" w:hAnsi="Palatino Linotype" w:eastAsia="Palatino Linotype"/>
          <w:b w:val="0"/>
          <w:i/>
          <w:sz w:val="16"/>
        </w:rPr>
        <w:t xml:space="preserve">Int. Rev. Econ. Financ.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104</w:t>
      </w:r>
      <w:r>
        <w:rPr>
          <w:rFonts w:ascii="Palatino Linotype" w:hAnsi="Palatino Linotype" w:eastAsia="Palatino Linotype"/>
          <w:b w:val="0"/>
          <w:i w:val="0"/>
          <w:sz w:val="16"/>
        </w:rPr>
        <w:t>, 104629</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62. Wang, S.; Zhang, H. Digital transformation and innovation performance in small- and medium-sized enterprises: A systems perspective on the interplay of digital adoption, digital drive, and digital culture.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43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63. Song, Y.; Qiu, X.; Liu, J. The Impact of Artificial Intelligence Adoption on Organizational Decision-Making: An Empirical Study Based on the Technology Acceptance Model in Business Management.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2025</w:t>
      </w:r>
      <w:r>
        <w:rPr>
          <w:rFonts w:ascii="Palatino Linotype" w:hAnsi="Palatino Linotype" w:eastAsia="Palatino Linotype"/>
          <w:b w:val="0"/>
          <w:i w:val="0"/>
          <w:sz w:val="16"/>
        </w:rPr>
        <w:t xml:space="preserve">, </w:t>
      </w:r>
      <w:r>
        <w:rPr>
          <w:rFonts w:ascii="Palatino Linotype" w:hAnsi="Palatino Linotype" w:eastAsia="Palatino Linotype"/>
          <w:b w:val="0"/>
          <w:i/>
          <w:sz w:val="16"/>
        </w:rPr>
        <w:t>13</w:t>
      </w:r>
      <w:r>
        <w:rPr>
          <w:rFonts w:ascii="Palatino Linotype" w:hAnsi="Palatino Linotype" w:eastAsia="Palatino Linotype"/>
          <w:b w:val="0"/>
          <w:i w:val="0"/>
          <w:sz w:val="16"/>
        </w:rPr>
        <w:t>, 683</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64. Qiao, G.; Li, Y.; Hong, A. The Strategic Role of Digital Transformation: Leveraging Digital Leadership to Enhance Employee Performance and Organizational Commitment in the Digital Era.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2024</w:t>
      </w:r>
      <w:r>
        <w:rPr>
          <w:rFonts w:ascii="Palatino Linotype" w:hAnsi="Palatino Linotype" w:eastAsia="Palatino Linotype"/>
          <w:b w:val="0"/>
          <w:i w:val="0"/>
          <w:sz w:val="16"/>
        </w:rPr>
        <w:t xml:space="preserve">, </w:t>
      </w:r>
      <w:r>
        <w:rPr>
          <w:rFonts w:ascii="Palatino Linotype" w:hAnsi="Palatino Linotype" w:eastAsia="Palatino Linotype"/>
          <w:b w:val="0"/>
          <w:i/>
          <w:sz w:val="16"/>
        </w:rPr>
        <w:t>12</w:t>
      </w:r>
      <w:r>
        <w:rPr>
          <w:rFonts w:ascii="Palatino Linotype" w:hAnsi="Palatino Linotype" w:eastAsia="Palatino Linotype"/>
          <w:b w:val="0"/>
          <w:i w:val="0"/>
          <w:sz w:val="16"/>
        </w:rPr>
        <w:t>, 457</w:t>
      </w:r>
      <w:r>
        <w:rPr>
          <w:rFonts w:ascii="Palatino Linotype" w:hAnsi="Palatino Linotype" w:eastAsia="Palatino Linotype"/>
          <w:b w:val="0"/>
          <w:i w:val="0"/>
          <w:sz w:val="16"/>
        </w:rPr>
        <w:t>.</w:t>
      </w:r>
    </w:p>
    <w:p>
      <w:pPr>
        <w:spacing w:after="20"/>
        <w:ind w:left="2920" w:hanging="312"/>
        <w:jc w:val="both"/>
      </w:pPr>
      <w:r>
        <w:rPr>
          <w:rFonts w:ascii="Palatino Linotype" w:hAnsi="Palatino Linotype" w:eastAsia="Palatino Linotype"/>
          <w:b w:val="0"/>
          <w:i w:val="0"/>
          <w:sz w:val="16"/>
        </w:rPr>
        <w:t xml:space="preserve">65. Chen, C.; Zhu, J.; Sun, H. Mechanisms and Pathways of Promoting High-Quality Full Employment Under the Dual Circulation Paradigm: An Evolutionary Simulation Approach Based on System Dynamics. </w:t>
      </w:r>
      <w:r>
        <w:rPr>
          <w:rFonts w:ascii="Palatino Linotype" w:hAnsi="Palatino Linotype" w:eastAsia="Palatino Linotype"/>
          <w:b w:val="0"/>
          <w:i/>
          <w:sz w:val="16"/>
        </w:rPr>
        <w:t xml:space="preserve">Systems </w:t>
      </w:r>
      <w:r>
        <w:rPr>
          <w:rFonts w:ascii="Palatino Linotype" w:hAnsi="Palatino Linotype" w:eastAsia="Palatino Linotype"/>
          <w:b/>
          <w:i w:val="0"/>
          <w:sz w:val="16"/>
        </w:rPr>
        <w:t>2026</w:t>
      </w:r>
      <w:r>
        <w:rPr>
          <w:rFonts w:ascii="Palatino Linotype" w:hAnsi="Palatino Linotype" w:eastAsia="Palatino Linotype"/>
          <w:b w:val="0"/>
          <w:i w:val="0"/>
          <w:sz w:val="16"/>
        </w:rPr>
        <w:t xml:space="preserve">, </w:t>
      </w:r>
      <w:r>
        <w:rPr>
          <w:rFonts w:ascii="Palatino Linotype" w:hAnsi="Palatino Linotype" w:eastAsia="Palatino Linotype"/>
          <w:b w:val="0"/>
          <w:i/>
          <w:sz w:val="16"/>
        </w:rPr>
        <w:t>14</w:t>
      </w:r>
      <w:r>
        <w:rPr>
          <w:rFonts w:ascii="Palatino Linotype" w:hAnsi="Palatino Linotype" w:eastAsia="Palatino Linotype"/>
          <w:b w:val="0"/>
          <w:i w:val="0"/>
          <w:sz w:val="16"/>
        </w:rPr>
        <w:t>, 737</w:t>
      </w:r>
      <w:r>
        <w:rPr>
          <w:rFonts w:ascii="Palatino Linotype" w:hAnsi="Palatino Linotype" w:eastAsia="Palatino Linotype"/>
          <w:b w:val="0"/>
          <w:i w:val="0"/>
          <w:sz w:val="16"/>
        </w:rPr>
        <w:t>.</w:t>
      </w:r>
    </w:p>
    <w:p>
      <w:pPr>
        <w:spacing w:before="40" w:after="60"/>
        <w:jc w:val="both"/>
      </w:pPr>
      <w:r>
        <w:rPr>
          <w:rFonts w:ascii="Palatino Linotype" w:hAnsi="Palatino Linotype" w:eastAsia="Palatino Linotype"/>
          <w:b/>
          <w:i/>
          <w:sz w:val="17"/>
        </w:rPr>
        <w:t>Disclaimer/Publisher’s Note:</w:t>
      </w:r>
      <w:r>
        <w:rPr>
          <w:rFonts w:ascii="Palatino Linotype" w:hAnsi="Palatino Linotype" w:eastAsia="Palatino Linotype"/>
          <w:b w:val="0"/>
          <w:i w:val="0"/>
          <w:sz w:val="17"/>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r:id="rId7" w:type="first"/>
      <w:footerReference r:id="rId9" w:type="first"/>
      <w:headerReference r:id="rId5" w:type="default"/>
      <w:footerReference r:id="rId8" w:type="default"/>
      <w:headerReference r:id="rId6" w:type="even"/>
      <w:pgSz w:w="11906" w:h="16838"/>
      <w:pgMar w:top="1417" w:right="720" w:bottom="907" w:left="720" w:header="720" w:footer="612" w:gutter="0"/>
      <w:lnNumType w:countBy="1" w:distance="255" w:restart="continuous"/>
      <w:pgNumType w:start="1"/>
      <w:cols w:space="425"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rdia New">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ＭＳ 明朝">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C723B7">
    <w:pPr>
      <w:pStyle w:val="24"/>
      <w:spacing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C9B57">
    <w:pPr>
      <w:pBdr>
        <w:top w:val="single" w:color="000000" w:sz="4" w:space="0"/>
      </w:pBdr>
      <w:tabs>
        <w:tab w:val="right" w:pos="8844"/>
      </w:tabs>
      <w:adjustRightInd w:val="0"/>
      <w:snapToGrid w:val="0"/>
      <w:spacing w:before="480" w:line="100" w:lineRule="exact"/>
      <w:ind w:left="0" w:leftChars="0" w:firstLine="0" w:firstLineChars="0"/>
      <w:jc w:val="left"/>
      <w:rPr>
        <w:i/>
        <w:sz w:val="16"/>
        <w:szCs w:val="16"/>
      </w:rPr>
    </w:pPr>
  </w:p>
  <w:p w14:paraId="2F5022B6">
    <w:pPr>
      <w:tabs>
        <w:tab w:val="right" w:pos="10466"/>
      </w:tabs>
      <w:adjustRightInd w:val="0"/>
      <w:snapToGrid w:val="0"/>
      <w:spacing w:line="240" w:lineRule="auto"/>
      <w:ind w:left="0" w:leftChars="0" w:firstLine="0" w:firstLineChars="0"/>
      <w:rPr>
        <w:sz w:val="16"/>
        <w:szCs w:val="16"/>
      </w:rPr>
    </w:pPr>
    <w:r>
      <w:rPr>
        <w:i/>
        <w:sz w:val="16"/>
        <w:szCs w:val="16"/>
      </w:rPr>
      <w:t xml:space="preserve">Systems </w:t>
    </w:r>
    <w:r>
      <w:rPr>
        <w:b/>
        <w:bCs/>
        <w:iCs/>
        <w:sz w:val="16"/>
        <w:szCs w:val="16"/>
      </w:rPr>
      <w:t>2026</w:t>
    </w:r>
    <w:r>
      <w:rPr>
        <w:bCs/>
        <w:iCs/>
        <w:sz w:val="16"/>
        <w:szCs w:val="16"/>
      </w:rPr>
      <w:t>,</w:t>
    </w:r>
    <w:r>
      <w:rPr>
        <w:bCs/>
        <w:i/>
        <w:iCs/>
        <w:sz w:val="16"/>
        <w:szCs w:val="16"/>
      </w:rPr>
      <w:t xml:space="preserve"> 14</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0740F5">
    <w:pPr>
      <w:tabs>
        <w:tab w:val="right" w:pos="10466"/>
      </w:tabs>
      <w:adjustRightInd w:val="0"/>
      <w:snapToGrid w:val="0"/>
      <w:spacing w:line="240" w:lineRule="auto"/>
      <w:ind w:left="0" w:leftChars="0" w:firstLine="0" w:firstLineChars="0"/>
      <w:rPr>
        <w:sz w:val="16"/>
      </w:rPr>
    </w:pPr>
    <w:r>
      <w:rPr>
        <w:i/>
        <w:sz w:val="16"/>
      </w:rPr>
      <w:t xml:space="preserve">Systems </w:t>
    </w:r>
    <w:r>
      <w:rPr>
        <w:b/>
        <w:sz w:val="16"/>
      </w:rPr>
      <w:t>2026</w:t>
    </w:r>
    <w:r>
      <w:rPr>
        <w:sz w:val="16"/>
      </w:rPr>
      <w:t>,</w:t>
    </w:r>
    <w:r>
      <w:rPr>
        <w:i/>
        <w:sz w:val="16"/>
      </w:rPr>
      <w:t xml:space="preserve"> 14</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8</w:t>
    </w:r>
    <w:r>
      <w:rPr>
        <w:sz w:val="16"/>
      </w:rPr>
      <w:fldChar w:fldCharType="end"/>
    </w:r>
  </w:p>
  <w:p w14:paraId="2153CD40">
    <w:pPr>
      <w:pBdr>
        <w:bottom w:val="single" w:color="000000" w:sz="4" w:space="1"/>
      </w:pBdr>
      <w:tabs>
        <w:tab w:val="right" w:pos="8844"/>
      </w:tabs>
      <w:adjustRightInd w:val="0"/>
      <w:snapToGrid w:val="0"/>
      <w:spacing w:after="480" w:line="100" w:lineRule="exact"/>
      <w:ind w:left="0" w:leftChars="0" w:firstLine="0" w:firstLineChars="0"/>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89A58">
    <w:pPr>
      <w:pStyle w:val="25"/>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2"/>
      <w:tblW w:w="10487" w:type="dxa"/>
      <w:tblInd w:w="0" w:type="dxa"/>
      <w:tblLayout w:type="autofit"/>
      <w:tblCellMar>
        <w:top w:w="0" w:type="dxa"/>
        <w:left w:w="0" w:type="dxa"/>
        <w:bottom w:w="0" w:type="dxa"/>
        <w:right w:w="0" w:type="dxa"/>
      </w:tblCellMar>
    </w:tblPr>
    <w:tblGrid>
      <w:gridCol w:w="3348"/>
      <w:gridCol w:w="3681"/>
      <w:gridCol w:w="3458"/>
    </w:tblGrid>
    <w:tr w14:paraId="4226598C">
      <w:tblPrEx>
        <w:tblCellMar>
          <w:top w:w="0" w:type="dxa"/>
          <w:left w:w="0" w:type="dxa"/>
          <w:bottom w:w="0" w:type="dxa"/>
          <w:right w:w="0" w:type="dxa"/>
        </w:tblCellMar>
      </w:tblPrEx>
      <w:trPr>
        <w:trHeight w:val="686" w:hRule="atLeast"/>
      </w:trPr>
      <w:tc>
        <w:tcPr>
          <w:tcW w:w="3679" w:type="dxa"/>
          <w:shd w:val="clear" w:color="auto" w:fill="auto"/>
          <w:vAlign w:val="center"/>
        </w:tcPr>
        <w:p w14:paraId="423ABCDF">
          <w:pPr>
            <w:pBdr>
              <w:bottom w:val="none" w:color="auto" w:sz="0" w:space="0"/>
            </w:pBdr>
            <w:tabs>
              <w:tab w:val="center" w:pos="4153"/>
              <w:tab w:val="right" w:pos="8306"/>
            </w:tabs>
            <w:snapToGrid w:val="0"/>
            <w:spacing w:line="240" w:lineRule="atLeast"/>
            <w:ind w:left="0" w:leftChars="0" w:firstLine="0" w:firstLineChars="0"/>
            <w:jc w:val="left"/>
            <w:rPr>
              <w:rFonts w:ascii="Palatino Linotype" w:hAnsi="Palatino Linotype" w:eastAsia="等线" w:cs="Times New Roman"/>
              <w:b/>
              <w:bCs/>
              <w:color w:val="000000"/>
              <w:szCs w:val="18"/>
              <w:lang w:val="en-US" w:eastAsia="zh-CN" w:bidi="ar-SA"/>
            </w:rPr>
          </w:pPr>
          <w:bookmarkStart w:id="0" w:name="_GoBack"/>
          <w:bookmarkEnd w:id="0"/>
          <w:r>
            <w:rPr>
              <w:rFonts w:ascii="Palatino Linotype" w:hAnsi="Palatino Linotype" w:eastAsia="等线" w:cs="Times New Roman"/>
              <w:b/>
              <w:bCs/>
              <w:color w:val="000000"/>
              <w:szCs w:val="18"/>
              <w:lang w:val="en-US" w:eastAsia="zh-CN" w:bidi="ar-SA"/>
            </w:rPr>
            <w:drawing>
              <wp:inline distT="0" distB="0" distL="0" distR="0">
                <wp:extent cx="1210310" cy="4318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Picture 1"/>
                        <pic:cNvPicPr>
                          <a:picLocks noChangeAspect="1"/>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25CBB318">
          <w:pPr>
            <w:pBdr>
              <w:bottom w:val="none" w:color="auto" w:sz="0" w:space="0"/>
            </w:pBdr>
            <w:tabs>
              <w:tab w:val="center" w:pos="4153"/>
              <w:tab w:val="right" w:pos="8306"/>
            </w:tabs>
            <w:snapToGrid w:val="0"/>
            <w:spacing w:line="240" w:lineRule="atLeast"/>
            <w:jc w:val="center"/>
            <w:rPr>
              <w:rFonts w:ascii="Palatino Linotype" w:hAnsi="Palatino Linotype" w:eastAsia="等线" w:cs="Times New Roman"/>
              <w:b/>
              <w:bCs/>
              <w:color w:val="000000"/>
              <w:szCs w:val="18"/>
              <w:lang w:val="en-US" w:eastAsia="zh-CN" w:bidi="ar-SA"/>
            </w:rPr>
          </w:pPr>
        </w:p>
      </w:tc>
      <w:tc>
        <w:tcPr>
          <w:tcW w:w="2273" w:type="dxa"/>
          <w:shd w:val="clear" w:color="auto" w:fill="auto"/>
          <w:vAlign w:val="center"/>
        </w:tcPr>
        <w:p w14:paraId="6FB1F5E1">
          <w:pPr>
            <w:pBdr>
              <w:bottom w:val="none" w:color="auto" w:sz="0" w:space="0"/>
            </w:pBdr>
            <w:tabs>
              <w:tab w:val="center" w:pos="4153"/>
              <w:tab w:val="right" w:pos="8306"/>
            </w:tabs>
            <w:snapToGrid w:val="0"/>
            <w:spacing w:line="240" w:lineRule="atLeast"/>
            <w:jc w:val="right"/>
            <w:rPr>
              <w:rFonts w:ascii="Palatino Linotype" w:hAnsi="Palatino Linotype" w:eastAsia="等线" w:cs="Times New Roman"/>
              <w:b/>
              <w:bCs/>
              <w:color w:val="000000"/>
              <w:szCs w:val="18"/>
              <w:lang w:val="en-US" w:eastAsia="zh-CN" w:bidi="ar-SA"/>
            </w:rPr>
          </w:pPr>
          <w:r>
            <w:rPr>
              <w:rFonts w:ascii="Palatino Linotype" w:hAnsi="Palatino Linotype" w:eastAsia="等线" w:cs="Times New Roman"/>
              <w:b/>
              <w:bCs/>
              <w:color w:val="000000"/>
              <w:szCs w:val="18"/>
              <w:lang w:val="en-US" w:eastAsia="zh-CN" w:bidi="ar-SA"/>
            </w:rPr>
            <w:drawing>
              <wp:inline distT="0" distB="0" distL="0" distR="0">
                <wp:extent cx="539750" cy="35941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3157C9B5">
    <w:pPr>
      <w:pBdr>
        <w:bottom w:val="single" w:color="000000" w:sz="4" w:space="1"/>
      </w:pBdr>
      <w:adjustRightInd w:val="0"/>
      <w:snapToGrid w:val="0"/>
      <w:spacing w:before="120" w:line="100" w:lineRule="exact"/>
      <w:ind w:left="2608" w:leftChars="0" w:hanging="2608" w:hangingChars="1304"/>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8BF5A03"/>
    <w:rsid w:val="254231D3"/>
    <w:rsid w:val="26DA06A5"/>
    <w:rsid w:val="351249F2"/>
    <w:rsid w:val="3CFB752B"/>
    <w:rsid w:val="404C1D99"/>
    <w:rsid w:val="5E2667A2"/>
    <w:rsid w:val="5F3202A9"/>
    <w:rsid w:val="6E4A65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280" w:lineRule="atLeast"/>
      <w:ind w:left="2608"/>
      <w:jc w:val="both"/>
    </w:pPr>
    <w:rPr>
      <w:rFonts w:ascii="Palatino Linotype" w:hAnsi="Palatino Linotype" w:eastAsia="Palatino Linotype" w:cstheme="minorBidi"/>
      <w:sz w:val="20"/>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67"/>
    <w:qFormat/>
    <w:uiPriority w:val="99"/>
    <w:pPr>
      <w:tabs>
        <w:tab w:val="center" w:pos="4680"/>
        <w:tab w:val="right" w:pos="9360"/>
      </w:tabs>
      <w:snapToGrid w:val="0"/>
      <w:spacing w:line="240" w:lineRule="atLeast"/>
    </w:pPr>
    <w:rPr>
      <w:szCs w:val="18"/>
    </w:rPr>
  </w:style>
  <w:style w:type="paragraph" w:styleId="25">
    <w:name w:val="header"/>
    <w:basedOn w:val="1"/>
    <w:link w:val="168"/>
    <w:qFormat/>
    <w:uiPriority w:val="99"/>
    <w:pPr>
      <w:pBdr>
        <w:bottom w:val="single" w:color="auto" w:sz="6" w:space="1"/>
      </w:pBdr>
      <w:tabs>
        <w:tab w:val="center" w:pos="4680"/>
        <w:tab w:val="right" w:pos="9360"/>
      </w:tabs>
      <w:snapToGrid w:val="0"/>
      <w:spacing w:line="240" w:lineRule="atLeast"/>
      <w:jc w:val="center"/>
    </w:pPr>
    <w:rPr>
      <w:szCs w:val="18"/>
    </w:r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page number"/>
    <w:qFormat/>
    <w:uiPriority w:val="0"/>
  </w:style>
  <w:style w:type="character" w:styleId="135">
    <w:name w:val="Emphasis"/>
    <w:basedOn w:val="132"/>
    <w:qFormat/>
    <w:uiPriority w:val="20"/>
    <w:rPr>
      <w:i/>
      <w:iCs/>
    </w:rPr>
  </w:style>
  <w:style w:type="character" w:styleId="136">
    <w:name w:val="Hyperlink"/>
    <w:basedOn w:val="132"/>
    <w:semiHidden/>
    <w:unhideWhenUsed/>
    <w:qFormat/>
    <w:uiPriority w:val="99"/>
    <w:rPr>
      <w:color w:val="0000FF"/>
      <w:u w:val="single"/>
    </w:rPr>
  </w:style>
  <w:style w:type="character" w:customStyle="1" w:styleId="137">
    <w:name w:val="Header Char"/>
    <w:basedOn w:val="132"/>
    <w:link w:val="25"/>
    <w:qFormat/>
    <w:uiPriority w:val="99"/>
  </w:style>
  <w:style w:type="character" w:customStyle="1" w:styleId="138">
    <w:name w:val="Footer Char"/>
    <w:basedOn w:val="132"/>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2"/>
    <w:link w:val="19"/>
    <w:qFormat/>
    <w:uiPriority w:val="99"/>
  </w:style>
  <w:style w:type="character" w:customStyle="1" w:styleId="147">
    <w:name w:val="Body Text 2 Char"/>
    <w:basedOn w:val="132"/>
    <w:link w:val="28"/>
    <w:qFormat/>
    <w:uiPriority w:val="99"/>
  </w:style>
  <w:style w:type="character" w:customStyle="1" w:styleId="148">
    <w:name w:val="Body Text 3 Char"/>
    <w:basedOn w:val="132"/>
    <w:link w:val="17"/>
    <w:qFormat/>
    <w:uiPriority w:val="99"/>
    <w:rPr>
      <w:sz w:val="16"/>
      <w:szCs w:val="16"/>
    </w:rPr>
  </w:style>
  <w:style w:type="character" w:customStyle="1" w:styleId="149">
    <w:name w:val="Macro Text Char"/>
    <w:basedOn w:val="132"/>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2"/>
    <w:link w:val="150"/>
    <w:qFormat/>
    <w:uiPriority w:val="29"/>
    <w:rPr>
      <w:i/>
      <w:iCs/>
      <w:color w:val="000000" w:themeColor="text1"/>
      <w14:textFill>
        <w14:solidFill>
          <w14:schemeClr w14:val="tx1"/>
        </w14:solidFill>
      </w14:textFill>
    </w:rPr>
  </w:style>
  <w:style w:type="character" w:customStyle="1" w:styleId="152">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2"/>
    <w:link w:val="158"/>
    <w:qFormat/>
    <w:uiPriority w:val="30"/>
    <w:rPr>
      <w:b/>
      <w:bCs/>
      <w:i/>
      <w:iCs/>
      <w:color w:val="4F81BD" w:themeColor="accent1"/>
      <w14:textFill>
        <w14:solidFill>
          <w14:schemeClr w14:val="accent1"/>
        </w14:solidFill>
      </w14:textFill>
    </w:rPr>
  </w:style>
  <w:style w:type="character" w:customStyle="1" w:styleId="160">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2"/>
    <w:qFormat/>
    <w:uiPriority w:val="21"/>
    <w:rPr>
      <w:b/>
      <w:bCs/>
      <w:i/>
      <w:iCs/>
      <w:color w:val="4F81BD" w:themeColor="accent1"/>
      <w14:textFill>
        <w14:solidFill>
          <w14:schemeClr w14:val="accent1"/>
        </w14:solidFill>
      </w14:textFill>
    </w:rPr>
  </w:style>
  <w:style w:type="character" w:customStyle="1" w:styleId="162">
    <w:name w:val="Subtle Reference"/>
    <w:basedOn w:val="132"/>
    <w:qFormat/>
    <w:uiPriority w:val="31"/>
    <w:rPr>
      <w:smallCaps/>
      <w:color w:val="C0504D" w:themeColor="accent2"/>
      <w:u w:val="single"/>
      <w14:textFill>
        <w14:solidFill>
          <w14:schemeClr w14:val="accent2"/>
        </w14:solidFill>
      </w14:textFill>
    </w:rPr>
  </w:style>
  <w:style w:type="character" w:customStyle="1" w:styleId="163">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2"/>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MDPINormalBase"/>
    <w:qFormat/>
    <w:uiPriority w:val="0"/>
    <w:pPr>
      <w:spacing w:line="280" w:lineRule="atLeast"/>
      <w:jc w:val="both"/>
    </w:pPr>
    <w:rPr>
      <w:rFonts w:ascii="Palatino Linotype" w:hAnsi="Palatino Linotype" w:eastAsiaTheme="minorEastAsia" w:cstheme="minorBidi"/>
      <w:color w:val="000000"/>
    </w:rPr>
  </w:style>
  <w:style w:type="character" w:customStyle="1" w:styleId="167">
    <w:name w:val="Footer Char1"/>
    <w:link w:val="24"/>
    <w:qFormat/>
    <w:uiPriority w:val="99"/>
    <w:rPr>
      <w:rFonts w:ascii="Palatino Linotype" w:hAnsi="Palatino Linotype"/>
      <w:color w:val="000000"/>
      <w:szCs w:val="18"/>
    </w:rPr>
  </w:style>
  <w:style w:type="character" w:customStyle="1" w:styleId="168">
    <w:name w:val="Header Char1"/>
    <w:link w:val="25"/>
    <w:qFormat/>
    <w:uiPriority w:val="99"/>
    <w:rPr>
      <w:rFonts w:ascii="Palatino Linotype" w:hAnsi="Palatino Linotype"/>
      <w:color w:val="000000"/>
      <w:szCs w:val="18"/>
    </w:rPr>
  </w:style>
  <w:style w:type="paragraph" w:customStyle="1" w:styleId="169">
    <w:name w:val="MDPI_1.1_article_type"/>
    <w:next w:val="166"/>
    <w:qFormat/>
    <w:uiPriority w:val="0"/>
    <w:pPr>
      <w:adjustRightInd w:val="0"/>
      <w:snapToGrid w:val="0"/>
      <w:spacing w:before="240"/>
    </w:pPr>
    <w:rPr>
      <w:rFonts w:ascii="Palatino Linotype" w:hAnsi="Palatino Linotype" w:eastAsia="Times New Roman" w:cstheme="minorBidi"/>
      <w:i/>
      <w:snapToGrid w:val="0"/>
      <w:color w:val="000000"/>
      <w:szCs w:val="22"/>
      <w:lang w:eastAsia="de-DE" w:bidi="en-US"/>
    </w:rPr>
  </w:style>
  <w:style w:type="paragraph" w:customStyle="1" w:styleId="170">
    <w:name w:val="MDPI_1.2_title"/>
    <w:next w:val="166"/>
    <w:qFormat/>
    <w:uiPriority w:val="0"/>
    <w:pPr>
      <w:adjustRightInd w:val="0"/>
      <w:snapToGrid w:val="0"/>
      <w:spacing w:after="240" w:line="240" w:lineRule="atLeast"/>
    </w:pPr>
    <w:rPr>
      <w:rFonts w:ascii="Palatino Linotype" w:hAnsi="Palatino Linotype" w:eastAsia="Times New Roman" w:cstheme="minorBidi"/>
      <w:b/>
      <w:snapToGrid w:val="0"/>
      <w:color w:val="000000"/>
      <w:sz w:val="36"/>
      <w:lang w:eastAsia="de-DE" w:bidi="en-US"/>
    </w:rPr>
  </w:style>
  <w:style w:type="paragraph" w:customStyle="1" w:styleId="171">
    <w:name w:val="MDPI_1.3_authornames"/>
    <w:next w:val="1"/>
    <w:qFormat/>
    <w:uiPriority w:val="0"/>
    <w:pPr>
      <w:adjustRightInd w:val="0"/>
      <w:snapToGrid w:val="0"/>
      <w:spacing w:after="360" w:line="260" w:lineRule="atLeast"/>
    </w:pPr>
    <w:rPr>
      <w:rFonts w:ascii="Palatino Linotype" w:hAnsi="Palatino Linotype" w:eastAsia="Times New Roman" w:cstheme="minorBidi"/>
      <w:b/>
      <w:color w:val="000000"/>
      <w:szCs w:val="22"/>
      <w:lang w:eastAsia="de-DE" w:bidi="en-US"/>
    </w:rPr>
  </w:style>
  <w:style w:type="paragraph" w:customStyle="1" w:styleId="172">
    <w:name w:val="MDPI_1.4_history"/>
    <w:basedOn w:val="166"/>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173">
    <w:name w:val="MDPI_1.5_academic_editor"/>
    <w:qFormat/>
    <w:uiPriority w:val="0"/>
    <w:pPr>
      <w:adjustRightInd w:val="0"/>
      <w:snapToGrid w:val="0"/>
      <w:spacing w:before="120" w:line="240" w:lineRule="atLeast"/>
      <w:ind w:right="113"/>
    </w:pPr>
    <w:rPr>
      <w:rFonts w:ascii="Palatino Linotype" w:hAnsi="Palatino Linotype" w:eastAsia="Times New Roman" w:cstheme="minorBidi"/>
      <w:color w:val="000000"/>
      <w:sz w:val="14"/>
      <w:szCs w:val="22"/>
      <w:lang w:eastAsia="de-DE" w:bidi="en-US"/>
    </w:rPr>
  </w:style>
  <w:style w:type="paragraph" w:customStyle="1" w:styleId="174">
    <w:name w:val="MDPI_1.6_affiliation"/>
    <w:qFormat/>
    <w:uiPriority w:val="0"/>
    <w:pPr>
      <w:adjustRightInd w:val="0"/>
      <w:snapToGrid w:val="0"/>
      <w:spacing w:line="200" w:lineRule="atLeast"/>
      <w:ind w:left="2806" w:hanging="198"/>
    </w:pPr>
    <w:rPr>
      <w:rFonts w:ascii="Palatino Linotype" w:hAnsi="Palatino Linotype" w:eastAsia="Times New Roman" w:cstheme="minorBidi"/>
      <w:color w:val="000000"/>
      <w:sz w:val="16"/>
      <w:szCs w:val="18"/>
      <w:lang w:eastAsia="de-DE" w:bidi="en-US"/>
    </w:rPr>
  </w:style>
  <w:style w:type="paragraph" w:customStyle="1" w:styleId="175">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heme="minorBidi"/>
      <w:color w:val="000000"/>
      <w:szCs w:val="22"/>
      <w:lang w:eastAsia="de-DE" w:bidi="en-US"/>
    </w:rPr>
  </w:style>
  <w:style w:type="paragraph" w:customStyle="1" w:styleId="176">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77">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eastAsia="de-DE" w:bidi="en-US"/>
    </w:rPr>
  </w:style>
  <w:style w:type="paragraph" w:customStyle="1" w:styleId="178">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heme="minorBidi"/>
      <w:b/>
      <w:snapToGrid w:val="0"/>
      <w:color w:val="000000"/>
      <w:sz w:val="24"/>
      <w:szCs w:val="22"/>
      <w:lang w:eastAsia="de-DE" w:bidi="en-US"/>
    </w:rPr>
  </w:style>
  <w:style w:type="paragraph" w:customStyle="1" w:styleId="179">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heme="minorBidi"/>
      <w:i/>
      <w:snapToGrid w:val="0"/>
      <w:color w:val="000000"/>
      <w:szCs w:val="22"/>
      <w:lang w:eastAsia="de-DE" w:bidi="en-US"/>
    </w:rPr>
  </w:style>
  <w:style w:type="paragraph" w:customStyle="1" w:styleId="180">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heme="minorBidi"/>
      <w:snapToGrid w:val="0"/>
      <w:color w:val="000000"/>
      <w:szCs w:val="22"/>
      <w:lang w:eastAsia="de-DE" w:bidi="en-US"/>
    </w:rPr>
  </w:style>
  <w:style w:type="paragraph" w:customStyle="1" w:styleId="181">
    <w:name w:val="MDPI_3.1_tex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2">
    <w:name w:val="MDPI_3.2_text_no_indent"/>
    <w:basedOn w:val="181"/>
    <w:qFormat/>
    <w:uiPriority w:val="0"/>
    <w:pPr>
      <w:ind w:firstLine="0"/>
    </w:pPr>
  </w:style>
  <w:style w:type="paragraph" w:customStyle="1" w:styleId="183">
    <w:name w:val="MDPI_3.3_text_space_after"/>
    <w:qFormat/>
    <w:uiPriority w:val="0"/>
    <w:pPr>
      <w:adjustRightInd w:val="0"/>
      <w:snapToGrid w:val="0"/>
      <w:spacing w:after="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4">
    <w:name w:val="MDPI_3.4_text_space_before"/>
    <w:qFormat/>
    <w:uiPriority w:val="0"/>
    <w:pPr>
      <w:adjustRightInd w:val="0"/>
      <w:snapToGrid w:val="0"/>
      <w:spacing w:before="24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5">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heme="minorBidi"/>
      <w:snapToGrid w:val="0"/>
      <w:color w:val="000000"/>
      <w:szCs w:val="22"/>
      <w:lang w:eastAsia="de-DE" w:bidi="en-US"/>
    </w:rPr>
  </w:style>
  <w:style w:type="paragraph" w:customStyle="1" w:styleId="186">
    <w:name w:val="MDPI_3.6_text_after_list"/>
    <w:qFormat/>
    <w:uiPriority w:val="0"/>
    <w:pPr>
      <w:adjustRightInd w:val="0"/>
      <w:snapToGrid w:val="0"/>
      <w:spacing w:before="120" w:line="280" w:lineRule="atLeast"/>
      <w:ind w:left="2608"/>
      <w:jc w:val="both"/>
    </w:pPr>
    <w:rPr>
      <w:rFonts w:ascii="Palatino Linotype" w:hAnsi="Palatino Linotype" w:eastAsia="Times New Roman" w:cstheme="minorBidi"/>
      <w:snapToGrid w:val="0"/>
      <w:color w:val="000000"/>
      <w:szCs w:val="22"/>
      <w:lang w:eastAsia="de-DE" w:bidi="en-US"/>
    </w:rPr>
  </w:style>
  <w:style w:type="paragraph" w:customStyle="1" w:styleId="187">
    <w:name w:val="MDPI_3.7_itemize"/>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8">
    <w:name w:val="MDPI_3.8_bullet"/>
    <w:qFormat/>
    <w:uiPriority w:val="0"/>
    <w:pPr>
      <w:adjustRightInd w:val="0"/>
      <w:snapToGrid w:val="0"/>
      <w:spacing w:line="280" w:lineRule="atLeast"/>
      <w:jc w:val="both"/>
    </w:pPr>
    <w:rPr>
      <w:rFonts w:ascii="Palatino Linotype" w:hAnsi="Palatino Linotype" w:eastAsia="Times New Roman" w:cstheme="minorBidi"/>
      <w:color w:val="000000"/>
      <w:szCs w:val="22"/>
      <w:lang w:eastAsia="de-DE" w:bidi="en-US"/>
    </w:rPr>
  </w:style>
  <w:style w:type="paragraph" w:customStyle="1" w:styleId="189">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heme="minorBidi"/>
      <w:snapToGrid w:val="0"/>
      <w:color w:val="000000"/>
      <w:szCs w:val="22"/>
      <w:lang w:eastAsia="de-DE" w:bidi="en-US"/>
    </w:rPr>
  </w:style>
  <w:style w:type="paragraph" w:customStyle="1" w:styleId="190">
    <w:name w:val="MDPI_3.a_equation_number"/>
    <w:qFormat/>
    <w:uiPriority w:val="0"/>
    <w:pPr>
      <w:spacing w:before="120" w:after="120" w:line="280" w:lineRule="atLeast"/>
      <w:jc w:val="right"/>
    </w:pPr>
    <w:rPr>
      <w:rFonts w:ascii="Palatino Linotype" w:hAnsi="Palatino Linotype" w:eastAsia="Times New Roman" w:cstheme="minorBidi"/>
      <w:snapToGrid w:val="0"/>
      <w:color w:val="000000"/>
      <w:szCs w:val="22"/>
      <w:lang w:eastAsia="de-DE" w:bidi="en-US"/>
    </w:rPr>
  </w:style>
  <w:style w:type="paragraph" w:customStyle="1" w:styleId="191">
    <w:name w:val="MDPI_4.1.1_one_table_caption"/>
    <w:qFormat/>
    <w:uiPriority w:val="0"/>
    <w:pPr>
      <w:adjustRightInd w:val="0"/>
      <w:snapToGrid w:val="0"/>
      <w:spacing w:before="240" w:after="120" w:line="280" w:lineRule="atLeast"/>
      <w:jc w:val="center"/>
    </w:pPr>
    <w:rPr>
      <w:rFonts w:ascii="Palatino Linotype" w:hAnsi="Palatino Linotype" w:cs="Cordia New" w:eastAsiaTheme="minorEastAsia"/>
      <w:color w:val="000000"/>
      <w:sz w:val="18"/>
      <w:szCs w:val="22"/>
      <w:lang w:bidi="en-US"/>
    </w:rPr>
  </w:style>
  <w:style w:type="paragraph" w:customStyle="1" w:styleId="19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eastAsia="de-DE" w:bidi="en-US"/>
    </w:rPr>
  </w:style>
  <w:style w:type="table" w:customStyle="1" w:styleId="193">
    <w:name w:val="MDPI_4.1_three_line_table"/>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paragraph" w:customStyle="1" w:styleId="194">
    <w:name w:val="MDPI_4.2_table_body"/>
    <w:qFormat/>
    <w:uiPriority w:val="0"/>
    <w:pPr>
      <w:adjustRightInd w:val="0"/>
      <w:snapToGrid w:val="0"/>
      <w:spacing w:line="260" w:lineRule="atLeast"/>
      <w:jc w:val="center"/>
    </w:pPr>
    <w:rPr>
      <w:rFonts w:ascii="Palatino Linotype" w:hAnsi="Palatino Linotype" w:eastAsia="Times New Roman" w:cstheme="minorBidi"/>
      <w:snapToGrid w:val="0"/>
      <w:color w:val="000000"/>
      <w:lang w:eastAsia="de-DE" w:bidi="en-US"/>
    </w:rPr>
  </w:style>
  <w:style w:type="paragraph" w:customStyle="1" w:styleId="195">
    <w:name w:val="MDPI_4.3_table_footer"/>
    <w:next w:val="181"/>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eastAsia="de-DE" w:bidi="en-US"/>
    </w:rPr>
  </w:style>
  <w:style w:type="paragraph" w:customStyle="1" w:styleId="196">
    <w:name w:val="MDPI_5.1.1_one_figure_caption"/>
    <w:qFormat/>
    <w:uiPriority w:val="0"/>
    <w:pPr>
      <w:adjustRightInd w:val="0"/>
      <w:snapToGrid w:val="0"/>
      <w:spacing w:before="240" w:after="120" w:line="280" w:lineRule="atLeast"/>
      <w:jc w:val="center"/>
    </w:pPr>
    <w:rPr>
      <w:rFonts w:ascii="Palatino Linotype" w:hAnsi="Palatino Linotype" w:eastAsiaTheme="minorEastAsia" w:cstheme="minorBidi"/>
      <w:color w:val="000000"/>
      <w:sz w:val="18"/>
      <w:lang w:bidi="en-US"/>
    </w:rPr>
  </w:style>
  <w:style w:type="paragraph" w:customStyle="1" w:styleId="197">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heme="minorBidi"/>
      <w:color w:val="000000"/>
      <w:sz w:val="18"/>
      <w:lang w:eastAsia="de-DE" w:bidi="en-US"/>
    </w:rPr>
  </w:style>
  <w:style w:type="paragraph" w:customStyle="1" w:styleId="198">
    <w:name w:val="MDPI_5.2_figure"/>
    <w:qFormat/>
    <w:uiPriority w:val="0"/>
    <w:pPr>
      <w:adjustRightInd w:val="0"/>
      <w:snapToGrid w:val="0"/>
      <w:spacing w:before="240" w:after="120"/>
      <w:jc w:val="center"/>
    </w:pPr>
    <w:rPr>
      <w:rFonts w:ascii="Palatino Linotype" w:hAnsi="Palatino Linotype" w:eastAsia="Times New Roman" w:cstheme="minorBidi"/>
      <w:snapToGrid w:val="0"/>
      <w:color w:val="000000"/>
      <w:lang w:eastAsia="de-DE" w:bidi="en-US"/>
    </w:rPr>
  </w:style>
  <w:style w:type="paragraph" w:customStyle="1" w:styleId="199">
    <w:name w:val="MDPI_6.1_citation"/>
    <w:qFormat/>
    <w:uiPriority w:val="0"/>
    <w:pPr>
      <w:adjustRightInd w:val="0"/>
      <w:snapToGrid w:val="0"/>
      <w:spacing w:before="120" w:after="120" w:line="240" w:lineRule="atLeast"/>
      <w:ind w:right="113"/>
    </w:pPr>
    <w:rPr>
      <w:rFonts w:ascii="Palatino Linotype" w:hAnsi="Palatino Linotype" w:cs="Cordia New" w:eastAsiaTheme="minorEastAsia"/>
      <w:sz w:val="14"/>
      <w:szCs w:val="22"/>
    </w:rPr>
  </w:style>
  <w:style w:type="paragraph" w:customStyle="1" w:styleId="200">
    <w:name w:val="MDPI_6.2_back_matter"/>
    <w:qFormat/>
    <w:uiPriority w:val="0"/>
    <w:pPr>
      <w:adjustRightInd w:val="0"/>
      <w:snapToGrid w:val="0"/>
      <w:spacing w:after="120" w:line="280" w:lineRule="atLeast"/>
      <w:ind w:left="2608"/>
      <w:jc w:val="both"/>
    </w:pPr>
    <w:rPr>
      <w:rFonts w:ascii="Palatino Linotype" w:hAnsi="Palatino Linotype" w:eastAsia="Times New Roman" w:cstheme="minorBidi"/>
      <w:snapToGrid w:val="0"/>
      <w:color w:val="000000"/>
      <w:sz w:val="18"/>
      <w:lang w:eastAsia="en-US" w:bidi="en-US"/>
    </w:rPr>
  </w:style>
  <w:style w:type="paragraph" w:customStyle="1" w:styleId="201">
    <w:name w:val="MDPI_6.3_notes"/>
    <w:qFormat/>
    <w:uiPriority w:val="0"/>
    <w:pPr>
      <w:adjustRightInd w:val="0"/>
      <w:snapToGrid w:val="0"/>
      <w:spacing w:before="240" w:line="280" w:lineRule="atLeast"/>
      <w:jc w:val="both"/>
    </w:pPr>
    <w:rPr>
      <w:rFonts w:ascii="Palatino Linotype" w:hAnsi="Palatino Linotype" w:eastAsiaTheme="minorEastAsia" w:cstheme="minorBidi"/>
      <w:snapToGrid w:val="0"/>
      <w:color w:val="000000"/>
      <w:sz w:val="18"/>
      <w:lang w:eastAsia="en-US" w:bidi="en-US"/>
    </w:rPr>
  </w:style>
  <w:style w:type="paragraph" w:customStyle="1" w:styleId="202">
    <w:name w:val="MDPI_7.1_footnotes"/>
    <w:qFormat/>
    <w:uiPriority w:val="0"/>
    <w:pPr>
      <w:adjustRightInd w:val="0"/>
      <w:snapToGrid w:val="0"/>
      <w:spacing w:line="280" w:lineRule="atLeast"/>
    </w:pPr>
    <w:rPr>
      <w:rFonts w:ascii="Palatino Linotype" w:hAnsi="Palatino Linotype" w:eastAsiaTheme="minorEastAsia" w:cstheme="minorBidi"/>
      <w:color w:val="000000"/>
      <w:sz w:val="18"/>
    </w:rPr>
  </w:style>
  <w:style w:type="paragraph" w:customStyle="1" w:styleId="203">
    <w:name w:val="MDPI_7.2_copyright"/>
    <w:qFormat/>
    <w:uiPriority w:val="0"/>
    <w:pPr>
      <w:adjustRightInd w:val="0"/>
      <w:snapToGrid w:val="0"/>
      <w:spacing w:before="120" w:line="240" w:lineRule="atLeast"/>
      <w:ind w:right="113"/>
    </w:pPr>
    <w:rPr>
      <w:rFonts w:ascii="Palatino Linotype" w:hAnsi="Palatino Linotype" w:eastAsia="Times New Roman" w:cstheme="minorBidi"/>
      <w:snapToGrid w:val="0"/>
      <w:color w:val="000000"/>
      <w:sz w:val="14"/>
      <w:lang w:val="en-GB" w:eastAsia="en-GB"/>
    </w:rPr>
  </w:style>
  <w:style w:type="paragraph" w:customStyle="1" w:styleId="204">
    <w:name w:val="MDPI_8.1_references"/>
    <w:qFormat/>
    <w:uiPriority w:val="0"/>
    <w:pPr>
      <w:adjustRightInd w:val="0"/>
      <w:snapToGrid w:val="0"/>
      <w:spacing w:line="280" w:lineRule="atLeast"/>
      <w:jc w:val="both"/>
    </w:pPr>
    <w:rPr>
      <w:rFonts w:ascii="Palatino Linotype" w:hAnsi="Palatino Linotype" w:eastAsia="Times New Roman" w:cstheme="minorBidi"/>
      <w:color w:val="000000"/>
      <w:sz w:val="18"/>
      <w:lang w:eastAsia="de-DE" w:bidi="en-US"/>
    </w:rPr>
  </w:style>
  <w:style w:type="paragraph" w:customStyle="1" w:styleId="205">
    <w:name w:val="MDPI_8.2_theorem"/>
    <w:qFormat/>
    <w:uiPriority w:val="0"/>
    <w:pPr>
      <w:adjustRightInd w:val="0"/>
      <w:snapToGrid w:val="0"/>
      <w:spacing w:line="280" w:lineRule="atLeast"/>
      <w:ind w:left="2608"/>
      <w:jc w:val="both"/>
    </w:pPr>
    <w:rPr>
      <w:rFonts w:ascii="Palatino Linotype" w:hAnsi="Palatino Linotype" w:eastAsia="Times New Roman" w:cstheme="minorBidi"/>
      <w:i/>
      <w:snapToGrid w:val="0"/>
      <w:color w:val="000000"/>
      <w:szCs w:val="22"/>
      <w:lang w:eastAsia="de-DE" w:bidi="en-US"/>
    </w:rPr>
  </w:style>
  <w:style w:type="paragraph" w:customStyle="1" w:styleId="206">
    <w:name w:val="MDPI_8.3_proof"/>
    <w:qFormat/>
    <w:uiPriority w:val="0"/>
    <w:pPr>
      <w:adjustRightInd w:val="0"/>
      <w:snapToGrid w:val="0"/>
      <w:spacing w:line="280" w:lineRule="atLeast"/>
      <w:ind w:left="2608"/>
      <w:jc w:val="both"/>
    </w:pPr>
    <w:rPr>
      <w:rFonts w:ascii="Palatino Linotype" w:hAnsi="Palatino Linotype" w:eastAsia="Times New Roman" w:cstheme="minorBidi"/>
      <w:snapToGrid w:val="0"/>
      <w:color w:val="000000"/>
      <w:szCs w:val="22"/>
      <w:lang w:eastAsia="de-DE" w:bidi="en-US"/>
    </w:rPr>
  </w:style>
  <w:style w:type="table" w:customStyle="1" w:styleId="207">
    <w:name w:val="MDPI_table"/>
    <w:qFormat/>
    <w:uiPriority w:val="99"/>
    <w:rPr>
      <w:rFonts w:ascii="Palatino Linotype" w:hAnsi="Palatino Linotype"/>
      <w:color w:val="000000"/>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4.png"/><Relationship Id="rId12" Type="http://schemas.openxmlformats.org/officeDocument/2006/relationships/image" Target="media/image3.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 Id="rId20" Type="http://schemas.openxmlformats.org/officeDocument/2006/relationships/image" Target="media/fig1_cld.png"/><Relationship Id="rId21" Type="http://schemas.openxmlformats.org/officeDocument/2006/relationships/image" Target="media/fig2_stockflow.png"/><Relationship Id="rId22" Type="http://schemas.openxmlformats.org/officeDocument/2006/relationships/image" Target="media/fig3_baseline.png"/><Relationship Id="rId23" Type="http://schemas.openxmlformats.org/officeDocument/2006/relationships/image" Target="media/fig4_structure.png"/><Relationship Id="rId24" Type="http://schemas.openxmlformats.org/officeDocument/2006/relationships/image" Target="media/fig5_sensitivity.png"/><Relationship Id="rId25" Type="http://schemas.openxmlformats.org/officeDocument/2006/relationships/image" Target="media/fig6_policy.png"/><Relationship Id="rId26" Type="http://schemas.openxmlformats.org/officeDocument/2006/relationships/image" Target="media/fig7_archetypes.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3227</Words>
  <Characters>20618</Characters>
  <Lines>0</Lines>
  <Paragraphs>0</Paragraphs>
  <TotalTime>0</TotalTime>
  <ScaleCrop>false</ScaleCrop>
  <LinksUpToDate>false</LinksUpToDate>
  <CharactersWithSpaces>23746</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蔡鑫宇</cp:lastModifiedBy>
  <dcterms:modified xsi:type="dcterms:W3CDTF">2026-07-07T10:43:54Z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eyJoZGlkIjoiYjkyZmNhZmMwYTRkMzdjNDc0ZDBiODA4ZTNmNjg2YzYiLCJ1c2VySWQiOiI0NTI1MjUxOTgifQ==</vt:lpwstr>
  </property>
  <property fmtid="{D5CDD505-2E9C-101B-9397-08002B2CF9AE}" pid="3" name="KSOProductBuildVer">
    <vt:lpwstr>2052-12.1.0.24031</vt:lpwstr>
  </property>
  <property fmtid="{D5CDD505-2E9C-101B-9397-08002B2CF9AE}" pid="4" name="ICV">
    <vt:lpwstr>FB325D914A584293B29E73A3B8E736C7_13</vt:lpwstr>
  </property>
</Properties>
</file>