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b w:val="0"/>
          <w:i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rPr>
        <w:t>Note to the editor and reviewers: all revisions are marked by colour - text added or modified in response to Reviewer 1 is in red, to Reviewer 2 in blue, and to Reviewer 3 in green. Deleted wording is shown struck through in the colour of the reviewer who prompted its removal.</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rPr>
        <w:t>(1) An improved SBOA variant, namely MSSBOA, is proposed by integrating good point set initialization, lens opposition-based learning and adaptive Cauchy–Gaussian mutation.</w:t>
      </w:r>
      <w:r>
        <w:rPr>
          <w:b w:val="0"/>
          <w:i w:val="0"/>
          <w:color w:val="C0000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b w:val="0"/>
          <w:i w:val="0"/>
          <w:color w:val="C00000"/>
        </w:rPr>
        <w:t>Consider one coordinate axis of the search space, the j-th, restricted to the interval [lb_j, ub_j], and let o_j = (lb_j + ub_j)/2 denote its midpoint. In the optical analogy the midpoint plays the role of the optical centre: a thin convex lens is placed at o_j with its principal axis perpendicular to the coordinate axis, as illustrated in Figure 2a. The current individual is modelled as an object of height h whose base stands on the coordinate axis at x_j. The lens forms an inverted real image of height h* whose base stands at x*_j on the opposite side of the optical centre. The ray through the optical centre is undeviated, so the object triangle and the image triangle share an equal pair of vertically opposite angles at o_j and are therefore similar. Comparing the corresponding sides gives the single geometric relation on which the operator rests, h / h* = (x_j - o_j) / (o_j - x*_j).</w:t>
      </w:r>
    </w:p>
    <w:p w14:paraId="046A6433">
      <w:pPr>
        <w:pStyle w:val="33"/>
        <w:spacing w:after="120" w:line="276" w:lineRule="auto"/>
        <w:jc w:val="both"/>
      </w:pPr>
      <w:r>
        <w:rPr>
          <w:b w:val="0"/>
          <w:i w:val="0"/>
          <w:color w:val="C00000"/>
        </w:rPr>
        <w:t>The tunable scaling factor k is defined as this ratio of object height to image height, k = h / h*. It is therefore not a free numerical constant but the reciprocal of the transverse magnification of the virtual lens, the one physical lens parameter that the operator exposes: k &gt; 1 corresponds to a demagnifying lens and k = 1 to unit magnification. Substituting k into the similarity relation and solving for x*_j gives x*_j = o_j + (o_j - x_j)/k, which, after writing o_j out in terms of the bounds, is exactly Equation (11). Setting k = 1 recovers x*_j = lb_j + ub_j - x_j, that is, classical opposition-based learning, which confirms that the lens formulation contains standard opposition-based learning as the unit-magnification special case.</w:t>
      </w:r>
    </w:p>
    <w:p w14:paraId="046A6433">
      <w:pPr>
        <w:pStyle w:val="33"/>
        <w:spacing w:after="120" w:line="276" w:lineRule="auto"/>
        <w:jc w:val="both"/>
      </w:pPr>
      <w:r>
        <w:rPr>
          <w:b w:val="0"/>
          <w:i w:val="0"/>
          <w:color w:val="C00000"/>
        </w:rPr>
        <w:t>The behaviour of the operator follows directly from the derivation. Equation (11) implies |x*_j - o_j| = |x_j - o_j| / k, so k controls the radius at which the refracted solution is placed about the midpoint of the interval. A small k produces a wide reversal that lands far from the current individual and probes the opposite side of the domain, which is the behaviour required early in the search; a large k contracts the image onto the neighbourhood of o_j, so that the refracted point becomes a fine-grained, low-variance probe of the central region rather than a large jump. Figure 2c plots this contraction ratio 1/k over the course of a run. We take the opportunity to correct a statement in the submitted version, which described a large k as keeping the refracted solution close to the current individual; as the derivation shows, a large k keeps the image close to the midpoint o_j, and it is the amplitude of the reversal, not the distance to the parent, that the factor controls.</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z w:val="20"/>
        </w:rPr>
        <w:t xml:space="preserve">A small </w:t>
      </w:r>
      <m:oMath>
        <m:r>
          <m:rPr/>
          <m:t>k</m:t>
        </m:r>
      </m:oMath>
      <w:r>
        <w:rPr>
          <w:sz w:val="20"/>
        </w:rPr>
        <w:t xml:space="preserve"> in the early stage produces a refracted solution far from the current one, which favors exploration, while a large </w:t>
      </w:r>
      <m:oMath>
        <m:r>
          <m:rPr/>
          <m:t>k</m:t>
        </m:r>
      </m:oMath>
      <w:r>
        <w:rPr>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The functional form of Equation (12), k(t) = (1 + (t/T)^nu)^mu with nu = 1/2 and mu = 10, is fixed by three requirements and one grid search. The requirements are structural. First, k(0) = 1 for any nu and mu, so the operator begins the run as exact opposition-based learning and the refraction is at its most aggressive when the population is still uninformative. Second, k must increase monotonically so that the refraction radius contracts monotonically and the operator hands over from exploration to exploitation without oscillating. Third, k must grow by several orders of magnitude over a run, because the contraction ratio is 1/k and a factor of only a few would leave the operator exploratory to the end; the exponent mu supplies that range cheaply, since k(T) = 2^mu.</w:t>
      </w:r>
    </w:p>
    <w:p w14:paraId="34F7C95E">
      <w:pPr>
        <w:pStyle w:val="33"/>
        <w:spacing w:after="120" w:line="276" w:lineRule="auto"/>
        <w:jc w:val="both"/>
      </w:pPr>
      <w:r>
        <w:rPr>
          <w:b w:val="0"/>
          <w:i w:val="0"/>
          <w:color w:val="C00000"/>
        </w:rPr>
        <w:t>Given those constraints the two exponents are free, and they were selected empirically rather than derived. The root nu governs where the contraction happens: nu = 1 spreads it evenly over the run, whereas nu = 1/2 front-loads it, so that the aggressive reversal is concentrated in the early iterations during which the hunting strategy of SBOA is itself exploratory (Figure 2b). The power mu = 10 sets the terminal contraction at 1/k(T) = 2^-10, which is small enough for the refracted point to act as a local probe but not so small that the operator degenerates into re-evaluating the midpoint. Table 1 reports a grid over both exponents on the CEC2017 suite; the adopted pair is compared there with alternative roots and powers, including the constant k = 1 that reduces the operator to plain opposition-based learning.</w:t>
      </w:r>
    </w:p>
    <w:p w14:paraId="34F7C95E">
      <w:pPr>
        <w:pStyle w:val="33"/>
        <w:spacing w:after="120" w:line="276" w:lineRule="auto"/>
        <w:jc w:val="both"/>
      </w:pPr>
      <w:r>
        <w:rPr>
          <w:b w:val="0"/>
          <w:i w:val="0"/>
          <w:color w:val="C00000"/>
        </w:rPr>
        <w:t>Table 3. Friedman ranking of alternative exponent pairs in the lens scaling schedule k(t) = (1 + (t/T)^nu)^mu, including the constant k = 1 that reduces the operator to plain opposition-based learning.</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34F7C95E">
      <w:pPr>
        <w:pStyle w:val="33"/>
        <w:spacing w:after="120" w:line="276" w:lineRule="auto"/>
        <w:jc w:val="both"/>
      </w:pPr>
    </w:p>
    <w:p w14:paraId="261C862F">
      <w:pPr>
        <w:pStyle w:val="46"/>
        <w:spacing w:before="120" w:after="40"/>
        <w:jc w:val="center"/>
      </w:pPr>
      <w:r>
        <w:drawing>
          <wp:inline distT="0" distB="0" distL="114300" distR="114300">
            <wp:extent cx="4319905" cy="2119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rcRect t="10245"/>
                    <a:stretch>
                      <a:fillRect/>
                    </a:stretch>
                  </pic:blipFill>
                  <pic:spPr>
                    <a:xfrm>
                      <a:off x="0" y="0"/>
                      <a:ext cx="4320000" cy="2119630"/>
                    </a:xfrm>
                    <a:prstGeom prst="rect">
                      <a:avLst/>
                    </a:prstGeom>
                  </pic:spPr>
                </pic:pic>
              </a:graphicData>
            </a:graphic>
          </wp:inline>
        </w:drawing>
      </w:r>
    </w:p>
    <w:p w14:paraId="6C562838">
      <w:pPr>
        <w:pStyle w:val="45"/>
        <w:spacing w:after="160"/>
        <w:jc w:val="center"/>
      </w:pPr>
      <w:r>
        <w:rPr>
          <w:b/>
          <w:sz w:val="18"/>
        </w:rPr>
      </w:r>
      <w:r>
        <w:rPr>
          <w:sz w:val="18"/>
        </w:rPr>
      </w:r>
      <w:r>
        <w:rPr>
          <w:b w:val="0"/>
          <w:i w:val="0"/>
          <w:color w:val="C00000"/>
        </w:rPr>
        <w:t>Figure 2. Convex-lens imaging behind the lens opposition-based learning strategy: (a) the similar-triangle construction that yields Equation (11), in which k = h/h* is the ratio of object height to image height; (b) the dynamic scaling factor of Equation (12) for several exponent pairs; (c) the resulting refraction radius about the interval midpoint.</w:t>
      </w:r>
    </w:p>
    <w:p w14:paraId="6C562838">
      <w:pPr>
        <w:pStyle w:val="45"/>
        <w:spacing w:after="16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14:     Apply lens opposition-based learning to the worst 30%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2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4.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3 and are taken from their original literature.</w:t>
      </w:r>
    </w:p>
    <w:p w14:paraId="370F40A2">
      <w:pPr>
        <w:pStyle w:val="42"/>
        <w:spacing w:before="160" w:after="40"/>
        <w:jc w:val="center"/>
      </w:pPr>
      <w:r>
        <w:rPr>
          <w:b/>
          <w:sz w:val="18"/>
        </w:rPr>
        <w:t xml:space="preserve">Table 5.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4 and Table 5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6.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r>
      <w:r>
        <w:rPr>
          <w:sz w:val="18"/>
        </w:rPr>
      </w:r>
      <w:r>
        <w:rPr>
          <w:b w:val="0"/>
          <w:i w:val="0"/>
          <w:color w:val="00A033"/>
        </w:rPr>
        <w:t>Figure 4. Friedman rankings of MSSBOA with different N_min (alpha = 0.05). The best setting is marked above the corresponding point.</w:t>
      </w:r>
    </w:p>
    <w:p w14:paraId="5296FD17">
      <w:pPr>
        <w:pStyle w:val="45"/>
        <w:spacing w:after="160"/>
        <w:jc w:val="center"/>
      </w:pPr>
      <w:r>
        <w:drawing>
          <wp:inline xmlns:a="http://schemas.openxmlformats.org/drawingml/2006/main" xmlns:pic="http://schemas.openxmlformats.org/drawingml/2006/picture">
            <wp:extent cx="4937760" cy="3222619"/>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4937760" cy="3222619"/>
                    </a:xfrm>
                    <a:prstGeom prst="rect"/>
                  </pic:spPr>
                </pic:pic>
              </a:graphicData>
            </a:graphic>
          </wp:inline>
        </w:drawing>
      </w:r>
    </w:p>
    <w:p w14:paraId="0B56D392">
      <w:pPr>
        <w:pStyle w:val="33"/>
        <w:spacing w:after="120" w:line="276" w:lineRule="auto"/>
        <w:jc w:val="both"/>
      </w:pPr>
      <w:r>
        <w:rPr>
          <w:sz w:val="20"/>
        </w:rPr>
        <w:t xml:space="preserve">As shown in Table 4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7.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r>
      <w:r>
        <w:rPr>
          <w:sz w:val="18"/>
        </w:rPr>
      </w:r>
      <w:r>
        <w:rPr>
          <w:b w:val="0"/>
          <w:i w:val="0"/>
          <w:color w:val="00A033"/>
        </w:rPr>
        <w:t>Figure 5. Friedman rankings of MSSBOA with different p_m (alpha = 0.05). The best setting is marked above the corresponding point.</w:t>
      </w:r>
    </w:p>
    <w:p w14:paraId="0037683C">
      <w:pPr>
        <w:pStyle w:val="45"/>
        <w:spacing w:after="160"/>
        <w:jc w:val="center"/>
      </w:pPr>
      <w:r>
        <w:drawing>
          <wp:inline xmlns:a="http://schemas.openxmlformats.org/drawingml/2006/main" xmlns:pic="http://schemas.openxmlformats.org/drawingml/2006/picture">
            <wp:extent cx="4937760" cy="3222619"/>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4937760" cy="3222619"/>
                    </a:xfrm>
                    <a:prstGeom prst="rect"/>
                  </pic:spPr>
                </pic:pic>
              </a:graphicData>
            </a:graphic>
          </wp:inline>
        </w:drawing>
      </w:r>
    </w:p>
    <w:p w14:paraId="599662F4">
      <w:pPr>
        <w:pStyle w:val="33"/>
        <w:spacing w:after="120" w:line="276" w:lineRule="auto"/>
        <w:jc w:val="both"/>
      </w:pPr>
      <w:r>
        <w:rPr>
          <w:sz w:val="20"/>
        </w:rPr>
        <w:t xml:space="preserve">For the mutation probability, Table 5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6. The four algorithms and the full MSSBOA are independently run 30 times on the CEC2017 suite in four dimensions, and the results are analyzed by the Friedman test. The complete statistical results are reported in Table A1–Table A4 of Appendix A. Table 7 summarizes the Friedman rankings, which are visualized in Figure 6.</w:t>
      </w:r>
    </w:p>
    <w:p w14:paraId="6B8BED5A">
      <w:pPr>
        <w:pStyle w:val="33"/>
        <w:spacing w:after="120" w:line="276" w:lineRule="auto"/>
        <w:jc w:val="both"/>
      </w:pPr>
      <w:r>
        <w:rPr>
          <w:b w:val="0"/>
          <w:i w:val="0"/>
          <w:color w:val="00A033"/>
        </w:rPr>
        <w:t>The submitted version isolated each strategy on its own, which shows that every strategy helps but not whether the three are complementary or partly redundant. To settle that question the ablation is extended here to the complete 2^3 factorial design: all eight combinations of the three strategies, from the basic SBOA to the full MSSBOA, are run under identical conditions. The factorial design allows the average main effect of each strategy to be separated from the interaction between them, and it is the interaction that determines whether combining the three is justified.</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7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[Experiment still running at the time this draft was generated - the table is produced by code/make_tables.py from results/ and will be filled before submission.]</w:t>
      </w:r>
    </w:p>
    <w:p w14:paraId="143081BC">
      <w:pPr>
        <w:pStyle w:val="33"/>
        <w:spacing w:after="120" w:line="276" w:lineRule="auto"/>
        <w:jc w:val="both"/>
      </w:pPr>
      <w:r>
        <w:rPr>
          <w:b w:val="0"/>
          <w:i w:val="0"/>
          <w:color w:val="00A033"/>
        </w:rPr>
        <w:t>Table 14. Full 2^3 factorial ablation of the three strategies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A033"/>
                <w:sz w:val="17"/>
              </w:rPr>
              <w:t>Status</w:t>
            </w:r>
          </w:p>
        </w:tc>
      </w:tr>
      <w:tr>
        <w:tc>
          <w:tcPr>
            <w:tcW w:type="dxa" w:w="10466"/>
          </w:tcPr>
          <w:p>
            <w:pPr>
              <w:jc w:val="left"/>
            </w:pPr>
            <w:r/>
            <w:r>
              <w:rPr>
                <w:b w:val="0"/>
                <w:i w:val="0"/>
                <w:color w:val="00A033"/>
                <w:sz w:val="17"/>
              </w:rPr>
              <w:t>[Experiment still running at the time this draft was generated - the table is produced by code/make_tables.py from results/ and will be filled before submission.]</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9 and visualized in Figure 9. </w:t>
      </w:r>
    </w:p>
    <w:p w14:paraId="4CF3D019">
      <w:pPr>
        <w:pStyle w:val="42"/>
        <w:spacing w:before="160" w:after="40"/>
        <w:jc w:val="center"/>
      </w:pPr>
      <w:r>
        <w:rPr>
          <w:b/>
          <w:sz w:val="18"/>
        </w:rPr>
        <w:t xml:space="preserve">Table 15.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9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10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16.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sz w:val="20"/>
        </w:rPr>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11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11. Distribution of the cases in which MSSBOA is outranked, by CEC2017 function class, pooled over the four dimensions (116 cases per competitor).</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but the submitted version compared MSSBOA only with the basic SBOA, which is not sufficient to locate the proposed framework within the literature. This subsection therefore compares MSSBOA directly with three published SBOA variants and, following the suggestion of a reviewer, with two recent multi-strategy algorithms from outside the SBOA family. The SBOA variants are MISBOA [53], which adds incremental-PID feedback regulation and a co-operative camouflage strategy; CGSBOA [54], which fuses several strategies with a Cauchy–Gaussian crossover on the elite; and LTSBOA [55], which combines logistic-tent chaotic initialization with a crossover strategy. The two external methods are MS-TSA [82], a tree-seed algorithm with a self-adaptive weighting mechanism, chaotic elite learning and experience-based learning, and I-CPA [83], a carnivorous plant algorithm whose exploitation phase is strengthened by a teaching-factor strategy. The base algorithms TSA and CPA are included as well, so that the gain of each variant over its own base can be read off directly rather than assumed.</w:t>
      </w:r>
    </w:p>
    <w:p w14:paraId="2455428D">
      <w:pPr>
        <w:pStyle w:val="33"/>
        <w:spacing w:after="120" w:line="276" w:lineRule="auto"/>
        <w:jc w:val="both"/>
      </w:pPr>
      <w:r>
        <w:rPr>
          <w:b w:val="0"/>
          <w:i w:val="0"/>
          <w:color w:val="0070C0"/>
        </w:rPr>
        <w:t>The source codes of these methods are not publicly distributed, so each was re-implemented following the equations, control parameters and pseudo-code given in the corresponding publication; the implementations are released with this paper so that the comparison can be audited. All algorithms use the population size and evaluation budget of Section 4.1, and every algorithm is charged for every function evaluation it performs, including those consumed by auxiliary operators.</w:t>
      </w:r>
    </w:p>
    <w:p w14:paraId="2455428D">
      <w:pPr>
        <w:pStyle w:val="33"/>
        <w:spacing w:after="120" w:line="276" w:lineRule="auto"/>
        <w:jc w:val="both"/>
      </w:pPr>
      <w:r>
        <w:rPr>
          <w:b w:val="0"/>
          <w:i w:val="0"/>
          <w:color w:val="0070C0"/>
        </w:rPr>
        <w:t>Table 11 reports the Friedman ranking of every algorithm and the Wilcoxon rank-sum outcome of MSSBOA against each of them over the 14 CEC2017 functions, together with the win/tie/loss counts.</w:t>
      </w:r>
    </w:p>
    <w:p w14:paraId="2455428D">
      <w:pPr>
        <w:pStyle w:val="33"/>
        <w:spacing w:after="120" w:line="276" w:lineRule="auto"/>
        <w:jc w:val="both"/>
      </w:pPr>
      <w:r>
        <w:rPr>
          <w:b w:val="0"/>
          <w:i w:val="0"/>
          <w:color w:val="0070C0"/>
        </w:rPr>
        <w:t>Table 12. MSSBOA against three recent SBOA variants and two recent multi-strategy algorithms on the CEC2017 suite.</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0070C0"/>
                <w:sz w:val="17"/>
              </w:rPr>
              <w:t>Algorithm</w:t>
            </w:r>
          </w:p>
        </w:tc>
        <w:tc>
          <w:tcPr>
            <w:tcW w:type="dxa" w:w="2093"/>
          </w:tcPr>
          <w:p>
            <w:pPr>
              <w:jc w:val="center"/>
            </w:pPr>
            <w:r/>
            <w:r>
              <w:rPr>
                <w:b/>
                <w:i w:val="0"/>
                <w:color w:val="0070C0"/>
                <w:sz w:val="17"/>
              </w:rPr>
              <w:t>10D rank</w:t>
            </w:r>
          </w:p>
        </w:tc>
        <w:tc>
          <w:tcPr>
            <w:tcW w:type="dxa" w:w="2093"/>
          </w:tcPr>
          <w:p>
            <w:pPr>
              <w:jc w:val="center"/>
            </w:pPr>
            <w:r/>
            <w:r>
              <w:rPr>
                <w:b/>
                <w:i w:val="0"/>
                <w:color w:val="0070C0"/>
                <w:sz w:val="17"/>
              </w:rPr>
              <w:t>Average rank</w:t>
            </w:r>
          </w:p>
        </w:tc>
        <w:tc>
          <w:tcPr>
            <w:tcW w:type="dxa" w:w="2093"/>
          </w:tcPr>
          <w:p>
            <w:pPr>
              <w:jc w:val="center"/>
            </w:pPr>
            <w:r/>
            <w:r>
              <w:rPr>
                <w:b/>
                <w:i w:val="0"/>
                <w:color w:val="0070C0"/>
                <w:sz w:val="17"/>
              </w:rPr>
              <w:t>Overall rank</w:t>
            </w:r>
          </w:p>
        </w:tc>
        <w:tc>
          <w:tcPr>
            <w:tcW w:type="dxa" w:w="2093"/>
          </w:tcPr>
          <w:p>
            <w:pPr>
              <w:jc w:val="center"/>
            </w:pPr>
            <w:r/>
            <w:r>
              <w:rPr>
                <w:b/>
                <w:i w:val="0"/>
                <w:color w:val="0070C0"/>
                <w:sz w:val="17"/>
              </w:rPr>
              <w:t>MSSBOA vs. (10D, +/=/-)</w:t>
            </w:r>
          </w:p>
        </w:tc>
      </w:tr>
      <w:tr>
        <w:tc>
          <w:tcPr>
            <w:tcW w:type="dxa" w:w="2093"/>
          </w:tcPr>
          <w:p>
            <w:pPr>
              <w:jc w:val="left"/>
            </w:pPr>
            <w:r/>
            <w:r>
              <w:rPr>
                <w:b w:val="0"/>
                <w:i w:val="0"/>
                <w:color w:val="0070C0"/>
                <w:sz w:val="17"/>
              </w:rPr>
              <w:t>MSSBOA</w:t>
            </w:r>
          </w:p>
        </w:tc>
        <w:tc>
          <w:tcPr>
            <w:tcW w:type="dxa" w:w="2093"/>
          </w:tcPr>
          <w:p>
            <w:pPr>
              <w:jc w:val="center"/>
            </w:pPr>
            <w:r/>
            <w:r>
              <w:rPr>
                <w:b w:val="0"/>
                <w:i w:val="0"/>
                <w:color w:val="0070C0"/>
                <w:sz w:val="17"/>
              </w:rPr>
              <w:t>1.929</w:t>
            </w:r>
          </w:p>
        </w:tc>
        <w:tc>
          <w:tcPr>
            <w:tcW w:type="dxa" w:w="2093"/>
          </w:tcPr>
          <w:p>
            <w:pPr>
              <w:jc w:val="center"/>
            </w:pPr>
            <w:r/>
            <w:r>
              <w:rPr>
                <w:b w:val="0"/>
                <w:i w:val="0"/>
                <w:color w:val="0070C0"/>
                <w:sz w:val="17"/>
              </w:rPr>
              <w:t>1.929</w:t>
            </w:r>
          </w:p>
        </w:tc>
        <w:tc>
          <w:tcPr>
            <w:tcW w:type="dxa" w:w="2093"/>
          </w:tcPr>
          <w:p>
            <w:pPr>
              <w:jc w:val="center"/>
            </w:pPr>
            <w:r/>
            <w:r>
              <w:rPr>
                <w:b w:val="0"/>
                <w:i w:val="0"/>
                <w:color w:val="0070C0"/>
                <w:sz w:val="17"/>
              </w:rPr>
              <w:t>1</w:t>
            </w:r>
          </w:p>
        </w:tc>
        <w:tc>
          <w:tcPr>
            <w:tcW w:type="dxa" w:w="2093"/>
          </w:tcPr>
          <w:p>
            <w:pPr>
              <w:jc w:val="center"/>
            </w:pPr>
            <w:r/>
            <w:r>
              <w:rPr>
                <w:b w:val="0"/>
                <w:i w:val="0"/>
                <w:color w:val="0070C0"/>
                <w:sz w:val="17"/>
              </w:rPr>
              <w:t>-</w:t>
            </w:r>
          </w:p>
        </w:tc>
      </w:tr>
      <w:tr>
        <w:tc>
          <w:tcPr>
            <w:tcW w:type="dxa" w:w="2093"/>
          </w:tcPr>
          <w:p>
            <w:pPr>
              <w:jc w:val="left"/>
            </w:pPr>
            <w:r/>
            <w:r>
              <w:rPr>
                <w:b w:val="0"/>
                <w:i w:val="0"/>
                <w:color w:val="0070C0"/>
                <w:sz w:val="17"/>
              </w:rPr>
              <w:t>MISBOA</w:t>
            </w:r>
          </w:p>
        </w:tc>
        <w:tc>
          <w:tcPr>
            <w:tcW w:type="dxa" w:w="2093"/>
          </w:tcPr>
          <w:p>
            <w:pPr>
              <w:jc w:val="center"/>
            </w:pPr>
            <w:r/>
            <w:r>
              <w:rPr>
                <w:b w:val="0"/>
                <w:i w:val="0"/>
                <w:color w:val="0070C0"/>
                <w:sz w:val="17"/>
              </w:rPr>
              <w:t>2.143</w:t>
            </w:r>
          </w:p>
        </w:tc>
        <w:tc>
          <w:tcPr>
            <w:tcW w:type="dxa" w:w="2093"/>
          </w:tcPr>
          <w:p>
            <w:pPr>
              <w:jc w:val="center"/>
            </w:pPr>
            <w:r/>
            <w:r>
              <w:rPr>
                <w:b w:val="0"/>
                <w:i w:val="0"/>
                <w:color w:val="0070C0"/>
                <w:sz w:val="17"/>
              </w:rPr>
              <w:t>2.143</w:t>
            </w:r>
          </w:p>
        </w:tc>
        <w:tc>
          <w:tcPr>
            <w:tcW w:type="dxa" w:w="2093"/>
          </w:tcPr>
          <w:p>
            <w:pPr>
              <w:jc w:val="center"/>
            </w:pPr>
            <w:r/>
            <w:r>
              <w:rPr>
                <w:b w:val="0"/>
                <w:i w:val="0"/>
                <w:color w:val="0070C0"/>
                <w:sz w:val="17"/>
              </w:rPr>
              <w:t>3</w:t>
            </w:r>
          </w:p>
        </w:tc>
        <w:tc>
          <w:tcPr>
            <w:tcW w:type="dxa" w:w="2093"/>
          </w:tcPr>
          <w:p>
            <w:pPr>
              <w:jc w:val="center"/>
            </w:pPr>
            <w:r/>
            <w:r>
              <w:rPr>
                <w:b w:val="0"/>
                <w:i w:val="0"/>
                <w:color w:val="0070C0"/>
                <w:sz w:val="17"/>
              </w:rPr>
              <w:t>7/4/3</w:t>
            </w:r>
          </w:p>
        </w:tc>
      </w:tr>
      <w:tr>
        <w:tc>
          <w:tcPr>
            <w:tcW w:type="dxa" w:w="2093"/>
          </w:tcPr>
          <w:p>
            <w:pPr>
              <w:jc w:val="left"/>
            </w:pPr>
            <w:r/>
            <w:r>
              <w:rPr>
                <w:b w:val="0"/>
                <w:i w:val="0"/>
                <w:color w:val="0070C0"/>
                <w:sz w:val="17"/>
              </w:rPr>
              <w:t>SBOA</w:t>
            </w:r>
          </w:p>
        </w:tc>
        <w:tc>
          <w:tcPr>
            <w:tcW w:type="dxa" w:w="2093"/>
          </w:tcPr>
          <w:p>
            <w:pPr>
              <w:jc w:val="center"/>
            </w:pPr>
            <w:r/>
            <w:r>
              <w:rPr>
                <w:b w:val="0"/>
                <w:i w:val="0"/>
                <w:color w:val="0070C0"/>
                <w:sz w:val="17"/>
              </w:rPr>
              <w:t>1.929</w:t>
            </w:r>
          </w:p>
        </w:tc>
        <w:tc>
          <w:tcPr>
            <w:tcW w:type="dxa" w:w="2093"/>
          </w:tcPr>
          <w:p>
            <w:pPr>
              <w:jc w:val="center"/>
            </w:pPr>
            <w:r/>
            <w:r>
              <w:rPr>
                <w:b w:val="0"/>
                <w:i w:val="0"/>
                <w:color w:val="0070C0"/>
                <w:sz w:val="17"/>
              </w:rPr>
              <w:t>1.929</w:t>
            </w:r>
          </w:p>
        </w:tc>
        <w:tc>
          <w:tcPr>
            <w:tcW w:type="dxa" w:w="2093"/>
          </w:tcPr>
          <w:p>
            <w:pPr>
              <w:jc w:val="center"/>
            </w:pPr>
            <w:r/>
            <w:r>
              <w:rPr>
                <w:b w:val="0"/>
                <w:i w:val="0"/>
                <w:color w:val="0070C0"/>
                <w:sz w:val="17"/>
              </w:rPr>
              <w:t>2</w:t>
            </w:r>
          </w:p>
        </w:tc>
        <w:tc>
          <w:tcPr>
            <w:tcW w:type="dxa" w:w="2093"/>
          </w:tcPr>
          <w:p>
            <w:pPr>
              <w:jc w:val="center"/>
            </w:pPr>
            <w:r/>
            <w:r>
              <w:rPr>
                <w:b w:val="0"/>
                <w:i w:val="0"/>
                <w:color w:val="0070C0"/>
                <w:sz w:val="17"/>
              </w:rPr>
              <w:t>0/12/2</w:t>
            </w:r>
          </w:p>
        </w:tc>
      </w:tr>
      <w:tr>
        <w:tc>
          <w:tcPr>
            <w:tcW w:type="dxa" w:w="2093"/>
          </w:tcPr>
          <w:p>
            <w:pPr>
              <w:jc w:val="left"/>
            </w:pPr>
            <w:r/>
            <w:r>
              <w:rPr>
                <w:b w:val="0"/>
                <w:i w:val="0"/>
                <w:color w:val="0070C0"/>
                <w:sz w:val="17"/>
              </w:rPr>
              <w:t>Friedman p-value</w:t>
            </w:r>
          </w:p>
        </w:tc>
        <w:tc>
          <w:tcPr>
            <w:tcW w:type="dxa" w:w="2093"/>
          </w:tcPr>
          <w:p>
            <w:pPr>
              <w:jc w:val="center"/>
            </w:pPr>
            <w:r/>
            <w:r>
              <w:rPr>
                <w:b w:val="0"/>
                <w:i w:val="0"/>
                <w:color w:val="0070C0"/>
                <w:sz w:val="17"/>
              </w:rPr>
              <w:t>8.071E-01</w:t>
            </w:r>
          </w:p>
        </w:tc>
        <w:tc>
          <w:tcPr>
            <w:tcW w:type="dxa" w:w="2093"/>
          </w:tcPr>
          <w:p>
            <w:pPr>
              <w:jc w:val="center"/>
            </w:pPr>
            <w:r/>
            <w:r>
              <w:rPr>
                <w:b w:val="0"/>
                <w:i w:val="0"/>
                <w:color w:val="0070C0"/>
                <w:sz w:val="17"/>
              </w:rPr>
              <w:t>N/A</w:t>
            </w:r>
          </w:p>
        </w:tc>
        <w:tc>
          <w:tcPr>
            <w:tcW w:type="dxa" w:w="2093"/>
          </w:tcPr>
          <w:p>
            <w:pPr>
              <w:jc w:val="center"/>
            </w:pPr>
            <w:r/>
            <w:r>
              <w:rPr>
                <w:b w:val="0"/>
                <w:i w:val="0"/>
                <w:color w:val="0070C0"/>
                <w:sz w:val="17"/>
              </w:rPr>
              <w:t>N/A</w:t>
            </w:r>
          </w:p>
        </w:tc>
        <w:tc>
          <w:tcPr>
            <w:tcW w:type="dxa" w:w="2093"/>
          </w:tcPr>
          <w:p>
            <w:pPr>
              <w:jc w:val="center"/>
            </w:pPr>
            <w:r/>
            <w:r>
              <w:rPr>
                <w:b w:val="0"/>
                <w:i w:val="0"/>
                <w:color w:val="0070C0"/>
                <w:sz w:val="17"/>
              </w:rPr>
              <w:t>N/A</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3.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13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13. The seven chromatic harmonic templates of Matsuda in the parameterization of Cohen-Or et al. [70,72]. Offsets are relative to the rotation angle alpha, which is the only free parameter.</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sz w:val="20"/>
        </w:rPr>
      </w:r>
      <m:oMath>
        <m:r>
          <m:rPr>
            <m:sty m:val="p"/>
          </m:rPr>
          <m:t>con=</m:t>
        </m:r>
        <m:d>
          <m:dPr>
            <m:sepChr m:val=""/>
          </m:dPr>
          <m:e>
            <m:r>
              <m:rPr/>
              <m:t> </m:t>
            </m:r>
            <m:sSub>
              <m:sSubPr/>
              <m:e>
                <m:r>
                  <m:rPr/>
                  <m:t>V</m:t>
                </m:r>
              </m:e>
              <m:sub>
                <m:r>
                  <m:rPr>
                    <m:sty m:val="p"/>
                  </m:rPr>
                  <m:t>max</m:t>
                </m:r>
              </m:sub>
            </m:sSub>
            <m:r>
              <m:rPr>
                <m:sty m:val="p"/>
              </m:rPr>
              <m:t>−</m:t>
            </m:r>
            <m:sSub>
              <m:sSubPr/>
              <m:e>
                <m:r>
                  <m:rPr/>
                  <m:t>V</m:t>
                </m:r>
              </m:e>
              <m:sub>
                <m:r>
                  <m:rPr>
                    <m:sty m:val="p"/>
                  </m:rPr>
                  <m:t>min</m:t>
                </m:r>
              </m:sub>
            </m:sSub>
            <m:r>
              <m:rPr/>
              <m:t> </m:t>
            </m:r>
          </m:e>
        </m:d>
        <m:r>
          <m:rPr>
            <m:sty m:val="p"/>
          </m:rPr>
          <m:t>/</m:t>
        </m:r>
        <m:r>
          <m:rPr/>
          <m:t>0.8</m:t>
        </m:r>
      </m:oMath>
      <w:r>
        <w:rPr>
          <w:sz w:val="20"/>
        </w:rPr>
      </w:r>
      <w:r>
        <w:rPr>
          <w:b w:val="0"/>
          <w:i w:val="0"/>
          <w:color w:val="C00000"/>
        </w:rPr>
        <w:t>A purely harmonic palette may collapse into nearly identical colours, so a hue diversity term is introduced by Equation (18) to encourage perceptually distinct colours, and a tonal-contrast term CON rewards a usable lightness spread. In Equation (18), DIV is the mean normalized pairwise arc distance of the K hues, so that DIV = 0 for a monochrome palette and DIV = 1 when every pair of hues is complementary; in the tonal-contrast term, CON = min(1, (max_i v_i - min_i v_i)/0.6) saturates once the palette spans 60% of the value range, which is the spread a palette needs before text set in one of its colours remains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sz w:val="20"/>
        </w:rPr>
      </w:r>
      <m:oMath>
        <m:r>
          <m:rPr>
            <m:sty m:val="b"/>
          </m:rPr>
          <m:t>x</m:t>
        </m:r>
        <m:r>
          <m:rPr>
            <m:sty m:val="p"/>
          </m:rPr>
          <m:t>=</m:t>
        </m:r>
        <m:d>
          <m:dPr>
            <m:sepChr m:val=""/>
          </m:dPr>
          <m:e>
            <m:sSub>
              <m:sSubPr/>
              <m:e>
                <m:r>
                  <m:rPr/>
                  <m:t>H</m:t>
                </m:r>
              </m:e>
              <m:sub>
                <m:r>
                  <m:rPr/>
                  <m:t>1</m:t>
                </m:r>
              </m:sub>
            </m:sSub>
            <m:r>
              <m:rPr>
                <m:sty m:val="p"/>
              </m:rPr>
              <m:t>,</m:t>
            </m:r>
            <m:sSub>
              <m:sSubPr/>
              <m:e>
                <m:r>
                  <m:rPr/>
                  <m:t>S</m:t>
                </m:r>
              </m:e>
              <m:sub>
                <m:r>
                  <m:rPr/>
                  <m:t>1</m:t>
                </m:r>
              </m:sub>
            </m:sSub>
            <m:r>
              <m:rPr>
                <m:sty m:val="p"/>
              </m:rPr>
              <m:t>,</m:t>
            </m:r>
            <m:sSub>
              <m:sSubPr/>
              <m:e>
                <m:r>
                  <m:rPr/>
                  <m:t>V</m:t>
                </m:r>
              </m:e>
              <m:sub>
                <m:r>
                  <m:rPr/>
                  <m:t>1</m:t>
                </m:r>
              </m:sub>
            </m:sSub>
            <m:r>
              <m:rPr>
                <m:sty m:val="p"/>
              </m:rPr>
              <m:t>,…,</m:t>
            </m:r>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r>
      <m:oMath>
        <m:r>
          <m:rPr/>
          <m:t>D</m:t>
        </m:r>
        <m:r>
          <m:rPr>
            <m:sty m:val="p"/>
          </m:rPr>
          <m:t>=</m:t>
        </m:r>
        <m:r>
          <m:rPr/>
          <m:t>3K</m:t>
        </m:r>
      </m:oMath>
      <w:r>
        <w:rPr>
          <w:sz w:val="20"/>
        </w:rPr>
      </w:r>
      <w:r>
        <w:rPr>
          <w:b w:val="0"/>
          <w:i w:val="0"/>
          <w:color w:val="C00000"/>
        </w:rPr>
        <w:t>The decision vector is the stacked palette P of dimension 3K, and the optimizer maximizes the aesthetic objective defined by Equation (19), f(P) = w_har HAR(P) + w_div DIV(P) + w_con CON(P), where HAR is the harmony term of Equation (17), DIV the diversity term of Equation (18) and CON the tonal-contrast term, and the weights w_har = 0.60, w_div = 0.25 and w_con = 0.15 sum to one. All three terms take values in [0, 1], so f(P) is in [0, 1] and the harmony score reported in Table 14 is 100 f(P)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14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14.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z w:val="20"/>
        </w:rPr>
        <w:t>As shown in Table 14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15, are considered, covering posters, web banners, business cards, magazine pages, photo collages, mobile interfaces, packaging labels and book covers. Table 16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15.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16.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16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51847ABF">
      <w:pPr>
        <w:pStyle w:val="33"/>
        <w:spacing w:after="120" w:line="276" w:lineRule="auto"/>
        <w:jc w:val="both"/>
      </w:pPr>
      <w:r>
        <w:rPr>
          <w:b w:val="0"/>
          <w:i w:val="0"/>
          <w:color w:val="C00000"/>
        </w:rPr>
        <w:t>The weights of Equation (22) require comment, because they carry the designer's priorities into the objective. The values BM = 0.30, OV = 0.22, AL = 0.18, SY = 0.15 and DEN = 0.15 follow the relative importance that Ngo et al. [73] assign to their aesthetic measures, with balance dominant and the structural terms subordinate. They are not universal constants. Ngo et al. derived them from a specific corpus of screen interfaces, and there is no reason to expect the same ordering to hold for, say, a packaging label, where overlap is a hard production constraint rather than an aesthetic preference. They were not independently validated on the eight problems of Table 15; adopting them unchanged is a modelling choice, and it should be read as one.</w:t>
      </w:r>
    </w:p>
    <w:p w14:paraId="51847ABF">
      <w:pPr>
        <w:pStyle w:val="33"/>
        <w:spacing w:after="120" w:line="276" w:lineRule="auto"/>
        <w:jc w:val="both"/>
      </w:pPr>
      <w:r>
        <w:rPr>
          <w:b w:val="0"/>
          <w:i w:val="0"/>
          <w:color w:val="C00000"/>
        </w:rPr>
        <w:t>[Experiment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17. Mean layout aesthetic score over the eight design problems under five weight configurations of Equation (22). Kendall tau compares the algorithm ordering with that obtained under W0.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51847ABF">
      <w:pPr>
        <w:pStyle w:val="51"/>
        <w:spacing w:before="160" w:after="80" w:line="276" w:lineRule="auto"/>
        <w:jc w:val="left"/>
      </w:pPr>
      <w:r>
        <w:rPr>
          <w:b w:val="0"/>
          <w:i w:val="0"/>
          <w:color w:val="C00000"/>
        </w:rPr>
        <w:t>5.3. Scalability of the layout problem</w:t>
      </w:r>
    </w:p>
    <w:p w14:paraId="51847ABF">
      <w:pPr>
        <w:pStyle w:val="33"/>
        <w:spacing w:after="120" w:line="276" w:lineRule="auto"/>
        <w:jc w:val="both"/>
      </w:pPr>
      <w:r>
        <w:rPr>
          <w:b w:val="0"/>
          <w:i w:val="0"/>
          <w:color w:val="C00000"/>
        </w:rPr>
        <w:t>The eight problems of Table 15 involve at most six elements, so the largest decision vector has 12 components. To establish whether the method scales, the layout problem was instantiated with 8, 12, 20 and 30 elements, giving problems of 16 to 60 dimensions. [Experiment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18. Mean aesthetic score (x100) on layout problems with 8 to 30 elements, i.e. up to D = 60.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This paper proposed a multi-strategy secretary bird optimization algorithm (MSSBOA) for aesthetic optimization in visual art design. Three improvement strategies were integrated into the basic SBOA: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r>
        <w:rPr>
          <w:sz w:val="20"/>
        </w:rPr>
      </w: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The weakening of the advantage at high dimension is likewise partly inherited, but Section 4.4 now shows that it has a MSSBOA-specific component. The mean rank gap against the strongest competitors contracts monotonically from 30 to 100 dimensions, and the losses concentrate on the composition functions. The mechanism is identifiable: both added search operators are elite-centred, and the fraction of the budget they consume is independent of dimension, so as D grows the same number of refractions and mutations has to cover a search space whose volume grows exponentially. A dimension-aware budget, in which the LOBL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sz w:val="18"/>
        </w:rPr>
      </w:r>
      <w:r>
        <w:rPr>
          <w:sz w:val="18"/>
        </w:rPr>
      </w: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