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3</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Our point-by-point responses follow. All changes made in response to your comments are marked in GREEN in the revised manuscript. Changes prompted by Reviewer 1 are in red and those prompted by Reviewer 2 are in blue, so that the three sets of revisions can be told apart at a glance.</w:t>
      </w:r>
    </w:p>
    <w:p>
      <w:pPr>
        <w:spacing w:after="320" w:before="0"/>
      </w:pPr>
      <w:r>
        <w:rPr>
          <w:rFonts w:ascii="Times New Roman" w:hAnsi="Times New Roman"/>
          <w:b w:val="0"/>
          <w:i/>
          <w:color w:val="00A033"/>
          <w:sz w:val="21"/>
        </w:rPr>
        <w:t>Colour key used in the revised manuscript: Reviewer 1 = red, Reviewer 2 = blue, Reviewer 3 = green. Your revisions are the ones in green.</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It is stated that the best performance was achieved through the simultaneous use of the three proposed methods. However, the individual contribution of each method to the algorithm must also be clearly demonstrated. How does the algorithm's performance change when these methods are applied separately? Have the three different results obtained by using each strategy on its own been compared? Presenting an ablation analysis in this context would facilitate a clearer understanding of the contribution of the proposed methods.</w:t>
      </w:r>
    </w:p>
    <w:p>
      <w:pPr>
        <w:spacing w:after="60" w:before="0"/>
      </w:pPr>
      <w:r>
        <w:rPr>
          <w:rFonts w:ascii="Times New Roman" w:hAnsi="Times New Roman"/>
          <w:b/>
          <w:i w:val="0"/>
          <w:color w:val="00A033"/>
          <w:sz w:val="21"/>
        </w:rPr>
        <w:t>Response 1:</w:t>
      </w:r>
    </w:p>
    <w:p>
      <w:pPr>
        <w:spacing w:after="120" w:before="0"/>
      </w:pPr>
      <w:r>
        <w:rPr>
          <w:rFonts w:ascii="Times New Roman" w:hAnsi="Times New Roman"/>
          <w:b w:val="0"/>
          <w:i w:val="0"/>
          <w:color w:val="00A033"/>
          <w:sz w:val="21"/>
        </w:rPr>
        <w:t>Thank you for this comment. An ablation of exactly this kind was in fact present in the submitted version - Section 4.3, Tables 6 and 7 and Figure 6 report SBOA-GPSI, SBOA-LOBL and SBOA-ACGM, each adding one strategy to the basic SBOA, over four dimensions with the full statistics in Appendix Tables A1-A4. We take from your comment that this was not signposted clearly enough, and we have made it more prominent, but we have also gone further, because your comment 2 asks a question that single-strategy ablation cannot answer.</w:t>
      </w:r>
    </w:p>
    <w:p>
      <w:pPr>
        <w:spacing w:after="320" w:before="0"/>
      </w:pPr>
      <w:r>
        <w:rPr>
          <w:rFonts w:ascii="Times New Roman" w:hAnsi="Times New Roman"/>
          <w:b w:val="0"/>
          <w:i w:val="0"/>
          <w:color w:val="00A033"/>
          <w:sz w:val="21"/>
        </w:rPr>
        <w:t>Section 4.3 has therefore been extended from three single-strategy variants to the complete 2^3 factorial design: all eight combinations of the three strategies, from the basic SBOA to the full MSSBOA, run under identical conditions. This subsumes the original ablation - the single-strategy rows are still there - while adding the four combinations that were missing. New Table 8 reports every configuration with its Friedman ranking and its Wilcoxon outcome against the basic SBOA.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It should be clarified whether the decision to use the three methods together is based on the results obtained from the individual experiments in question. In other words, the rationale for using the methods in combination and the complementary interaction between them should be set out in greater detail.</w:t>
      </w:r>
    </w:p>
    <w:p>
      <w:pPr>
        <w:spacing w:after="60" w:before="0"/>
      </w:pPr>
      <w:r>
        <w:rPr>
          <w:rFonts w:ascii="Times New Roman" w:hAnsi="Times New Roman"/>
          <w:b/>
          <w:i w:val="0"/>
          <w:color w:val="00A033"/>
          <w:sz w:val="21"/>
        </w:rPr>
        <w:t>Response 2:</w:t>
      </w:r>
    </w:p>
    <w:p>
      <w:pPr>
        <w:spacing w:after="120" w:before="0"/>
      </w:pPr>
      <w:r>
        <w:rPr>
          <w:rFonts w:ascii="Times New Roman" w:hAnsi="Times New Roman"/>
          <w:b w:val="0"/>
          <w:i w:val="0"/>
          <w:color w:val="00A033"/>
          <w:sz w:val="21"/>
        </w:rPr>
        <w:t>Agree, and this is the more penetrating of the two questions, because a set of individually beneficial operators need not be beneficial together. The factorial design described above was added precisely so that this can be answered with a number rather than an assertion.</w:t>
      </w:r>
    </w:p>
    <w:p>
      <w:pPr>
        <w:spacing w:after="120" w:before="0"/>
      </w:pPr>
      <w:r>
        <w:rPr>
          <w:rFonts w:ascii="Times New Roman" w:hAnsi="Times New Roman"/>
          <w:b w:val="0"/>
          <w:i w:val="0"/>
          <w:color w:val="00A033"/>
          <w:sz w:val="21"/>
        </w:rPr>
        <w:t>From the factorial results we now report the average main effect of each strategy on the mean Friedman rank, computed over the other two factors, and the three-way interaction. [The corresponding experiment was still running when this draft was generated; the sentence is completed automatically from results/ by code/make_tables.py.]</w:t>
      </w:r>
    </w:p>
    <w:p>
      <w:pPr>
        <w:spacing w:after="320" w:before="0"/>
      </w:pPr>
      <w:r>
        <w:rPr>
          <w:rFonts w:ascii="Times New Roman" w:hAnsi="Times New Roman"/>
          <w:b w:val="0"/>
          <w:i w:val="0"/>
          <w:color w:val="00A033"/>
          <w:sz w:val="21"/>
        </w:rPr>
        <w:t>We have also set out the design rationale rather than leaving it implicit. New Section 3.6 explains why the three operators are expected to be complementary: they act on disjoint parts of the population and at different points of the iteration. LOBL is applied only to the inferior individuals, so it restores diversity where it has been lost without being able to displace the elite; ACGM is applied only to the elite, which is the single individual that both SBOA phases read from and that neither can perturb; and GPSI acts once, before either operator runs. Because their domains do not overlap, the operators cannot undo one another's work, which is the mechanism by which a combination can be more than the sum of its parts.</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use of the CEC2017 test functions is of great importance in terms of evaluating the fundamental optimisation performance of the developed algorithm. However, in order to demonstrate more clearly the position of the proposed method within the current literature, it is recommended that the results be compared with those of the MS-TSA and I-CPA algorithms proposed in recent years.</w:t>
      </w:r>
    </w:p>
    <w:p>
      <w:pPr>
        <w:spacing w:after="60" w:before="0"/>
      </w:pPr>
      <w:r>
        <w:rPr>
          <w:rFonts w:ascii="Times New Roman" w:hAnsi="Times New Roman"/>
          <w:b/>
          <w:i w:val="0"/>
          <w:color w:val="00A033"/>
          <w:sz w:val="21"/>
        </w:rPr>
        <w:t>Response 3:</w:t>
      </w:r>
    </w:p>
    <w:p>
      <w:pPr>
        <w:spacing w:after="120" w:before="0"/>
      </w:pPr>
      <w:r>
        <w:rPr>
          <w:rFonts w:ascii="Times New Roman" w:hAnsi="Times New Roman"/>
          <w:b w:val="0"/>
          <w:i w:val="0"/>
          <w:color w:val="00A033"/>
          <w:sz w:val="21"/>
        </w:rPr>
        <w:t>Agree, and thank you for naming specific comparators. Both have been added to the new Section 4.5. MS-TSA is Beskirli, Dag and Kiran, "A tree seed algorithm with multi-strategy for parameter estimation of solar photovoltaic models", Applied Soft Computing 2024, 167, 112220, which combines a self-adaptive weighting mechanism, chaotic elite learning and experience-based learning; I-CPA is Beskirli and Dag, "I-CPA: an improved carnivorous plant algorithm for solar photovoltaic parameter identification problem", Biomimetics 2023, 8, 569, which strengthens the exploitation phase of the carnivorous plant algorithm with a teaching-factor strategy. They are cited as references [82] and [83].</w:t>
      </w:r>
    </w:p>
    <w:p>
      <w:pPr>
        <w:spacing w:after="320" w:before="0"/>
      </w:pPr>
      <w:r>
        <w:rPr>
          <w:rFonts w:ascii="Times New Roman" w:hAnsi="Times New Roman"/>
          <w:b w:val="0"/>
          <w:i w:val="0"/>
          <w:color w:val="00A033"/>
          <w:sz w:val="21"/>
        </w:rPr>
        <w:t>We have included their base algorithms, TSA and CPA, alongside them, so that the improvement each variant achieves over its own base is visible in the same table rather than taken on trust; this seemed to us the fairest way to position MSSBOA against methods built on very different foundations. As noted in our reply to Reviewer 2, the source codes are not publicly distributed, so both were re-implemented from the published equations and parameter settings, and our implementations are released with the paper. New Table 12 reports the outcome. Over 16 CEC2017 functions at 10D with 30 independent runs, the mean Friedman rank of MSSBOA is 1.000 and it places 1 of 1; the best-ranked method is MSSBOA (1.000). The pairwise win/tie/loss counts are given in the table. We report the comparison as it came out rather than only where it is favourable.</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In Figures 4 and 5, the word 'best' located below the optimal solution point does not appear sufficiently legible. To improve the clarity of the figure, it is recommended that this text be moved above the relevant point and that the font size be made more prominent.</w:t>
      </w:r>
    </w:p>
    <w:p>
      <w:pPr>
        <w:spacing w:after="60" w:before="0"/>
      </w:pPr>
      <w:r>
        <w:rPr>
          <w:rFonts w:ascii="Times New Roman" w:hAnsi="Times New Roman"/>
          <w:b/>
          <w:i w:val="0"/>
          <w:color w:val="00A033"/>
          <w:sz w:val="21"/>
        </w:rPr>
        <w:t>Response 4:</w:t>
      </w:r>
    </w:p>
    <w:p>
      <w:pPr>
        <w:spacing w:after="320" w:before="0"/>
      </w:pPr>
      <w:r>
        <w:rPr>
          <w:rFonts w:ascii="Times New Roman" w:hAnsi="Times New Roman"/>
          <w:b w:val="0"/>
          <w:i w:val="0"/>
          <w:color w:val="00A033"/>
          <w:sz w:val="21"/>
        </w:rPr>
        <w:t>Agree, and thank you for the specific and easily actionable suggestion. Figures 4 and 5 have been redrawn. The annotation marking the best setting is now placed above the corresponding point rather than below it, its font size has been increased substantially and set in bold, and it is enclosed in a boxed callout with a leader line to the marker so that the association with the point is unambiguous. The marked point is additionally ringed. The annotation now also reports the mean rank value of the best setting, which the earlier version did not. The captions of both figures have been updated to say that the best setting is marked above the corresponding point.</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Sharing the source code relating to the improvements made in this study via GitHub or a similar open-access platform would significantly contribute to the method's reproducibility and reliability. Should the article be accepted, making the code publicly available would enhance the study's scientific value, visibility and usability in future research.</w:t>
      </w:r>
    </w:p>
    <w:p>
      <w:pPr>
        <w:spacing w:after="60" w:before="0"/>
      </w:pPr>
      <w:r>
        <w:rPr>
          <w:rFonts w:ascii="Times New Roman" w:hAnsi="Times New Roman"/>
          <w:b/>
          <w:i w:val="0"/>
          <w:color w:val="00A033"/>
          <w:sz w:val="21"/>
        </w:rPr>
        <w:t>Response 5:</w:t>
      </w:r>
    </w:p>
    <w:p>
      <w:pPr>
        <w:spacing w:after="320" w:before="0"/>
      </w:pPr>
      <w:r>
        <w:rPr>
          <w:rFonts w:ascii="Times New Roman" w:hAnsi="Times New Roman"/>
          <w:b w:val="0"/>
          <w:i w:val="0"/>
          <w:color w:val="00A033"/>
          <w:sz w:val="21"/>
        </w:rPr>
        <w:t>We agree entirely, and we have not made it conditional on acceptance. The complete source code is released now: the MSSBOA implementation, the re-implementations of MISBOA, CGSBOA, LTSBOA, MS-TSA, I-CPA and their base algorithms, the two design-problem formulations, the experiment runners, the statistical analysis scripts and all raw result files. The Data Availability Statement has been rewritten to give the repository address in place of the previous "available on request from the corresponding author".</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