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2</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One change affects more than one reply and is worth stating before the point-by-point responses. Because two reviewers asked for the source code to be released, a complete reference implementation has been written from the equations of Section 3 and is published with the article. The new comparisons requested by Reviewers 2 and 3 were produced with it, and the new Section 4.5 states plainly that its absolute values are not directly comparable with those of the tables carried over from the submitted version, which are unchanged, so that no reader can mistake one set of numbers for the other. Our point-by-point responses follow; every location is given by section and paragraph of the colour-marked revised manuscript, since page numbers shift once the new tables and figures are typeset. All changes made in response to your comments are marked in BLUE in the revised manuscript. Changes prompted by Reviewer 1 are in red and those prompted by Reviewer 3 are in green, so that the three sets of revisions can be told apart at a glance.</w:t>
      </w:r>
    </w:p>
    <w:p>
      <w:pPr>
        <w:spacing w:after="320" w:before="0"/>
      </w:pPr>
      <w:r>
        <w:rPr>
          <w:rFonts w:ascii="Times New Roman" w:hAnsi="Times New Roman"/>
          <w:b w:val="0"/>
          <w:i/>
          <w:color w:val="0070C0"/>
          <w:sz w:val="21"/>
        </w:rPr>
        <w:t>Colour key used in the revised manuscript: Reviewer 1 = red, Reviewer 2 = blue, Reviewer 3 = green. Your revisions are the ones in blue.</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Why do authors choose SBOA as the basis of this research? There are numerous MAs in recent decades, and the motivation for choosing SBOA is unclear.</w:t>
      </w:r>
    </w:p>
    <w:p>
      <w:pPr>
        <w:spacing w:after="60" w:before="0"/>
      </w:pPr>
      <w:r>
        <w:rPr>
          <w:rFonts w:ascii="Times New Roman" w:hAnsi="Times New Roman"/>
          <w:b/>
          <w:i w:val="0"/>
          <w:color w:val="0070C0"/>
          <w:sz w:val="21"/>
        </w:rPr>
        <w:t>Response 1:</w:t>
      </w:r>
    </w:p>
    <w:p>
      <w:pPr>
        <w:spacing w:after="120" w:before="0"/>
      </w:pPr>
      <w:r>
        <w:rPr>
          <w:rFonts w:ascii="Times New Roman" w:hAnsi="Times New Roman"/>
          <w:b w:val="0"/>
          <w:i w:val="0"/>
          <w:color w:val="0070C0"/>
          <w:sz w:val="21"/>
        </w:rPr>
        <w:t>Thank you for pointing this out. We agree that the submitted version asserted the choice rather than justified it. We have therefore added a paragraph to the Introduction, immediately after the paragraph reviewing the SBOA variants, giving three concrete reasons.</w:t>
      </w:r>
    </w:p>
    <w:p>
      <w:pPr>
        <w:spacing w:after="120" w:before="0"/>
      </w:pPr>
      <w:r>
        <w:rPr>
          <w:rFonts w:ascii="Times New Roman" w:hAnsi="Times New Roman"/>
          <w:b w:val="0"/>
          <w:i w:val="0"/>
          <w:color w:val="0070C0"/>
          <w:sz w:val="21"/>
        </w:rPr>
        <w:t>The first and most important is structural fit. Aesthetic objectives such as Equations (19) and (22) are sums of competing terms whose trade-off surface has many broad, shallow optima rather than one sharp optimum, so an optimizer must survey widely before committing. SBOA is one of the few recent metaheuristics whose exploration phase is split into three explicitly time-gated stages with qualitatively different step distributions - a differential perturbation, a Brownian move towards the elite and a Levy flight - which gives a scheduled and inspectable progression from survey to commitment and, equally important for this study, well-defined points at which further operators can be inserted.</w:t>
      </w:r>
    </w:p>
    <w:p>
      <w:pPr>
        <w:spacing w:after="320" w:before="0"/>
      </w:pPr>
      <w:r>
        <w:rPr>
          <w:rFonts w:ascii="Times New Roman" w:hAnsi="Times New Roman"/>
          <w:b w:val="0"/>
          <w:i w:val="0"/>
          <w:color w:val="0070C0"/>
          <w:sz w:val="21"/>
        </w:rPr>
        <w:t>The second is economy: SBOA has a single control parameter beyond the population size, so a study of added operators is not confounded by re-tuning of the base algorithm. The third is that SBOA is recent enough for its weaknesses to be documented but not yet addressed for this problem class, while having been shown competitive on standard suites [51], which makes it a meaningful baseline rather than a straw man.</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novelty of the new algorithm is limited. The authors combine well-known operators into SBOA to form MSSBOA, but the application is interesting.</w:t>
      </w:r>
    </w:p>
    <w:p>
      <w:pPr>
        <w:spacing w:after="60" w:before="0"/>
      </w:pPr>
      <w:r>
        <w:rPr>
          <w:rFonts w:ascii="Times New Roman" w:hAnsi="Times New Roman"/>
          <w:b/>
          <w:i w:val="0"/>
          <w:color w:val="0070C0"/>
          <w:sz w:val="21"/>
        </w:rPr>
        <w:t>Response 2:</w:t>
      </w:r>
    </w:p>
    <w:p>
      <w:pPr>
        <w:spacing w:after="120" w:before="0"/>
      </w:pPr>
      <w:r>
        <w:rPr>
          <w:rFonts w:ascii="Times New Roman" w:hAnsi="Times New Roman"/>
          <w:b w:val="0"/>
          <w:i w:val="0"/>
          <w:color w:val="0070C0"/>
          <w:sz w:val="21"/>
        </w:rPr>
        <w:t>We agree, and we have acted on both halves of your sentence rather than only the first. Reviewer 1 raised the same point about novelty, so the change is marked in red in the manuscript; we summarise it here because our reply to you rests on it.</w:t>
      </w:r>
    </w:p>
    <w:p>
      <w:pPr>
        <w:spacing w:after="120" w:before="0"/>
      </w:pPr>
      <w:r>
        <w:rPr>
          <w:rFonts w:ascii="Times New Roman" w:hAnsi="Times New Roman"/>
          <w:b w:val="0"/>
          <w:i w:val="0"/>
          <w:color w:val="0070C0"/>
          <w:sz w:val="21"/>
        </w:rPr>
        <w:t>On the first half: we accept it without reservation. None of the three operator families is novel, and we no longer claim otherwise. The Abstract and contribution (1) of the Introduction now state that the contribution is a novel integration framework and that no claim of novelty is made for the individual operators, and a new Section 3.6 sets out what the framework consists of - the disjoint application policy that confines refraction to the inferior subpopulation and mutation to the elite, the derivation of the lens factor as a schedule with two exposed exponents rather than a constant, and the placement of each operator at the point of the SBOA iteration where the base algorithm is weakest. New Table 1 in that section states, operator by operator, what a typical existing application does and what MSSBOA does instead.</w:t>
      </w:r>
    </w:p>
    <w:p>
      <w:pPr>
        <w:spacing w:after="120" w:before="0"/>
        <w:ind w:left="360"/>
      </w:pPr>
      <w:r>
        <w:rPr>
          <w:rFonts w:ascii="Times New Roman" w:hAnsi="Times New Roman"/>
          <w:b w:val="0"/>
          <w:i/>
          <w:color w:val="0070C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0070C0"/>
          <w:sz w:val="21"/>
        </w:rPr>
        <w:t>On the second half, which we think was the more valuable observation: we have strengthened the application rather than left it as a demonstration. Section 5.1 now gives the colour model in full - the hue-wheel geodesic, the saturation-weighted disharmony energy over Matsuda's seven chromatic templates in the parameterization of Cohen-Or et al., and the hue-diversity and tonal-contrast terms - with the choice of HSV argued from the objective rather than asserted, and the harmonic template shown to be an output of the evaluation rather than a designer's input. Section 5.2 reports how far the layout conclusions depend on the weight vector of Equation (22), and a new Section 5.3 takes the layout problem from 8 to 30 elements. The formulation, the runners and the raw results are released as executable code, so the two design problems can be used as a benchmark independently of the optimizer proposed here.</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authors present a literature review of SBOA's variants, but do not compare their performance. I encourage authors to use some SBOA's variants for experimental comparison.</w:t>
      </w:r>
    </w:p>
    <w:p>
      <w:pPr>
        <w:spacing w:after="60" w:before="0"/>
      </w:pPr>
      <w:r>
        <w:rPr>
          <w:rFonts w:ascii="Times New Roman" w:hAnsi="Times New Roman"/>
          <w:b/>
          <w:i w:val="0"/>
          <w:color w:val="0070C0"/>
          <w:sz w:val="21"/>
        </w:rPr>
        <w:t>Response 3:</w:t>
      </w:r>
    </w:p>
    <w:p>
      <w:pPr>
        <w:spacing w:after="120" w:before="0"/>
      </w:pPr>
      <w:r>
        <w:rPr>
          <w:rFonts w:ascii="Times New Roman" w:hAnsi="Times New Roman"/>
          <w:b w:val="0"/>
          <w:i w:val="0"/>
          <w:color w:val="0070C0"/>
          <w:sz w:val="21"/>
        </w:rPr>
        <w:t>Agree, and this was a fair criticism: reviewing variants without comparing against them is not much of a comparison. We have added a new Section 4.5, "Comparison with recent SBOA variants and multi-strategy algorithms", in which MSSBOA is compared directly with three of the variants reviewed in the Introduction - MISBOA [53] with its incremental-PID feedback regulation and co-operative camouflage, CGSBOA [54] with its multi-strategy fusion and Cauchy-Gaussian crossover, and LTSBOA [55] with its logistic-tent chaotic initialization and crossover strategy. Following Reviewer 3 we have also included two recent multi-strategy algorithms from outside the SBOA family, MS-TSA and I-CPA, together with their base algorithms TSA and CPA so that the gain of each variant over its own base is visible rather than assumed.</w:t>
      </w:r>
    </w:p>
    <w:p>
      <w:pPr>
        <w:spacing w:after="320" w:before="0"/>
      </w:pPr>
      <w:r>
        <w:rPr>
          <w:rFonts w:ascii="Times New Roman" w:hAnsi="Times New Roman"/>
          <w:b w:val="0"/>
          <w:i w:val="0"/>
          <w:color w:val="0070C0"/>
          <w:sz w:val="21"/>
        </w:rPr>
        <w:t>We should be transparent about one methodological point. The source codes of these variants are not publicly distributed, so each was re-implemented from the equations, control parameters and pseudo-code given in the corresponding paper. To make that auditable, our implementations are released with the paper, and every algorithm is charged for every function evaluation it performs, including those consumed by auxiliary operators. New Table 14 reports the Friedman ranking and the pairwise Wilcoxon outcome. Over the CEC2017 suite in 10 and 30 dimensions with 30 independent runs, the order by average Friedman rank is LTSBOA &gt; SBOA &gt; CGSBOA &gt; MSSBOA &gt; MISBOA &gt; I-CPA &gt; CPA &gt; TSA &gt; MS-TSA, with MSSBOA fourth of nine at 3.862. We report the comparison exactly as it came out. We should also flag one limitation of this comparison honestly. Because the original implementation used for Tables 10-12 could not be released, the algorithms compared in the new subsection were re-implemented from their published equations, and that re-implementation is the code we are releasing. Its absolute values are therefore not directly comparable with Tables 10-12; what it supports is the relative comparison within the new subsection, where every algorithm runs under an identical budget and is charged for every function evaluation it performs. A note to this effect has been added to Section 4.5, and the released code lets either set of numbers be checked.</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