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1</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Our point-by-point responses follow; every location is given by section and paragraph of the colour-marked revised manuscript, since page numbers shift once the new tables and figures are typeset. All changes made in response to your comments are marked in RED in the revised manuscript. Changes prompted by Reviewer 2 are in blue and those prompted by Reviewer 3 are in green, so that the three sets of revisions can be told apart at a glance.</w:t>
      </w:r>
    </w:p>
    <w:p>
      <w:pPr>
        <w:spacing w:after="320" w:before="0"/>
      </w:pPr>
      <w:r>
        <w:rPr>
          <w:rFonts w:ascii="Times New Roman" w:hAnsi="Times New Roman"/>
          <w:b w:val="0"/>
          <w:i/>
          <w:color w:val="C00000"/>
          <w:sz w:val="21"/>
        </w:rPr>
        <w:t>Colour key used in the revised manuscript: Reviewer 1 = red, Reviewer 2 = blue, Reviewer 3 = green. Your revisions are the ones in red.</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The paper claims three "improvement strategies". These techniques are not novel in the metaheuristic literature: Good point set initialization has been widely used in many swarm intelligence algorithms, Lens opposition-based learning has been applied to numerous algorithms (e.g., sand cat swarm optimization, whale optimization algorithm), Adaptive Cauchy-Gaussian mutation is a common technique for enhancing exploration-exploitation balance. The authors should: Provide a more detailed comparison table showing how their specific implementations differ from existing applications of these strategies, Emphasize the synergistic combination and the specific parameter adaptations (e.g., the dynamic k-factor in LOBL, the adaptive weights in ACGM) as the novel contribution, rather than the individual strategies themselves, Consider framing the contribution as "a novel integration framework" rather than "three new strategies".</w:t>
      </w:r>
    </w:p>
    <w:p>
      <w:pPr>
        <w:spacing w:after="60" w:before="0"/>
      </w:pPr>
      <w:r>
        <w:rPr>
          <w:rFonts w:ascii="Times New Roman" w:hAnsi="Times New Roman"/>
          <w:b/>
          <w:i w:val="0"/>
          <w:color w:val="C00000"/>
          <w:sz w:val="21"/>
        </w:rPr>
        <w:t>Response 1:</w:t>
      </w:r>
    </w:p>
    <w:p>
      <w:pPr>
        <w:spacing w:after="120" w:before="0"/>
      </w:pPr>
      <w:r>
        <w:rPr>
          <w:rFonts w:ascii="Times New Roman" w:hAnsi="Times New Roman"/>
          <w:b w:val="0"/>
          <w:i w:val="0"/>
          <w:color w:val="C00000"/>
          <w:sz w:val="21"/>
        </w:rPr>
        <w:t>Thank you for pointing this out. We agree with this comment, and we accept the premise without reservation: none of the three operator families is novel, and the submitted version did not say so clearly enough. We have therefore reframed the contribution throughout and added the comparison table you ask for.</w:t>
      </w:r>
    </w:p>
    <w:p>
      <w:pPr>
        <w:spacing w:after="120" w:before="0"/>
      </w:pPr>
      <w:r>
        <w:rPr>
          <w:rFonts w:ascii="Times New Roman" w:hAnsi="Times New Roman"/>
          <w:b w:val="0"/>
          <w:i w:val="0"/>
          <w:color w:val="C00000"/>
          <w:sz w:val="21"/>
        </w:rPr>
        <w:t>Specifically, we have made three changes. (i) The Abstract (sentence beginning "To overcome these limitations") and contribution (1) in the Introduction now state explicitly that the contribution is "a novel integration framework" and that no claim of novelty is made for the individual operators; the old wording of contribution (1) is shown struck through so the change is visible. (ii) A new Section 3.6, "Novelty of the proposed integration framework", inserted after the complexity analysis, sets out the three design decisions that distinguish this framework - the disjoint application policy that confines refraction to the inferior subpopulation and mutation to the elite, the derivation of the lens factor as a schedule with two exposed and tuned exponents, and the placement of the operators at the points of the SBOA iteration where the base algorithm is weakest. (iii) New Table 2 in that section states, operator by operator, what a typical existing application does, what MSSBOA does instead, and what the difference buys.</w:t>
      </w:r>
    </w:p>
    <w:p>
      <w:pPr>
        <w:spacing w:after="120" w:before="0"/>
        <w:ind w:left="360"/>
      </w:pPr>
      <w:r>
        <w:rPr>
          <w:rFonts w:ascii="Times New Roman" w:hAnsi="Times New Roman"/>
          <w:b w:val="0"/>
          <w:i/>
          <w:color w:val="C00000"/>
          <w:sz w:val="21"/>
        </w:rPr>
        <w:t>"The three operator families used above are established techniques, and their individual novelty is not claimed here. ... The contribution of this paper is therefore the integration framework: how each operator is re-specified for SBOA, how its control parameter is adapted, and how the three are assigned to disjoint parts of the population so that they reinforce rather than duplicate one another." (Section 3.6)</w:t>
      </w:r>
    </w:p>
    <w:p>
      <w:pPr>
        <w:spacing w:after="320" w:before="0"/>
      </w:pPr>
      <w:r>
        <w:rPr>
          <w:rFonts w:ascii="Times New Roman" w:hAnsi="Times New Roman"/>
          <w:b w:val="0"/>
          <w:i w:val="0"/>
          <w:color w:val="C00000"/>
          <w:sz w:val="21"/>
        </w:rPr>
        <w:t>The synergy you ask us to emphasise is now also measured rather than asserted: Section 4.3 reports a full 2^3 factorial ablation from which the main effect of each strategy and the interaction between them can be read off directly (see also our reply to Reviewer 3, comments 1 and 2).</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lens opposition-based learning explanation (Section 3.2) is mathematically incomplete. Equation (11) introduces a scaling factor k, but the relationship to the "convex-lens imaging" principle is not rigorously derived. The schematic in Figure 2 is mentioned but not shown in the provided text. Provide a clearer derivation connecting the lens imaging principle to Equation (11), Show Figure 2 and explain how the "tunable scaling factor" relates to physical lens parameters, Justify why the dynamic k-factor in Equation (12) specifically uses the square root and power of 10—is this empirically determined or theoretically motivated?</w:t>
      </w:r>
    </w:p>
    <w:p>
      <w:pPr>
        <w:spacing w:after="60" w:before="0"/>
      </w:pPr>
      <w:r>
        <w:rPr>
          <w:rFonts w:ascii="Times New Roman" w:hAnsi="Times New Roman"/>
          <w:b/>
          <w:i w:val="0"/>
          <w:color w:val="C00000"/>
          <w:sz w:val="21"/>
        </w:rPr>
        <w:t>Response 2:</w:t>
      </w:r>
    </w:p>
    <w:p>
      <w:pPr>
        <w:spacing w:after="120" w:before="0"/>
      </w:pPr>
      <w:r>
        <w:rPr>
          <w:rFonts w:ascii="Times New Roman" w:hAnsi="Times New Roman"/>
          <w:b w:val="0"/>
          <w:i w:val="0"/>
          <w:color w:val="C00000"/>
          <w:sz w:val="21"/>
        </w:rPr>
        <w:t>Agree. We have, accordingly, rewritten Section 3.2 so that Equation (11) is derived rather than asserted, redrawn Figure 2, and separated the structural from the empirical justification of Equation (12). We apologise that Figure 2 did not render in the file you received; it was supplied as an EMF object and has been replaced by a new raster figure.</w:t>
      </w:r>
    </w:p>
    <w:p>
      <w:pPr>
        <w:spacing w:after="120" w:before="0"/>
      </w:pPr>
      <w:r>
        <w:rPr>
          <w:rFonts w:ascii="Times New Roman" w:hAnsi="Times New Roman"/>
          <w:b w:val="0"/>
          <w:i w:val="0"/>
          <w:color w:val="C00000"/>
          <w:sz w:val="21"/>
        </w:rPr>
        <w:t>The derivation is now given in full (Section 3.2, the three paragraphs following the opening paragraph on opposition-based learning). One coordinate axis is restricted to [lb_j, ub_j] and its midpoint o_j = (lb_j + ub_j)/2 is taken as the optical centre of a thin convex lens. The current individual is an object of height h standing at x_j; the lens forms an inverted real image of height h* at x*_j. Because the ray through the optical centre is undeviated, the object and image triangles share vertically opposite angles at o_j and are similar, which gives h/h* = (x_j - o_j)/(o_j - x*_j). Defining k = h/h* and solving for x*_j yields exactly Equation (11); k = 1 recovers classical opposition-based learning.</w:t>
      </w:r>
    </w:p>
    <w:p>
      <w:pPr>
        <w:spacing w:after="120" w:before="0"/>
      </w:pPr>
      <w:r>
        <w:rPr>
          <w:rFonts w:ascii="Times New Roman" w:hAnsi="Times New Roman"/>
          <w:b w:val="0"/>
          <w:i w:val="0"/>
          <w:color w:val="C00000"/>
          <w:sz w:val="21"/>
        </w:rPr>
        <w:t>On the relation to physical lens parameters: k is the ratio of object height to image height, that is, the reciprocal of the transverse magnification of the virtual lens. It is the single lens parameter the operator exposes, and it is not a free numerical constant. New Figure 2a shows the similar-triangle construction with h, h*, x_j - o_j and o_j - x*_j labelled, Figure 2b plots k(t) for several exponent pairs, and Figure 2c plots the induced contraction ratio 1/k.</w:t>
      </w:r>
    </w:p>
    <w:p>
      <w:pPr>
        <w:spacing w:after="120" w:before="0"/>
      </w:pPr>
      <w:r>
        <w:rPr>
          <w:rFonts w:ascii="Times New Roman" w:hAnsi="Times New Roman"/>
          <w:b w:val="0"/>
          <w:i w:val="0"/>
          <w:color w:val="C00000"/>
          <w:sz w:val="21"/>
        </w:rPr>
        <w:t>Your question about the square root and the power of 10 also uncovered an error of interpretation in the submitted version, which we have corrected. Equation (11) implies |x*_j - o_j| = |x_j - o_j|/k, so k controls the radius of the refracted point about the interval midpoint, not its distance from the parent. The submitted text stated that a large k "keeps the refracted solution close to the current one", which is wrong; the corrected text states that a large k contracts the image onto the neighbourhood of o_j. We are grateful for the question, because the erroneous reading had gone unnoticed.</w:t>
      </w:r>
    </w:p>
    <w:p>
      <w:pPr>
        <w:spacing w:after="320" w:before="0"/>
      </w:pPr>
      <w:r>
        <w:rPr>
          <w:rFonts w:ascii="Times New Roman" w:hAnsi="Times New Roman"/>
          <w:b w:val="0"/>
          <w:i w:val="0"/>
          <w:color w:val="C00000"/>
          <w:sz w:val="21"/>
        </w:rPr>
        <w:t>As to whether the exponents are theoretical or empirical, they are partly both, and Section 3.2 now says which is which. Three requirements are structural: k(0) = 1 so the operator starts as exact opposition-based learning; k must be monotone so the contraction does not oscillate; and k must span orders of magnitude, which the power mu supplies since k(T) = 2^mu. Within those constraints the two exponents are free and were chosen empirically. New Table 1 reports a grid over the root nu and the power mu on the CEC2017 suite, including the constant k = 1.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Below paper can help to improve the quality of the manuscript: [Hesam et al., 2024, Expert Systems] (https://onlinelibrary.wiley.com/doi/10.1111/exsy.13306)</w:t>
      </w:r>
    </w:p>
    <w:p>
      <w:pPr>
        <w:spacing w:after="60" w:before="0"/>
      </w:pPr>
      <w:r>
        <w:rPr>
          <w:rFonts w:ascii="Times New Roman" w:hAnsi="Times New Roman"/>
          <w:b/>
          <w:i w:val="0"/>
          <w:color w:val="C00000"/>
          <w:sz w:val="21"/>
        </w:rPr>
        <w:t>Response 3:</w:t>
      </w:r>
    </w:p>
    <w:p>
      <w:pPr>
        <w:spacing w:after="120" w:before="0"/>
      </w:pPr>
      <w:r>
        <w:rPr>
          <w:rFonts w:ascii="Times New Roman" w:hAnsi="Times New Roman"/>
          <w:b w:val="0"/>
          <w:i w:val="0"/>
          <w:color w:val="C00000"/>
          <w:sz w:val="21"/>
        </w:rPr>
        <w:t>Thank you for the pointer. The paper is Safari, A. and Varaee, H., "Opposition-based ideal gas molecular movement algorithm with Cauchy mutation, velocity clamping, and mirror operator", Expert Systems 2023, 40, e13306. It is directly relevant, because it combines opposition-based learning with Cauchy mutation in one algorithm, which is the closest published precedent for the combination we use, and it therefore strengthens rather than weakens the case that our contribution lies in the integration and not in the operators.</w:t>
      </w:r>
    </w:p>
    <w:p>
      <w:pPr>
        <w:spacing w:after="320" w:before="0"/>
      </w:pPr>
      <w:r>
        <w:rPr>
          <w:rFonts w:ascii="Times New Roman" w:hAnsi="Times New Roman"/>
          <w:b w:val="0"/>
          <w:i w:val="0"/>
          <w:color w:val="C00000"/>
          <w:sz w:val="21"/>
        </w:rPr>
        <w:t>We have added it as reference [81] and cited it in the new Section 3.6, where it is used as evidence that combinations of this kind are already established: "a closely related combination of opposition-based learning with Cauchy mutation, velocity clamping and a mirror operator has recently been reported for the ideal gas molecular movement algorithm [81]".</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The color-harmony optimization formulation is incomplete in the provided manuscript. The authors mention Equation (18) and (19) for color-harmony evaluation, but these equations are not fully presented in the text (the manuscript appears to be missing pages where these formulas should appear). Ensure all equations are complete and properly numbered, Provide clear definitions of all variables in the color model, Explain the color space used (RGB, HSV, Lab, etc.) and justify the choice, Describe how the harmonic template is determined (Figure 12a references a template but it's not clear how it's derived)</w:t>
      </w:r>
    </w:p>
    <w:p>
      <w:pPr>
        <w:spacing w:after="60" w:before="0"/>
      </w:pPr>
      <w:r>
        <w:rPr>
          <w:rFonts w:ascii="Times New Roman" w:hAnsi="Times New Roman"/>
          <w:b/>
          <w:i w:val="0"/>
          <w:color w:val="C00000"/>
          <w:sz w:val="21"/>
        </w:rPr>
        <w:t>Response 4:</w:t>
      </w:r>
    </w:p>
    <w:p>
      <w:pPr>
        <w:spacing w:after="120" w:before="0"/>
      </w:pPr>
      <w:r>
        <w:rPr>
          <w:rFonts w:ascii="Times New Roman" w:hAnsi="Times New Roman"/>
          <w:b w:val="0"/>
          <w:i w:val="0"/>
          <w:color w:val="C00000"/>
          <w:sz w:val="21"/>
        </w:rPr>
        <w:t>Agree, and thank you for catching this. We have completed Section 5.1 on all four points.</w:t>
      </w:r>
    </w:p>
    <w:p>
      <w:pPr>
        <w:spacing w:after="120" w:before="0"/>
      </w:pPr>
      <w:r>
        <w:rPr>
          <w:rFonts w:ascii="Times New Roman" w:hAnsi="Times New Roman"/>
          <w:b w:val="0"/>
          <w:i w:val="0"/>
          <w:color w:val="C00000"/>
          <w:sz w:val="21"/>
        </w:rPr>
        <w:t>Equations (18) and (19) are now written out in full in the running text as well as in the display equations (Section 5.1). DIV is the mean normalized pairwise arc distance of the K hues, equal to 0 for a monochrome palette and 1 when every pair of hues is complementary; CON = min(1, (max_i v_i - min_i v_i)/0.6) saturates once the palette spans 60% of the value range. The objective is f(P) = w_har HAR(P) + w_div DIV(P) + w_con CON(P) with w_har = 0.60, w_div = 0.25, w_con = 0.15. All three terms lie in [0, 1], so the reported harmony score is 100 f(P) per cent, which also makes the scale of Table 14 explicit.</w:t>
      </w:r>
    </w:p>
    <w:p>
      <w:pPr>
        <w:spacing w:after="120" w:before="0"/>
      </w:pPr>
      <w:r>
        <w:rPr>
          <w:rFonts w:ascii="Times New Roman" w:hAnsi="Times New Roman"/>
          <w:b w:val="0"/>
          <w:i w:val="0"/>
          <w:color w:val="C00000"/>
          <w:sz w:val="21"/>
        </w:rPr>
        <w:t>On the colour space: the model works in HSV, and a new paragraph explains why this is forced by the objective rather than chosen for convenience. Matsuda's templates are angular sectors on the hue wheel, so hue must be an explicit cyclic coordinate; RGB has no such coordinate, and CIE L*a*b* carries hue only implicitly as the argument of (a*, b*), which would prevent the arc distance of Equation (15) from being written in closed form. HSV also supplies saturation, which weights how much hue information a colour carries, and value, which supplies the tonal contrast. The decision variables are the triples (h_i, s_i, v_i) with h_i in [0, 360), s_i in [0.2, 1] and v_i in [0.15, 1]; the lower bounds exclude the near-grey and near-black region where hue is perceptually meaningless.</w:t>
      </w:r>
    </w:p>
    <w:p>
      <w:pPr>
        <w:spacing w:after="320" w:before="0"/>
      </w:pPr>
      <w:r>
        <w:rPr>
          <w:rFonts w:ascii="Times New Roman" w:hAnsi="Times New Roman"/>
          <w:b w:val="0"/>
          <w:i w:val="0"/>
          <w:color w:val="C00000"/>
          <w:sz w:val="21"/>
        </w:rPr>
        <w:t>On the harmonic template: the template is an output of the evaluation, not an input. New Table 13 lists the seven chromatic templates of Matsuda in the parameterization of Cohen-Or et al., each as one or two sectors of fixed angular width and fixed relative offset. The only free parameter is a rigid rotation alpha. For each candidate palette the disharmony energy of Equation (16) is minimized over the seven templates and over alpha on a 5-degree grid, and the best-fitting pair is what Figure 12a displays. We have stated this explicitly so the figure can no longer be read as showing a designer-chosen template.</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The Wilcoxon rank-sum test results in Table 7 show MSSBOA winning "83/18/15" against QIO and LSHADE, but the paper concludes "only a few losses on high-dimensional problems." However, 15 losses out of 116 cases (12.9%) is not negligible. Please provide a more balanced discussion of the statistical results, Analyze whether the losses occur on specific function types (unimodal, multimodal, hybrid, composition) to identify potential weaknesses, Consider whether the performance gap narrows with increasing dimensionality (as acknowledged in the limitations section)</w:t>
      </w:r>
    </w:p>
    <w:p>
      <w:pPr>
        <w:spacing w:after="60" w:before="0"/>
      </w:pPr>
      <w:r>
        <w:rPr>
          <w:rFonts w:ascii="Times New Roman" w:hAnsi="Times New Roman"/>
          <w:b/>
          <w:i w:val="0"/>
          <w:color w:val="C00000"/>
          <w:sz w:val="21"/>
        </w:rPr>
        <w:t>Response 5:</w:t>
      </w:r>
    </w:p>
    <w:p>
      <w:pPr>
        <w:spacing w:after="120" w:before="0"/>
      </w:pPr>
      <w:r>
        <w:rPr>
          <w:rFonts w:ascii="Times New Roman" w:hAnsi="Times New Roman"/>
          <w:b w:val="0"/>
          <w:i w:val="0"/>
          <w:color w:val="C00000"/>
          <w:sz w:val="21"/>
        </w:rPr>
        <w:t>Agree. The sentence you quote was indefensible and it has been removed. Section 4.4 now gives a balanced reading, a breakdown by function class and an explicit dimensional analysis, all of them computed from the regenerated runs rather than asserted.</w:t>
      </w:r>
    </w:p>
    <w:p>
      <w:pPr>
        <w:spacing w:after="120" w:before="0"/>
      </w:pPr>
      <w:r>
        <w:rPr>
          <w:rFonts w:ascii="Times New Roman" w:hAnsi="Times New Roman"/>
          <w:b w:val="0"/>
          <w:i w:val="0"/>
          <w:color w:val="C00000"/>
          <w:sz w:val="21"/>
        </w:rPr>
        <w:t>We should say at the outset that the whole experimental protocol has been re-run for this revision from a single public implementation, because you and Reviewer 3 both asked for the source code. Every table in the paper, including Table 7, now comes from that one set of runs, so the counts you quoted have changed. Over 29 algorithm-function cases at 10 dimensions with 29 runs each, the win/tie/loss counts of MSSBOA are: SBOA 1/26/2; GWO 27/2/0; COA 22/3/4; SCA 26/3/0; SMA 28/0/1; RIME 21/7/1; QIO 9/8/12; MRFO 24/4/1; GKSO 23/5/1; LSHADE 1/5/23. By average Friedman rank MSSBOA places third of 11. We present these numbers exactly as they came out, including where they are unfavourable.</w:t>
      </w:r>
    </w:p>
    <w:p>
      <w:pPr>
        <w:spacing w:after="120" w:before="0"/>
      </w:pPr>
      <w:r>
        <w:rPr>
          <w:rFonts w:ascii="Times New Roman" w:hAnsi="Times New Roman"/>
          <w:b w:val="0"/>
          <w:i w:val="0"/>
          <w:color w:val="C00000"/>
          <w:sz w:val="21"/>
        </w:rPr>
        <w:t>On function class: against LSHADE the 23 losses fall mainly on the hybrid functions (10 of 23) and against QIO the 12 losses fall mainly on the hybrid functions (7 of 12). The new Table 11 gives the full breakdown. The point of the table is to identify where the method is weakest rather than merely how often it loses.</w:t>
      </w:r>
    </w:p>
    <w:p>
      <w:pPr>
        <w:spacing w:after="320" w:before="0"/>
      </w:pPr>
      <w:r>
        <w:rPr>
          <w:rFonts w:ascii="Times New Roman" w:hAnsi="Times New Roman"/>
          <w:b w:val="0"/>
          <w:i w:val="0"/>
          <w:color w:val="C00000"/>
          <w:sz w:val="21"/>
        </w:rPr>
        <w:t>On dimensionality: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6:</w:t>
      </w:r>
    </w:p>
    <w:p>
      <w:pPr>
        <w:spacing w:after="160" w:before="0"/>
        <w:ind w:left="360"/>
      </w:pPr>
      <w:r>
        <w:rPr>
          <w:rFonts w:ascii="Times New Roman" w:hAnsi="Times New Roman"/>
          <w:b w:val="0"/>
          <w:i/>
          <w:sz w:val="21"/>
        </w:rPr>
        <w:t>The parameter sensitivity analysis only examines two parameters (N_min and p_m) using Friedman rankings. The paper does not investigate: Population size N (fixed at 30), The threshold for applying LOBL (fixed at 30%), The β parameter in the Lévy flight (fixed at 1.5), The three-stage time division (T/3, 2T/3) in the hunting strategy. Justify why these parameters are fixed at their current values, Consider adding ablation studies for these parameters or citing prior work that establishes their optimal values, If these parameters are problem-dependent, discuss how they might be tuned for different applications.</w:t>
      </w:r>
    </w:p>
    <w:p>
      <w:pPr>
        <w:spacing w:after="60" w:before="0"/>
      </w:pPr>
      <w:r>
        <w:rPr>
          <w:rFonts w:ascii="Times New Roman" w:hAnsi="Times New Roman"/>
          <w:b/>
          <w:i w:val="0"/>
          <w:color w:val="C00000"/>
          <w:sz w:val="21"/>
        </w:rPr>
        <w:t>Response 6:</w:t>
      </w:r>
    </w:p>
    <w:p>
      <w:pPr>
        <w:spacing w:after="120" w:before="0"/>
      </w:pPr>
      <w:r>
        <w:rPr>
          <w:rFonts w:ascii="Times New Roman" w:hAnsi="Times New Roman"/>
          <w:b w:val="0"/>
          <w:i w:val="0"/>
          <w:color w:val="C00000"/>
          <w:sz w:val="21"/>
        </w:rPr>
        <w:t>Agree, and this comment also exposed an inconsistency in the submitted manuscript that we are glad to correct. Section 3.2 described LOBL as being applied to "the worst 30%" of the population, whereas Table 3 and the sensitivity study in Table 4 both use N_min = 0.2N. The 30% was a leftover from an earlier draft; the value actually used, and the value the grid search selects, is 0.2N. Section 3.2 and Algorithm 1 have been corrected, so the LOBL threshold is not in fact a fixed, unexamined parameter - it is the parameter swept in Table 4, and we have renamed it explicitly to avoid the ambiguity.</w:t>
      </w:r>
    </w:p>
    <w:p>
      <w:pPr>
        <w:spacing w:after="120" w:before="0"/>
      </w:pPr>
      <w:r>
        <w:rPr>
          <w:rFonts w:ascii="Times New Roman" w:hAnsi="Times New Roman"/>
          <w:b w:val="0"/>
          <w:i w:val="0"/>
          <w:color w:val="C00000"/>
          <w:sz w:val="21"/>
        </w:rPr>
        <w:t>For the remaining three parameters we have added a new sensitivity study rather than only argue from prior work. Section 4.2 now reports grids over the population size N, the Levy stability index beta and the three-stage time division, on the CEC2017 suite in 10 dimensions with 20 independent runs per setting, analysed by the same Friedman protocol as the existing Tables 4 and 5. [The corresponding experiment was still running when this draft was generated; the sentence is completed automatically from results/ by code/make_tables.py.]</w:t>
      </w:r>
    </w:p>
    <w:p>
      <w:pPr>
        <w:spacing w:after="120" w:before="0"/>
      </w:pPr>
      <w:r>
        <w:rPr>
          <w:rFonts w:ascii="Times New Roman" w:hAnsi="Times New Roman"/>
          <w:b w:val="0"/>
          <w:i w:val="0"/>
          <w:color w:val="C00000"/>
          <w:sz w:val="21"/>
        </w:rPr>
        <w:t>We have also stated the prior grounds where they exist, since these are not free choices. beta = 1.5 is the value used in the original SBOA [51] and, before it, the standard value for Levy flights in the Mantegna formulation [57,58], and changing it would make the comparison with SBOA confounded. N = 30 is the population size used by every comparison algorithm in Table 3, so it is fixed for fairness rather than for performance. The three-stage division T/3, 2T/3 is inherited unchanged from SBOA [51] and is part of the base algorithm rather than of our contribution; we kept it so that the ablation in Section 4.3 measures our operators and not a re-tuning of SBOA.</w:t>
      </w:r>
    </w:p>
    <w:p>
      <w:pPr>
        <w:spacing w:after="320" w:before="0"/>
      </w:pPr>
      <w:r>
        <w:rPr>
          <w:rFonts w:ascii="Times New Roman" w:hAnsi="Times New Roman"/>
          <w:b w:val="0"/>
          <w:i w:val="0"/>
          <w:color w:val="C00000"/>
          <w:sz w:val="21"/>
        </w:rPr>
        <w:t>On problem dependence: the revised limitations section notes that the framework adds three parameters to those of SBOA and that this increases the tuning burden, and it recommends a self-adaptive scheme in which p_m and the LOBL ratio respond to a measured diversity statistic as the natural next step.</w:t>
      </w:r>
    </w:p>
    <w:p>
      <w:pPr>
        <w:spacing w:after="60" w:before="0"/>
      </w:pPr>
      <w:r>
        <w:rPr>
          <w:rFonts w:ascii="Times New Roman" w:hAnsi="Times New Roman"/>
          <w:b/>
          <w:i w:val="0"/>
          <w:sz w:val="21"/>
        </w:rPr>
        <w:t>Comments 7:</w:t>
      </w:r>
    </w:p>
    <w:p>
      <w:pPr>
        <w:spacing w:after="160" w:before="0"/>
        <w:ind w:left="360"/>
      </w:pPr>
      <w:r>
        <w:rPr>
          <w:rFonts w:ascii="Times New Roman" w:hAnsi="Times New Roman"/>
          <w:b w:val="0"/>
          <w:i/>
          <w:sz w:val="21"/>
        </w:rPr>
        <w:t>In Equation (22), the weights for the aesthetic objective are: BM=0.30, OV=0.22, AL=0.18, SY=0.15, DEN=0.15. The paper cites Ngo et al. [73] for these weights, but does not discuss: Whether these weights are universally applicable or problem-specific, Whether they were empirically validated for the specific design problems in Table 9, The sensitivity of results to variations in these weights. Add a brief discussion of the weight selection and consider showing results with alternative weight configurations.</w:t>
      </w:r>
    </w:p>
    <w:p>
      <w:pPr>
        <w:spacing w:after="60" w:before="0"/>
      </w:pPr>
      <w:r>
        <w:rPr>
          <w:rFonts w:ascii="Times New Roman" w:hAnsi="Times New Roman"/>
          <w:b/>
          <w:i w:val="0"/>
          <w:color w:val="C00000"/>
          <w:sz w:val="21"/>
        </w:rPr>
        <w:t>Response 7:</w:t>
      </w:r>
    </w:p>
    <w:p>
      <w:pPr>
        <w:spacing w:after="120" w:before="0"/>
      </w:pPr>
      <w:r>
        <w:rPr>
          <w:rFonts w:ascii="Times New Roman" w:hAnsi="Times New Roman"/>
          <w:b w:val="0"/>
          <w:i w:val="0"/>
          <w:color w:val="C00000"/>
          <w:sz w:val="21"/>
        </w:rPr>
        <w:t>Agree. Section 5.2 now discusses the weights explicitly and reports results under alternative configurations.</w:t>
      </w:r>
    </w:p>
    <w:p>
      <w:pPr>
        <w:spacing w:after="120" w:before="0"/>
      </w:pPr>
      <w:r>
        <w:rPr>
          <w:rFonts w:ascii="Times New Roman" w:hAnsi="Times New Roman"/>
          <w:b w:val="0"/>
          <w:i w:val="0"/>
          <w:color w:val="C00000"/>
          <w:sz w:val="21"/>
        </w:rPr>
        <w:t>On the first two points we answer plainly: the weights are not universal, and they were not independently validated on the eight problems of Table 15. They follow the relative importance Ngo et al. [73] assign to their measures, which was derived from a corpus of screen interfaces; there is no reason to expect the same ordering for, say, a packaging label, where overlap is a hard production constraint rather than an aesthetic preference. The revised text says so: "They are not universal constants ... adopting them unchanged is a modelling choice, and it should be read as one.".</w:t>
      </w:r>
    </w:p>
    <w:p>
      <w:pPr>
        <w:spacing w:after="320" w:before="0"/>
      </w:pPr>
      <w:r>
        <w:rPr>
          <w:rFonts w:ascii="Times New Roman" w:hAnsi="Times New Roman"/>
          <w:b w:val="0"/>
          <w:i w:val="0"/>
          <w:color w:val="C00000"/>
          <w:sz w:val="21"/>
        </w:rPr>
        <w:t>On sensitivity, we have re-optimized all eight problems under five weight configurations - the Ngo-based setting W0, equal weights, and three configurations that each promote one term - and report the outcome in new Table 17, together with Kendall's tau between the algorithm ordering under each configuration and under W0.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8:</w:t>
      </w:r>
    </w:p>
    <w:p>
      <w:pPr>
        <w:spacing w:after="160" w:before="0"/>
        <w:ind w:left="360"/>
      </w:pPr>
      <w:r>
        <w:rPr>
          <w:rFonts w:ascii="Times New Roman" w:hAnsi="Times New Roman"/>
          <w:b w:val="0"/>
          <w:i/>
          <w:sz w:val="21"/>
        </w:rPr>
        <w:t>The limitations section (Conclusions) mentions three limitations, but two of them ("parameters are determined empirically" and "high-dimensional search ability should be strengthened") are acknowledged in the original SBOA paper as well. Discuss which specific limitations of MSSBOA are unique to this variant versus inherited from SBOA, Provide more concrete suggestions for addressing each limitation, Consider including preliminary results or analysis that demonstrate these limitations.</w:t>
      </w:r>
    </w:p>
    <w:p>
      <w:pPr>
        <w:spacing w:after="60" w:before="0"/>
      </w:pPr>
      <w:r>
        <w:rPr>
          <w:rFonts w:ascii="Times New Roman" w:hAnsi="Times New Roman"/>
          <w:b/>
          <w:i w:val="0"/>
          <w:color w:val="C00000"/>
          <w:sz w:val="21"/>
        </w:rPr>
        <w:t>Response 8:</w:t>
      </w:r>
    </w:p>
    <w:p>
      <w:pPr>
        <w:spacing w:after="120" w:before="0"/>
      </w:pPr>
      <w:r>
        <w:rPr>
          <w:rFonts w:ascii="Times New Roman" w:hAnsi="Times New Roman"/>
          <w:b w:val="0"/>
          <w:i w:val="0"/>
          <w:color w:val="C00000"/>
          <w:sz w:val="21"/>
        </w:rPr>
        <w:t>Agree. The limitations section has been rewritten and now separates inherited from variant-specific limitations, attaches a concrete remedy to each, and points to the analysis that demonstrates it.</w:t>
      </w:r>
    </w:p>
    <w:p>
      <w:pPr>
        <w:spacing w:after="120" w:before="0"/>
      </w:pPr>
      <w:r>
        <w:rPr>
          <w:rFonts w:ascii="Times New Roman" w:hAnsi="Times New Roman"/>
          <w:b w:val="0"/>
          <w:i w:val="0"/>
          <w:color w:val="C00000"/>
          <w:sz w:val="21"/>
        </w:rPr>
        <w:t>Inherited: empirical parameter determination is a property of SBOA and of the family generally. What is specific to MSSBOA is that the framework adds three further parameters - the LOBL ratio, p_m and the two exponents of the lens schedule - so the burden grows rather than changes in kind; the concrete remedy proposed is a self-adaptive scheme driven by a measured diversity statistic. Partly inherited: the weakening at high dimension, but Section 4.4 now shows a MSSBOA-specific component and identifies the mechanism - both added operators are elite-centred and consume a dimension-independent share of the budget, so as D grows the same number of refractions and mutations must cover an exponentially larger space; the remedy proposed is a dimension-aware budget in which the LOBL subpopulation or mutation frequency scales with D.</w:t>
      </w:r>
    </w:p>
    <w:p>
      <w:pPr>
        <w:spacing w:after="320" w:before="0"/>
      </w:pPr>
      <w:r>
        <w:rPr>
          <w:rFonts w:ascii="Times New Roman" w:hAnsi="Times New Roman"/>
          <w:b w:val="0"/>
          <w:i w:val="0"/>
          <w:color w:val="C00000"/>
          <w:sz w:val="21"/>
        </w:rPr>
        <w:t>Genuinely specific to this variant: the lens operator refracts about the midpoint of the static search interval, so as k grows the image contracts onto a fixed point that carries no information about where the population currently is. The remedy is to replace the static bounds by the per-dimension extrema of the current population so that the optical centre tracks the population centroid; we note that this is a change to Equation (11) itself and not merely to its parameters, and we leave it to future work rather than claim it here. This limitation is demonstrated by the loss analysis of Table 11 and by the k-schedule grid of Table 1.</w:t>
      </w:r>
    </w:p>
    <w:p>
      <w:pPr>
        <w:spacing w:after="60" w:before="0"/>
      </w:pPr>
      <w:r>
        <w:rPr>
          <w:rFonts w:ascii="Times New Roman" w:hAnsi="Times New Roman"/>
          <w:b/>
          <w:i w:val="0"/>
          <w:sz w:val="21"/>
        </w:rPr>
        <w:t>Comments 9:</w:t>
      </w:r>
    </w:p>
    <w:p>
      <w:pPr>
        <w:spacing w:after="160" w:before="0"/>
        <w:ind w:left="360"/>
      </w:pPr>
      <w:r>
        <w:rPr>
          <w:rFonts w:ascii="Times New Roman" w:hAnsi="Times New Roman"/>
          <w:b w:val="0"/>
          <w:i/>
          <w:sz w:val="21"/>
        </w:rPr>
        <w:t>The manuscript contains several typographical and formatting issues: Inconsistent use of mathematical notation (e.g., "CauchyGaussian" vs. "Cauchy-Gaussian"); Incomplete table entries with "td rowspan" tags visible; Duplicate page numbering in the appendix tables; Reference formatting inconsistencies</w:t>
      </w:r>
    </w:p>
    <w:p>
      <w:pPr>
        <w:spacing w:after="60" w:before="0"/>
      </w:pPr>
      <w:r>
        <w:rPr>
          <w:rFonts w:ascii="Times New Roman" w:hAnsi="Times New Roman"/>
          <w:b/>
          <w:i w:val="0"/>
          <w:color w:val="C00000"/>
          <w:sz w:val="21"/>
        </w:rPr>
        <w:t>Response 9:</w:t>
      </w:r>
    </w:p>
    <w:p>
      <w:pPr>
        <w:spacing w:after="120" w:before="0"/>
      </w:pPr>
      <w:r>
        <w:rPr>
          <w:rFonts w:ascii="Times New Roman" w:hAnsi="Times New Roman"/>
          <w:b w:val="0"/>
          <w:i w:val="0"/>
          <w:color w:val="C00000"/>
          <w:sz w:val="21"/>
        </w:rPr>
        <w:t>Thank you. We have gone through the manuscript for all four items.</w:t>
      </w:r>
    </w:p>
    <w:p>
      <w:pPr>
        <w:spacing w:after="320" w:before="0"/>
      </w:pPr>
      <w:r>
        <w:rPr>
          <w:rFonts w:ascii="Times New Roman" w:hAnsi="Times New Roman"/>
          <w:b w:val="0"/>
          <w:i w:val="0"/>
          <w:color w:val="C00000"/>
          <w:sz w:val="21"/>
        </w:rPr>
        <w:t>The notation is now uniform: every occurrence of the compound is set as "Cauchy-Gaussian" with an en dash, including the previously truncated "Cauchy-Gauss mutation" in Algorithm 1. On the "td rowspan" tags and the duplicate page numbering: we inspected the source file and could not reproduce either artefact in it, and we believe both arose in the PDF that was generated from our submission rather than in the document itself. We have nevertheless rebuilt the appendix tables so that their header rows are marked to repeat across page breaks, which is the most likely origin of an apparent duplication, and we would be grateful if the editorial office would check the typeset proof for these two items. The references have been reformatted consistently in MDPI style, and the three new references [81-83] follow the same format.</w:t>
      </w:r>
    </w:p>
    <w:p>
      <w:pPr>
        <w:spacing w:after="60" w:before="0"/>
      </w:pPr>
      <w:r>
        <w:rPr>
          <w:rFonts w:ascii="Times New Roman" w:hAnsi="Times New Roman"/>
          <w:b/>
          <w:i w:val="0"/>
          <w:sz w:val="21"/>
        </w:rPr>
        <w:t>Comments 10:</w:t>
      </w:r>
    </w:p>
    <w:p>
      <w:pPr>
        <w:spacing w:after="160" w:before="0"/>
        <w:ind w:left="360"/>
      </w:pPr>
      <w:r>
        <w:rPr>
          <w:rFonts w:ascii="Times New Roman" w:hAnsi="Times New Roman"/>
          <w:b w:val="0"/>
          <w:i/>
          <w:sz w:val="21"/>
        </w:rPr>
        <w:t>Will the source code for MSSBOA be made publicly available to facilitate reproduction and comparison?</w:t>
      </w:r>
    </w:p>
    <w:p>
      <w:pPr>
        <w:spacing w:after="60" w:before="0"/>
      </w:pPr>
      <w:r>
        <w:rPr>
          <w:rFonts w:ascii="Times New Roman" w:hAnsi="Times New Roman"/>
          <w:b/>
          <w:i w:val="0"/>
          <w:color w:val="C00000"/>
          <w:sz w:val="21"/>
        </w:rPr>
        <w:t>Response 10:</w:t>
      </w:r>
    </w:p>
    <w:p>
      <w:pPr>
        <w:spacing w:after="320" w:before="0"/>
      </w:pPr>
      <w:r>
        <w:rPr>
          <w:rFonts w:ascii="Times New Roman" w:hAnsi="Times New Roman"/>
          <w:b w:val="0"/>
          <w:i w:val="0"/>
          <w:color w:val="C00000"/>
          <w:sz w:val="21"/>
        </w:rPr>
        <w:t>Yes. The complete source code is released with the paper: the MSSBOA implementation, the re-implementations of the comparison algorithms used in the new Section 4.5, the two design-problem formulations, the experiment runners and all raw result files. The Data Availability Statement has been updated accordingly and now gives the repository address instead of "available on request".</w:t>
      </w:r>
    </w:p>
    <w:p>
      <w:pPr>
        <w:spacing w:after="60" w:before="0"/>
      </w:pPr>
      <w:r>
        <w:rPr>
          <w:rFonts w:ascii="Times New Roman" w:hAnsi="Times New Roman"/>
          <w:b/>
          <w:i w:val="0"/>
          <w:sz w:val="21"/>
        </w:rPr>
        <w:t>Comments 11:</w:t>
      </w:r>
    </w:p>
    <w:p>
      <w:pPr>
        <w:spacing w:after="160" w:before="0"/>
        <w:ind w:left="360"/>
      </w:pPr>
      <w:r>
        <w:rPr>
          <w:rFonts w:ascii="Times New Roman" w:hAnsi="Times New Roman"/>
          <w:b w:val="0"/>
          <w:i/>
          <w:sz w:val="21"/>
        </w:rPr>
        <w:t>The design problems considered are offline optimization tasks. Could MSSBOA be adapted for interactive or real-time design scenarios where users provide subjective feedback?</w:t>
      </w:r>
    </w:p>
    <w:p>
      <w:pPr>
        <w:spacing w:after="60" w:before="0"/>
      </w:pPr>
      <w:r>
        <w:rPr>
          <w:rFonts w:ascii="Times New Roman" w:hAnsi="Times New Roman"/>
          <w:b/>
          <w:i w:val="0"/>
          <w:color w:val="C00000"/>
          <w:sz w:val="21"/>
        </w:rPr>
        <w:t>Response 11:</w:t>
      </w:r>
    </w:p>
    <w:p>
      <w:pPr>
        <w:spacing w:after="320" w:before="0"/>
      </w:pPr>
      <w:r>
        <w:rPr>
          <w:rFonts w:ascii="Times New Roman" w:hAnsi="Times New Roman"/>
          <w:b w:val="0"/>
          <w:i w:val="0"/>
          <w:color w:val="C00000"/>
          <w:sz w:val="21"/>
        </w:rPr>
        <w:t>Yes, and we think the framework is unusually well suited to it, but we have been careful to present this as a direction rather than a result. A new paragraph in the Conclusions explains what adaptation would involve: the analytic objective would be replaced by a surrogate model fitted to accumulated user judgements so that only a small number of candidates is ever shown to the user, with the population and iteration budget reduced accordingly. The reason the framework fits is structural - a human evaluation budget is tiny, and MSSBOA is explicitly designed to spend very few evaluations on the elite, which is where interactive evaluation is most valuable. We cite the interactive genetic protocols for colour matching in cultural-creative design [79,80] as the natural starting point.</w:t>
      </w:r>
    </w:p>
    <w:p>
      <w:pPr>
        <w:spacing w:after="60" w:before="0"/>
      </w:pPr>
      <w:r>
        <w:rPr>
          <w:rFonts w:ascii="Times New Roman" w:hAnsi="Times New Roman"/>
          <w:b/>
          <w:i w:val="0"/>
          <w:sz w:val="21"/>
        </w:rPr>
        <w:t>Comments 12:</w:t>
      </w:r>
    </w:p>
    <w:p>
      <w:pPr>
        <w:spacing w:after="160" w:before="0"/>
        <w:ind w:left="360"/>
      </w:pPr>
      <w:r>
        <w:rPr>
          <w:rFonts w:ascii="Times New Roman" w:hAnsi="Times New Roman"/>
          <w:b w:val="0"/>
          <w:i/>
          <w:sz w:val="21"/>
        </w:rPr>
        <w:t>The aesthetic evaluations use computational models. Have the generated designs been validated with human subjects to confirm the aesthetic superiority?</w:t>
      </w:r>
    </w:p>
    <w:p>
      <w:pPr>
        <w:spacing w:after="60" w:before="0"/>
      </w:pPr>
      <w:r>
        <w:rPr>
          <w:rFonts w:ascii="Times New Roman" w:hAnsi="Times New Roman"/>
          <w:b/>
          <w:i w:val="0"/>
          <w:color w:val="C00000"/>
          <w:sz w:val="21"/>
        </w:rPr>
        <w:t>Response 12:</w:t>
      </w:r>
    </w:p>
    <w:p>
      <w:pPr>
        <w:spacing w:after="320" w:before="0"/>
      </w:pPr>
      <w:r>
        <w:rPr>
          <w:rFonts w:ascii="Times New Roman" w:hAnsi="Times New Roman"/>
          <w:b w:val="0"/>
          <w:i w:val="0"/>
          <w:color w:val="C00000"/>
          <w:sz w:val="21"/>
        </w:rPr>
        <w:t>No, they have not, and we have added this as an explicit limitation rather than leave it implicit. The revised Conclusions state that, strictly, the claim established here is that MSSBOA optimizes these models better, not that it produces better designs. We note that the models are themselves grounded in human data - the harmonic templates come from Matsuda's scheme as formalized by Cohen-Or et al. [70,72], and the layout measures of Ngo et al. [73,75] were calibrated against human ratings in their original studies - but we also say plainly that this grounding transfers only as far as the models do. A controlled study in which trained designers and naive participants rank the generated palettes and layouts against baselines, with agreement measured against the computational scores, is described as a necessary complement and is planned as the next stage of this work.</w:t>
      </w:r>
    </w:p>
    <w:p>
      <w:pPr>
        <w:spacing w:after="60" w:before="0"/>
      </w:pPr>
      <w:r>
        <w:rPr>
          <w:rFonts w:ascii="Times New Roman" w:hAnsi="Times New Roman"/>
          <w:b/>
          <w:i w:val="0"/>
          <w:sz w:val="21"/>
        </w:rPr>
        <w:t>Comments 13:</w:t>
      </w:r>
    </w:p>
    <w:p>
      <w:pPr>
        <w:spacing w:after="160" w:before="0"/>
        <w:ind w:left="360"/>
      </w:pPr>
      <w:r>
        <w:rPr>
          <w:rFonts w:ascii="Times New Roman" w:hAnsi="Times New Roman"/>
          <w:b w:val="0"/>
          <w:i/>
          <w:sz w:val="21"/>
        </w:rPr>
        <w:t>The maximum problem dimension in the layout problems appears to be 12 (DL04, 6 elements × 2 coordinates). Could the algorithm handle more complex layouts with 20-30 elements?</w:t>
      </w:r>
    </w:p>
    <w:p>
      <w:pPr>
        <w:spacing w:after="60" w:before="0"/>
      </w:pPr>
      <w:r>
        <w:rPr>
          <w:rFonts w:ascii="Times New Roman" w:hAnsi="Times New Roman"/>
          <w:b/>
          <w:i w:val="0"/>
          <w:color w:val="C00000"/>
          <w:sz w:val="21"/>
        </w:rPr>
        <w:t>Response 13:</w:t>
      </w:r>
    </w:p>
    <w:p>
      <w:pPr>
        <w:spacing w:after="320" w:before="0"/>
      </w:pPr>
      <w:r>
        <w:rPr>
          <w:rFonts w:ascii="Times New Roman" w:hAnsi="Times New Roman"/>
          <w:b w:val="0"/>
          <w:i w:val="0"/>
          <w:color w:val="C00000"/>
          <w:sz w:val="21"/>
        </w:rPr>
        <w:t>Agree that 12 dimensions is too small to support a claim of practical applicability, and we have run the experiment rather than argue the point. A new Section 5.3, "Scalability of the layout problem", instantiates the same objective with 8, 12, 20 and 30 elements, giving problems of 16 to 60 dimensions, with the total element area held at about half the canvas so that the density term stays comparable across sizes. New Table 18 reports the mean aesthetic score of MSSBOA and five comparison algorithms at each size. [The corresponding experiment was still running when this draft was generated; the sentence is completed automatically from results/ by code/make_tables.py.]</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