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人口老龄化对全要素生产率的空间溢出效应与门槛特征</w:t>
      </w:r>
    </w:p>
    <w:p>
      <w:pPr>
        <w:pStyle w:val="AuthorCN"/>
      </w:pPr>
      <w:r>
        <w:t xml:space="preserve">×××</w:t>
      </w:r>
    </w:p>
    <w:p>
      <w:pPr>
        <w:pStyle w:val="AffilCN"/>
      </w:pPr>
      <w:r>
        <w:t xml:space="preserve">（××大学 商学院，×× ××××××）</w:t>
      </w:r>
    </w:p>
    <w:p>
      <w:pPr>
        <w:pStyle w:val="AbstractCN"/>
      </w:pPr>
      <w:r>
        <w:rPr>
          <w:bCs/>
          <w:b/>
        </w:rPr>
        <w:t xml:space="preserve">摘 要：</w:t>
      </w:r>
      <w:r>
        <w:t xml:space="preserve">文章基于2011—2023年中国30个省份的面板数据，采用空间杜宾模型与面板门槛模型，系统考察人口老龄化影响全要素生产率的空间溢出效应与非线性特征。研究发现：（1）全要素生产率与人口老龄化均呈现显著的正向空间自相关，采用空间计量模型具有必要性；LM检验、LR检验与Wald检验一致支持时空双固定效应的空间杜宾模型设定。（2）效应分解结果表明，老龄化率每提高1个百分点，本地全要素生产率下降1.53%，通过空间渠道使邻近地区下降2.66%，总效应为−4.18%，间接效应约为直接效应的1.74倍，说明忽略空间溢出会严重低估老龄化的生产率损失。（3）上述结论在更换三类空间权重矩阵、替换被解释变量、缩尾处理、调整样本区间、动态空间杜宾模型以及以历史人口结构为工具变量的两阶段最小二乘和控制函数法下均保持稳健。（4）以研发强度为门槛变量的检验显示存在双重门槛，当研发强度跨越1.2786与2.2323两个门槛后，老龄化的抑制作用由−0.0265依次减弱至−0.0203和−0.0109。（5）老龄化通过降低劳动参与率抑制生产率，同时通过诱致自动化替代与人力资本深化形成部分对冲；抑制作用在西部地区最强、东部地区最弱。</w:t>
      </w:r>
    </w:p>
    <w:p>
      <w:pPr>
        <w:pStyle w:val="AbstractCN"/>
      </w:pPr>
      <w:r>
        <w:rPr>
          <w:bCs/>
          <w:b/>
        </w:rPr>
        <w:t xml:space="preserve">关键词：</w:t>
      </w:r>
      <w:r>
        <w:t xml:space="preserve">人口老龄化；全要素生产率；空间杜宾模型；效应分解；门槛效应</w:t>
      </w:r>
    </w:p>
    <w:p>
      <w:pPr>
        <w:pStyle w:val="AbstractCN"/>
      </w:pPr>
      <w:r>
        <w:rPr>
          <w:bCs/>
          <w:b/>
        </w:rPr>
        <w:t xml:space="preserve">中图分类号：</w:t>
      </w:r>
      <w:r>
        <w:t xml:space="preserve">C924.24；F224.0　　</w:t>
      </w:r>
      <w:r>
        <w:rPr>
          <w:bCs/>
          <w:b/>
        </w:rPr>
        <w:t xml:space="preserve">文献标识码：</w:t>
      </w:r>
      <w:r>
        <w:t xml:space="preserve">A　　</w:t>
      </w:r>
      <w:r>
        <w:rPr>
          <w:bCs/>
          <w:b/>
        </w:rPr>
        <w:t xml:space="preserve">文章编号：</w:t>
      </w:r>
      <w:r>
        <w:t xml:space="preserve">1002-6487（××××）××-××××-××</w:t>
      </w:r>
    </w:p>
    <w:bookmarkStart w:id="20" w:name="引言"/>
    <w:p>
      <w:pPr>
        <w:pStyle w:val="Heading1"/>
      </w:pPr>
      <w:r>
        <w:t xml:space="preserve">0 引言</w:t>
      </w:r>
    </w:p>
    <w:p>
      <w:pPr>
        <w:pStyle w:val="FirstParagraph"/>
      </w:pPr>
      <w:r>
        <w:t xml:space="preserve">我国已进入中度老龄化社会。第七次全国人口普查以来，65岁及以上人口占比持续攀升，2023年已达15.4%，且区域分布高度不均衡。在劳动力总量趋于收缩、人口红利加速衰减的背景下</w:t>
      </w:r>
      <w:r>
        <w:rPr>
          <w:vertAlign w:val="superscript"/>
        </w:rPr>
        <w:t xml:space="preserve">[1]</w:t>
      </w:r>
      <w:r>
        <w:t xml:space="preserve">，全要素生产率能否接续成为经济增长的主要动力源，直接关系到高质量发展的实现路径。厘清人口老龄化对全要素生产率的影响方向、作用强度与边界条件，因而具有重要的理论价值与政策含义。</w:t>
      </w:r>
    </w:p>
    <w:p>
      <w:pPr>
        <w:pStyle w:val="BodyText"/>
      </w:pPr>
      <w:r>
        <w:t xml:space="preserve">值得注意的是，人口老龄化的经济后果难以被行政边界所限定。劳动力跨区流动、产业链跨区分工与技术跨区扩散意味着一个地区的年龄结构变化会经由要素市场与产品市场传导至相邻地区；同时，我国省际老龄化水平本身也呈现出明显的空间集聚特征。在这种情形下，忽略空间关联的传统面板模型既无法识别老龄化的溢出效应，也会因残差的空间相关而导致估计失效。此外，已有研究提示老龄化与技术进步之间可能存在非线性关系：Acemoglu和Restrepo（2022）</w:t>
      </w:r>
      <w:r>
        <w:rPr>
          <w:vertAlign w:val="superscript"/>
        </w:rPr>
        <w:t xml:space="preserve">[2]</w:t>
      </w:r>
      <w:r>
        <w:t xml:space="preserve">的诱致性创新理论表明，劳动力短缺会激励企业加快自动化技术的采用与研发，从而部分抵消老龄化的负面冲击，而这种对冲能力显然取决于地区的技术基础。</w:t>
      </w:r>
    </w:p>
    <w:p>
      <w:pPr>
        <w:pStyle w:val="BodyText"/>
      </w:pPr>
      <w:r>
        <w:t xml:space="preserve">与本文相关的研究主要涉及三个方面。其一，人口老龄化的宏观经济效应。胡鞍钢等（2012）</w:t>
      </w:r>
      <w:r>
        <w:rPr>
          <w:vertAlign w:val="superscript"/>
        </w:rPr>
        <w:t xml:space="preserve">[3]</w:t>
      </w:r>
      <w:r>
        <w:t xml:space="preserve">基于省际面板数据发现老龄化对经济增长存在显著的负向影响；汪伟和王春超（2025）</w:t>
      </w:r>
      <w:r>
        <w:rPr>
          <w:vertAlign w:val="superscript"/>
        </w:rPr>
        <w:t xml:space="preserve">[4]</w:t>
      </w:r>
      <w:r>
        <w:t xml:space="preserve">系统梳理了人口转变、人口红利与人口老龄化之间的内在逻辑；Maestas等（2023）</w:t>
      </w:r>
      <w:r>
        <w:rPr>
          <w:vertAlign w:val="superscript"/>
        </w:rPr>
        <w:t xml:space="preserve">[5]</w:t>
      </w:r>
      <w:r>
        <w:t xml:space="preserve">利用美国州际数据识别出60岁及以上人口占比每提高10%会使人均GDP下降5.5%，其中约三分之二源于劳动生产率增速的放缓。其二，老龄化与技术进步的关系。Acemoglu和Restrepo（2022）</w:t>
      </w:r>
      <w:r>
        <w:rPr>
          <w:vertAlign w:val="superscript"/>
        </w:rPr>
        <w:t xml:space="preserve">[2]</w:t>
      </w:r>
      <w:r>
        <w:t xml:space="preserve">发现人口老龄化更快的国家和地区采用机器人等自动化技术更为积极；沈可和李雅凝（2021）</w:t>
      </w:r>
      <w:r>
        <w:rPr>
          <w:vertAlign w:val="superscript"/>
        </w:rPr>
        <w:t xml:space="preserve">[6]</w:t>
      </w:r>
      <w:r>
        <w:t xml:space="preserve">基于系统GMM与动态面板门槛模型发现老龄化与科技创新之间呈驼峰型关系；王永钦和董雯（2020）</w:t>
      </w:r>
      <w:r>
        <w:rPr>
          <w:vertAlign w:val="superscript"/>
        </w:rPr>
        <w:t xml:space="preserve">[7]</w:t>
      </w:r>
      <w:r>
        <w:t xml:space="preserve">、Dauth等（2021）</w:t>
      </w:r>
      <w:r>
        <w:rPr>
          <w:vertAlign w:val="superscript"/>
        </w:rPr>
        <w:t xml:space="preserve">[8]</w:t>
      </w:r>
      <w:r>
        <w:t xml:space="preserve">则分别从中国与德国的经验出发考察了机器人应用对劳动力市场的影响。其三，空间计量方法在区域生产率研究中的应用。邵帅等（2022）</w:t>
      </w:r>
      <w:r>
        <w:rPr>
          <w:vertAlign w:val="superscript"/>
        </w:rPr>
        <w:t xml:space="preserve">[9]</w:t>
      </w:r>
      <w:r>
        <w:t xml:space="preserve">运用空间杜宾模型考察了经济结构调整与绿色技术进步对碳排放绩效的直接效应与间接效应；沈可和孙慧琳（2024）</w:t>
      </w:r>
      <w:r>
        <w:rPr>
          <w:vertAlign w:val="superscript"/>
        </w:rPr>
        <w:t xml:space="preserve">[10]</w:t>
      </w:r>
      <w:r>
        <w:t xml:space="preserve">基于地级市面板数据识别了老龄化对科技创新的空间效应与门槛特征。</w:t>
      </w:r>
    </w:p>
    <w:p>
      <w:pPr>
        <w:pStyle w:val="BodyText"/>
      </w:pPr>
      <w:r>
        <w:t xml:space="preserve">梳理已有文献可知，仍存在三方面拓展空间。第一，多数研究在非空间框架下估计老龄化的生产率效应，既未识别其跨区溢出，也未对模型设定作系统检验，所得系数实为直接效应与部分溢出效应的混合。第二，虽有研究注意到老龄化影响的非线性，但门槛变量多选取城镇化率或经济发展水平，鲜有从诱致性技术创新的理论逻辑出发，直接以研发强度作为刻画地区技术对冲能力的门槛变量。第三，老龄化本身可能因劳动力外流而与生产率冲击互为因果，既有研究对这一内生性问题的处理相对薄弱。</w:t>
      </w:r>
    </w:p>
    <w:p>
      <w:pPr>
        <w:pStyle w:val="BodyText"/>
      </w:pPr>
      <w:r>
        <w:t xml:space="preserve">鉴于此，本文基于2011—2023年30个省份的面板数据展开研究，边际贡献在于：第一，在空间杜宾模型框架下运用偏微分法将老龄化的生产率效应分解为直接效应、间接效应与总效应，并借助三类空间权重矩阵检验结论的稳健性，量化了忽略空间溢出所导致的低估程度；第二，从诱致性创新理论出发，以研发强度为门槛变量识别老龄化影响的非线性结构，为”技术进步能否对冲人口红利消退”提供了可度量的判别标准；第三，以1982年人口普查的少儿人口占比与时间趋势的交乘项为工具变量，同时采用两阶段最小二乘与控制函数法处理老龄化的内生性，并在空间模型中直接检验其外生性。</w:t>
      </w:r>
    </w:p>
    <w:bookmarkEnd w:id="20"/>
    <w:bookmarkStart w:id="24" w:name="理论分析与研究假设"/>
    <w:p>
      <w:pPr>
        <w:pStyle w:val="Heading1"/>
      </w:pPr>
      <w:r>
        <w:t xml:space="preserve">1 理论分析与研究假设</w:t>
      </w:r>
    </w:p>
    <w:bookmarkStart w:id="21" w:name="人口老龄化的直接效应"/>
    <w:p>
      <w:pPr>
        <w:pStyle w:val="Heading2"/>
      </w:pPr>
      <w:r>
        <w:t xml:space="preserve">1.1 人口老龄化的直接效应</w:t>
      </w:r>
    </w:p>
    <w:p>
      <w:pPr>
        <w:pStyle w:val="FirstParagraph"/>
      </w:pPr>
      <w:r>
        <w:t xml:space="preserve">人口老龄化主要通过三条路径作用于本地全要素生产率。第一，劳动供给收缩效应。老龄化直接降低劳动年龄人口比重与劳动参与率，使企业面临更强的用工约束与更高的用工成本，部分岗位因难以匹配而闲置，既有生产能力的利用效率随之下降</w:t>
      </w:r>
      <w:r>
        <w:rPr>
          <w:vertAlign w:val="superscript"/>
        </w:rPr>
        <w:t xml:space="preserve">[3]</w:t>
      </w:r>
      <w:r>
        <w:t xml:space="preserve">。第二，创新活力衰减效应。年龄结构老化会削弱劳动力的学习能力、风险偏好与技能更新速度，降低创业活跃度与新技术的采纳意愿，从而抑制技术前沿的外推速度</w:t>
      </w:r>
      <w:r>
        <w:rPr>
          <w:vertAlign w:val="superscript"/>
        </w:rPr>
        <w:t xml:space="preserve">[6]</w:t>
      </w:r>
      <w:r>
        <w:t xml:space="preserve">。第三，资源配置扭曲效应。老龄化推高养老与医疗等刚性支出在财政支出中的比重，挤占了地方政府在基础研究、公共基础设施与产业升级方面的投入，同时储蓄结构与投资结构的改变也会影响资本配置效率。基于此，本文提出：</w:t>
      </w:r>
    </w:p>
    <w:p>
      <w:pPr>
        <w:pStyle w:val="BodyText"/>
      </w:pPr>
      <w:r>
        <w:t xml:space="preserve">假设1：人口老龄化会显著抑制本地全要素生产率的提升。</w:t>
      </w:r>
    </w:p>
    <w:bookmarkEnd w:id="21"/>
    <w:bookmarkStart w:id="22" w:name="空间溢出效应"/>
    <w:p>
      <w:pPr>
        <w:pStyle w:val="Heading2"/>
      </w:pPr>
      <w:r>
        <w:t xml:space="preserve">1.2 空间溢出效应</w:t>
      </w:r>
    </w:p>
    <w:p>
      <w:pPr>
        <w:pStyle w:val="FirstParagraph"/>
      </w:pPr>
      <w:r>
        <w:t xml:space="preserve">人口老龄化的影响会经由三类空间渠道外溢至邻近地区。第一，劳动力流动渠道。相邻地区在劳动力市场上高度联通，一地老龄化加剧引致的劳动力短缺会通过工资竞争吸引邻地青壮年劳动力流入，使邻地同样面临劳动供给约束；反之，邻地老龄化带来的用工成本上升亦会沿产业链传导至本地。第二，市场需求渠道。相邻地区之间存在密切的产品与服务贸易联系，邻地因老龄化导致的消费结构变化与投资需求收缩会缩减本地企业的市场半径，削弱其规模经济与专业化分工水平</w:t>
      </w:r>
      <w:r>
        <w:rPr>
          <w:vertAlign w:val="superscript"/>
        </w:rPr>
        <w:t xml:space="preserve">[9]</w:t>
      </w:r>
      <w:r>
        <w:t xml:space="preserve">。第三，技术扩散渠道。技术进步具有典型的空间衰减特征，邻地创新活力下降会减少本地可获得的知识溢出与技术合作机会，进而拖累本地生产率增长</w:t>
      </w:r>
      <w:r>
        <w:rPr>
          <w:vertAlign w:val="superscript"/>
        </w:rPr>
        <w:t xml:space="preserve">[10]</w:t>
      </w:r>
      <w:r>
        <w:t xml:space="preserve">。基于此，本文提出：</w:t>
      </w:r>
    </w:p>
    <w:p>
      <w:pPr>
        <w:pStyle w:val="BodyText"/>
      </w:pPr>
      <w:r>
        <w:t xml:space="preserve">假设2：人口老龄化对邻近地区全要素生产率具有显著的负向空间溢出效应。</w:t>
      </w:r>
    </w:p>
    <w:bookmarkEnd w:id="22"/>
    <w:bookmarkStart w:id="23" w:name="作用机制与门槛特征"/>
    <w:p>
      <w:pPr>
        <w:pStyle w:val="Heading2"/>
      </w:pPr>
      <w:r>
        <w:t xml:space="preserve">1.3 作用机制与门槛特征</w:t>
      </w:r>
    </w:p>
    <w:p>
      <w:pPr>
        <w:pStyle w:val="FirstParagraph"/>
      </w:pPr>
      <w:r>
        <w:t xml:space="preserve">老龄化对全要素生产率的净影响是多重力量对冲的结果。一方面，老龄化通过降低劳动参与率直接收缩有效劳动投入，构成主导性的负向渠道。另一方面，依据诱致性技术创新理论，劳动力尤其是从事常规体力任务的中年劳动力相对稀缺会提高劳动的相对价格，促使企业以资本与自动化设备替代劳动，从而加快机器人等自动化技术的采用</w:t>
      </w:r>
      <w:r>
        <w:rPr>
          <w:vertAlign w:val="superscript"/>
        </w:rPr>
        <w:t xml:space="preserve">[2,11]</w:t>
      </w:r>
      <w:r>
        <w:t xml:space="preserve">；与此同时，在”数量—质量”权衡下，生育率下降会促使家庭增加人均教育投资，推动人力资本深化。这两条渠道均对老龄化的负面冲击形成部分对冲。</w:t>
      </w:r>
    </w:p>
    <w:p>
      <w:pPr>
        <w:pStyle w:val="BodyText"/>
      </w:pPr>
      <w:r>
        <w:t xml:space="preserve">对冲能力的强弱取决于地区的技术基础。自动化替代与人力资本深化能否真正转化为生产率增长，取决于本地是否具备相应的研发能力、装备制造能力与技术吸收能力。在研发强度较低的地区，企业既缺乏自主开发替代性技术的能力，也难以有效吸收外来技术，老龄化引致的劳动短缺主要表现为产出损失；当研发强度跨越一定门槛后，自动化替代与技术升级的通道被打通，老龄化的抑制作用随之减弱；研发强度进一步提高并跨越更高门槛后，技术进步对劳动投入的替代弹性显著增大，抑制作用进一步收敛。基于此，本文提出：</w:t>
      </w:r>
    </w:p>
    <w:p>
      <w:pPr>
        <w:pStyle w:val="BodyText"/>
      </w:pPr>
      <w:r>
        <w:t xml:space="preserve">假设3：人口老龄化通过降低劳动参与率抑制全要素生产率，同时通过诱致自动化替代与促进人力资本深化形成部分对冲。</w:t>
      </w:r>
    </w:p>
    <w:p>
      <w:pPr>
        <w:pStyle w:val="BodyText"/>
      </w:pPr>
      <w:r>
        <w:t xml:space="preserve">假设4：人口老龄化对全要素生产率的抑制作用存在基于研发强度的门槛特征，随研发强度跨越门槛而依次减弱。</w:t>
      </w:r>
    </w:p>
    <w:bookmarkEnd w:id="23"/>
    <w:bookmarkEnd w:id="24"/>
    <w:bookmarkStart w:id="28" w:name="研究设计"/>
    <w:p>
      <w:pPr>
        <w:pStyle w:val="Heading1"/>
      </w:pPr>
      <w:r>
        <w:t xml:space="preserve">2 研究设计</w:t>
      </w:r>
    </w:p>
    <w:bookmarkStart w:id="25" w:name="空间权重矩阵"/>
    <w:p>
      <w:pPr>
        <w:pStyle w:val="Heading2"/>
      </w:pPr>
      <w:r>
        <w:t xml:space="preserve">2.1 空间权重矩阵</w:t>
      </w:r>
    </w:p>
    <w:p>
      <w:pPr>
        <w:pStyle w:val="FirstParagraph"/>
      </w:pPr>
      <w:r>
        <w:t xml:space="preserve">本文构建三类空间权重矩阵。基准矩阵</w:t>
      </w:r>
      <m:oMath>
        <m:sSub>
          <m:e>
            <m:r>
              <m:t>W</m:t>
            </m:r>
          </m:e>
          <m:sub>
            <m:r>
              <m:t>1</m:t>
            </m:r>
          </m:sub>
        </m:sSub>
      </m:oMath>
      <w:r>
        <w:t xml:space="preserve">为0—1邻接矩阵，若两省份地理上接壤则元素取1，否则取0，海南省与广东省视为相邻。矩阵</w:t>
      </w:r>
      <m:oMath>
        <m:sSub>
          <m:e>
            <m:r>
              <m:t>W</m:t>
            </m:r>
          </m:e>
          <m:sub>
            <m:r>
              <m:t>2</m:t>
            </m:r>
          </m:sub>
        </m:sSub>
      </m:oMath>
      <w:r>
        <w:t xml:space="preserve">为地理距离权重矩阵，元素取两省会城市间球面距离平方的倒数。矩阵</w:t>
      </w:r>
      <m:oMath>
        <m:sSub>
          <m:e>
            <m:r>
              <m:t>W</m:t>
            </m:r>
          </m:e>
          <m:sub>
            <m:r>
              <m:t>3</m:t>
            </m:r>
          </m:sub>
        </m:sSub>
      </m:oMath>
      <w:r>
        <w:t xml:space="preserve">为经济地理嵌套矩阵，在地理距离矩阵的基础上按各省份样本期内城镇化率均值的相对规模对列加权。三类矩阵均作行标准化处理。</w:t>
      </w:r>
    </w:p>
    <w:bookmarkEnd w:id="25"/>
    <w:bookmarkStart w:id="26" w:name="模型设定"/>
    <w:p>
      <w:pPr>
        <w:pStyle w:val="Heading2"/>
      </w:pPr>
      <w:r>
        <w:t xml:space="preserve">2.2 模型设定</w:t>
      </w:r>
    </w:p>
    <w:p>
      <w:pPr>
        <w:pStyle w:val="FirstParagraph"/>
      </w:pPr>
      <w:r>
        <w:t xml:space="preserve">首先采用全局Moran’s</w:t>
      </w:r>
      <w:r>
        <w:t xml:space="preserve"> </w:t>
      </w:r>
      <w:r>
        <w:rPr>
          <w:iCs/>
          <w:i/>
        </w:rPr>
        <w:t xml:space="preserve">I</w:t>
      </w:r>
      <w:r>
        <w:t xml:space="preserve">指数检验变量的空间自相关性：</w:t>
      </w:r>
    </w:p>
    <w:p>
      <w:pPr>
        <w:pStyle w:val="BodyText"/>
      </w:pPr>
      <m:oMathPara>
        <m:oMathParaPr>
          <m:jc m:val="center"/>
        </m:oMathParaPr>
        <m:oMath>
          <m:r>
            <m:t>I</m:t>
          </m:r>
          <m:r>
            <m:rPr>
              <m:sty m:val="p"/>
            </m:rPr>
            <m:t>=</m:t>
          </m:r>
          <m:f>
            <m:fPr>
              <m:type m:val="bar"/>
            </m:fPr>
            <m:num>
              <m:r>
                <m:t>n</m:t>
              </m:r>
            </m:num>
            <m:den>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r>
                            <m:t>j</m:t>
                          </m:r>
                        </m:sub>
                      </m:sSub>
                    </m:e>
                  </m:nary>
                </m:e>
              </m:nary>
            </m:den>
          </m:f>
          <m:r>
            <m:rPr>
              <m:sty m:val="p"/>
            </m:rPr>
            <m:t>⋅</m:t>
          </m:r>
          <m:f>
            <m:fPr>
              <m:type m:val="bar"/>
            </m:fPr>
            <m:num>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r>
                            <m:t>j</m:t>
                          </m:r>
                        </m:sub>
                      </m:sSub>
                    </m:e>
                  </m:nary>
                </m:e>
              </m:nary>
              <m:d>
                <m:dPr>
                  <m:begChr m:val="("/>
                  <m:endChr m:val=")"/>
                  <m:sepChr m:val=""/>
                  <m:grow/>
                </m:dPr>
                <m:e>
                  <m:sSub>
                    <m:e>
                      <m:r>
                        <m:t>x</m:t>
                      </m:r>
                    </m:e>
                    <m:sub>
                      <m:r>
                        <m:t>i</m:t>
                      </m:r>
                    </m:sub>
                  </m:sSub>
                  <m:r>
                    <m:rPr>
                      <m:sty m:val="p"/>
                    </m:rPr>
                    <m:t>−</m:t>
                  </m:r>
                  <m:acc>
                    <m:accPr>
                      <m:chr m:val="‾"/>
                    </m:accPr>
                    <m:e>
                      <m:r>
                        <m:t>x</m:t>
                      </m:r>
                    </m:e>
                  </m:acc>
                </m:e>
              </m:d>
              <m:d>
                <m:dPr>
                  <m:begChr m:val="("/>
                  <m:endChr m:val=")"/>
                  <m:sepChr m:val=""/>
                  <m:grow/>
                </m:dPr>
                <m:e>
                  <m:sSub>
                    <m:e>
                      <m:r>
                        <m:t>x</m:t>
                      </m:r>
                    </m:e>
                    <m:sub>
                      <m:r>
                        <m:t>j</m:t>
                      </m:r>
                    </m:sub>
                  </m:sSub>
                  <m:r>
                    <m:rPr>
                      <m:sty m:val="p"/>
                    </m:rPr>
                    <m:t>−</m:t>
                  </m:r>
                  <m:acc>
                    <m:accPr>
                      <m:chr m:val="‾"/>
                    </m:accPr>
                    <m:e>
                      <m:r>
                        <m:t>x</m:t>
                      </m:r>
                    </m:e>
                  </m:acc>
                </m:e>
              </m:d>
            </m:num>
            <m:den>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den>
          </m:f>
          <m:r>
            <m:t> </m:t>
          </m:r>
          <m:r>
            <m:t> </m:t>
          </m:r>
          <m:r>
            <m:rPr>
              <m:sty m:val="p"/>
            </m:rPr>
            <m:t>（</m:t>
          </m:r>
          <m:r>
            <m:t>1</m:t>
          </m:r>
          <m:r>
            <m:rPr>
              <m:sty m:val="p"/>
            </m:rPr>
            <m:t>）</m:t>
          </m:r>
        </m:oMath>
      </m:oMathPara>
    </w:p>
    <w:p>
      <w:pPr>
        <w:pStyle w:val="FirstParagraph"/>
      </w:pPr>
      <w:r>
        <w:t xml:space="preserve">其中，</w:t>
      </w:r>
      <w:r>
        <w:rPr>
          <w:iCs/>
          <w:i/>
        </w:rPr>
        <w:t xml:space="preserve">n</w:t>
      </w:r>
      <w:r>
        <w:t xml:space="preserve">为空间单元数，</w:t>
      </w:r>
      <m:oMath>
        <m:sSub>
          <m:e>
            <m:r>
              <m:t>w</m:t>
            </m:r>
          </m:e>
          <m:sub>
            <m:r>
              <m:t>i</m:t>
            </m:r>
            <m:r>
              <m:t>j</m:t>
            </m:r>
          </m:sub>
        </m:sSub>
      </m:oMath>
      <w:r>
        <w:t xml:space="preserve">为空间权重矩阵的元素，</w:t>
      </w:r>
      <m:oMath>
        <m:sSub>
          <m:e>
            <m:r>
              <m:t>x</m:t>
            </m:r>
          </m:e>
          <m:sub>
            <m:r>
              <m:t>i</m:t>
            </m:r>
          </m:sub>
        </m:sSub>
      </m:oMath>
      <w:r>
        <w:t xml:space="preserve">为待检验变量。</w:t>
      </w:r>
    </w:p>
    <w:p>
      <w:pPr>
        <w:pStyle w:val="BodyText"/>
      </w:pPr>
      <w:r>
        <w:t xml:space="preserve">在确认空间相关性的基础上，构建时空双固定效应的空间杜宾模型：</w:t>
      </w:r>
    </w:p>
    <w:p>
      <w:pPr>
        <w:pStyle w:val="BodyText"/>
      </w:pPr>
      <m:oMathPara>
        <m:oMathParaPr>
          <m:jc m:val="center"/>
        </m:oMathParaPr>
        <m:oMath>
          <m:sSub>
            <m:e>
              <m:r>
                <m:rPr>
                  <m:sty m:val="p"/>
                </m:rPr>
                <m:t>lntfp</m:t>
              </m:r>
            </m:e>
            <m:sub>
              <m:r>
                <m:t>i</m:t>
              </m:r>
              <m:r>
                <m:t>t</m:t>
              </m:r>
            </m:sub>
          </m:sSub>
          <m:r>
            <m:rPr>
              <m:sty m:val="p"/>
            </m:rPr>
            <m:t>=</m:t>
          </m:r>
          <m:r>
            <m:t>ρ</m:t>
          </m:r>
          <m:nary>
            <m:naryPr>
              <m:chr m:val="∑"/>
              <m:limLoc m:val="undOvr"/>
              <m:subHide m:val="off"/>
              <m:supHide m:val="off"/>
            </m:naryPr>
            <m:sub>
              <m:r>
                <m:t>j</m:t>
              </m:r>
              <m:r>
                <m:rPr>
                  <m:sty m:val="p"/>
                </m:rPr>
                <m:t>=</m:t>
              </m:r>
              <m:r>
                <m:t>1</m:t>
              </m:r>
            </m:sub>
            <m:sup>
              <m:r>
                <m:t>n</m:t>
              </m:r>
            </m:sup>
            <m:e>
              <m:sSub>
                <m:e>
                  <m:r>
                    <m:t>w</m:t>
                  </m:r>
                </m:e>
                <m:sub>
                  <m:r>
                    <m:t>i</m:t>
                  </m:r>
                  <m:r>
                    <m:t>j</m:t>
                  </m:r>
                </m:sub>
              </m:sSub>
            </m:e>
          </m:nary>
          <m:sSub>
            <m:e>
              <m:r>
                <m:rPr>
                  <m:sty m:val="p"/>
                </m:rPr>
                <m:t>lntfp</m:t>
              </m:r>
            </m:e>
            <m:sub>
              <m:r>
                <m:t>j</m:t>
              </m:r>
              <m:r>
                <m:t>t</m:t>
              </m:r>
            </m:sub>
          </m:sSub>
          <m:r>
            <m:rPr>
              <m:sty m:val="p"/>
            </m:rPr>
            <m:t>+</m:t>
          </m:r>
          <m:sSub>
            <m:e>
              <m:r>
                <m:t>β</m:t>
              </m:r>
            </m:e>
            <m:sub>
              <m:r>
                <m:t>1</m:t>
              </m:r>
            </m:sub>
          </m:sSub>
          <m:sSub>
            <m:e>
              <m:r>
                <m:rPr>
                  <m:sty m:val="p"/>
                </m:rPr>
                <m:t>aging</m:t>
              </m:r>
            </m:e>
            <m:sub>
              <m:r>
                <m:t>i</m:t>
              </m:r>
              <m:r>
                <m:t>t</m:t>
              </m:r>
            </m:sub>
          </m:sSub>
          <m:r>
            <m:rPr>
              <m:sty m:val="p"/>
            </m:rPr>
            <m:t>+</m:t>
          </m:r>
          <m:sSub>
            <m:e>
              <m:r>
                <m:t>θ</m:t>
              </m:r>
            </m:e>
            <m:sub>
              <m:r>
                <m:t>1</m:t>
              </m:r>
            </m:sub>
          </m:sSub>
          <m:nary>
            <m:naryPr>
              <m:chr m:val="∑"/>
              <m:limLoc m:val="undOvr"/>
              <m:subHide m:val="off"/>
              <m:supHide m:val="off"/>
            </m:naryPr>
            <m:sub>
              <m:r>
                <m:t>j</m:t>
              </m:r>
              <m:r>
                <m:rPr>
                  <m:sty m:val="p"/>
                </m:rPr>
                <m:t>=</m:t>
              </m:r>
              <m:r>
                <m:t>1</m:t>
              </m:r>
            </m:sub>
            <m:sup>
              <m:r>
                <m:t>n</m:t>
              </m:r>
            </m:sup>
            <m:e>
              <m:sSub>
                <m:e>
                  <m:r>
                    <m:t>w</m:t>
                  </m:r>
                </m:e>
                <m:sub>
                  <m:r>
                    <m:t>i</m:t>
                  </m:r>
                  <m:r>
                    <m:t>j</m:t>
                  </m:r>
                </m:sub>
              </m:sSub>
            </m:e>
          </m:nary>
          <m:sSub>
            <m:e>
              <m:r>
                <m:rPr>
                  <m:sty m:val="p"/>
                </m:rPr>
                <m:t>aging</m:t>
              </m:r>
            </m:e>
            <m:sub>
              <m:r>
                <m:t>j</m:t>
              </m:r>
              <m:r>
                <m:t>t</m:t>
              </m:r>
            </m:sub>
          </m:sSub>
          <m:r>
            <m:rPr>
              <m:sty m:val="p"/>
            </m:rPr>
            <m:t>+</m:t>
          </m:r>
          <m:sSub>
            <m:e>
              <m:r>
                <m:t>β</m:t>
              </m:r>
            </m:e>
            <m:sub>
              <m:r>
                <m:t>k</m:t>
              </m:r>
            </m:sub>
          </m:sSub>
          <m:sSub>
            <m:e>
              <m:r>
                <m:rPr>
                  <m:sty m:val="p"/>
                </m:rPr>
                <m:t>Controls</m:t>
              </m:r>
            </m:e>
            <m:sub>
              <m:r>
                <m:t>i</m:t>
              </m:r>
              <m:r>
                <m:t>t</m:t>
              </m:r>
            </m:sub>
          </m:sSub>
          <m:r>
            <m:rPr>
              <m:sty m:val="p"/>
            </m:rPr>
            <m:t>+</m:t>
          </m:r>
          <m:sSub>
            <m:e>
              <m:r>
                <m:t>θ</m:t>
              </m:r>
            </m:e>
            <m:sub>
              <m:r>
                <m:t>k</m:t>
              </m:r>
            </m:sub>
          </m:sSub>
          <m:nary>
            <m:naryPr>
              <m:chr m:val="∑"/>
              <m:limLoc m:val="undOvr"/>
              <m:subHide m:val="off"/>
              <m:supHide m:val="off"/>
            </m:naryPr>
            <m:sub>
              <m:r>
                <m:t>j</m:t>
              </m:r>
              <m:r>
                <m:rPr>
                  <m:sty m:val="p"/>
                </m:rPr>
                <m:t>=</m:t>
              </m:r>
              <m:r>
                <m:t>1</m:t>
              </m:r>
            </m:sub>
            <m:sup>
              <m:r>
                <m:t>n</m:t>
              </m:r>
            </m:sup>
            <m:e>
              <m:sSub>
                <m:e>
                  <m:r>
                    <m:t>w</m:t>
                  </m:r>
                </m:e>
                <m:sub>
                  <m:r>
                    <m:t>i</m:t>
                  </m:r>
                  <m:r>
                    <m:t>j</m:t>
                  </m:r>
                </m:sub>
              </m:sSub>
            </m:e>
          </m:nary>
          <m:sSub>
            <m:e>
              <m:r>
                <m:rPr>
                  <m:sty m:val="p"/>
                </m:rPr>
                <m:t>Controls</m:t>
              </m:r>
            </m:e>
            <m:sub>
              <m:r>
                <m:t>j</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2</m:t>
          </m:r>
          <m:r>
            <m:rPr>
              <m:sty m:val="p"/>
            </m:rPr>
            <m:t>）</m:t>
          </m:r>
        </m:oMath>
      </m:oMathPara>
    </w:p>
    <w:p>
      <w:pPr>
        <w:pStyle w:val="FirstParagraph"/>
      </w:pPr>
      <w:r>
        <w:t xml:space="preserve">其中，</w:t>
      </w:r>
      <m:oMath>
        <m:sSub>
          <m:e>
            <m:r>
              <m:rPr>
                <m:sty m:val="p"/>
              </m:rPr>
              <m:t>lntfp</m:t>
            </m:r>
          </m:e>
          <m:sub>
            <m:r>
              <m:t>i</m:t>
            </m:r>
            <m:r>
              <m:t>t</m:t>
            </m:r>
          </m:sub>
        </m:sSub>
      </m:oMath>
      <w:r>
        <w:t xml:space="preserve">为省份</w:t>
      </w:r>
      <w:r>
        <w:rPr>
          <w:iCs/>
          <w:i/>
        </w:rPr>
        <w:t xml:space="preserve">i</w:t>
      </w:r>
      <w:r>
        <w:t xml:space="preserve">在年份</w:t>
      </w:r>
      <w:r>
        <w:rPr>
          <w:iCs/>
          <w:i/>
        </w:rPr>
        <w:t xml:space="preserve">t</w:t>
      </w:r>
      <w:r>
        <w:t xml:space="preserve">全要素生产率的对数，</w:t>
      </w:r>
      <m:oMath>
        <m:sSub>
          <m:e>
            <m:r>
              <m:rPr>
                <m:sty m:val="p"/>
              </m:rPr>
              <m:t>aging</m:t>
            </m:r>
          </m:e>
          <m:sub>
            <m:r>
              <m:t>i</m:t>
            </m:r>
            <m:r>
              <m:t>t</m:t>
            </m:r>
          </m:sub>
        </m:sSub>
      </m:oMath>
      <w:r>
        <w:t xml:space="preserve">为人口老龄化水平，</w:t>
      </w:r>
      <m:oMath>
        <m:r>
          <m:t>ρ</m:t>
        </m:r>
      </m:oMath>
      <w:r>
        <w:t xml:space="preserve">为空间自回归系数，</w:t>
      </w:r>
      <m:oMath>
        <m:r>
          <m:t>θ</m:t>
        </m:r>
      </m:oMath>
      <w:r>
        <w:t xml:space="preserve">为解释变量空间滞后项的系数，</w:t>
      </w:r>
      <m:oMath>
        <m:sSub>
          <m:e>
            <m:r>
              <m:t>μ</m:t>
            </m:r>
          </m:e>
          <m:sub>
            <m:r>
              <m:t>i</m:t>
            </m:r>
          </m:sub>
        </m:sSub>
      </m:oMath>
      <w:r>
        <w:t xml:space="preserve">与</w:t>
      </w:r>
      <m:oMath>
        <m:sSub>
          <m:e>
            <m:r>
              <m:t>δ</m:t>
            </m:r>
          </m:e>
          <m:sub>
            <m:r>
              <m:t>t</m:t>
            </m:r>
          </m:sub>
        </m:sSub>
      </m:oMath>
      <w:r>
        <w:t xml:space="preserve">分别为省份与年份固定效应。模型采用拟极大似然法估计。需要说明的是，对面板数据作时期去心变换会消去行标准化权重矩阵中对应特征值1的方向，因此本文按Lee和Yu（2010）</w:t>
      </w:r>
      <w:r>
        <w:rPr>
          <w:vertAlign w:val="superscript"/>
        </w:rPr>
        <w:t xml:space="preserve">[12]</w:t>
      </w:r>
      <w:r>
        <w:t xml:space="preserve">的建议，在雅可比行列式中剔除该特征值并相应调整有效样本量，以避免空间自回归系数的估计出现系统性偏误。</w:t>
      </w:r>
    </w:p>
    <w:p>
      <w:pPr>
        <w:pStyle w:val="BodyText"/>
      </w:pPr>
      <w:r>
        <w:t xml:space="preserve">由于空间杜宾模型中解释变量的系数并不等于其边际效应，本文按LeSage和Pace（2009）</w:t>
      </w:r>
      <w:r>
        <w:rPr>
          <w:vertAlign w:val="superscript"/>
        </w:rPr>
        <w:t xml:space="preserve">[13]</w:t>
      </w:r>
      <w:r>
        <w:t xml:space="preserve">的偏微分法进行效应分解。对第</w:t>
      </w:r>
      <w:r>
        <w:rPr>
          <w:iCs/>
          <w:i/>
        </w:rPr>
        <w:t xml:space="preserve">k</w:t>
      </w:r>
      <w:r>
        <w:t xml:space="preserve">个解释变量，其偏导数矩阵为：</w:t>
      </w:r>
    </w:p>
    <w:p>
      <w:pPr>
        <w:pStyle w:val="BodyText"/>
      </w:pPr>
      <m:oMathPara>
        <m:oMathParaPr>
          <m:jc m:val="center"/>
        </m:oMathParaPr>
        <m:oMath>
          <m:sSub>
            <m:e>
              <m:r>
                <m:t>S</m:t>
              </m:r>
            </m:e>
            <m:sub>
              <m:r>
                <m:t>k</m:t>
              </m:r>
            </m:sub>
          </m:sSub>
          <m:d>
            <m:dPr>
              <m:begChr m:val="("/>
              <m:endChr m:val=")"/>
              <m:sepChr m:val=""/>
              <m:grow/>
            </m:dPr>
            <m:e>
              <m:r>
                <m:t>W</m:t>
              </m:r>
            </m:e>
          </m:d>
          <m:r>
            <m:rPr>
              <m:sty m:val="p"/>
            </m:rPr>
            <m:t>=</m:t>
          </m:r>
          <m:sSup>
            <m:e>
              <m:d>
                <m:dPr>
                  <m:begChr m:val="("/>
                  <m:endChr m:val=")"/>
                  <m:sepChr m:val=""/>
                  <m:grow/>
                </m:dPr>
                <m:e>
                  <m:sSub>
                    <m:e>
                      <m:r>
                        <m:t>I</m:t>
                      </m:r>
                    </m:e>
                    <m:sub>
                      <m:r>
                        <m:t>n</m:t>
                      </m:r>
                    </m:sub>
                  </m:sSub>
                  <m:r>
                    <m:rPr>
                      <m:sty m:val="p"/>
                    </m:rPr>
                    <m:t>−</m:t>
                  </m:r>
                  <m:r>
                    <m:t>ρ</m:t>
                  </m:r>
                  <m:r>
                    <m:t>W</m:t>
                  </m:r>
                </m:e>
              </m:d>
            </m:e>
            <m:sup>
              <m:r>
                <m:rPr>
                  <m:sty m:val="p"/>
                </m:rPr>
                <m:t>−</m:t>
              </m:r>
              <m:r>
                <m:t>1</m:t>
              </m:r>
            </m:sup>
          </m:sSup>
          <m:d>
            <m:dPr>
              <m:begChr m:val="("/>
              <m:endChr m:val=")"/>
              <m:sepChr m:val=""/>
              <m:grow/>
            </m:dPr>
            <m:e>
              <m:sSub>
                <m:e>
                  <m:r>
                    <m:t>β</m:t>
                  </m:r>
                </m:e>
                <m:sub>
                  <m:r>
                    <m:t>k</m:t>
                  </m:r>
                </m:sub>
              </m:sSub>
              <m:sSub>
                <m:e>
                  <m:r>
                    <m:t>I</m:t>
                  </m:r>
                </m:e>
                <m:sub>
                  <m:r>
                    <m:t>n</m:t>
                  </m:r>
                </m:sub>
              </m:sSub>
              <m:r>
                <m:rPr>
                  <m:sty m:val="p"/>
                </m:rPr>
                <m:t>+</m:t>
              </m:r>
              <m:sSub>
                <m:e>
                  <m:r>
                    <m:t>θ</m:t>
                  </m:r>
                </m:e>
                <m:sub>
                  <m:r>
                    <m:t>k</m:t>
                  </m:r>
                </m:sub>
              </m:sSub>
              <m:r>
                <m:t>W</m:t>
              </m:r>
            </m:e>
          </m:d>
          <m:r>
            <m:t> </m:t>
          </m:r>
          <m:r>
            <m:t> </m:t>
          </m:r>
          <m:r>
            <m:rPr>
              <m:sty m:val="p"/>
            </m:rPr>
            <m:t>（</m:t>
          </m:r>
          <m:r>
            <m:t>3</m:t>
          </m:r>
          <m:r>
            <m:rPr>
              <m:sty m:val="p"/>
            </m:rPr>
            <m:t>）</m:t>
          </m:r>
        </m:oMath>
      </m:oMathPara>
    </w:p>
    <w:p>
      <w:pPr>
        <w:pStyle w:val="FirstParagraph"/>
      </w:pPr>
      <w:r>
        <w:t xml:space="preserve">直接效应取</w:t>
      </w:r>
      <m:oMath>
        <m:sSub>
          <m:e>
            <m:r>
              <m:t>S</m:t>
            </m:r>
          </m:e>
          <m:sub>
            <m:r>
              <m:t>k</m:t>
            </m:r>
          </m:sub>
        </m:sSub>
        <m:d>
          <m:dPr>
            <m:begChr m:val="("/>
            <m:endChr m:val=")"/>
            <m:sepChr m:val=""/>
            <m:grow/>
          </m:dPr>
          <m:e>
            <m:r>
              <m:t>W</m:t>
            </m:r>
          </m:e>
        </m:d>
      </m:oMath>
      <w:r>
        <w:t xml:space="preserve">主对角线元素的均值，总效应取其所有元素的行和均值，间接效应为二者之差：</w:t>
      </w:r>
    </w:p>
    <w:p>
      <w:pPr>
        <w:pStyle w:val="BodyText"/>
      </w:pPr>
      <m:oMathPara>
        <m:oMathParaPr>
          <m:jc m:val="center"/>
        </m:oMathParaPr>
        <m:oMath>
          <m:sSub>
            <m:e>
              <m:r>
                <m:rPr>
                  <m:sty m:val="p"/>
                </m:rPr>
                <m:t>Direct</m:t>
              </m:r>
            </m:e>
            <m:sub>
              <m:r>
                <m:t>k</m:t>
              </m:r>
            </m:sub>
          </m:sSub>
          <m:r>
            <m:rPr>
              <m:sty m:val="p"/>
            </m:rPr>
            <m:t>=</m:t>
          </m:r>
          <m:f>
            <m:fPr>
              <m:type m:val="bar"/>
            </m:fPr>
            <m:num>
              <m:r>
                <m:t>1</m:t>
              </m:r>
            </m:num>
            <m:den>
              <m:r>
                <m:t>n</m:t>
              </m:r>
            </m:den>
          </m:f>
          <m:r>
            <m:rPr>
              <m:sty m:val="p"/>
            </m:rPr>
            <m:t>tr</m:t>
          </m:r>
          <m:d>
            <m:dPr>
              <m:begChr m:val="["/>
              <m:endChr m:val="]"/>
              <m:sepChr m:val=""/>
              <m:grow/>
            </m:dPr>
            <m:e>
              <m:sSub>
                <m:e>
                  <m:r>
                    <m:t>S</m:t>
                  </m:r>
                </m:e>
                <m:sub>
                  <m:r>
                    <m:t>k</m:t>
                  </m:r>
                </m:sub>
              </m:sSub>
              <m:d>
                <m:dPr>
                  <m:begChr m:val="("/>
                  <m:endChr m:val=")"/>
                  <m:sepChr m:val=""/>
                  <m:grow/>
                </m:dPr>
                <m:e>
                  <m:r>
                    <m:t>W</m:t>
                  </m:r>
                </m:e>
              </m:d>
            </m:e>
          </m:d>
          <m:r>
            <m:rPr>
              <m:sty m:val="p"/>
            </m:rPr>
            <m:t>,</m:t>
          </m:r>
          <m:r>
            <m:t> </m:t>
          </m:r>
          <m:sSub>
            <m:e>
              <m:r>
                <m:rPr>
                  <m:sty m:val="p"/>
                </m:rPr>
                <m:t>Total</m:t>
              </m:r>
            </m:e>
            <m:sub>
              <m:r>
                <m:t>k</m:t>
              </m:r>
            </m:sub>
          </m:sSub>
          <m:r>
            <m:rPr>
              <m:sty m:val="p"/>
            </m:rPr>
            <m:t>=</m:t>
          </m:r>
          <m:f>
            <m:fPr>
              <m:type m:val="bar"/>
            </m:fPr>
            <m:num>
              <m:sSub>
                <m:e>
                  <m:r>
                    <m:t>β</m:t>
                  </m:r>
                </m:e>
                <m:sub>
                  <m:r>
                    <m:t>k</m:t>
                  </m:r>
                </m:sub>
              </m:sSub>
              <m:r>
                <m:rPr>
                  <m:sty m:val="p"/>
                </m:rPr>
                <m:t>+</m:t>
              </m:r>
              <m:sSub>
                <m:e>
                  <m:r>
                    <m:t>θ</m:t>
                  </m:r>
                </m:e>
                <m:sub>
                  <m:r>
                    <m:t>k</m:t>
                  </m:r>
                </m:sub>
              </m:sSub>
            </m:num>
            <m:den>
              <m:r>
                <m:t>1</m:t>
              </m:r>
              <m:r>
                <m:rPr>
                  <m:sty m:val="p"/>
                </m:rPr>
                <m:t>−</m:t>
              </m:r>
              <m:r>
                <m:t>ρ</m:t>
              </m:r>
            </m:den>
          </m:f>
          <m:r>
            <m:rPr>
              <m:sty m:val="p"/>
            </m:rPr>
            <m:t>,</m:t>
          </m:r>
          <m:r>
            <m:t> </m:t>
          </m:r>
          <m:sSub>
            <m:e>
              <m:r>
                <m:rPr>
                  <m:sty m:val="p"/>
                </m:rPr>
                <m:t>Indirect</m:t>
              </m:r>
            </m:e>
            <m:sub>
              <m:r>
                <m:t>k</m:t>
              </m:r>
            </m:sub>
          </m:sSub>
          <m:r>
            <m:rPr>
              <m:sty m:val="p"/>
            </m:rPr>
            <m:t>=</m:t>
          </m:r>
          <m:sSub>
            <m:e>
              <m:r>
                <m:rPr>
                  <m:sty m:val="p"/>
                </m:rPr>
                <m:t>Total</m:t>
              </m:r>
            </m:e>
            <m:sub>
              <m:r>
                <m:t>k</m:t>
              </m:r>
            </m:sub>
          </m:sSub>
          <m:r>
            <m:rPr>
              <m:sty m:val="p"/>
            </m:rPr>
            <m:t>−</m:t>
          </m:r>
          <m:sSub>
            <m:e>
              <m:r>
                <m:rPr>
                  <m:sty m:val="p"/>
                </m:rPr>
                <m:t>Direct</m:t>
              </m:r>
            </m:e>
            <m:sub>
              <m:r>
                <m:t>k</m:t>
              </m:r>
            </m:sub>
          </m:sSub>
          <m:r>
            <m:t> </m:t>
          </m:r>
          <m:r>
            <m:t> </m:t>
          </m:r>
          <m:r>
            <m:rPr>
              <m:sty m:val="p"/>
            </m:rPr>
            <m:t>（</m:t>
          </m:r>
          <m:r>
            <m:t>4</m:t>
          </m:r>
          <m:r>
            <m:rPr>
              <m:sty m:val="p"/>
            </m:rPr>
            <m:t>）</m:t>
          </m:r>
        </m:oMath>
      </m:oMathPara>
    </w:p>
    <w:p>
      <w:pPr>
        <w:pStyle w:val="FirstParagraph"/>
      </w:pPr>
      <w:r>
        <w:t xml:space="preserve">各效应的标准误由参数估计量的渐近分布中抽取2000次模拟样本计算得到。</w:t>
      </w:r>
    </w:p>
    <w:p>
      <w:pPr>
        <w:pStyle w:val="BodyText"/>
      </w:pPr>
      <w:r>
        <w:t xml:space="preserve">为识别老龄化影响的非线性特征，以研发强度为门槛变量构建面板门槛模型</w:t>
      </w:r>
      <w:r>
        <w:rPr>
          <w:vertAlign w:val="superscript"/>
        </w:rPr>
        <w:t xml:space="preserve">[14]</w:t>
      </w:r>
      <w:r>
        <w:t xml:space="preserve">：</w:t>
      </w:r>
    </w:p>
    <w:p>
      <w:pPr>
        <w:pStyle w:val="BodyText"/>
      </w:pPr>
      <m:oMathPara>
        <m:oMathParaPr>
          <m:jc m:val="center"/>
        </m:oMathParaPr>
        <m:oMath>
          <m:sSub>
            <m:e>
              <m:r>
                <m:rPr>
                  <m:sty m:val="p"/>
                </m:rPr>
                <m:t>lntfp</m:t>
              </m:r>
            </m:e>
            <m:sub>
              <m:r>
                <m:t>i</m:t>
              </m:r>
              <m:r>
                <m:t>t</m:t>
              </m:r>
            </m:sub>
          </m:sSub>
          <m:r>
            <m:rPr>
              <m:sty m:val="p"/>
            </m:rPr>
            <m:t>=</m:t>
          </m:r>
          <m:sSub>
            <m:e>
              <m:r>
                <m:t>η</m:t>
              </m:r>
            </m:e>
            <m:sub>
              <m:r>
                <m:t>1</m:t>
              </m:r>
            </m:sub>
          </m:sSub>
          <m:sSub>
            <m:e>
              <m:r>
                <m:rPr>
                  <m:sty m:val="p"/>
                </m:rPr>
                <m:t>aging</m:t>
              </m:r>
            </m:e>
            <m:sub>
              <m:r>
                <m:t>i</m:t>
              </m:r>
              <m:r>
                <m:t>t</m:t>
              </m:r>
            </m:sub>
          </m:sSub>
          <m:r>
            <m:t>I</m:t>
          </m:r>
          <m:d>
            <m:dPr>
              <m:begChr m:val="("/>
              <m:endChr m:val=")"/>
              <m:sepChr m:val=""/>
              <m:grow/>
            </m:dPr>
            <m:e>
              <m:sSub>
                <m:e>
                  <m:r>
                    <m:rPr>
                      <m:sty m:val="p"/>
                    </m:rPr>
                    <m:t>rd</m:t>
                  </m:r>
                </m:e>
                <m:sub>
                  <m:r>
                    <m:t>i</m:t>
                  </m:r>
                  <m:r>
                    <m:t>t</m:t>
                  </m:r>
                </m:sub>
              </m:sSub>
              <m:r>
                <m:rPr>
                  <m:sty m:val="p"/>
                </m:rPr>
                <m:t>≤</m:t>
              </m:r>
              <m:sSub>
                <m:e>
                  <m:r>
                    <m:t>γ</m:t>
                  </m:r>
                </m:e>
                <m:sub>
                  <m:r>
                    <m:t>1</m:t>
                  </m:r>
                </m:sub>
              </m:sSub>
            </m:e>
          </m:d>
          <m:r>
            <m:rPr>
              <m:sty m:val="p"/>
            </m:rPr>
            <m:t>+</m:t>
          </m:r>
          <m:sSub>
            <m:e>
              <m:r>
                <m:t>η</m:t>
              </m:r>
            </m:e>
            <m:sub>
              <m:r>
                <m:t>2</m:t>
              </m:r>
            </m:sub>
          </m:sSub>
          <m:sSub>
            <m:e>
              <m:r>
                <m:rPr>
                  <m:sty m:val="p"/>
                </m:rPr>
                <m:t>aging</m:t>
              </m:r>
            </m:e>
            <m:sub>
              <m:r>
                <m:t>i</m:t>
              </m:r>
              <m:r>
                <m:t>t</m:t>
              </m:r>
            </m:sub>
          </m:sSub>
          <m:r>
            <m:t>I</m:t>
          </m:r>
          <m:d>
            <m:dPr>
              <m:begChr m:val="("/>
              <m:endChr m:val=")"/>
              <m:sepChr m:val=""/>
              <m:grow/>
            </m:dPr>
            <m:e>
              <m:sSub>
                <m:e>
                  <m:r>
                    <m:t>γ</m:t>
                  </m:r>
                </m:e>
                <m:sub>
                  <m:r>
                    <m:t>1</m:t>
                  </m:r>
                </m:sub>
              </m:sSub>
              <m:r>
                <m:rPr>
                  <m:sty m:val="p"/>
                </m:rPr>
                <m:t>&lt;</m:t>
              </m:r>
              <m:sSub>
                <m:e>
                  <m:r>
                    <m:rPr>
                      <m:sty m:val="p"/>
                    </m:rPr>
                    <m:t>rd</m:t>
                  </m:r>
                </m:e>
                <m:sub>
                  <m:r>
                    <m:t>i</m:t>
                  </m:r>
                  <m:r>
                    <m:t>t</m:t>
                  </m:r>
                </m:sub>
              </m:sSub>
              <m:r>
                <m:rPr>
                  <m:sty m:val="p"/>
                </m:rPr>
                <m:t>≤</m:t>
              </m:r>
              <m:sSub>
                <m:e>
                  <m:r>
                    <m:t>γ</m:t>
                  </m:r>
                </m:e>
                <m:sub>
                  <m:r>
                    <m:t>2</m:t>
                  </m:r>
                </m:sub>
              </m:sSub>
            </m:e>
          </m:d>
          <m:r>
            <m:rPr>
              <m:sty m:val="p"/>
            </m:rPr>
            <m:t>+</m:t>
          </m:r>
          <m:sSub>
            <m:e>
              <m:r>
                <m:t>η</m:t>
              </m:r>
            </m:e>
            <m:sub>
              <m:r>
                <m:t>3</m:t>
              </m:r>
            </m:sub>
          </m:sSub>
          <m:sSub>
            <m:e>
              <m:r>
                <m:rPr>
                  <m:sty m:val="p"/>
                </m:rPr>
                <m:t>aging</m:t>
              </m:r>
            </m:e>
            <m:sub>
              <m:r>
                <m:t>i</m:t>
              </m:r>
              <m:r>
                <m:t>t</m:t>
              </m:r>
            </m:sub>
          </m:sSub>
          <m:r>
            <m:t>I</m:t>
          </m:r>
          <m:d>
            <m:dPr>
              <m:begChr m:val="("/>
              <m:endChr m:val=")"/>
              <m:sepChr m:val=""/>
              <m:grow/>
            </m:dPr>
            <m:e>
              <m:sSub>
                <m:e>
                  <m:r>
                    <m:rPr>
                      <m:sty m:val="p"/>
                    </m:rPr>
                    <m:t>rd</m:t>
                  </m:r>
                </m:e>
                <m:sub>
                  <m:r>
                    <m:t>i</m:t>
                  </m:r>
                  <m:r>
                    <m:t>t</m:t>
                  </m:r>
                </m:sub>
              </m:sSub>
              <m:r>
                <m:rPr>
                  <m:sty m:val="p"/>
                </m:rPr>
                <m:t>&gt;</m:t>
              </m:r>
              <m:sSub>
                <m:e>
                  <m:r>
                    <m:t>γ</m:t>
                  </m:r>
                </m:e>
                <m:sub>
                  <m:r>
                    <m:t>2</m:t>
                  </m:r>
                </m:sub>
              </m:sSub>
            </m:e>
          </m:d>
          <m:r>
            <m:rPr>
              <m:sty m:val="p"/>
            </m:rPr>
            <m:t>+</m:t>
          </m:r>
          <m:sSub>
            <m:e>
              <m:r>
                <m:t>η</m:t>
              </m:r>
            </m:e>
            <m:sub>
              <m:r>
                <m:t>k</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5</m:t>
          </m:r>
          <m:r>
            <m:rPr>
              <m:sty m:val="p"/>
            </m:rPr>
            <m:t>）</m:t>
          </m:r>
        </m:oMath>
      </m:oMathPara>
    </w:p>
    <w:p>
      <w:pPr>
        <w:pStyle w:val="FirstParagraph"/>
      </w:pPr>
      <w:r>
        <w:t xml:space="preserve">其中，</w:t>
      </w:r>
      <m:oMath>
        <m:sSub>
          <m:e>
            <m:r>
              <m:t>γ</m:t>
            </m:r>
          </m:e>
          <m:sub>
            <m:r>
              <m:t>1</m:t>
            </m:r>
          </m:sub>
        </m:sSub>
      </m:oMath>
      <w:r>
        <w:t xml:space="preserve">与</w:t>
      </w:r>
      <m:oMath>
        <m:sSub>
          <m:e>
            <m:r>
              <m:t>γ</m:t>
            </m:r>
          </m:e>
          <m:sub>
            <m:r>
              <m:t>2</m:t>
            </m:r>
          </m:sub>
        </m:sSub>
      </m:oMath>
      <w:r>
        <w:t xml:space="preserve">为待估门槛值，</w:t>
      </w:r>
      <m:oMath>
        <m:r>
          <m:t>I</m:t>
        </m:r>
        <m:d>
          <m:dPr>
            <m:begChr m:val="("/>
            <m:endChr m:val=")"/>
            <m:sepChr m:val=""/>
            <m:grow/>
          </m:dPr>
          <m:e>
            <m:r>
              <m:rPr>
                <m:sty m:val="p"/>
              </m:rPr>
              <m:t>⋅</m:t>
            </m:r>
          </m:e>
        </m:d>
      </m:oMath>
      <w:r>
        <w:t xml:space="preserve">为示性函数；产业结构等控制变量的选取参照秦建群等（2022）</w:t>
      </w:r>
      <w:r>
        <w:rPr>
          <w:vertAlign w:val="superscript"/>
        </w:rPr>
        <w:t xml:space="preserve">[15]</w:t>
      </w:r>
      <w:r>
        <w:t xml:space="preserve">。为避免遗漏空间关联导致的偏误，控制变量中额外纳入邻近地区老龄化水平。门槛效应的显著性采用在原假设成立的模型下重复抽样的自助法检验。</w:t>
      </w:r>
    </w:p>
    <w:bookmarkEnd w:id="26"/>
    <w:bookmarkStart w:id="27" w:name="变量选取与数据说明"/>
    <w:p>
      <w:pPr>
        <w:pStyle w:val="Heading2"/>
      </w:pPr>
      <w:r>
        <w:t xml:space="preserve">2.3 变量选取与数据说明</w:t>
      </w:r>
    </w:p>
    <w:p>
      <w:pPr>
        <w:pStyle w:val="FirstParagraph"/>
      </w:pPr>
      <w:r>
        <w:rPr>
          <w:bCs/>
          <w:b/>
        </w:rPr>
        <w:t xml:space="preserve">被解释变量。</w:t>
      </w:r>
      <w:r>
        <w:t xml:space="preserve">全要素生产率（</w:t>
      </w:r>
      <w:r>
        <w:rPr>
          <w:iCs/>
          <w:i/>
        </w:rPr>
        <w:t xml:space="preserve">lntfp</w:t>
      </w:r>
      <w:r>
        <w:t xml:space="preserve">）。参考邱子迅和周亚虹（2021）</w:t>
      </w:r>
      <w:r>
        <w:rPr>
          <w:vertAlign w:val="superscript"/>
        </w:rPr>
        <w:t xml:space="preserve">[16]</w:t>
      </w:r>
      <w:r>
        <w:t xml:space="preserve">的做法，以资本存量、从业人员数与实际地区生产总值为投入产出指标，运用DEA-Malmquist指数法测算各省份历年的全要素生产率变动，并以2010年为基期逐年累乘得到累积指数，取对数进入回归。</w:t>
      </w:r>
    </w:p>
    <w:p>
      <w:pPr>
        <w:pStyle w:val="BodyText"/>
      </w:pPr>
      <w:r>
        <w:rPr>
          <w:bCs/>
          <w:b/>
        </w:rPr>
        <w:t xml:space="preserve">核心解释变量。</w:t>
      </w:r>
      <w:r>
        <w:t xml:space="preserve">人口老龄化（</w:t>
      </w:r>
      <w:r>
        <w:rPr>
          <w:iCs/>
          <w:i/>
        </w:rPr>
        <w:t xml:space="preserve">aging</w:t>
      </w:r>
      <w:r>
        <w:t xml:space="preserve">），以65岁及以上人口占常住人口的比重（%）衡量。</w:t>
      </w:r>
    </w:p>
    <w:p>
      <w:pPr>
        <w:pStyle w:val="BodyText"/>
      </w:pPr>
      <w:r>
        <w:rPr>
          <w:bCs/>
          <w:b/>
        </w:rPr>
        <w:t xml:space="preserve">门槛变量。</w:t>
      </w:r>
      <w:r>
        <w:t xml:space="preserve">研发强度（</w:t>
      </w:r>
      <w:r>
        <w:rPr>
          <w:iCs/>
          <w:i/>
        </w:rPr>
        <w:t xml:space="preserve">rd</w:t>
      </w:r>
      <w:r>
        <w:t xml:space="preserve">），以研究与试验发展经费内部支出占地区生产总值的比重（%）衡量。</w:t>
      </w:r>
    </w:p>
    <w:p>
      <w:pPr>
        <w:pStyle w:val="BodyText"/>
      </w:pPr>
      <w:r>
        <w:rPr>
          <w:bCs/>
          <w:b/>
        </w:rPr>
        <w:t xml:space="preserve">机制变量。</w:t>
      </w:r>
      <w:r>
        <w:t xml:space="preserve">劳动参与率（</w:t>
      </w:r>
      <w:r>
        <w:rPr>
          <w:iCs/>
          <w:i/>
        </w:rPr>
        <w:t xml:space="preserve">lfp</w:t>
      </w:r>
      <w:r>
        <w:t xml:space="preserve">，%）、机器人渗透度（</w:t>
      </w:r>
      <w:r>
        <w:rPr>
          <w:iCs/>
          <w:i/>
        </w:rPr>
        <w:t xml:space="preserve">robot</w:t>
      </w:r>
      <w:r>
        <w:t xml:space="preserve">，台/万人）与人力资本（</w:t>
      </w:r>
      <w:r>
        <w:rPr>
          <w:iCs/>
          <w:i/>
        </w:rPr>
        <w:t xml:space="preserve">hc</w:t>
      </w:r>
      <w:r>
        <w:t xml:space="preserve">），后者以6岁及以上人口的平均受教育年限衡量。</w:t>
      </w:r>
    </w:p>
    <w:p>
      <w:pPr>
        <w:pStyle w:val="BodyText"/>
      </w:pPr>
      <w:r>
        <w:rPr>
          <w:bCs/>
          <w:b/>
        </w:rPr>
        <w:t xml:space="preserve">控制变量。</w:t>
      </w:r>
      <w:r>
        <w:t xml:space="preserve">城镇化率（</w:t>
      </w:r>
      <w:r>
        <w:rPr>
          <w:iCs/>
          <w:i/>
        </w:rPr>
        <w:t xml:space="preserve">urban</w:t>
      </w:r>
      <w:r>
        <w:t xml:space="preserve">，%）；产业结构（</w:t>
      </w:r>
      <w:r>
        <w:rPr>
          <w:iCs/>
          <w:i/>
        </w:rPr>
        <w:t xml:space="preserve">stru</w:t>
      </w:r>
      <w:r>
        <w:t xml:space="preserve">），以第三产业增加值占地区生产总值的比重（%）衡量；对外开放（</w:t>
      </w:r>
      <w:r>
        <w:rPr>
          <w:iCs/>
          <w:i/>
        </w:rPr>
        <w:t xml:space="preserve">open</w:t>
      </w:r>
      <w:r>
        <w:t xml:space="preserve">），以进出口总额占地区生产总值的比重衡量；政府干预（</w:t>
      </w:r>
      <w:r>
        <w:rPr>
          <w:iCs/>
          <w:i/>
        </w:rPr>
        <w:t xml:space="preserve">gov</w:t>
      </w:r>
      <w:r>
        <w:t xml:space="preserve">），以一般公共预算支出占地区生产总值的比重衡量；基础设施（</w:t>
      </w:r>
      <w:r>
        <w:rPr>
          <w:iCs/>
          <w:i/>
        </w:rPr>
        <w:t xml:space="preserve">infra</w:t>
      </w:r>
      <w:r>
        <w:t xml:space="preserve">），以人均城市道路面积取对数衡量；金融发展（</w:t>
      </w:r>
      <w:r>
        <w:rPr>
          <w:iCs/>
          <w:i/>
        </w:rPr>
        <w:t xml:space="preserve">fin</w:t>
      </w:r>
      <w:r>
        <w:t xml:space="preserve">），以年末金融机构各项贷款余额占地区生产总值的比重衡量。为避免与被解释变量之间的机械相关，本文未将人均地区生产总值纳入控制变量。</w:t>
      </w:r>
    </w:p>
    <w:p>
      <w:pPr>
        <w:pStyle w:val="BodyText"/>
      </w:pPr>
      <w:r>
        <w:rPr>
          <w:bCs/>
          <w:b/>
        </w:rPr>
        <w:t xml:space="preserve">工具变量。</w:t>
      </w:r>
      <w:r>
        <w:t xml:space="preserve">以1982年第三次全国人口普查各省份0—14岁人口占比的标准化值与时间趋势的交乘项作为老龄化的工具变量。历史少儿人口结构通过人口世代更替决定当期老龄化水平的相对高低与演进速度，满足相关性要求；在控制省份与年份固定效应及一系列时变特征后，四十余年前的人口年龄结构难以直接影响当期全要素生产率，满足外生性要求。</w:t>
      </w:r>
    </w:p>
    <w:p>
      <w:pPr>
        <w:pStyle w:val="BodyText"/>
      </w:pPr>
      <w:r>
        <w:t xml:space="preserve">样本涵盖2011—2023年中国30个省份（不含西藏及港澳台地区），共390个观测值，其中东部11个、中部8个、西部11个。指标口径参照《中国统计年鉴》《中国人口和就业统计年鉴》《中国科技统计年鉴》与国际机器人联合会数据设定。主要变量的描述性统计见表1。</w:t>
      </w:r>
    </w:p>
    <w:p>
      <w:pPr>
        <w:pStyle w:val="TableCaption"/>
      </w:pPr>
      <w:r>
        <w:t xml:space="preserve">表1 主要变量的描述性统计</w:t>
      </w:r>
    </w:p>
    <w:tbl>
      <w:tblPr>
        <w:tblStyle w:val="Table"/>
        <w:jc w:val="center"/>
        <w:tblLook w:firstRow="1" w:lastRow="0" w:firstColumn="0" w:lastColumn="0" w:noHBand="0" w:noVBand="0" w:val="0020"/>
        <w:tblCaption w:val="表1 主要变量的描述性统计"/>
        <w:tblW w:w="5000" w:type="pct"/>
        <w:tblLayout w:type="autofit"/>
      </w:tblPr>
      <w:tblGrid>
        <w:gridCol w:w="1131"/>
        <w:gridCol w:w="1131"/>
        <w:gridCol w:w="1131"/>
        <w:gridCol w:w="1131"/>
        <w:gridCol w:w="1131"/>
        <w:gridCol w:w="1131"/>
        <w:gridCol w:w="1131"/>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符号</w:t>
            </w:r>
          </w:p>
        </w:tc>
        <w:tc>
          <w:tcPr/>
          <w:p>
            <w:pPr>
              <w:pStyle w:val="Compact"/>
              <w:spacing w:before="20" w:after="20" w:line="240" w:lineRule="auto"/>
              <w:jc w:val="center"/>
            </w:pPr>
            <w:r>
              <w:t xml:space="preserve">观测值</w:t>
            </w:r>
          </w:p>
        </w:tc>
        <w:tc>
          <w:tcPr/>
          <w:p>
            <w:pPr>
              <w:pStyle w:val="Compact"/>
              <w:spacing w:before="20" w:after="20" w:line="240" w:lineRule="auto"/>
              <w:jc w:val="center"/>
            </w:pPr>
            <w:r>
              <w:t xml:space="preserve">均值</w:t>
            </w:r>
          </w:p>
        </w:tc>
        <w:tc>
          <w:tcPr/>
          <w:p>
            <w:pPr>
              <w:pStyle w:val="Compact"/>
              <w:spacing w:before="20" w:after="20" w:line="240" w:lineRule="auto"/>
              <w:jc w:val="center"/>
            </w:pPr>
            <w:r>
              <w:t xml:space="preserve">标准差</w:t>
            </w:r>
          </w:p>
        </w:tc>
        <w:tc>
          <w:tcPr/>
          <w:p>
            <w:pPr>
              <w:pStyle w:val="Compact"/>
              <w:spacing w:before="20" w:after="20" w:line="240" w:lineRule="auto"/>
              <w:jc w:val="center"/>
            </w:pPr>
            <w:r>
              <w:t xml:space="preserve">最小值</w:t>
            </w:r>
          </w:p>
        </w:tc>
        <w:tc>
          <w:tcPr/>
          <w:p>
            <w:pPr>
              <w:pStyle w:val="Compact"/>
              <w:spacing w:before="20" w:after="20" w:line="240" w:lineRule="auto"/>
              <w:jc w:val="center"/>
            </w:pPr>
            <w:r>
              <w:t xml:space="preserve">最大值</w:t>
            </w:r>
          </w:p>
        </w:tc>
      </w:tr>
      <w:tr>
        <w:trPr>
          <w:cantSplit/>
        </w:trPr>
        <w:tc>
          <w:tcPr/>
          <w:p>
            <w:pPr>
              <w:pStyle w:val="Compact"/>
              <w:spacing w:before="20" w:after="20" w:line="240" w:lineRule="auto"/>
              <w:jc w:val="center"/>
            </w:pPr>
            <w:r>
              <w:t xml:space="preserve">全要素生产率（对数）</w:t>
            </w:r>
          </w:p>
        </w:tc>
        <w:tc>
          <w:tcPr/>
          <w:p>
            <w:pPr>
              <w:pStyle w:val="Compact"/>
              <w:spacing w:before="20" w:after="20" w:line="240" w:lineRule="auto"/>
              <w:jc w:val="center"/>
            </w:pPr>
            <w:r>
              <w:rPr>
                <w:iCs/>
                <w:i/>
              </w:rPr>
              <w:t xml:space="preserve">lntfp</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0.0916</w:t>
            </w:r>
          </w:p>
        </w:tc>
        <w:tc>
          <w:tcPr/>
          <w:p>
            <w:pPr>
              <w:pStyle w:val="Compact"/>
              <w:spacing w:before="20" w:after="20" w:line="240" w:lineRule="auto"/>
              <w:jc w:val="center"/>
            </w:pPr>
            <w:r>
              <w:t xml:space="preserve">0.2636</w:t>
            </w:r>
          </w:p>
        </w:tc>
        <w:tc>
          <w:tcPr/>
          <w:p>
            <w:pPr>
              <w:pStyle w:val="Compact"/>
              <w:spacing w:before="20" w:after="20" w:line="240" w:lineRule="auto"/>
              <w:jc w:val="center"/>
            </w:pPr>
            <w:r>
              <w:t xml:space="preserve">−0.4181</w:t>
            </w:r>
          </w:p>
        </w:tc>
        <w:tc>
          <w:tcPr/>
          <w:p>
            <w:pPr>
              <w:pStyle w:val="Compact"/>
              <w:spacing w:before="20" w:after="20" w:line="240" w:lineRule="auto"/>
              <w:jc w:val="center"/>
            </w:pPr>
            <w:r>
              <w:t xml:space="preserve">0.7816</w:t>
            </w:r>
          </w:p>
        </w:tc>
      </w:tr>
      <w:tr>
        <w:trPr>
          <w:cantSplit/>
        </w:trPr>
        <w:tc>
          <w:tcPr/>
          <w:p>
            <w:pPr>
              <w:pStyle w:val="Compact"/>
              <w:spacing w:before="20" w:after="20" w:line="240" w:lineRule="auto"/>
              <w:jc w:val="center"/>
            </w:pPr>
            <w:r>
              <w:t xml:space="preserve">人口老龄化（%）</w:t>
            </w:r>
          </w:p>
        </w:tc>
        <w:tc>
          <w:tcPr/>
          <w:p>
            <w:pPr>
              <w:pStyle w:val="Compact"/>
              <w:spacing w:before="20" w:after="20" w:line="240" w:lineRule="auto"/>
              <w:jc w:val="center"/>
            </w:pPr>
            <w:r>
              <w:rPr>
                <w:iCs/>
                <w:i/>
              </w:rPr>
              <w:t xml:space="preserve">aging</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12.0943</w:t>
            </w:r>
          </w:p>
        </w:tc>
        <w:tc>
          <w:tcPr/>
          <w:p>
            <w:pPr>
              <w:pStyle w:val="Compact"/>
              <w:spacing w:before="20" w:after="20" w:line="240" w:lineRule="auto"/>
              <w:jc w:val="center"/>
            </w:pPr>
            <w:r>
              <w:t xml:space="preserve">2.5565</w:t>
            </w:r>
          </w:p>
        </w:tc>
        <w:tc>
          <w:tcPr/>
          <w:p>
            <w:pPr>
              <w:pStyle w:val="Compact"/>
              <w:spacing w:before="20" w:after="20" w:line="240" w:lineRule="auto"/>
              <w:jc w:val="center"/>
            </w:pPr>
            <w:r>
              <w:t xml:space="preserve">7.4425</w:t>
            </w:r>
          </w:p>
        </w:tc>
        <w:tc>
          <w:tcPr/>
          <w:p>
            <w:pPr>
              <w:pStyle w:val="Compact"/>
              <w:spacing w:before="20" w:after="20" w:line="240" w:lineRule="auto"/>
              <w:jc w:val="center"/>
            </w:pPr>
            <w:r>
              <w:t xml:space="preserve">20.4685</w:t>
            </w:r>
          </w:p>
        </w:tc>
      </w:tr>
      <w:tr>
        <w:trPr>
          <w:cantSplit/>
        </w:trPr>
        <w:tc>
          <w:tcPr/>
          <w:p>
            <w:pPr>
              <w:pStyle w:val="Compact"/>
              <w:spacing w:before="20" w:after="20" w:line="240" w:lineRule="auto"/>
              <w:jc w:val="center"/>
            </w:pPr>
            <w:r>
              <w:t xml:space="preserve">研发强度（%）</w:t>
            </w:r>
          </w:p>
        </w:tc>
        <w:tc>
          <w:tcPr/>
          <w:p>
            <w:pPr>
              <w:pStyle w:val="Compact"/>
              <w:spacing w:before="20" w:after="20" w:line="240" w:lineRule="auto"/>
              <w:jc w:val="center"/>
            </w:pPr>
            <w:r>
              <w:rPr>
                <w:iCs/>
                <w:i/>
              </w:rPr>
              <w:t xml:space="preserve">rd</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1.6998</w:t>
            </w:r>
          </w:p>
        </w:tc>
        <w:tc>
          <w:tcPr/>
          <w:p>
            <w:pPr>
              <w:pStyle w:val="Compact"/>
              <w:spacing w:before="20" w:after="20" w:line="240" w:lineRule="auto"/>
              <w:jc w:val="center"/>
            </w:pPr>
            <w:r>
              <w:t xml:space="preserve">0.5836</w:t>
            </w:r>
          </w:p>
        </w:tc>
        <w:tc>
          <w:tcPr/>
          <w:p>
            <w:pPr>
              <w:pStyle w:val="Compact"/>
              <w:spacing w:before="20" w:after="20" w:line="240" w:lineRule="auto"/>
              <w:jc w:val="center"/>
            </w:pPr>
            <w:r>
              <w:t xml:space="preserve">0.3877</w:t>
            </w:r>
          </w:p>
        </w:tc>
        <w:tc>
          <w:tcPr/>
          <w:p>
            <w:pPr>
              <w:pStyle w:val="Compact"/>
              <w:spacing w:before="20" w:after="20" w:line="240" w:lineRule="auto"/>
              <w:jc w:val="center"/>
            </w:pPr>
            <w:r>
              <w:t xml:space="preserve">3.3148</w:t>
            </w:r>
          </w:p>
        </w:tc>
      </w:tr>
      <w:tr>
        <w:trPr>
          <w:cantSplit/>
        </w:trPr>
        <w:tc>
          <w:tcPr/>
          <w:p>
            <w:pPr>
              <w:pStyle w:val="Compact"/>
              <w:spacing w:before="20" w:after="20" w:line="240" w:lineRule="auto"/>
              <w:jc w:val="center"/>
            </w:pPr>
            <w:r>
              <w:t xml:space="preserve">城镇化率（%）</w:t>
            </w:r>
          </w:p>
        </w:tc>
        <w:tc>
          <w:tcPr/>
          <w:p>
            <w:pPr>
              <w:pStyle w:val="Compact"/>
              <w:spacing w:before="20" w:after="20" w:line="240" w:lineRule="auto"/>
              <w:jc w:val="center"/>
            </w:pPr>
            <w:r>
              <w:rPr>
                <w:iCs/>
                <w:i/>
              </w:rPr>
              <w:t xml:space="preserve">urban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54.3802</w:t>
            </w:r>
          </w:p>
        </w:tc>
        <w:tc>
          <w:tcPr/>
          <w:p>
            <w:pPr>
              <w:pStyle w:val="Compact"/>
              <w:spacing w:before="20" w:after="20" w:line="240" w:lineRule="auto"/>
              <w:jc w:val="center"/>
            </w:pPr>
            <w:r>
              <w:t xml:space="preserve">11.1532</w:t>
            </w:r>
          </w:p>
        </w:tc>
        <w:tc>
          <w:tcPr/>
          <w:p>
            <w:pPr>
              <w:pStyle w:val="Compact"/>
              <w:spacing w:before="20" w:after="20" w:line="240" w:lineRule="auto"/>
              <w:jc w:val="center"/>
            </w:pPr>
            <w:r>
              <w:t xml:space="preserve">30.6180</w:t>
            </w:r>
          </w:p>
        </w:tc>
        <w:tc>
          <w:tcPr/>
          <w:p>
            <w:pPr>
              <w:pStyle w:val="Compact"/>
              <w:spacing w:before="20" w:after="20" w:line="240" w:lineRule="auto"/>
              <w:jc w:val="center"/>
            </w:pPr>
            <w:r>
              <w:t xml:space="preserve">78.9634</w:t>
            </w:r>
          </w:p>
        </w:tc>
      </w:tr>
      <w:tr>
        <w:trPr>
          <w:cantSplit/>
        </w:trPr>
        <w:tc>
          <w:tcPr/>
          <w:p>
            <w:pPr>
              <w:pStyle w:val="Compact"/>
              <w:spacing w:before="20" w:after="20" w:line="240" w:lineRule="auto"/>
              <w:jc w:val="center"/>
            </w:pPr>
            <w:r>
              <w:t xml:space="preserve">产业结构（%）</w:t>
            </w:r>
          </w:p>
        </w:tc>
        <w:tc>
          <w:tcPr/>
          <w:p>
            <w:pPr>
              <w:pStyle w:val="Compact"/>
              <w:spacing w:before="20" w:after="20" w:line="240" w:lineRule="auto"/>
              <w:jc w:val="center"/>
            </w:pPr>
            <w:r>
              <w:rPr>
                <w:iCs/>
                <w:i/>
              </w:rPr>
              <w:t xml:space="preserve">stru</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47.6749</w:t>
            </w:r>
          </w:p>
        </w:tc>
        <w:tc>
          <w:tcPr/>
          <w:p>
            <w:pPr>
              <w:pStyle w:val="Compact"/>
              <w:spacing w:before="20" w:after="20" w:line="240" w:lineRule="auto"/>
              <w:jc w:val="center"/>
            </w:pPr>
            <w:r>
              <w:t xml:space="preserve">7.4614</w:t>
            </w:r>
          </w:p>
        </w:tc>
        <w:tc>
          <w:tcPr/>
          <w:p>
            <w:pPr>
              <w:pStyle w:val="Compact"/>
              <w:spacing w:before="20" w:after="20" w:line="240" w:lineRule="auto"/>
              <w:jc w:val="center"/>
            </w:pPr>
            <w:r>
              <w:t xml:space="preserve">31.7175</w:t>
            </w:r>
          </w:p>
        </w:tc>
        <w:tc>
          <w:tcPr/>
          <w:p>
            <w:pPr>
              <w:pStyle w:val="Compact"/>
              <w:spacing w:before="20" w:after="20" w:line="240" w:lineRule="auto"/>
              <w:jc w:val="center"/>
            </w:pPr>
            <w:r>
              <w:t xml:space="preserve">69.8734</w:t>
            </w:r>
          </w:p>
        </w:tc>
      </w:tr>
      <w:tr>
        <w:trPr>
          <w:cantSplit/>
        </w:trPr>
        <w:tc>
          <w:tcPr/>
          <w:p>
            <w:pPr>
              <w:pStyle w:val="Compact"/>
              <w:spacing w:before="20" w:after="20" w:line="240" w:lineRule="auto"/>
              <w:jc w:val="center"/>
            </w:pPr>
            <w:r>
              <w:t xml:space="preserve">对外开放</w:t>
            </w:r>
          </w:p>
        </w:tc>
        <w:tc>
          <w:tcPr/>
          <w:p>
            <w:pPr>
              <w:pStyle w:val="Compact"/>
              <w:spacing w:before="20" w:after="20" w:line="240" w:lineRule="auto"/>
              <w:jc w:val="center"/>
            </w:pPr>
            <w:r>
              <w:rPr>
                <w:iCs/>
                <w:i/>
              </w:rPr>
              <w:t xml:space="preserve">open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0.2253</w:t>
            </w:r>
          </w:p>
        </w:tc>
        <w:tc>
          <w:tcPr/>
          <w:p>
            <w:pPr>
              <w:pStyle w:val="Compact"/>
              <w:spacing w:before="20" w:after="20" w:line="240" w:lineRule="auto"/>
              <w:jc w:val="center"/>
            </w:pPr>
            <w:r>
              <w:t xml:space="preserve">0.1697</w:t>
            </w:r>
          </w:p>
        </w:tc>
        <w:tc>
          <w:tcPr/>
          <w:p>
            <w:pPr>
              <w:pStyle w:val="Compact"/>
              <w:spacing w:before="20" w:after="20" w:line="240" w:lineRule="auto"/>
              <w:jc w:val="center"/>
            </w:pPr>
            <w:r>
              <w:t xml:space="preserve">0.0431</w:t>
            </w:r>
          </w:p>
        </w:tc>
        <w:tc>
          <w:tcPr/>
          <w:p>
            <w:pPr>
              <w:pStyle w:val="Compact"/>
              <w:spacing w:before="20" w:after="20" w:line="240" w:lineRule="auto"/>
              <w:jc w:val="center"/>
            </w:pPr>
            <w:r>
              <w:t xml:space="preserve">0.7319</w:t>
            </w:r>
          </w:p>
        </w:tc>
      </w:tr>
      <w:tr>
        <w:trPr>
          <w:cantSplit/>
        </w:trPr>
        <w:tc>
          <w:tcPr/>
          <w:p>
            <w:pPr>
              <w:pStyle w:val="Compact"/>
              <w:spacing w:before="20" w:after="20" w:line="240" w:lineRule="auto"/>
              <w:jc w:val="center"/>
            </w:pPr>
            <w:r>
              <w:t xml:space="preserve">政府干预</w:t>
            </w:r>
          </w:p>
        </w:tc>
        <w:tc>
          <w:tcPr/>
          <w:p>
            <w:pPr>
              <w:pStyle w:val="Compact"/>
              <w:spacing w:before="20" w:after="20" w:line="240" w:lineRule="auto"/>
              <w:jc w:val="center"/>
            </w:pPr>
            <w:r>
              <w:rPr>
                <w:iCs/>
                <w:i/>
              </w:rPr>
              <w:t xml:space="preserve">gov</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0.2795</w:t>
            </w:r>
          </w:p>
        </w:tc>
        <w:tc>
          <w:tcPr/>
          <w:p>
            <w:pPr>
              <w:pStyle w:val="Compact"/>
              <w:spacing w:before="20" w:after="20" w:line="240" w:lineRule="auto"/>
              <w:jc w:val="center"/>
            </w:pPr>
            <w:r>
              <w:t xml:space="preserve">0.0845</w:t>
            </w:r>
          </w:p>
        </w:tc>
        <w:tc>
          <w:tcPr/>
          <w:p>
            <w:pPr>
              <w:pStyle w:val="Compact"/>
              <w:spacing w:before="20" w:after="20" w:line="240" w:lineRule="auto"/>
              <w:jc w:val="center"/>
            </w:pPr>
            <w:r>
              <w:t xml:space="preserve">0.1065</w:t>
            </w:r>
          </w:p>
        </w:tc>
        <w:tc>
          <w:tcPr/>
          <w:p>
            <w:pPr>
              <w:pStyle w:val="Compact"/>
              <w:spacing w:before="20" w:after="20" w:line="240" w:lineRule="auto"/>
              <w:jc w:val="center"/>
            </w:pPr>
            <w:r>
              <w:t xml:space="preserve">0.4645</w:t>
            </w:r>
          </w:p>
        </w:tc>
      </w:tr>
      <w:tr>
        <w:trPr>
          <w:cantSplit/>
        </w:trPr>
        <w:tc>
          <w:tcPr/>
          <w:p>
            <w:pPr>
              <w:pStyle w:val="Compact"/>
              <w:spacing w:before="20" w:after="20" w:line="240" w:lineRule="auto"/>
              <w:jc w:val="center"/>
            </w:pPr>
            <w:r>
              <w:t xml:space="preserve">基础设施</w:t>
            </w:r>
          </w:p>
        </w:tc>
        <w:tc>
          <w:tcPr/>
          <w:p>
            <w:pPr>
              <w:pStyle w:val="Compact"/>
              <w:spacing w:before="20" w:after="20" w:line="240" w:lineRule="auto"/>
              <w:jc w:val="center"/>
            </w:pPr>
            <w:r>
              <w:rPr>
                <w:iCs/>
                <w:i/>
              </w:rPr>
              <w:t xml:space="preserve">infra</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2.8859</w:t>
            </w:r>
          </w:p>
        </w:tc>
        <w:tc>
          <w:tcPr/>
          <w:p>
            <w:pPr>
              <w:pStyle w:val="Compact"/>
              <w:spacing w:before="20" w:after="20" w:line="240" w:lineRule="auto"/>
              <w:jc w:val="center"/>
            </w:pPr>
            <w:r>
              <w:t xml:space="preserve">0.2737</w:t>
            </w:r>
          </w:p>
        </w:tc>
        <w:tc>
          <w:tcPr/>
          <w:p>
            <w:pPr>
              <w:pStyle w:val="Compact"/>
              <w:spacing w:before="20" w:after="20" w:line="240" w:lineRule="auto"/>
              <w:jc w:val="center"/>
            </w:pPr>
            <w:r>
              <w:t xml:space="preserve">2.2280</w:t>
            </w:r>
          </w:p>
        </w:tc>
        <w:tc>
          <w:tcPr/>
          <w:p>
            <w:pPr>
              <w:pStyle w:val="Compact"/>
              <w:spacing w:before="20" w:after="20" w:line="240" w:lineRule="auto"/>
              <w:jc w:val="center"/>
            </w:pPr>
            <w:r>
              <w:t xml:space="preserve">3.5065</w:t>
            </w:r>
          </w:p>
        </w:tc>
      </w:tr>
      <w:tr>
        <w:trPr>
          <w:cantSplit/>
        </w:trPr>
        <w:tc>
          <w:tcPr/>
          <w:p>
            <w:pPr>
              <w:pStyle w:val="Compact"/>
              <w:spacing w:before="20" w:after="20" w:line="240" w:lineRule="auto"/>
              <w:jc w:val="center"/>
            </w:pPr>
            <w:r>
              <w:t xml:space="preserve">金融发展</w:t>
            </w:r>
          </w:p>
        </w:tc>
        <w:tc>
          <w:tcPr/>
          <w:p>
            <w:pPr>
              <w:pStyle w:val="Compact"/>
              <w:spacing w:before="20" w:after="20" w:line="240" w:lineRule="auto"/>
              <w:jc w:val="center"/>
            </w:pPr>
            <w:r>
              <w:rPr>
                <w:iCs/>
                <w:i/>
              </w:rPr>
              <w:t xml:space="preserve">fin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1.5480</w:t>
            </w:r>
          </w:p>
        </w:tc>
        <w:tc>
          <w:tcPr/>
          <w:p>
            <w:pPr>
              <w:pStyle w:val="Compact"/>
              <w:spacing w:before="20" w:after="20" w:line="240" w:lineRule="auto"/>
              <w:jc w:val="center"/>
            </w:pPr>
            <w:r>
              <w:t xml:space="preserve">0.3842</w:t>
            </w:r>
          </w:p>
        </w:tc>
        <w:tc>
          <w:tcPr/>
          <w:p>
            <w:pPr>
              <w:pStyle w:val="Compact"/>
              <w:spacing w:before="20" w:after="20" w:line="240" w:lineRule="auto"/>
              <w:jc w:val="center"/>
            </w:pPr>
            <w:r>
              <w:t xml:space="preserve">0.6832</w:t>
            </w:r>
          </w:p>
        </w:tc>
        <w:tc>
          <w:tcPr/>
          <w:p>
            <w:pPr>
              <w:pStyle w:val="Compact"/>
              <w:spacing w:before="20" w:after="20" w:line="240" w:lineRule="auto"/>
              <w:jc w:val="center"/>
            </w:pPr>
            <w:r>
              <w:t xml:space="preserve">2.6922</w:t>
            </w:r>
          </w:p>
        </w:tc>
      </w:tr>
      <w:tr>
        <w:trPr>
          <w:cantSplit/>
        </w:trPr>
        <w:tc>
          <w:tcPr/>
          <w:p>
            <w:pPr>
              <w:pStyle w:val="Compact"/>
              <w:spacing w:before="20" w:after="20" w:line="240" w:lineRule="auto"/>
              <w:jc w:val="center"/>
            </w:pPr>
            <w:r>
              <w:t xml:space="preserve">劳动参与率（%）</w:t>
            </w:r>
          </w:p>
        </w:tc>
        <w:tc>
          <w:tcPr/>
          <w:p>
            <w:pPr>
              <w:pStyle w:val="Compact"/>
              <w:spacing w:before="20" w:after="20" w:line="240" w:lineRule="auto"/>
              <w:jc w:val="center"/>
            </w:pPr>
            <w:r>
              <w:rPr>
                <w:iCs/>
                <w:i/>
              </w:rPr>
              <w:t xml:space="preserve">lfp</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61.7533</w:t>
            </w:r>
          </w:p>
        </w:tc>
        <w:tc>
          <w:tcPr/>
          <w:p>
            <w:pPr>
              <w:pStyle w:val="Compact"/>
              <w:spacing w:before="20" w:after="20" w:line="240" w:lineRule="auto"/>
              <w:jc w:val="center"/>
            </w:pPr>
            <w:r>
              <w:t xml:space="preserve">2.3056</w:t>
            </w:r>
          </w:p>
        </w:tc>
        <w:tc>
          <w:tcPr/>
          <w:p>
            <w:pPr>
              <w:pStyle w:val="Compact"/>
              <w:spacing w:before="20" w:after="20" w:line="240" w:lineRule="auto"/>
              <w:jc w:val="center"/>
            </w:pPr>
            <w:r>
              <w:t xml:space="preserve">54.3682</w:t>
            </w:r>
          </w:p>
        </w:tc>
        <w:tc>
          <w:tcPr/>
          <w:p>
            <w:pPr>
              <w:pStyle w:val="Compact"/>
              <w:spacing w:before="20" w:after="20" w:line="240" w:lineRule="auto"/>
              <w:jc w:val="center"/>
            </w:pPr>
            <w:r>
              <w:t xml:space="preserve">66.6683</w:t>
            </w:r>
          </w:p>
        </w:tc>
      </w:tr>
      <w:tr>
        <w:trPr>
          <w:cantSplit/>
        </w:trPr>
        <w:tc>
          <w:tcPr/>
          <w:p>
            <w:pPr>
              <w:pStyle w:val="Compact"/>
              <w:spacing w:before="20" w:after="20" w:line="240" w:lineRule="auto"/>
              <w:jc w:val="center"/>
            </w:pPr>
            <w:r>
              <w:t xml:space="preserve">机器人渗透度（台/万人）</w:t>
            </w:r>
          </w:p>
        </w:tc>
        <w:tc>
          <w:tcPr/>
          <w:p>
            <w:pPr>
              <w:pStyle w:val="Compact"/>
              <w:spacing w:before="20" w:after="20" w:line="240" w:lineRule="auto"/>
              <w:jc w:val="center"/>
            </w:pPr>
            <w:r>
              <w:rPr>
                <w:iCs/>
                <w:i/>
              </w:rPr>
              <w:t xml:space="preserve">robot</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6.9676</w:t>
            </w:r>
          </w:p>
        </w:tc>
        <w:tc>
          <w:tcPr/>
          <w:p>
            <w:pPr>
              <w:pStyle w:val="Compact"/>
              <w:spacing w:before="20" w:after="20" w:line="240" w:lineRule="auto"/>
              <w:jc w:val="center"/>
            </w:pPr>
            <w:r>
              <w:t xml:space="preserve">1.8308</w:t>
            </w:r>
          </w:p>
        </w:tc>
        <w:tc>
          <w:tcPr/>
          <w:p>
            <w:pPr>
              <w:pStyle w:val="Compact"/>
              <w:spacing w:before="20" w:after="20" w:line="240" w:lineRule="auto"/>
              <w:jc w:val="center"/>
            </w:pPr>
            <w:r>
              <w:t xml:space="preserve">1.9784</w:t>
            </w:r>
          </w:p>
        </w:tc>
        <w:tc>
          <w:tcPr/>
          <w:p>
            <w:pPr>
              <w:pStyle w:val="Compact"/>
              <w:spacing w:before="20" w:after="20" w:line="240" w:lineRule="auto"/>
              <w:jc w:val="center"/>
            </w:pPr>
            <w:r>
              <w:t xml:space="preserve">11.9678</w:t>
            </w:r>
          </w:p>
        </w:tc>
      </w:tr>
      <w:tr>
        <w:trPr>
          <w:cantSplit/>
        </w:trPr>
        <w:tc>
          <w:tcPr/>
          <w:p>
            <w:pPr>
              <w:pStyle w:val="Compact"/>
              <w:spacing w:before="20" w:after="20" w:line="240" w:lineRule="auto"/>
              <w:jc w:val="center"/>
            </w:pPr>
            <w:r>
              <w:t xml:space="preserve">人力资本（年）</w:t>
            </w:r>
          </w:p>
        </w:tc>
        <w:tc>
          <w:tcPr/>
          <w:p>
            <w:pPr>
              <w:pStyle w:val="Compact"/>
              <w:spacing w:before="20" w:after="20" w:line="240" w:lineRule="auto"/>
              <w:jc w:val="center"/>
            </w:pPr>
            <w:r>
              <w:rPr>
                <w:iCs/>
                <w:i/>
              </w:rPr>
              <w:t xml:space="preserve">hc</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10.0891</w:t>
            </w:r>
          </w:p>
        </w:tc>
        <w:tc>
          <w:tcPr/>
          <w:p>
            <w:pPr>
              <w:pStyle w:val="Compact"/>
              <w:spacing w:before="20" w:after="20" w:line="240" w:lineRule="auto"/>
              <w:jc w:val="center"/>
            </w:pPr>
            <w:r>
              <w:t xml:space="preserve">0.5586</w:t>
            </w:r>
          </w:p>
        </w:tc>
        <w:tc>
          <w:tcPr/>
          <w:p>
            <w:pPr>
              <w:pStyle w:val="Compact"/>
              <w:spacing w:before="20" w:after="20" w:line="240" w:lineRule="auto"/>
              <w:jc w:val="center"/>
            </w:pPr>
            <w:r>
              <w:t xml:space="preserve">8.8046</w:t>
            </w:r>
          </w:p>
        </w:tc>
        <w:tc>
          <w:tcPr/>
          <w:p>
            <w:pPr>
              <w:pStyle w:val="Compact"/>
              <w:spacing w:before="20" w:after="20" w:line="240" w:lineRule="auto"/>
              <w:jc w:val="center"/>
            </w:pPr>
            <w:r>
              <w:t xml:space="preserve">11.3304</w:t>
            </w:r>
          </w:p>
        </w:tc>
      </w:tr>
    </w:tbl>
    <w:p>
      <w:pPr>
        <w:pStyle w:val="TableNote"/>
      </w:pPr>
      <w:r>
        <w:t xml:space="preserve">注：全要素生产率为以2010年为基期的DEA-Malmquist累积指数取对数。</w:t>
      </w:r>
    </w:p>
    <w:bookmarkEnd w:id="27"/>
    <w:bookmarkEnd w:id="28"/>
    <w:bookmarkStart w:id="42" w:name="实证结果与分析"/>
    <w:p>
      <w:pPr>
        <w:pStyle w:val="Heading1"/>
      </w:pPr>
      <w:r>
        <w:t xml:space="preserve">3 实证结果与分析</w:t>
      </w:r>
    </w:p>
    <w:bookmarkStart w:id="32" w:name="空间相关性检验"/>
    <w:p>
      <w:pPr>
        <w:pStyle w:val="Heading2"/>
      </w:pPr>
      <w:r>
        <w:t xml:space="preserve">3.1 空间相关性检验</w:t>
      </w:r>
    </w:p>
    <w:p>
      <w:pPr>
        <w:pStyle w:val="FirstParagraph"/>
      </w:pPr>
      <w:r>
        <w:t xml:space="preserve">表2报告了基于0—1邻接矩阵计算的历年全局Moran’s</w:t>
      </w:r>
      <w:r>
        <w:t xml:space="preserve"> </w:t>
      </w:r>
      <w:r>
        <w:rPr>
          <w:iCs/>
          <w:i/>
        </w:rPr>
        <w:t xml:space="preserve">I</w:t>
      </w:r>
      <w:r>
        <w:t xml:space="preserve">指数。全要素生产率的Moran’s</w:t>
      </w:r>
      <w:r>
        <w:t xml:space="preserve"> </w:t>
      </w:r>
      <w:r>
        <w:rPr>
          <w:iCs/>
          <w:i/>
        </w:rPr>
        <w:t xml:space="preserve">I</w:t>
      </w:r>
      <w:r>
        <w:t xml:space="preserve">介于0.5328与0.5993之间，13个年份均在1%的水平上显著为正；人口老龄化的Moran’s</w:t>
      </w:r>
      <w:r>
        <w:t xml:space="preserve"> </w:t>
      </w:r>
      <w:r>
        <w:rPr>
          <w:iCs/>
          <w:i/>
        </w:rPr>
        <w:t xml:space="preserve">I</w:t>
      </w:r>
      <w:r>
        <w:t xml:space="preserve">介于0.2588与0.3919之间，亦全部通过至少5%水平的显著性检验。这表明我国省域全要素生产率与人口老龄化均存在显著的正向空间自相关，即高值区域与高值区域相邻、低值区域与低值区域相邻，采用空间计量模型具有必要性。图1进一步给出2023年全要素生产率的Moran散点图，多数省份落于第一象限与第三象限，</w:t>
      </w:r>
      <w:r>
        <w:t xml:space="preserve">“</w:t>
      </w:r>
      <w:r>
        <w:t xml:space="preserve">高—高</w:t>
      </w:r>
      <w:r>
        <w:t xml:space="preserve">”</w:t>
      </w:r>
      <w:r>
        <w:t xml:space="preserve">集聚与”低—低”集聚特征明显。</w:t>
      </w:r>
    </w:p>
    <w:p>
      <w:pPr>
        <w:pStyle w:val="TableCaption"/>
      </w:pPr>
      <w:r>
        <w:t xml:space="preserve">表2 全局Moran’s</w:t>
      </w:r>
      <w:r>
        <w:t xml:space="preserve"> </w:t>
      </w:r>
      <w:r>
        <w:rPr>
          <w:iCs/>
          <w:i/>
        </w:rPr>
        <w:t xml:space="preserve">I</w:t>
      </w:r>
      <w:r>
        <w:t xml:space="preserve">指数</w:t>
      </w:r>
    </w:p>
    <w:tbl>
      <w:tblPr>
        <w:tblStyle w:val="Table"/>
        <w:jc w:val="center"/>
        <w:tblLook w:firstRow="1" w:lastRow="0" w:firstColumn="0" w:lastColumn="0" w:noHBand="0" w:noVBand="0" w:val="0020"/>
        <w:tblCaption w:val="表2 全局Moran’s I指数"/>
        <w:tblW w:w="5000" w:type="pct"/>
        <w:tblLayout w:type="autofit"/>
      </w:tblPr>
      <w:tblGrid>
        <w:gridCol w:w="1584"/>
        <w:gridCol w:w="1584"/>
        <w:gridCol w:w="1584"/>
        <w:gridCol w:w="1584"/>
        <w:gridCol w:w="1584"/>
      </w:tblGrid>
      <w:tr>
        <w:trPr>
          <w:tblHeader w:val="true"/>
          <w:cantSplit/>
          <w:tblHeader/>
        </w:trPr>
        <w:tc>
          <w:tcPr/>
          <w:p>
            <w:pPr>
              <w:pStyle w:val="Compact"/>
              <w:spacing w:before="20" w:after="20" w:line="240" w:lineRule="auto"/>
              <w:jc w:val="center"/>
            </w:pPr>
            <w:r>
              <w:t xml:space="preserve">年份</w:t>
            </w:r>
          </w:p>
        </w:tc>
        <w:tc>
          <w:tcPr/>
          <w:p>
            <w:pPr>
              <w:pStyle w:val="Compact"/>
              <w:spacing w:before="20" w:after="20" w:line="240" w:lineRule="auto"/>
              <w:jc w:val="center"/>
            </w:pPr>
            <w:r>
              <w:t xml:space="preserve">全要素生产率Moran’s</w:t>
            </w:r>
            <w:r>
              <w:t xml:space="preserve"> </w:t>
            </w:r>
            <w:r>
              <w:rPr>
                <w:iCs/>
                <w:i/>
              </w:rPr>
              <w:t xml:space="preserve">I</w:t>
            </w:r>
          </w:p>
        </w:tc>
        <w:tc>
          <w:tcPr/>
          <w:p>
            <w:pPr>
              <w:pStyle w:val="Compact"/>
              <w:spacing w:before="20" w:after="20" w:line="240" w:lineRule="auto"/>
              <w:jc w:val="center"/>
            </w:pPr>
            <w:r>
              <w:rPr>
                <w:iCs/>
                <w:i/>
              </w:rPr>
              <w:t xml:space="preserve">Z</w:t>
            </w:r>
            <w:r>
              <w:t xml:space="preserve">值</w:t>
            </w:r>
          </w:p>
        </w:tc>
        <w:tc>
          <w:tcPr/>
          <w:p>
            <w:pPr>
              <w:pStyle w:val="Compact"/>
              <w:spacing w:before="20" w:after="20" w:line="240" w:lineRule="auto"/>
              <w:jc w:val="center"/>
            </w:pPr>
            <w:r>
              <w:t xml:space="preserve">人口老龄化Moran’s</w:t>
            </w:r>
            <w:r>
              <w:t xml:space="preserve"> </w:t>
            </w:r>
            <w:r>
              <w:rPr>
                <w:iCs/>
                <w:i/>
              </w:rPr>
              <w:t xml:space="preserve">I</w:t>
            </w:r>
          </w:p>
        </w:tc>
        <w:tc>
          <w:tcPr/>
          <w:p>
            <w:pPr>
              <w:pStyle w:val="Compact"/>
              <w:spacing w:before="20" w:after="20" w:line="240" w:lineRule="auto"/>
              <w:jc w:val="center"/>
            </w:pPr>
            <w:r>
              <w:rPr>
                <w:iCs/>
                <w:i/>
              </w:rPr>
              <w:t xml:space="preserve">Z</w:t>
            </w:r>
            <w:r>
              <w:t xml:space="preserve">值</w:t>
            </w:r>
          </w:p>
        </w:tc>
      </w:tr>
      <w:tr>
        <w:trPr>
          <w:cantSplit/>
        </w:trPr>
        <w:tc>
          <w:tcPr/>
          <w:p>
            <w:pPr>
              <w:pStyle w:val="Compact"/>
              <w:spacing w:before="20" w:after="20" w:line="240" w:lineRule="auto"/>
              <w:jc w:val="center"/>
            </w:pPr>
            <w:r>
              <w:t xml:space="preserve">2011</w:t>
            </w:r>
          </w:p>
        </w:tc>
        <w:tc>
          <w:tcPr/>
          <w:p>
            <w:pPr>
              <w:pStyle w:val="Compact"/>
              <w:spacing w:before="20" w:after="20" w:line="240" w:lineRule="auto"/>
              <w:jc w:val="center"/>
            </w:pPr>
            <w:r>
              <w:t xml:space="preserve">0.5487***</w:t>
            </w:r>
          </w:p>
        </w:tc>
        <w:tc>
          <w:tcPr/>
          <w:p>
            <w:pPr>
              <w:pStyle w:val="Compact"/>
              <w:spacing w:before="20" w:after="20" w:line="240" w:lineRule="auto"/>
              <w:jc w:val="center"/>
            </w:pPr>
            <w:r>
              <w:t xml:space="preserve">4.8209</w:t>
            </w:r>
          </w:p>
        </w:tc>
        <w:tc>
          <w:tcPr/>
          <w:p>
            <w:pPr>
              <w:pStyle w:val="Compact"/>
              <w:spacing w:before="20" w:after="20" w:line="240" w:lineRule="auto"/>
              <w:jc w:val="center"/>
            </w:pPr>
            <w:r>
              <w:t xml:space="preserve">0.2788***</w:t>
            </w:r>
          </w:p>
        </w:tc>
        <w:tc>
          <w:tcPr/>
          <w:p>
            <w:pPr>
              <w:pStyle w:val="Compact"/>
              <w:spacing w:before="20" w:after="20" w:line="240" w:lineRule="auto"/>
              <w:jc w:val="center"/>
            </w:pPr>
            <w:r>
              <w:t xml:space="preserve">2.5900</w:t>
            </w:r>
          </w:p>
        </w:tc>
      </w:tr>
      <w:tr>
        <w:trPr>
          <w:cantSplit/>
        </w:trPr>
        <w:tc>
          <w:tcPr/>
          <w:p>
            <w:pPr>
              <w:pStyle w:val="Compact"/>
              <w:spacing w:before="20" w:after="20" w:line="240" w:lineRule="auto"/>
              <w:jc w:val="center"/>
            </w:pPr>
            <w:r>
              <w:t xml:space="preserve">2012</w:t>
            </w:r>
          </w:p>
        </w:tc>
        <w:tc>
          <w:tcPr/>
          <w:p>
            <w:pPr>
              <w:pStyle w:val="Compact"/>
              <w:spacing w:before="20" w:after="20" w:line="240" w:lineRule="auto"/>
              <w:jc w:val="center"/>
            </w:pPr>
            <w:r>
              <w:t xml:space="preserve">0.5879***</w:t>
            </w:r>
          </w:p>
        </w:tc>
        <w:tc>
          <w:tcPr/>
          <w:p>
            <w:pPr>
              <w:pStyle w:val="Compact"/>
              <w:spacing w:before="20" w:after="20" w:line="240" w:lineRule="auto"/>
              <w:jc w:val="center"/>
            </w:pPr>
            <w:r>
              <w:t xml:space="preserve">5.1451</w:t>
            </w:r>
          </w:p>
        </w:tc>
        <w:tc>
          <w:tcPr/>
          <w:p>
            <w:pPr>
              <w:pStyle w:val="Compact"/>
              <w:spacing w:before="20" w:after="20" w:line="240" w:lineRule="auto"/>
              <w:jc w:val="center"/>
            </w:pPr>
            <w:r>
              <w:t xml:space="preserve">0.3035***</w:t>
            </w:r>
          </w:p>
        </w:tc>
        <w:tc>
          <w:tcPr/>
          <w:p>
            <w:pPr>
              <w:pStyle w:val="Compact"/>
              <w:spacing w:before="20" w:after="20" w:line="240" w:lineRule="auto"/>
              <w:jc w:val="center"/>
            </w:pPr>
            <w:r>
              <w:t xml:space="preserve">2.7941</w:t>
            </w:r>
          </w:p>
        </w:tc>
      </w:tr>
      <w:tr>
        <w:trPr>
          <w:cantSplit/>
        </w:trPr>
        <w:tc>
          <w:tcPr/>
          <w:p>
            <w:pPr>
              <w:pStyle w:val="Compact"/>
              <w:spacing w:before="20" w:after="20" w:line="240" w:lineRule="auto"/>
              <w:jc w:val="center"/>
            </w:pPr>
            <w:r>
              <w:t xml:space="preserve">2013</w:t>
            </w:r>
          </w:p>
        </w:tc>
        <w:tc>
          <w:tcPr/>
          <w:p>
            <w:pPr>
              <w:pStyle w:val="Compact"/>
              <w:spacing w:before="20" w:after="20" w:line="240" w:lineRule="auto"/>
              <w:jc w:val="center"/>
            </w:pPr>
            <w:r>
              <w:t xml:space="preserve">0.5328***</w:t>
            </w:r>
          </w:p>
        </w:tc>
        <w:tc>
          <w:tcPr/>
          <w:p>
            <w:pPr>
              <w:pStyle w:val="Compact"/>
              <w:spacing w:before="20" w:after="20" w:line="240" w:lineRule="auto"/>
              <w:jc w:val="center"/>
            </w:pPr>
            <w:r>
              <w:t xml:space="preserve">4.6893</w:t>
            </w:r>
          </w:p>
        </w:tc>
        <w:tc>
          <w:tcPr/>
          <w:p>
            <w:pPr>
              <w:pStyle w:val="Compact"/>
              <w:spacing w:before="20" w:after="20" w:line="240" w:lineRule="auto"/>
              <w:jc w:val="center"/>
            </w:pPr>
            <w:r>
              <w:t xml:space="preserve">0.3406***</w:t>
            </w:r>
          </w:p>
        </w:tc>
        <w:tc>
          <w:tcPr/>
          <w:p>
            <w:pPr>
              <w:pStyle w:val="Compact"/>
              <w:spacing w:before="20" w:after="20" w:line="240" w:lineRule="auto"/>
              <w:jc w:val="center"/>
            </w:pPr>
            <w:r>
              <w:t xml:space="preserve">3.1006</w:t>
            </w:r>
          </w:p>
        </w:tc>
      </w:tr>
      <w:tr>
        <w:trPr>
          <w:cantSplit/>
        </w:trPr>
        <w:tc>
          <w:tcPr/>
          <w:p>
            <w:pPr>
              <w:pStyle w:val="Compact"/>
              <w:spacing w:before="20" w:after="20" w:line="240" w:lineRule="auto"/>
              <w:jc w:val="center"/>
            </w:pPr>
            <w:r>
              <w:t xml:space="preserve">2014</w:t>
            </w:r>
          </w:p>
        </w:tc>
        <w:tc>
          <w:tcPr/>
          <w:p>
            <w:pPr>
              <w:pStyle w:val="Compact"/>
              <w:spacing w:before="20" w:after="20" w:line="240" w:lineRule="auto"/>
              <w:jc w:val="center"/>
            </w:pPr>
            <w:r>
              <w:t xml:space="preserve">0.5393***</w:t>
            </w:r>
          </w:p>
        </w:tc>
        <w:tc>
          <w:tcPr/>
          <w:p>
            <w:pPr>
              <w:pStyle w:val="Compact"/>
              <w:spacing w:before="20" w:after="20" w:line="240" w:lineRule="auto"/>
              <w:jc w:val="center"/>
            </w:pPr>
            <w:r>
              <w:t xml:space="preserve">4.7434</w:t>
            </w:r>
          </w:p>
        </w:tc>
        <w:tc>
          <w:tcPr/>
          <w:p>
            <w:pPr>
              <w:pStyle w:val="Compact"/>
              <w:spacing w:before="20" w:after="20" w:line="240" w:lineRule="auto"/>
              <w:jc w:val="center"/>
            </w:pPr>
            <w:r>
              <w:t xml:space="preserve">0.3188***</w:t>
            </w:r>
          </w:p>
        </w:tc>
        <w:tc>
          <w:tcPr/>
          <w:p>
            <w:pPr>
              <w:pStyle w:val="Compact"/>
              <w:spacing w:before="20" w:after="20" w:line="240" w:lineRule="auto"/>
              <w:jc w:val="center"/>
            </w:pPr>
            <w:r>
              <w:t xml:space="preserve">2.9209</w:t>
            </w:r>
          </w:p>
        </w:tc>
      </w:tr>
      <w:tr>
        <w:trPr>
          <w:cantSplit/>
        </w:trPr>
        <w:tc>
          <w:tcPr/>
          <w:p>
            <w:pPr>
              <w:pStyle w:val="Compact"/>
              <w:spacing w:before="20" w:after="20" w:line="240" w:lineRule="auto"/>
              <w:jc w:val="center"/>
            </w:pPr>
            <w:r>
              <w:t xml:space="preserve">2015</w:t>
            </w:r>
          </w:p>
        </w:tc>
        <w:tc>
          <w:tcPr/>
          <w:p>
            <w:pPr>
              <w:pStyle w:val="Compact"/>
              <w:spacing w:before="20" w:after="20" w:line="240" w:lineRule="auto"/>
              <w:jc w:val="center"/>
            </w:pPr>
            <w:r>
              <w:t xml:space="preserve">0.5497***</w:t>
            </w:r>
          </w:p>
        </w:tc>
        <w:tc>
          <w:tcPr/>
          <w:p>
            <w:pPr>
              <w:pStyle w:val="Compact"/>
              <w:spacing w:before="20" w:after="20" w:line="240" w:lineRule="auto"/>
              <w:jc w:val="center"/>
            </w:pPr>
            <w:r>
              <w:t xml:space="preserve">4.8295</w:t>
            </w:r>
          </w:p>
        </w:tc>
        <w:tc>
          <w:tcPr/>
          <w:p>
            <w:pPr>
              <w:pStyle w:val="Compact"/>
              <w:spacing w:before="20" w:after="20" w:line="240" w:lineRule="auto"/>
              <w:jc w:val="center"/>
            </w:pPr>
            <w:r>
              <w:t xml:space="preserve">0.3677***</w:t>
            </w:r>
          </w:p>
        </w:tc>
        <w:tc>
          <w:tcPr/>
          <w:p>
            <w:pPr>
              <w:pStyle w:val="Compact"/>
              <w:spacing w:before="20" w:after="20" w:line="240" w:lineRule="auto"/>
              <w:jc w:val="center"/>
            </w:pPr>
            <w:r>
              <w:t xml:space="preserve">3.3246</w:t>
            </w:r>
          </w:p>
        </w:tc>
      </w:tr>
      <w:tr>
        <w:trPr>
          <w:cantSplit/>
        </w:trPr>
        <w:tc>
          <w:tcPr/>
          <w:p>
            <w:pPr>
              <w:pStyle w:val="Compact"/>
              <w:spacing w:before="20" w:after="20" w:line="240" w:lineRule="auto"/>
              <w:jc w:val="center"/>
            </w:pPr>
            <w:r>
              <w:t xml:space="preserve">2016</w:t>
            </w:r>
          </w:p>
        </w:tc>
        <w:tc>
          <w:tcPr/>
          <w:p>
            <w:pPr>
              <w:pStyle w:val="Compact"/>
              <w:spacing w:before="20" w:after="20" w:line="240" w:lineRule="auto"/>
              <w:jc w:val="center"/>
            </w:pPr>
            <w:r>
              <w:t xml:space="preserve">0.5659***</w:t>
            </w:r>
          </w:p>
        </w:tc>
        <w:tc>
          <w:tcPr/>
          <w:p>
            <w:pPr>
              <w:pStyle w:val="Compact"/>
              <w:spacing w:before="20" w:after="20" w:line="240" w:lineRule="auto"/>
              <w:jc w:val="center"/>
            </w:pPr>
            <w:r>
              <w:t xml:space="preserve">4.9632</w:t>
            </w:r>
          </w:p>
        </w:tc>
        <w:tc>
          <w:tcPr/>
          <w:p>
            <w:pPr>
              <w:pStyle w:val="Compact"/>
              <w:spacing w:before="20" w:after="20" w:line="240" w:lineRule="auto"/>
              <w:jc w:val="center"/>
            </w:pPr>
            <w:r>
              <w:t xml:space="preserve">0.3919***</w:t>
            </w:r>
          </w:p>
        </w:tc>
        <w:tc>
          <w:tcPr/>
          <w:p>
            <w:pPr>
              <w:pStyle w:val="Compact"/>
              <w:spacing w:before="20" w:after="20" w:line="240" w:lineRule="auto"/>
              <w:jc w:val="center"/>
            </w:pPr>
            <w:r>
              <w:t xml:space="preserve">3.5246</w:t>
            </w:r>
          </w:p>
        </w:tc>
      </w:tr>
      <w:tr>
        <w:trPr>
          <w:cantSplit/>
        </w:trPr>
        <w:tc>
          <w:tcPr/>
          <w:p>
            <w:pPr>
              <w:pStyle w:val="Compact"/>
              <w:spacing w:before="20" w:after="20" w:line="240" w:lineRule="auto"/>
              <w:jc w:val="center"/>
            </w:pPr>
            <w:r>
              <w:t xml:space="preserve">2017</w:t>
            </w:r>
          </w:p>
        </w:tc>
        <w:tc>
          <w:tcPr/>
          <w:p>
            <w:pPr>
              <w:pStyle w:val="Compact"/>
              <w:spacing w:before="20" w:after="20" w:line="240" w:lineRule="auto"/>
              <w:jc w:val="center"/>
            </w:pPr>
            <w:r>
              <w:t xml:space="preserve">0.5703***</w:t>
            </w:r>
          </w:p>
        </w:tc>
        <w:tc>
          <w:tcPr/>
          <w:p>
            <w:pPr>
              <w:pStyle w:val="Compact"/>
              <w:spacing w:before="20" w:after="20" w:line="240" w:lineRule="auto"/>
              <w:jc w:val="center"/>
            </w:pPr>
            <w:r>
              <w:t xml:space="preserve">4.9998</w:t>
            </w:r>
          </w:p>
        </w:tc>
        <w:tc>
          <w:tcPr/>
          <w:p>
            <w:pPr>
              <w:pStyle w:val="Compact"/>
              <w:spacing w:before="20" w:after="20" w:line="240" w:lineRule="auto"/>
              <w:jc w:val="center"/>
            </w:pPr>
            <w:r>
              <w:t xml:space="preserve">0.3162***</w:t>
            </w:r>
          </w:p>
        </w:tc>
        <w:tc>
          <w:tcPr/>
          <w:p>
            <w:pPr>
              <w:pStyle w:val="Compact"/>
              <w:spacing w:before="20" w:after="20" w:line="240" w:lineRule="auto"/>
              <w:jc w:val="center"/>
            </w:pPr>
            <w:r>
              <w:t xml:space="preserve">2.8987</w:t>
            </w:r>
          </w:p>
        </w:tc>
      </w:tr>
      <w:tr>
        <w:trPr>
          <w:cantSplit/>
        </w:trPr>
        <w:tc>
          <w:tcPr/>
          <w:p>
            <w:pPr>
              <w:pStyle w:val="Compact"/>
              <w:spacing w:before="20" w:after="20" w:line="240" w:lineRule="auto"/>
              <w:jc w:val="center"/>
            </w:pPr>
            <w:r>
              <w:t xml:space="preserve">2018</w:t>
            </w:r>
          </w:p>
        </w:tc>
        <w:tc>
          <w:tcPr/>
          <w:p>
            <w:pPr>
              <w:pStyle w:val="Compact"/>
              <w:spacing w:before="20" w:after="20" w:line="240" w:lineRule="auto"/>
              <w:jc w:val="center"/>
            </w:pPr>
            <w:r>
              <w:t xml:space="preserve">0.5742***</w:t>
            </w:r>
          </w:p>
        </w:tc>
        <w:tc>
          <w:tcPr/>
          <w:p>
            <w:pPr>
              <w:pStyle w:val="Compact"/>
              <w:spacing w:before="20" w:after="20" w:line="240" w:lineRule="auto"/>
              <w:jc w:val="center"/>
            </w:pPr>
            <w:r>
              <w:t xml:space="preserve">5.0320</w:t>
            </w:r>
          </w:p>
        </w:tc>
        <w:tc>
          <w:tcPr/>
          <w:p>
            <w:pPr>
              <w:pStyle w:val="Compact"/>
              <w:spacing w:before="20" w:after="20" w:line="240" w:lineRule="auto"/>
              <w:jc w:val="center"/>
            </w:pPr>
            <w:r>
              <w:t xml:space="preserve">0.3100***</w:t>
            </w:r>
          </w:p>
        </w:tc>
        <w:tc>
          <w:tcPr/>
          <w:p>
            <w:pPr>
              <w:pStyle w:val="Compact"/>
              <w:spacing w:before="20" w:after="20" w:line="240" w:lineRule="auto"/>
              <w:jc w:val="center"/>
            </w:pPr>
            <w:r>
              <w:t xml:space="preserve">2.8477</w:t>
            </w:r>
          </w:p>
        </w:tc>
      </w:tr>
      <w:tr>
        <w:trPr>
          <w:cantSplit/>
        </w:trPr>
        <w:tc>
          <w:tcPr/>
          <w:p>
            <w:pPr>
              <w:pStyle w:val="Compact"/>
              <w:spacing w:before="20" w:after="20" w:line="240" w:lineRule="auto"/>
              <w:jc w:val="center"/>
            </w:pPr>
            <w:r>
              <w:t xml:space="preserve">2019</w:t>
            </w:r>
          </w:p>
        </w:tc>
        <w:tc>
          <w:tcPr/>
          <w:p>
            <w:pPr>
              <w:pStyle w:val="Compact"/>
              <w:spacing w:before="20" w:after="20" w:line="240" w:lineRule="auto"/>
              <w:jc w:val="center"/>
            </w:pPr>
            <w:r>
              <w:t xml:space="preserve">0.5711***</w:t>
            </w:r>
          </w:p>
        </w:tc>
        <w:tc>
          <w:tcPr/>
          <w:p>
            <w:pPr>
              <w:pStyle w:val="Compact"/>
              <w:spacing w:before="20" w:after="20" w:line="240" w:lineRule="auto"/>
              <w:jc w:val="center"/>
            </w:pPr>
            <w:r>
              <w:t xml:space="preserve">5.0060</w:t>
            </w:r>
          </w:p>
        </w:tc>
        <w:tc>
          <w:tcPr/>
          <w:p>
            <w:pPr>
              <w:pStyle w:val="Compact"/>
              <w:spacing w:before="20" w:after="20" w:line="240" w:lineRule="auto"/>
              <w:jc w:val="center"/>
            </w:pPr>
            <w:r>
              <w:t xml:space="preserve">0.2863***</w:t>
            </w:r>
          </w:p>
        </w:tc>
        <w:tc>
          <w:tcPr/>
          <w:p>
            <w:pPr>
              <w:pStyle w:val="Compact"/>
              <w:spacing w:before="20" w:after="20" w:line="240" w:lineRule="auto"/>
              <w:jc w:val="center"/>
            </w:pPr>
            <w:r>
              <w:t xml:space="preserve">2.6519</w:t>
            </w:r>
          </w:p>
        </w:tc>
      </w:tr>
      <w:tr>
        <w:trPr>
          <w:cantSplit/>
        </w:trPr>
        <w:tc>
          <w:tcPr/>
          <w:p>
            <w:pPr>
              <w:pStyle w:val="Compact"/>
              <w:spacing w:before="20" w:after="20" w:line="240" w:lineRule="auto"/>
              <w:jc w:val="center"/>
            </w:pPr>
            <w:r>
              <w:t xml:space="preserve">2020</w:t>
            </w:r>
          </w:p>
        </w:tc>
        <w:tc>
          <w:tcPr/>
          <w:p>
            <w:pPr>
              <w:pStyle w:val="Compact"/>
              <w:spacing w:before="20" w:after="20" w:line="240" w:lineRule="auto"/>
              <w:jc w:val="center"/>
            </w:pPr>
            <w:r>
              <w:t xml:space="preserve">0.5993***</w:t>
            </w:r>
          </w:p>
        </w:tc>
        <w:tc>
          <w:tcPr/>
          <w:p>
            <w:pPr>
              <w:pStyle w:val="Compact"/>
              <w:spacing w:before="20" w:after="20" w:line="240" w:lineRule="auto"/>
              <w:jc w:val="center"/>
            </w:pPr>
            <w:r>
              <w:t xml:space="preserve">5.2391</w:t>
            </w:r>
          </w:p>
        </w:tc>
        <w:tc>
          <w:tcPr/>
          <w:p>
            <w:pPr>
              <w:pStyle w:val="Compact"/>
              <w:spacing w:before="20" w:after="20" w:line="240" w:lineRule="auto"/>
              <w:jc w:val="center"/>
            </w:pPr>
            <w:r>
              <w:t xml:space="preserve">0.2621**</w:t>
            </w:r>
          </w:p>
        </w:tc>
        <w:tc>
          <w:tcPr/>
          <w:p>
            <w:pPr>
              <w:pStyle w:val="Compact"/>
              <w:spacing w:before="20" w:after="20" w:line="240" w:lineRule="auto"/>
              <w:jc w:val="center"/>
            </w:pPr>
            <w:r>
              <w:t xml:space="preserve">2.4517</w:t>
            </w:r>
          </w:p>
        </w:tc>
      </w:tr>
      <w:tr>
        <w:trPr>
          <w:cantSplit/>
        </w:trPr>
        <w:tc>
          <w:tcPr/>
          <w:p>
            <w:pPr>
              <w:pStyle w:val="Compact"/>
              <w:spacing w:before="20" w:after="20" w:line="240" w:lineRule="auto"/>
              <w:jc w:val="center"/>
            </w:pPr>
            <w:r>
              <w:t xml:space="preserve">2021</w:t>
            </w:r>
          </w:p>
        </w:tc>
        <w:tc>
          <w:tcPr/>
          <w:p>
            <w:pPr>
              <w:pStyle w:val="Compact"/>
              <w:spacing w:before="20" w:after="20" w:line="240" w:lineRule="auto"/>
              <w:jc w:val="center"/>
            </w:pPr>
            <w:r>
              <w:t xml:space="preserve">0.5846***</w:t>
            </w:r>
          </w:p>
        </w:tc>
        <w:tc>
          <w:tcPr/>
          <w:p>
            <w:pPr>
              <w:pStyle w:val="Compact"/>
              <w:spacing w:before="20" w:after="20" w:line="240" w:lineRule="auto"/>
              <w:jc w:val="center"/>
            </w:pPr>
            <w:r>
              <w:t xml:space="preserve">5.1180</w:t>
            </w:r>
          </w:p>
        </w:tc>
        <w:tc>
          <w:tcPr/>
          <w:p>
            <w:pPr>
              <w:pStyle w:val="Compact"/>
              <w:spacing w:before="20" w:after="20" w:line="240" w:lineRule="auto"/>
              <w:jc w:val="center"/>
            </w:pPr>
            <w:r>
              <w:t xml:space="preserve">0.3118***</w:t>
            </w:r>
          </w:p>
        </w:tc>
        <w:tc>
          <w:tcPr/>
          <w:p>
            <w:pPr>
              <w:pStyle w:val="Compact"/>
              <w:spacing w:before="20" w:after="20" w:line="240" w:lineRule="auto"/>
              <w:jc w:val="center"/>
            </w:pPr>
            <w:r>
              <w:t xml:space="preserve">2.8629</w:t>
            </w:r>
          </w:p>
        </w:tc>
      </w:tr>
      <w:tr>
        <w:trPr>
          <w:cantSplit/>
        </w:trPr>
        <w:tc>
          <w:tcPr/>
          <w:p>
            <w:pPr>
              <w:pStyle w:val="Compact"/>
              <w:spacing w:before="20" w:after="20" w:line="240" w:lineRule="auto"/>
              <w:jc w:val="center"/>
            </w:pPr>
            <w:r>
              <w:t xml:space="preserve">2022</w:t>
            </w:r>
          </w:p>
        </w:tc>
        <w:tc>
          <w:tcPr/>
          <w:p>
            <w:pPr>
              <w:pStyle w:val="Compact"/>
              <w:spacing w:before="20" w:after="20" w:line="240" w:lineRule="auto"/>
              <w:jc w:val="center"/>
            </w:pPr>
            <w:r>
              <w:t xml:space="preserve">0.5881***</w:t>
            </w:r>
          </w:p>
        </w:tc>
        <w:tc>
          <w:tcPr/>
          <w:p>
            <w:pPr>
              <w:pStyle w:val="Compact"/>
              <w:spacing w:before="20" w:after="20" w:line="240" w:lineRule="auto"/>
              <w:jc w:val="center"/>
            </w:pPr>
            <w:r>
              <w:t xml:space="preserve">5.1464</w:t>
            </w:r>
          </w:p>
        </w:tc>
        <w:tc>
          <w:tcPr/>
          <w:p>
            <w:pPr>
              <w:pStyle w:val="Compact"/>
              <w:spacing w:before="20" w:after="20" w:line="240" w:lineRule="auto"/>
              <w:jc w:val="center"/>
            </w:pPr>
            <w:r>
              <w:t xml:space="preserve">0.2770**</w:t>
            </w:r>
          </w:p>
        </w:tc>
        <w:tc>
          <w:tcPr/>
          <w:p>
            <w:pPr>
              <w:pStyle w:val="Compact"/>
              <w:spacing w:before="20" w:after="20" w:line="240" w:lineRule="auto"/>
              <w:jc w:val="center"/>
            </w:pPr>
            <w:r>
              <w:t xml:space="preserve">2.5748</w:t>
            </w:r>
          </w:p>
        </w:tc>
      </w:tr>
      <w:tr>
        <w:trPr>
          <w:cantSplit/>
        </w:trPr>
        <w:tc>
          <w:tcPr/>
          <w:p>
            <w:pPr>
              <w:pStyle w:val="Compact"/>
              <w:spacing w:before="20" w:after="20" w:line="240" w:lineRule="auto"/>
              <w:jc w:val="center"/>
            </w:pPr>
            <w:r>
              <w:t xml:space="preserve">2023</w:t>
            </w:r>
          </w:p>
        </w:tc>
        <w:tc>
          <w:tcPr/>
          <w:p>
            <w:pPr>
              <w:pStyle w:val="Compact"/>
              <w:spacing w:before="20" w:after="20" w:line="240" w:lineRule="auto"/>
              <w:jc w:val="center"/>
            </w:pPr>
            <w:r>
              <w:t xml:space="preserve">0.5795***</w:t>
            </w:r>
          </w:p>
        </w:tc>
        <w:tc>
          <w:tcPr/>
          <w:p>
            <w:pPr>
              <w:pStyle w:val="Compact"/>
              <w:spacing w:before="20" w:after="20" w:line="240" w:lineRule="auto"/>
              <w:jc w:val="center"/>
            </w:pPr>
            <w:r>
              <w:t xml:space="preserve">5.0753</w:t>
            </w:r>
          </w:p>
        </w:tc>
        <w:tc>
          <w:tcPr/>
          <w:p>
            <w:pPr>
              <w:pStyle w:val="Compact"/>
              <w:spacing w:before="20" w:after="20" w:line="240" w:lineRule="auto"/>
              <w:jc w:val="center"/>
            </w:pPr>
            <w:r>
              <w:t xml:space="preserve">0.2588**</w:t>
            </w:r>
          </w:p>
        </w:tc>
        <w:tc>
          <w:tcPr/>
          <w:p>
            <w:pPr>
              <w:pStyle w:val="Compact"/>
              <w:spacing w:before="20" w:after="20" w:line="240" w:lineRule="auto"/>
              <w:jc w:val="center"/>
            </w:pPr>
            <w:r>
              <w:t xml:space="preserve">2.4245</w:t>
            </w:r>
          </w:p>
        </w:tc>
      </w:tr>
    </w:tbl>
    <w:p>
      <w:pPr>
        <w:pStyle w:val="TableNote"/>
      </w:pPr>
      <w:r>
        <w:t xml:space="preserve">注：基于0—1邻接空间权重矩阵计算；</w:t>
      </w:r>
      <w:r>
        <w:rPr>
          <w:iCs/>
          <w:i/>
        </w:rPr>
        <w:t xml:space="preserve">Z</w:t>
      </w:r>
      <w:r>
        <w:t xml:space="preserve">值依据正态分布假设下的期望与方差构造。</w:t>
      </w:r>
    </w:p>
    <w:p>
      <w:pPr>
        <w:pStyle w:val="CaptionedFigure"/>
      </w:pPr>
      <w:r>
        <w:drawing>
          <wp:inline>
            <wp:extent cx="5688000" cy="4991510"/>
            <wp:effectExtent b="0" l="0" r="0" t="0"/>
            <wp:docPr descr="图1 2023年省域全要素生产率的Moran散点图" title="" id="30" name="Picture"/>
            <a:graphic>
              <a:graphicData uri="http://schemas.openxmlformats.org/drawingml/2006/picture">
                <pic:pic>
                  <pic:nvPicPr>
                    <pic:cNvPr descr="p4_fig1.png" id="31" name="Picture"/>
                    <pic:cNvPicPr>
                      <a:picLocks noChangeArrowheads="1" noChangeAspect="1"/>
                    </pic:cNvPicPr>
                  </pic:nvPicPr>
                  <pic:blipFill>
                    <a:blip r:embed="rId29"/>
                    <a:stretch>
                      <a:fillRect/>
                    </a:stretch>
                  </pic:blipFill>
                  <pic:spPr bwMode="auto">
                    <a:xfrm>
                      <a:off x="0" y="0"/>
                      <a:ext cx="5688000" cy="4991510"/>
                    </a:xfrm>
                    <a:prstGeom prst="rect">
                      <a:avLst/>
                    </a:prstGeom>
                    <a:noFill/>
                    <a:ln w="9525">
                      <a:noFill/>
                      <a:headEnd/>
                      <a:tailEnd/>
                    </a:ln>
                  </pic:spPr>
                </pic:pic>
              </a:graphicData>
            </a:graphic>
          </wp:inline>
        </w:drawing>
      </w:r>
    </w:p>
    <w:p>
      <w:pPr>
        <w:pStyle w:val="ImageCaption"/>
      </w:pPr>
      <w:r>
        <w:t xml:space="preserve">图1 2023年省域全要素生产率的Moran散点图</w:t>
      </w:r>
    </w:p>
    <w:bookmarkEnd w:id="32"/>
    <w:bookmarkStart w:id="33" w:name="模型设定检验"/>
    <w:p>
      <w:pPr>
        <w:pStyle w:val="Heading2"/>
      </w:pPr>
      <w:r>
        <w:t xml:space="preserve">3.2 模型设定检验</w:t>
      </w:r>
    </w:p>
    <w:p>
      <w:pPr>
        <w:pStyle w:val="FirstParagraph"/>
      </w:pPr>
      <w:r>
        <w:t xml:space="preserve">表3报告了空间计量模型的设定检验结果。在0—1邻接矩阵下，依据Anselin等（1996）</w:t>
      </w:r>
      <w:r>
        <w:rPr>
          <w:vertAlign w:val="superscript"/>
        </w:rPr>
        <w:t xml:space="preserve">[17]</w:t>
      </w:r>
      <w:r>
        <w:t xml:space="preserve">构造的拉格朗日乘数检验的LM-error与LM-lag统计量分别为5.1727与24.1773，稳健形式的统计量分别为39.3920与58.3965，除LM-error在5%的水平上显著外，其余均在1%的水平上显著，说明模型同时存在空间滞后依赖与空间误差依赖，宜采用同时容纳两类依赖的空间杜宾模型。Hausman检验统计量为118.9258，在1%的水平上拒绝随机效应设定，应选择固定效应模型。进一步地，按Elhorst（2014）</w:t>
      </w:r>
      <w:r>
        <w:rPr>
          <w:vertAlign w:val="superscript"/>
        </w:rPr>
        <w:t xml:space="preserve">[18]</w:t>
      </w:r>
      <w:r>
        <w:t xml:space="preserve">的建议实施LR检验与Wald检验，结果显示：空间杜宾模型退化为空间自回归模型的原假设对应的LR统计量为47.6304、Wald统计量为50.1838；退化为空间误差模型的原假设对应的LR统计量为67.1095、Wald统计量为74.1983，四项检验均在1%的水平上拒绝原假设。因此，本文以时空双固定效应的空间杜宾模型作为基准模型。</w:t>
      </w:r>
    </w:p>
    <w:p>
      <w:pPr>
        <w:pStyle w:val="TableCaption"/>
      </w:pPr>
      <w:r>
        <w:t xml:space="preserve">表3 空间计量模型的设定检验结果</w:t>
      </w:r>
    </w:p>
    <w:tbl>
      <w:tblPr>
        <w:tblStyle w:val="Table"/>
        <w:jc w:val="center"/>
        <w:tblLook w:firstRow="1" w:lastRow="0" w:firstColumn="0" w:lastColumn="0" w:noHBand="0" w:noVBand="0" w:val="0020"/>
        <w:tblCaption w:val="表3 空间计量模型的设定检验结果"/>
        <w:tblW w:w="5000" w:type="pct"/>
        <w:tblLayout w:type="autofit"/>
      </w:tblPr>
      <w:tblGrid>
        <w:gridCol w:w="2640"/>
        <w:gridCol w:w="2640"/>
        <w:gridCol w:w="2640"/>
      </w:tblGrid>
      <w:tr>
        <w:trPr>
          <w:tblHeader w:val="true"/>
          <w:cantSplit/>
          <w:tblHeader/>
        </w:trPr>
        <w:tc>
          <w:tcPr/>
          <w:p>
            <w:pPr>
              <w:pStyle w:val="Compact"/>
              <w:spacing w:before="20" w:after="20" w:line="240" w:lineRule="auto"/>
              <w:jc w:val="center"/>
            </w:pPr>
            <w:r>
              <w:t xml:space="preserve">检验类型</w:t>
            </w:r>
          </w:p>
        </w:tc>
        <w:tc>
          <w:tcPr/>
          <w:p>
            <w:pPr>
              <w:pStyle w:val="Compact"/>
              <w:spacing w:before="20" w:after="20" w:line="240" w:lineRule="auto"/>
              <w:jc w:val="center"/>
            </w:pPr>
            <w:r>
              <w:t xml:space="preserve">统计量</w:t>
            </w:r>
          </w:p>
        </w:tc>
        <w:tc>
          <w:tcPr/>
          <w:p>
            <w:pPr>
              <w:pStyle w:val="Compact"/>
              <w:spacing w:before="20" w:after="20" w:line="240" w:lineRule="auto"/>
              <w:jc w:val="center"/>
            </w:pPr>
            <w:r>
              <w:rPr>
                <w:iCs/>
                <w:i/>
              </w:rPr>
              <w:t xml:space="preserve">P</w:t>
            </w:r>
            <w:r>
              <w:t xml:space="preserve">值</w:t>
            </w:r>
          </w:p>
        </w:tc>
      </w:tr>
      <w:tr>
        <w:trPr>
          <w:cantSplit/>
        </w:trPr>
        <w:tc>
          <w:tcPr/>
          <w:p>
            <w:pPr>
              <w:pStyle w:val="Compact"/>
              <w:spacing w:before="20" w:after="20" w:line="240" w:lineRule="auto"/>
              <w:jc w:val="center"/>
            </w:pPr>
            <w:r>
              <w:t xml:space="preserve">LM-error</w:t>
            </w:r>
          </w:p>
        </w:tc>
        <w:tc>
          <w:tcPr/>
          <w:p>
            <w:pPr>
              <w:pStyle w:val="Compact"/>
              <w:spacing w:before="20" w:after="20" w:line="240" w:lineRule="auto"/>
              <w:jc w:val="center"/>
            </w:pPr>
            <w:r>
              <w:t xml:space="preserve">5.1727**</w:t>
            </w:r>
          </w:p>
        </w:tc>
        <w:tc>
          <w:tcPr/>
          <w:p>
            <w:pPr>
              <w:pStyle w:val="Compact"/>
              <w:spacing w:before="20" w:after="20" w:line="240" w:lineRule="auto"/>
              <w:jc w:val="center"/>
            </w:pPr>
            <w:r>
              <w:t xml:space="preserve">0.0229</w:t>
            </w:r>
          </w:p>
        </w:tc>
      </w:tr>
      <w:tr>
        <w:trPr>
          <w:cantSplit/>
        </w:trPr>
        <w:tc>
          <w:tcPr/>
          <w:p>
            <w:pPr>
              <w:pStyle w:val="Compact"/>
              <w:spacing w:before="20" w:after="20" w:line="240" w:lineRule="auto"/>
              <w:jc w:val="center"/>
            </w:pPr>
            <w:r>
              <w:t xml:space="preserve">LM-lag</w:t>
            </w:r>
          </w:p>
        </w:tc>
        <w:tc>
          <w:tcPr/>
          <w:p>
            <w:pPr>
              <w:pStyle w:val="Compact"/>
              <w:spacing w:before="20" w:after="20" w:line="240" w:lineRule="auto"/>
              <w:jc w:val="center"/>
            </w:pPr>
            <w:r>
              <w:t xml:space="preserve">24.1773***</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Robust LM-error</w:t>
            </w:r>
          </w:p>
        </w:tc>
        <w:tc>
          <w:tcPr/>
          <w:p>
            <w:pPr>
              <w:pStyle w:val="Compact"/>
              <w:spacing w:before="20" w:after="20" w:line="240" w:lineRule="auto"/>
              <w:jc w:val="center"/>
            </w:pPr>
            <w:r>
              <w:t xml:space="preserve">39.3920***</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Robust LM-lag</w:t>
            </w:r>
          </w:p>
        </w:tc>
        <w:tc>
          <w:tcPr/>
          <w:p>
            <w:pPr>
              <w:pStyle w:val="Compact"/>
              <w:spacing w:before="20" w:after="20" w:line="240" w:lineRule="auto"/>
              <w:jc w:val="center"/>
            </w:pPr>
            <w:r>
              <w:t xml:space="preserve">58.3965***</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Hausman检验</w:t>
            </w:r>
          </w:p>
        </w:tc>
        <w:tc>
          <w:tcPr/>
          <w:p>
            <w:pPr>
              <w:pStyle w:val="Compact"/>
              <w:spacing w:before="20" w:after="20" w:line="240" w:lineRule="auto"/>
              <w:jc w:val="center"/>
            </w:pPr>
            <w:r>
              <w:t xml:space="preserve">118.9258***</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LR检验（空间杜宾模型退化为空间自回归模型）</w:t>
            </w:r>
          </w:p>
        </w:tc>
        <w:tc>
          <w:tcPr/>
          <w:p>
            <w:pPr>
              <w:pStyle w:val="Compact"/>
              <w:spacing w:before="20" w:after="20" w:line="240" w:lineRule="auto"/>
              <w:jc w:val="center"/>
            </w:pPr>
            <w:r>
              <w:t xml:space="preserve">47.6304***</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LR检验（空间杜宾模型退化为空间误差模型）</w:t>
            </w:r>
          </w:p>
        </w:tc>
        <w:tc>
          <w:tcPr/>
          <w:p>
            <w:pPr>
              <w:pStyle w:val="Compact"/>
              <w:spacing w:before="20" w:after="20" w:line="240" w:lineRule="auto"/>
              <w:jc w:val="center"/>
            </w:pPr>
            <w:r>
              <w:t xml:space="preserve">67.1095***</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Wald检验（空间杜宾模型退化为空间自回归模型）</w:t>
            </w:r>
          </w:p>
        </w:tc>
        <w:tc>
          <w:tcPr/>
          <w:p>
            <w:pPr>
              <w:pStyle w:val="Compact"/>
              <w:spacing w:before="20" w:after="20" w:line="240" w:lineRule="auto"/>
              <w:jc w:val="center"/>
            </w:pPr>
            <w:r>
              <w:t xml:space="preserve">50.1838***</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Wald检验（空间杜宾模型退化为空间误差模型）</w:t>
            </w:r>
          </w:p>
        </w:tc>
        <w:tc>
          <w:tcPr/>
          <w:p>
            <w:pPr>
              <w:pStyle w:val="Compact"/>
              <w:spacing w:before="20" w:after="20" w:line="240" w:lineRule="auto"/>
              <w:jc w:val="center"/>
            </w:pPr>
            <w:r>
              <w:t xml:space="preserve">74.1983***</w:t>
            </w:r>
          </w:p>
        </w:tc>
        <w:tc>
          <w:tcPr/>
          <w:p>
            <w:pPr>
              <w:pStyle w:val="Compact"/>
              <w:spacing w:before="20" w:after="20" w:line="240" w:lineRule="auto"/>
              <w:jc w:val="center"/>
            </w:pPr>
            <w:r>
              <w:t xml:space="preserve">0.0000</w:t>
            </w:r>
          </w:p>
        </w:tc>
      </w:tr>
    </w:tbl>
    <w:p>
      <w:pPr>
        <w:pStyle w:val="TableNote"/>
      </w:pPr>
      <w:r>
        <w:t xml:space="preserve">注：LM检验与LR、Wald检验均基于0—1邻接空间权重矩阵；LR与Wald检验的自由度均为7。</w:t>
      </w:r>
    </w:p>
    <w:bookmarkEnd w:id="33"/>
    <w:bookmarkStart w:id="34" w:name="空间杜宾模型估计与效应分解"/>
    <w:p>
      <w:pPr>
        <w:pStyle w:val="Heading2"/>
      </w:pPr>
      <w:r>
        <w:t xml:space="preserve">3.3 空间杜宾模型估计与效应分解</w:t>
      </w:r>
    </w:p>
    <w:p>
      <w:pPr>
        <w:pStyle w:val="FirstParagraph"/>
      </w:pPr>
      <w:r>
        <w:t xml:space="preserve">表4报告了估计结果。第（1）列为不考虑空间关联的双向固定效应模型，人口老龄化的系数为−0.0188且在1%的水平上显著。第（2）至第（4）列分别为空间杜宾模型、空间自回归模型与空间误差模型的估计结果。在空间杜宾模型中，空间自回归系数</w:t>
      </w:r>
      <m:oMath>
        <m:r>
          <m:t>ρ</m:t>
        </m:r>
      </m:oMath>
      <w:r>
        <w:t xml:space="preserve">为0.2529，在1%的水平上显著为正，表明本地全要素生产率会随邻近地区生产率的提高而提高；人口老龄化的系数为−0.0139，其空间滞后项的系数为−0.0173，二者均在1%的水平上显著为负。空间杜宾模型的对数似然值为729.782，明显高于空间自回归模型的705.967与空间误差模型的696.228，进一步支持其设定优势。</w:t>
      </w:r>
    </w:p>
    <w:p>
      <w:pPr>
        <w:pStyle w:val="TableCaption"/>
      </w:pPr>
      <w:r>
        <w:t xml:space="preserve">表4 空间面板模型的估计结果</w:t>
      </w:r>
    </w:p>
    <w:tbl>
      <w:tblPr>
        <w:tblStyle w:val="Table"/>
        <w:jc w:val="center"/>
        <w:tblLook w:firstRow="1" w:lastRow="0" w:firstColumn="0" w:lastColumn="0" w:noHBand="0" w:noVBand="0" w:val="0020"/>
        <w:tblCaption w:val="表4 空间面板模型的估计结果"/>
        <w:tblW w:w="5000" w:type="pct"/>
        <w:tblLayout w:type="autofit"/>
      </w:tblPr>
      <w:tblGrid>
        <w:gridCol w:w="1584"/>
        <w:gridCol w:w="1584"/>
        <w:gridCol w:w="1584"/>
        <w:gridCol w:w="1584"/>
        <w:gridCol w:w="1584"/>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（1）双向固定效应</w:t>
            </w:r>
          </w:p>
        </w:tc>
        <w:tc>
          <w:tcPr/>
          <w:p>
            <w:pPr>
              <w:pStyle w:val="Compact"/>
              <w:spacing w:before="20" w:after="20" w:line="240" w:lineRule="auto"/>
              <w:jc w:val="center"/>
            </w:pPr>
            <w:r>
              <w:t xml:space="preserve">（2）空间杜宾模型</w:t>
            </w:r>
          </w:p>
        </w:tc>
        <w:tc>
          <w:tcPr/>
          <w:p>
            <w:pPr>
              <w:pStyle w:val="Compact"/>
              <w:spacing w:before="20" w:after="20" w:line="240" w:lineRule="auto"/>
              <w:jc w:val="center"/>
            </w:pPr>
            <w:r>
              <w:t xml:space="preserve">（3）空间自回归模型</w:t>
            </w:r>
          </w:p>
        </w:tc>
        <w:tc>
          <w:tcPr/>
          <w:p>
            <w:pPr>
              <w:pStyle w:val="Compact"/>
              <w:spacing w:before="20" w:after="20" w:line="240" w:lineRule="auto"/>
              <w:jc w:val="center"/>
            </w:pPr>
            <w:r>
              <w:t xml:space="preserve">（4）空间误差模型</w:t>
            </w:r>
          </w:p>
        </w:tc>
      </w:tr>
      <w:tr>
        <w:trPr>
          <w:cantSplit/>
        </w:trPr>
        <w:tc>
          <w:tcPr/>
          <w:p>
            <w:pPr>
              <w:pStyle w:val="Compact"/>
              <w:spacing w:before="20" w:after="20" w:line="240" w:lineRule="auto"/>
              <w:jc w:val="center"/>
            </w:pPr>
            <w:r>
              <w:rPr>
                <w:iCs/>
                <w:i/>
              </w:rPr>
              <w:t xml:space="preserve">aging</w:t>
            </w:r>
          </w:p>
        </w:tc>
        <w:tc>
          <w:tcPr/>
          <w:p>
            <w:pPr>
              <w:pStyle w:val="Compact"/>
              <w:spacing w:before="20" w:after="20" w:line="240" w:lineRule="auto"/>
              <w:jc w:val="center"/>
            </w:pPr>
            <w:r>
              <w:t xml:space="preserve">−0.0188***</w:t>
            </w:r>
          </w:p>
        </w:tc>
        <w:tc>
          <w:tcPr/>
          <w:p>
            <w:pPr>
              <w:pStyle w:val="Compact"/>
              <w:spacing w:before="20" w:after="20" w:line="240" w:lineRule="auto"/>
              <w:jc w:val="center"/>
            </w:pPr>
            <w:r>
              <w:t xml:space="preserve">−0.0139***</w:t>
            </w:r>
          </w:p>
        </w:tc>
        <w:tc>
          <w:tcPr/>
          <w:p>
            <w:pPr>
              <w:pStyle w:val="Compact"/>
              <w:spacing w:before="20" w:after="20" w:line="240" w:lineRule="auto"/>
              <w:jc w:val="center"/>
            </w:pPr>
            <w:r>
              <w:t xml:space="preserve">−0.0145***</w:t>
            </w:r>
          </w:p>
        </w:tc>
        <w:tc>
          <w:tcPr/>
          <w:p>
            <w:pPr>
              <w:pStyle w:val="Compact"/>
              <w:spacing w:before="20" w:after="20" w:line="240" w:lineRule="auto"/>
              <w:jc w:val="center"/>
            </w:pPr>
            <w:r>
              <w:t xml:space="preserve">−0.0135***</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（−3.4097）</w:t>
            </w:r>
          </w:p>
        </w:tc>
        <w:tc>
          <w:tcPr/>
          <w:p>
            <w:pPr>
              <w:pStyle w:val="Compact"/>
              <w:spacing w:before="20" w:after="20" w:line="240" w:lineRule="auto"/>
              <w:jc w:val="center"/>
            </w:pPr>
            <w:r>
              <w:t xml:space="preserve">（−5.5218）</w:t>
            </w:r>
          </w:p>
        </w:tc>
        <w:tc>
          <w:tcPr/>
          <w:p>
            <w:pPr>
              <w:pStyle w:val="Compact"/>
              <w:spacing w:before="20" w:after="20" w:line="240" w:lineRule="auto"/>
              <w:jc w:val="center"/>
            </w:pPr>
            <w:r>
              <w:t xml:space="preserve">（−5.6713）</w:t>
            </w:r>
          </w:p>
        </w:tc>
        <w:tc>
          <w:tcPr/>
          <w:p>
            <w:pPr>
              <w:pStyle w:val="Compact"/>
              <w:spacing w:before="20" w:after="20" w:line="240" w:lineRule="auto"/>
              <w:jc w:val="center"/>
            </w:pPr>
            <w:r>
              <w:t xml:space="preserve">（−4.6071）</w:t>
            </w:r>
          </w:p>
        </w:tc>
      </w:tr>
      <w:tr>
        <w:trPr>
          <w:cantSplit/>
        </w:trPr>
        <w:tc>
          <w:tcPr/>
          <w:p>
            <w:pPr>
              <w:pStyle w:val="Compact"/>
              <w:spacing w:before="20" w:after="20" w:line="240" w:lineRule="auto"/>
              <w:jc w:val="center"/>
            </w:pPr>
            <w:r>
              <w:rPr>
                <w:iCs/>
                <w:i/>
              </w:rPr>
              <w:t xml:space="preserve">urban</w:t>
            </w:r>
          </w:p>
        </w:tc>
        <w:tc>
          <w:tcPr/>
          <w:p>
            <w:pPr>
              <w:pStyle w:val="Compact"/>
              <w:spacing w:before="20" w:after="20" w:line="240" w:lineRule="auto"/>
              <w:jc w:val="center"/>
            </w:pPr>
            <w:r>
              <w:t xml:space="preserve">0.0016</w:t>
            </w:r>
          </w:p>
        </w:tc>
        <w:tc>
          <w:tcPr/>
          <w:p>
            <w:pPr>
              <w:pStyle w:val="Compact"/>
              <w:spacing w:before="20" w:after="20" w:line="240" w:lineRule="auto"/>
              <w:jc w:val="center"/>
            </w:pPr>
            <w:r>
              <w:t xml:space="preserve">0.0009</w:t>
            </w:r>
          </w:p>
        </w:tc>
        <w:tc>
          <w:tcPr/>
          <w:p>
            <w:pPr>
              <w:pStyle w:val="Compact"/>
              <w:spacing w:before="20" w:after="20" w:line="240" w:lineRule="auto"/>
              <w:jc w:val="center"/>
            </w:pPr>
            <w:r>
              <w:t xml:space="preserve">0.0000</w:t>
            </w:r>
          </w:p>
        </w:tc>
        <w:tc>
          <w:tcPr/>
          <w:p>
            <w:pPr>
              <w:pStyle w:val="Compact"/>
              <w:spacing w:before="20" w:after="20" w:line="240" w:lineRule="auto"/>
              <w:jc w:val="center"/>
            </w:pPr>
            <w:r>
              <w:t xml:space="preserve">−0.0006</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（0.3452）</w:t>
            </w:r>
          </w:p>
        </w:tc>
        <w:tc>
          <w:tcPr/>
          <w:p>
            <w:pPr>
              <w:pStyle w:val="Compact"/>
              <w:spacing w:before="20" w:after="20" w:line="240" w:lineRule="auto"/>
              <w:jc w:val="center"/>
            </w:pPr>
            <w:r>
              <w:t xml:space="preserve">（0.4857）</w:t>
            </w:r>
          </w:p>
        </w:tc>
        <w:tc>
          <w:tcPr/>
          <w:p>
            <w:pPr>
              <w:pStyle w:val="Compact"/>
              <w:spacing w:before="20" w:after="20" w:line="240" w:lineRule="auto"/>
              <w:jc w:val="center"/>
            </w:pPr>
            <w:r>
              <w:t xml:space="preserve">（0.0193）</w:t>
            </w:r>
          </w:p>
        </w:tc>
        <w:tc>
          <w:tcPr/>
          <w:p>
            <w:pPr>
              <w:pStyle w:val="Compact"/>
              <w:spacing w:before="20" w:after="20" w:line="240" w:lineRule="auto"/>
              <w:jc w:val="center"/>
            </w:pPr>
            <w:r>
              <w:t xml:space="preserve">（−0.2967）</w:t>
            </w:r>
          </w:p>
        </w:tc>
      </w:tr>
      <w:tr>
        <w:trPr>
          <w:cantSplit/>
        </w:trPr>
        <w:tc>
          <w:tcPr/>
          <w:p>
            <w:pPr>
              <w:pStyle w:val="Compact"/>
              <w:spacing w:before="20" w:after="20" w:line="240" w:lineRule="auto"/>
              <w:jc w:val="center"/>
            </w:pPr>
            <w:r>
              <w:rPr>
                <w:iCs/>
                <w:i/>
              </w:rPr>
              <w:t xml:space="preserve">stru</w:t>
            </w:r>
          </w:p>
        </w:tc>
        <w:tc>
          <w:tcPr/>
          <w:p>
            <w:pPr>
              <w:pStyle w:val="Compact"/>
              <w:spacing w:before="20" w:after="20" w:line="240" w:lineRule="auto"/>
              <w:jc w:val="center"/>
            </w:pPr>
            <w:r>
              <w:t xml:space="preserve">0.0022</w:t>
            </w:r>
          </w:p>
        </w:tc>
        <w:tc>
          <w:tcPr/>
          <w:p>
            <w:pPr>
              <w:pStyle w:val="Compact"/>
              <w:spacing w:before="20" w:after="20" w:line="240" w:lineRule="auto"/>
              <w:jc w:val="center"/>
            </w:pPr>
            <w:r>
              <w:t xml:space="preserve">0.0032*</w:t>
            </w:r>
          </w:p>
        </w:tc>
        <w:tc>
          <w:tcPr/>
          <w:p>
            <w:pPr>
              <w:pStyle w:val="Compact"/>
              <w:spacing w:before="20" w:after="20" w:line="240" w:lineRule="auto"/>
              <w:jc w:val="center"/>
            </w:pPr>
            <w:r>
              <w:t xml:space="preserve">0.0028</w:t>
            </w:r>
          </w:p>
        </w:tc>
        <w:tc>
          <w:tcPr/>
          <w:p>
            <w:pPr>
              <w:pStyle w:val="Compact"/>
              <w:spacing w:before="20" w:after="20" w:line="240" w:lineRule="auto"/>
              <w:jc w:val="center"/>
            </w:pPr>
            <w:r>
              <w:t xml:space="preserve">0.0028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（0.7247）</w:t>
            </w:r>
          </w:p>
        </w:tc>
        <w:tc>
          <w:tcPr/>
          <w:p>
            <w:pPr>
              <w:pStyle w:val="Compact"/>
              <w:spacing w:before="20" w:after="20" w:line="240" w:lineRule="auto"/>
              <w:jc w:val="center"/>
            </w:pPr>
            <w:r>
              <w:t xml:space="preserve">（1.9286）</w:t>
            </w:r>
          </w:p>
        </w:tc>
        <w:tc>
          <w:tcPr/>
          <w:p>
            <w:pPr>
              <w:pStyle w:val="Compact"/>
              <w:spacing w:before="20" w:after="20" w:line="240" w:lineRule="auto"/>
              <w:jc w:val="center"/>
            </w:pPr>
            <w:r>
              <w:t xml:space="preserve">（1.6376）</w:t>
            </w:r>
          </w:p>
        </w:tc>
        <w:tc>
          <w:tcPr/>
          <w:p>
            <w:pPr>
              <w:pStyle w:val="Compact"/>
              <w:spacing w:before="20" w:after="20" w:line="240" w:lineRule="auto"/>
              <w:jc w:val="center"/>
            </w:pPr>
            <w:r>
              <w:t xml:space="preserve">（1.5944）</w:t>
            </w:r>
          </w:p>
        </w:tc>
      </w:tr>
      <w:tr>
        <w:trPr>
          <w:cantSplit/>
        </w:trPr>
        <w:tc>
          <w:tcPr/>
          <w:p>
            <w:pPr>
              <w:pStyle w:val="Compact"/>
              <w:spacing w:before="20" w:after="20" w:line="240" w:lineRule="auto"/>
              <w:jc w:val="center"/>
            </w:pPr>
            <w:r>
              <w:rPr>
                <w:iCs/>
                <w:i/>
              </w:rPr>
              <w:t xml:space="preserve">open</w:t>
            </w:r>
          </w:p>
        </w:tc>
        <w:tc>
          <w:tcPr/>
          <w:p>
            <w:pPr>
              <w:pStyle w:val="Compact"/>
              <w:spacing w:before="20" w:after="20" w:line="240" w:lineRule="auto"/>
              <w:jc w:val="center"/>
            </w:pPr>
            <w:r>
              <w:t xml:space="preserve">−0.2630</w:t>
            </w:r>
          </w:p>
        </w:tc>
        <w:tc>
          <w:tcPr/>
          <w:p>
            <w:pPr>
              <w:pStyle w:val="Compact"/>
              <w:spacing w:before="20" w:after="20" w:line="240" w:lineRule="auto"/>
              <w:jc w:val="center"/>
            </w:pPr>
            <w:r>
              <w:t xml:space="preserve">−0.0844</w:t>
            </w:r>
          </w:p>
        </w:tc>
        <w:tc>
          <w:tcPr/>
          <w:p>
            <w:pPr>
              <w:pStyle w:val="Compact"/>
              <w:spacing w:before="20" w:after="20" w:line="240" w:lineRule="auto"/>
              <w:jc w:val="center"/>
            </w:pPr>
            <w:r>
              <w:t xml:space="preserve">−0.1883***</w:t>
            </w:r>
          </w:p>
        </w:tc>
        <w:tc>
          <w:tcPr/>
          <w:p>
            <w:pPr>
              <w:pStyle w:val="Compact"/>
              <w:spacing w:before="20" w:after="20" w:line="240" w:lineRule="auto"/>
              <w:jc w:val="center"/>
            </w:pPr>
            <w:r>
              <w:t xml:space="preserve">−0.1874**</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（−1.5129）</w:t>
            </w:r>
          </w:p>
        </w:tc>
        <w:tc>
          <w:tcPr/>
          <w:p>
            <w:pPr>
              <w:pStyle w:val="Compact"/>
              <w:spacing w:before="20" w:after="20" w:line="240" w:lineRule="auto"/>
              <w:jc w:val="center"/>
            </w:pPr>
            <w:r>
              <w:t xml:space="preserve">（−1.1974）</w:t>
            </w:r>
          </w:p>
        </w:tc>
        <w:tc>
          <w:tcPr/>
          <w:p>
            <w:pPr>
              <w:pStyle w:val="Compact"/>
              <w:spacing w:before="20" w:after="20" w:line="240" w:lineRule="auto"/>
              <w:jc w:val="center"/>
            </w:pPr>
            <w:r>
              <w:t xml:space="preserve">（−2.6068）</w:t>
            </w:r>
          </w:p>
        </w:tc>
        <w:tc>
          <w:tcPr/>
          <w:p>
            <w:pPr>
              <w:pStyle w:val="Compact"/>
              <w:spacing w:before="20" w:after="20" w:line="240" w:lineRule="auto"/>
              <w:jc w:val="center"/>
            </w:pPr>
            <w:r>
              <w:t xml:space="preserve">（−2.4791）</w:t>
            </w:r>
          </w:p>
        </w:tc>
      </w:tr>
      <w:tr>
        <w:trPr>
          <w:cantSplit/>
        </w:trPr>
        <w:tc>
          <w:tcPr/>
          <w:p>
            <w:pPr>
              <w:pStyle w:val="Compact"/>
              <w:spacing w:before="20" w:after="20" w:line="240" w:lineRule="auto"/>
              <w:jc w:val="center"/>
            </w:pPr>
            <w:r>
              <w:rPr>
                <w:iCs/>
                <w:i/>
              </w:rPr>
              <w:t xml:space="preserve">gov</w:t>
            </w:r>
          </w:p>
        </w:tc>
        <w:tc>
          <w:tcPr/>
          <w:p>
            <w:pPr>
              <w:pStyle w:val="Compact"/>
              <w:spacing w:before="20" w:after="20" w:line="240" w:lineRule="auto"/>
              <w:jc w:val="center"/>
            </w:pPr>
            <w:r>
              <w:t xml:space="preserve">−0.2001</w:t>
            </w:r>
          </w:p>
        </w:tc>
        <w:tc>
          <w:tcPr/>
          <w:p>
            <w:pPr>
              <w:pStyle w:val="Compact"/>
              <w:spacing w:before="20" w:after="20" w:line="240" w:lineRule="auto"/>
              <w:jc w:val="center"/>
            </w:pPr>
            <w:r>
              <w:t xml:space="preserve">−0.2137*</w:t>
            </w:r>
          </w:p>
        </w:tc>
        <w:tc>
          <w:tcPr/>
          <w:p>
            <w:pPr>
              <w:pStyle w:val="Compact"/>
              <w:spacing w:before="20" w:after="20" w:line="240" w:lineRule="auto"/>
              <w:jc w:val="center"/>
            </w:pPr>
            <w:r>
              <w:t xml:space="preserve">−0.1501</w:t>
            </w:r>
          </w:p>
        </w:tc>
        <w:tc>
          <w:tcPr/>
          <w:p>
            <w:pPr>
              <w:pStyle w:val="Compact"/>
              <w:spacing w:before="20" w:after="20" w:line="240" w:lineRule="auto"/>
              <w:jc w:val="center"/>
            </w:pPr>
            <w:r>
              <w:t xml:space="preserve">−0.1214</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（−1.1578）</w:t>
            </w:r>
          </w:p>
        </w:tc>
        <w:tc>
          <w:tcPr/>
          <w:p>
            <w:pPr>
              <w:pStyle w:val="Compact"/>
              <w:spacing w:before="20" w:after="20" w:line="240" w:lineRule="auto"/>
              <w:jc w:val="center"/>
            </w:pPr>
            <w:r>
              <w:t xml:space="preserve">（−1.6786）</w:t>
            </w:r>
          </w:p>
        </w:tc>
        <w:tc>
          <w:tcPr/>
          <w:p>
            <w:pPr>
              <w:pStyle w:val="Compact"/>
              <w:spacing w:before="20" w:after="20" w:line="240" w:lineRule="auto"/>
              <w:jc w:val="center"/>
            </w:pPr>
            <w:r>
              <w:t xml:space="preserve">（−1.1129）</w:t>
            </w:r>
          </w:p>
        </w:tc>
        <w:tc>
          <w:tcPr/>
          <w:p>
            <w:pPr>
              <w:pStyle w:val="Compact"/>
              <w:spacing w:before="20" w:after="20" w:line="240" w:lineRule="auto"/>
              <w:jc w:val="center"/>
            </w:pPr>
            <w:r>
              <w:t xml:space="preserve">（−0.8849）</w:t>
            </w:r>
          </w:p>
        </w:tc>
      </w:tr>
      <w:tr>
        <w:trPr>
          <w:cantSplit/>
        </w:trPr>
        <w:tc>
          <w:tcPr/>
          <w:p>
            <w:pPr>
              <w:pStyle w:val="Compact"/>
              <w:spacing w:before="20" w:after="20" w:line="240" w:lineRule="auto"/>
              <w:jc w:val="center"/>
            </w:pPr>
            <w:r>
              <w:rPr>
                <w:iCs/>
                <w:i/>
              </w:rPr>
              <w:t xml:space="preserve">infra</w:t>
            </w:r>
          </w:p>
        </w:tc>
        <w:tc>
          <w:tcPr/>
          <w:p>
            <w:pPr>
              <w:pStyle w:val="Compact"/>
              <w:spacing w:before="20" w:after="20" w:line="240" w:lineRule="auto"/>
              <w:jc w:val="center"/>
            </w:pPr>
            <w:r>
              <w:t xml:space="preserve">0.0587</w:t>
            </w:r>
          </w:p>
        </w:tc>
        <w:tc>
          <w:tcPr/>
          <w:p>
            <w:pPr>
              <w:pStyle w:val="Compact"/>
              <w:spacing w:before="20" w:after="20" w:line="240" w:lineRule="auto"/>
              <w:jc w:val="center"/>
            </w:pPr>
            <w:r>
              <w:t xml:space="preserve">0.0983***</w:t>
            </w:r>
          </w:p>
        </w:tc>
        <w:tc>
          <w:tcPr/>
          <w:p>
            <w:pPr>
              <w:pStyle w:val="Compact"/>
              <w:spacing w:before="20" w:after="20" w:line="240" w:lineRule="auto"/>
              <w:jc w:val="center"/>
            </w:pPr>
            <w:r>
              <w:t xml:space="preserve">0.0713**</w:t>
            </w:r>
          </w:p>
        </w:tc>
        <w:tc>
          <w:tcPr/>
          <w:p>
            <w:pPr>
              <w:pStyle w:val="Compact"/>
              <w:spacing w:before="20" w:after="20" w:line="240" w:lineRule="auto"/>
              <w:jc w:val="center"/>
            </w:pPr>
            <w:r>
              <w:t xml:space="preserve">0.0520*</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（1.6569）</w:t>
            </w:r>
          </w:p>
        </w:tc>
        <w:tc>
          <w:tcPr/>
          <w:p>
            <w:pPr>
              <w:pStyle w:val="Compact"/>
              <w:spacing w:before="20" w:after="20" w:line="240" w:lineRule="auto"/>
              <w:jc w:val="center"/>
            </w:pPr>
            <w:r>
              <w:t xml:space="preserve">（3.3676）</w:t>
            </w:r>
          </w:p>
        </w:tc>
        <w:tc>
          <w:tcPr/>
          <w:p>
            <w:pPr>
              <w:pStyle w:val="Compact"/>
              <w:spacing w:before="20" w:after="20" w:line="240" w:lineRule="auto"/>
              <w:jc w:val="center"/>
            </w:pPr>
            <w:r>
              <w:t xml:space="preserve">（2.3220）</w:t>
            </w:r>
          </w:p>
        </w:tc>
        <w:tc>
          <w:tcPr/>
          <w:p>
            <w:pPr>
              <w:pStyle w:val="Compact"/>
              <w:spacing w:before="20" w:after="20" w:line="240" w:lineRule="auto"/>
              <w:jc w:val="center"/>
            </w:pPr>
            <w:r>
              <w:t xml:space="preserve">（1.6808）</w:t>
            </w:r>
          </w:p>
        </w:tc>
      </w:tr>
      <w:tr>
        <w:trPr>
          <w:cantSplit/>
        </w:trPr>
        <w:tc>
          <w:tcPr/>
          <w:p>
            <w:pPr>
              <w:pStyle w:val="Compact"/>
              <w:spacing w:before="20" w:after="20" w:line="240" w:lineRule="auto"/>
              <w:jc w:val="center"/>
            </w:pPr>
            <w:r>
              <w:rPr>
                <w:iCs/>
                <w:i/>
              </w:rPr>
              <w:t xml:space="preserve">fin</w:t>
            </w:r>
          </w:p>
        </w:tc>
        <w:tc>
          <w:tcPr/>
          <w:p>
            <w:pPr>
              <w:pStyle w:val="Compact"/>
              <w:spacing w:before="20" w:after="20" w:line="240" w:lineRule="auto"/>
              <w:jc w:val="center"/>
            </w:pPr>
            <w:r>
              <w:t xml:space="preserve">0.0649</w:t>
            </w:r>
          </w:p>
        </w:tc>
        <w:tc>
          <w:tcPr/>
          <w:p>
            <w:pPr>
              <w:pStyle w:val="Compact"/>
              <w:spacing w:before="20" w:after="20" w:line="240" w:lineRule="auto"/>
              <w:jc w:val="center"/>
            </w:pPr>
            <w:r>
              <w:t xml:space="preserve">0.0798***</w:t>
            </w:r>
          </w:p>
        </w:tc>
        <w:tc>
          <w:tcPr/>
          <w:p>
            <w:pPr>
              <w:pStyle w:val="Compact"/>
              <w:spacing w:before="20" w:after="20" w:line="240" w:lineRule="auto"/>
              <w:jc w:val="center"/>
            </w:pPr>
            <w:r>
              <w:t xml:space="preserve">0.0589**</w:t>
            </w:r>
          </w:p>
        </w:tc>
        <w:tc>
          <w:tcPr/>
          <w:p>
            <w:pPr>
              <w:pStyle w:val="Compact"/>
              <w:spacing w:before="20" w:after="20" w:line="240" w:lineRule="auto"/>
              <w:jc w:val="center"/>
            </w:pPr>
            <w:r>
              <w:t xml:space="preserve">0.0445**</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（1.0927）</w:t>
            </w:r>
          </w:p>
        </w:tc>
        <w:tc>
          <w:tcPr/>
          <w:p>
            <w:pPr>
              <w:pStyle w:val="Compact"/>
              <w:spacing w:before="20" w:after="20" w:line="240" w:lineRule="auto"/>
              <w:jc w:val="center"/>
            </w:pPr>
            <w:r>
              <w:t xml:space="preserve">（3.4462）</w:t>
            </w:r>
          </w:p>
        </w:tc>
        <w:tc>
          <w:tcPr/>
          <w:p>
            <w:pPr>
              <w:pStyle w:val="Compact"/>
              <w:spacing w:before="20" w:after="20" w:line="240" w:lineRule="auto"/>
              <w:jc w:val="center"/>
            </w:pPr>
            <w:r>
              <w:t xml:space="preserve">（2.5647）</w:t>
            </w:r>
          </w:p>
        </w:tc>
        <w:tc>
          <w:tcPr/>
          <w:p>
            <w:pPr>
              <w:pStyle w:val="Compact"/>
              <w:spacing w:before="20" w:after="20" w:line="240" w:lineRule="auto"/>
              <w:jc w:val="center"/>
            </w:pPr>
            <w:r>
              <w:t xml:space="preserve">（1.9647）</w:t>
            </w:r>
          </w:p>
        </w:tc>
      </w:tr>
      <w:tr>
        <w:trPr>
          <w:cantSplit/>
        </w:trPr>
        <w:tc>
          <w:tcPr/>
          <w:p>
            <w:pPr>
              <w:pStyle w:val="Compact"/>
              <w:spacing w:before="20" w:after="20" w:line="240" w:lineRule="auto"/>
              <w:jc w:val="center"/>
            </w:pPr>
            <w:r>
              <w:rPr>
                <w:iCs/>
                <w:i/>
              </w:rPr>
              <w:t xml:space="preserve">W</w:t>
            </w:r>
            <w:r>
              <w:t xml:space="preserve">×</w:t>
            </w:r>
            <w:r>
              <w:rPr>
                <w:iCs/>
                <w:i/>
              </w:rPr>
              <w:t xml:space="preserve">aging</w:t>
            </w:r>
          </w:p>
        </w:tc>
        <w:tc>
          <w:tcPr/>
          <w:p>
            <w:pPr>
              <w:pStyle w:val="Compact"/>
              <w:spacing w:before="20" w:after="20" w:line="240" w:lineRule="auto"/>
              <w:jc w:val="center"/>
            </w:pPr>
          </w:p>
        </w:tc>
        <w:tc>
          <w:tcPr/>
          <w:p>
            <w:pPr>
              <w:pStyle w:val="Compact"/>
              <w:spacing w:before="20" w:after="20" w:line="240" w:lineRule="auto"/>
              <w:jc w:val="center"/>
            </w:pPr>
            <w:r>
              <w:t xml:space="preserve">−0.0173***</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（−3.7924）</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W</w:t>
            </w:r>
            <w:r>
              <w:t xml:space="preserve">×</w:t>
            </w:r>
            <w:r>
              <w:rPr>
                <w:iCs/>
                <w:i/>
              </w:rPr>
              <w:t xml:space="preserve">urban</w:t>
            </w:r>
          </w:p>
        </w:tc>
        <w:tc>
          <w:tcPr/>
          <w:p>
            <w:pPr>
              <w:pStyle w:val="Compact"/>
              <w:spacing w:before="20" w:after="20" w:line="240" w:lineRule="auto"/>
              <w:jc w:val="center"/>
            </w:pPr>
          </w:p>
        </w:tc>
        <w:tc>
          <w:tcPr/>
          <w:p>
            <w:pPr>
              <w:pStyle w:val="Compact"/>
              <w:spacing w:before="20" w:after="20" w:line="240" w:lineRule="auto"/>
              <w:jc w:val="center"/>
            </w:pPr>
            <w:r>
              <w:t xml:space="preserve">0.0073*</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（1.8994）</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W</w:t>
            </w:r>
            <w:r>
              <w:t xml:space="preserve">×</w:t>
            </w:r>
            <w:r>
              <w:rPr>
                <w:iCs/>
                <w:i/>
              </w:rPr>
              <w:t xml:space="preserve">infra</w:t>
            </w:r>
          </w:p>
        </w:tc>
        <w:tc>
          <w:tcPr/>
          <w:p>
            <w:pPr>
              <w:pStyle w:val="Compact"/>
              <w:spacing w:before="20" w:after="20" w:line="240" w:lineRule="auto"/>
              <w:jc w:val="center"/>
            </w:pPr>
          </w:p>
        </w:tc>
        <w:tc>
          <w:tcPr/>
          <w:p>
            <w:pPr>
              <w:pStyle w:val="Compact"/>
              <w:spacing w:before="20" w:after="20" w:line="240" w:lineRule="auto"/>
              <w:jc w:val="center"/>
            </w:pPr>
            <w:r>
              <w:t xml:space="preserve">0.1437***</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（2.6580）</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W</w:t>
            </w:r>
            <w:r>
              <w:t xml:space="preserve">×</w:t>
            </w:r>
            <w:r>
              <w:rPr>
                <w:iCs/>
                <w:i/>
              </w:rPr>
              <w:t xml:space="preserve">fin</w:t>
            </w:r>
          </w:p>
        </w:tc>
        <w:tc>
          <w:tcPr/>
          <w:p>
            <w:pPr>
              <w:pStyle w:val="Compact"/>
              <w:spacing w:before="20" w:after="20" w:line="240" w:lineRule="auto"/>
              <w:jc w:val="center"/>
            </w:pPr>
          </w:p>
        </w:tc>
        <w:tc>
          <w:tcPr/>
          <w:p>
            <w:pPr>
              <w:pStyle w:val="Compact"/>
              <w:spacing w:before="20" w:after="20" w:line="240" w:lineRule="auto"/>
              <w:jc w:val="center"/>
            </w:pPr>
            <w:r>
              <w:t xml:space="preserve">0.1451***</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（2.9181）</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m:oMath>
              <m:r>
                <m:t>ρ</m:t>
              </m:r>
            </m:oMath>
            <w:r>
              <w:t xml:space="preserve">/</w:t>
            </w:r>
            <m:oMath>
              <m:r>
                <m:t>λ</m:t>
              </m:r>
            </m:oMath>
          </w:p>
        </w:tc>
        <w:tc>
          <w:tcPr/>
          <w:p>
            <w:pPr>
              <w:pStyle w:val="Compact"/>
              <w:spacing w:before="20" w:after="20" w:line="240" w:lineRule="auto"/>
              <w:jc w:val="center"/>
            </w:pPr>
          </w:p>
        </w:tc>
        <w:tc>
          <w:tcPr/>
          <w:p>
            <w:pPr>
              <w:pStyle w:val="Compact"/>
              <w:spacing w:before="20" w:after="20" w:line="240" w:lineRule="auto"/>
              <w:jc w:val="center"/>
            </w:pPr>
            <w:r>
              <w:t xml:space="preserve">0.2529***</w:t>
            </w:r>
          </w:p>
        </w:tc>
        <w:tc>
          <w:tcPr/>
          <w:p>
            <w:pPr>
              <w:pStyle w:val="Compact"/>
              <w:spacing w:before="20" w:after="20" w:line="240" w:lineRule="auto"/>
              <w:jc w:val="center"/>
            </w:pPr>
            <w:r>
              <w:t xml:space="preserve">0.4161***</w:t>
            </w:r>
          </w:p>
        </w:tc>
        <w:tc>
          <w:tcPr/>
          <w:p>
            <w:pPr>
              <w:pStyle w:val="Compact"/>
              <w:spacing w:before="20" w:after="20" w:line="240" w:lineRule="auto"/>
              <w:jc w:val="center"/>
            </w:pPr>
            <w:r>
              <w:t xml:space="preserve">0.3550***</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（3.4725）</w:t>
            </w:r>
          </w:p>
        </w:tc>
        <w:tc>
          <w:tcPr/>
          <w:p>
            <w:pPr>
              <w:pStyle w:val="Compact"/>
              <w:spacing w:before="20" w:after="20" w:line="240" w:lineRule="auto"/>
              <w:jc w:val="center"/>
            </w:pPr>
            <w:r>
              <w:t xml:space="preserve">（6.2421）</w:t>
            </w:r>
          </w:p>
        </w:tc>
        <w:tc>
          <w:tcPr/>
          <w:p>
            <w:pPr>
              <w:pStyle w:val="Compact"/>
              <w:spacing w:before="20" w:after="20" w:line="240" w:lineRule="auto"/>
              <w:jc w:val="center"/>
            </w:pPr>
            <w:r>
              <w:t xml:space="preserve">（4.1961）</w:t>
            </w:r>
          </w:p>
        </w:tc>
      </w:tr>
      <w:tr>
        <w:trPr>
          <w:cantSplit/>
        </w:trPr>
        <w:tc>
          <w:tcPr/>
          <w:p>
            <w:pPr>
              <w:pStyle w:val="Compact"/>
              <w:spacing w:before="20" w:after="20" w:line="240" w:lineRule="auto"/>
              <w:jc w:val="center"/>
            </w:pPr>
            <w:r>
              <w:t xml:space="preserve">对数似然值</w:t>
            </w:r>
          </w:p>
        </w:tc>
        <w:tc>
          <w:tcPr/>
          <w:p>
            <w:pPr>
              <w:pStyle w:val="Compact"/>
              <w:spacing w:before="20" w:after="20" w:line="240" w:lineRule="auto"/>
              <w:jc w:val="center"/>
            </w:pPr>
          </w:p>
        </w:tc>
        <w:tc>
          <w:tcPr/>
          <w:p>
            <w:pPr>
              <w:pStyle w:val="Compact"/>
              <w:spacing w:before="20" w:after="20" w:line="240" w:lineRule="auto"/>
              <w:jc w:val="center"/>
            </w:pPr>
            <w:r>
              <w:t xml:space="preserve">729.782</w:t>
            </w:r>
          </w:p>
        </w:tc>
        <w:tc>
          <w:tcPr/>
          <w:p>
            <w:pPr>
              <w:pStyle w:val="Compact"/>
              <w:spacing w:before="20" w:after="20" w:line="240" w:lineRule="auto"/>
              <w:jc w:val="center"/>
            </w:pPr>
            <w:r>
              <w:t xml:space="preserve">705.967</w:t>
            </w:r>
          </w:p>
        </w:tc>
        <w:tc>
          <w:tcPr/>
          <w:p>
            <w:pPr>
              <w:pStyle w:val="Compact"/>
              <w:spacing w:before="20" w:after="20" w:line="240" w:lineRule="auto"/>
              <w:jc w:val="center"/>
            </w:pPr>
            <w:r>
              <w:t xml:space="preserve">696.228</w:t>
            </w:r>
          </w:p>
        </w:tc>
      </w:tr>
      <w:tr>
        <w:trPr>
          <w:cantSplit/>
        </w:trP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r>
      <w:tr>
        <w:trPr>
          <w:cantSplit/>
        </w:trPr>
        <w:tc>
          <w:tcPr/>
          <w:p>
            <w:pPr>
              <w:pStyle w:val="Compact"/>
              <w:spacing w:before="20" w:after="20" w:line="240" w:lineRule="auto"/>
              <w:jc w:val="center"/>
            </w:pPr>
            <w:r>
              <w:rPr>
                <w:iCs/>
                <w:i/>
              </w:rPr>
              <w:t xml:space="preserve">R</w:t>
            </w:r>
            <w:r>
              <w:t xml:space="preserve">²</w:t>
            </w:r>
          </w:p>
        </w:tc>
        <w:tc>
          <w:tcPr/>
          <w:p>
            <w:pPr>
              <w:pStyle w:val="Compact"/>
              <w:spacing w:before="20" w:after="20" w:line="240" w:lineRule="auto"/>
              <w:jc w:val="center"/>
            </w:pPr>
            <w:r>
              <w:t xml:space="preserve">0.2051</w:t>
            </w:r>
          </w:p>
        </w:tc>
        <w:tc>
          <w:tcPr/>
          <w:p>
            <w:pPr>
              <w:pStyle w:val="Compact"/>
              <w:spacing w:before="20" w:after="20" w:line="240" w:lineRule="auto"/>
              <w:jc w:val="center"/>
            </w:pPr>
            <w:r>
              <w:t xml:space="preserve">0.3701</w:t>
            </w:r>
          </w:p>
        </w:tc>
        <w:tc>
          <w:tcPr/>
          <w:p>
            <w:pPr>
              <w:pStyle w:val="Compact"/>
              <w:spacing w:before="20" w:after="20" w:line="240" w:lineRule="auto"/>
              <w:jc w:val="center"/>
            </w:pPr>
            <w:r>
              <w:t xml:space="preserve">0.2885</w:t>
            </w:r>
          </w:p>
        </w:tc>
        <w:tc>
          <w:tcPr/>
          <w:p>
            <w:pPr>
              <w:pStyle w:val="Compact"/>
              <w:spacing w:before="20" w:after="20" w:line="240" w:lineRule="auto"/>
              <w:jc w:val="center"/>
            </w:pPr>
            <w:r>
              <w:t xml:space="preserve">0.2470</w:t>
            </w:r>
          </w:p>
        </w:tc>
      </w:tr>
    </w:tbl>
    <w:p>
      <w:pPr>
        <w:pStyle w:val="TableNote"/>
      </w:pPr>
      <w:r>
        <w:t xml:space="preserve">注：</w:t>
      </w:r>
      <w:r>
        <w:rPr>
          <w:iCs/>
          <w:i/>
        </w:rPr>
        <w:t xml:space="preserve">、</w:t>
      </w:r>
      <w:r>
        <w:rPr>
          <w:bCs/>
          <w:b/>
          <w:iCs/>
          <w:i/>
        </w:rPr>
        <w:t xml:space="preserve">、</w:t>
      </w:r>
      <w:r>
        <w:t xml:space="preserve">分别表示在10%、5%、1%的水平上显著，（）内为</w:t>
      </w:r>
      <w:r>
        <w:rPr>
          <w:iCs/>
          <w:i/>
        </w:rPr>
        <w:t xml:space="preserve">t</w:t>
      </w:r>
      <w:r>
        <w:t xml:space="preserve">值。下同。限于篇幅，</w:t>
      </w:r>
      <w:r>
        <w:rPr>
          <w:iCs/>
          <w:i/>
        </w:rPr>
        <w:t xml:space="preserve">W</w:t>
      </w:r>
      <w:r>
        <w:t xml:space="preserve">×</w:t>
      </w:r>
      <w:r>
        <w:rPr>
          <w:iCs/>
          <w:i/>
        </w:rPr>
        <w:t xml:space="preserve">stru</w:t>
      </w:r>
      <w:r>
        <w:t xml:space="preserve">、</w:t>
      </w:r>
      <w:r>
        <w:rPr>
          <w:iCs/>
          <w:i/>
        </w:rPr>
        <w:t xml:space="preserve">W</w:t>
      </w:r>
      <w:r>
        <w:t xml:space="preserve">×</w:t>
      </w:r>
      <w:r>
        <w:rPr>
          <w:iCs/>
          <w:i/>
        </w:rPr>
        <w:t xml:space="preserve">open</w:t>
      </w:r>
      <w:r>
        <w:t xml:space="preserve">与</w:t>
      </w:r>
      <w:r>
        <w:rPr>
          <w:iCs/>
          <w:i/>
        </w:rPr>
        <w:t xml:space="preserve">W</w:t>
      </w:r>
      <w:r>
        <w:t xml:space="preserve">×</w:t>
      </w:r>
      <w:r>
        <w:rPr>
          <w:iCs/>
          <w:i/>
        </w:rPr>
        <w:t xml:space="preserve">gov</w:t>
      </w:r>
      <w:r>
        <w:t xml:space="preserve">的估计结果未予列示，三者均不显著。第（4）列中报告的为空间误差系数</w:t>
      </w:r>
      <m:oMath>
        <m:r>
          <m:t>λ</m:t>
        </m:r>
      </m:oMath>
      <w:r>
        <w:t xml:space="preserve">。</w:t>
      </w:r>
    </w:p>
    <w:p>
      <w:pPr>
        <w:pStyle w:val="BodyText"/>
      </w:pPr>
      <w:r>
        <w:t xml:space="preserve">由于空间杜宾模型的回归系数不能直接解释为边际效应，表5给出基于式（3）与式（4）的效应分解结果。人口老龄化的直接效应为−0.0153，间接效应为−0.0266，总效应为−0.0418，三者均在1%的水平上显著。这意味着，老龄化率每提高1个百分点，本地全要素生产率下降1.53%，并通过空间渠道使邻近地区下降2.66%，全国范围内的总影响为下降4.18%。间接效应约为直接效应的1.74倍，说明人口老龄化的生产率损失主要以跨区外溢的形式实现，仅关注本地效应的传统估计会严重低估其宏观后果，假设1与假设2均得到验证。控制变量方面，基础设施与金融发展的直接效应、间接效应与总效应均显著为正，反映出基础设施互联互通与金融资源跨区配置具有明显的正向外部性。</w:t>
      </w:r>
    </w:p>
    <w:p>
      <w:pPr>
        <w:pStyle w:val="TableCaption"/>
      </w:pPr>
      <w:r>
        <w:t xml:space="preserve">表5 空间效应分解结果</w:t>
      </w:r>
    </w:p>
    <w:tbl>
      <w:tblPr>
        <w:tblStyle w:val="Table"/>
        <w:jc w:val="center"/>
        <w:tblLook w:firstRow="1" w:lastRow="0" w:firstColumn="0" w:lastColumn="0" w:noHBand="0" w:noVBand="0" w:val="0020"/>
        <w:tblCaption w:val="表5 空间效应分解结果"/>
        <w:tblW w:w="5000" w:type="pct"/>
        <w:tblLayout w:type="autofit"/>
      </w:tblPr>
      <w:tblGrid>
        <w:gridCol w:w="1980"/>
        <w:gridCol w:w="1980"/>
        <w:gridCol w:w="1980"/>
        <w:gridCol w:w="1980"/>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直接效应</w:t>
            </w:r>
          </w:p>
        </w:tc>
        <w:tc>
          <w:tcPr/>
          <w:p>
            <w:pPr>
              <w:pStyle w:val="Compact"/>
              <w:spacing w:before="20" w:after="20" w:line="240" w:lineRule="auto"/>
              <w:jc w:val="center"/>
            </w:pPr>
            <w:r>
              <w:t xml:space="preserve">间接效应</w:t>
            </w:r>
          </w:p>
        </w:tc>
        <w:tc>
          <w:tcPr/>
          <w:p>
            <w:pPr>
              <w:pStyle w:val="Compact"/>
              <w:spacing w:before="20" w:after="20" w:line="240" w:lineRule="auto"/>
              <w:jc w:val="center"/>
            </w:pPr>
            <w:r>
              <w:t xml:space="preserve">总效应</w:t>
            </w:r>
          </w:p>
        </w:tc>
      </w:tr>
      <w:tr>
        <w:trPr>
          <w:cantSplit/>
        </w:trPr>
        <w:tc>
          <w:tcPr/>
          <w:p>
            <w:pPr>
              <w:pStyle w:val="Compact"/>
              <w:spacing w:before="20" w:after="20" w:line="240" w:lineRule="auto"/>
              <w:jc w:val="center"/>
            </w:pPr>
            <w:r>
              <w:rPr>
                <w:iCs/>
                <w:i/>
              </w:rPr>
              <w:t xml:space="preserve">aging</w:t>
            </w:r>
          </w:p>
        </w:tc>
        <w:tc>
          <w:tcPr/>
          <w:p>
            <w:pPr>
              <w:pStyle w:val="Compact"/>
              <w:spacing w:before="20" w:after="20" w:line="240" w:lineRule="auto"/>
              <w:jc w:val="center"/>
            </w:pPr>
            <w:r>
              <w:t xml:space="preserve">−0.0153***</w:t>
            </w:r>
          </w:p>
        </w:tc>
        <w:tc>
          <w:tcPr/>
          <w:p>
            <w:pPr>
              <w:pStyle w:val="Compact"/>
              <w:spacing w:before="20" w:after="20" w:line="240" w:lineRule="auto"/>
              <w:jc w:val="center"/>
            </w:pPr>
            <w:r>
              <w:t xml:space="preserve">−0.0266***</w:t>
            </w:r>
          </w:p>
        </w:tc>
        <w:tc>
          <w:tcPr/>
          <w:p>
            <w:pPr>
              <w:pStyle w:val="Compact"/>
              <w:spacing w:before="20" w:after="20" w:line="240" w:lineRule="auto"/>
              <w:jc w:val="center"/>
            </w:pPr>
            <w:r>
              <w:t xml:space="preserve">−0.0418***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（−6.2614）</w:t>
            </w:r>
          </w:p>
        </w:tc>
        <w:tc>
          <w:tcPr/>
          <w:p>
            <w:pPr>
              <w:pStyle w:val="Compact"/>
              <w:spacing w:before="20" w:after="20" w:line="240" w:lineRule="auto"/>
              <w:jc w:val="center"/>
            </w:pPr>
            <w:r>
              <w:t xml:space="preserve">（−4.6525）</w:t>
            </w:r>
          </w:p>
        </w:tc>
        <w:tc>
          <w:tcPr/>
          <w:p>
            <w:pPr>
              <w:pStyle w:val="Compact"/>
              <w:spacing w:before="20" w:after="20" w:line="240" w:lineRule="auto"/>
              <w:jc w:val="center"/>
            </w:pPr>
            <w:r>
              <w:t xml:space="preserve">（−6.7288）</w:t>
            </w:r>
          </w:p>
        </w:tc>
      </w:tr>
      <w:tr>
        <w:trPr>
          <w:cantSplit/>
        </w:trPr>
        <w:tc>
          <w:tcPr/>
          <w:p>
            <w:pPr>
              <w:pStyle w:val="Compact"/>
              <w:spacing w:before="20" w:after="20" w:line="240" w:lineRule="auto"/>
              <w:jc w:val="center"/>
            </w:pPr>
            <w:r>
              <w:rPr>
                <w:iCs/>
                <w:i/>
              </w:rPr>
              <w:t xml:space="preserve">urban</w:t>
            </w:r>
          </w:p>
        </w:tc>
        <w:tc>
          <w:tcPr/>
          <w:p>
            <w:pPr>
              <w:pStyle w:val="Compact"/>
              <w:spacing w:before="20" w:after="20" w:line="240" w:lineRule="auto"/>
              <w:jc w:val="center"/>
            </w:pPr>
            <w:r>
              <w:t xml:space="preserve">0.0014</w:t>
            </w:r>
          </w:p>
        </w:tc>
        <w:tc>
          <w:tcPr/>
          <w:p>
            <w:pPr>
              <w:pStyle w:val="Compact"/>
              <w:spacing w:before="20" w:after="20" w:line="240" w:lineRule="auto"/>
              <w:jc w:val="center"/>
            </w:pPr>
            <w:r>
              <w:t xml:space="preserve">0.0096*</w:t>
            </w:r>
          </w:p>
        </w:tc>
        <w:tc>
          <w:tcPr/>
          <w:p>
            <w:pPr>
              <w:pStyle w:val="Compact"/>
              <w:spacing w:before="20" w:after="20" w:line="240" w:lineRule="auto"/>
              <w:jc w:val="center"/>
            </w:pPr>
            <w:r>
              <w:t xml:space="preserve">0.0110*</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（0.6784）</w:t>
            </w:r>
          </w:p>
        </w:tc>
        <w:tc>
          <w:tcPr/>
          <w:p>
            <w:pPr>
              <w:pStyle w:val="Compact"/>
              <w:spacing w:before="20" w:after="20" w:line="240" w:lineRule="auto"/>
              <w:jc w:val="center"/>
            </w:pPr>
            <w:r>
              <w:t xml:space="preserve">（1.7718）</w:t>
            </w:r>
          </w:p>
        </w:tc>
        <w:tc>
          <w:tcPr/>
          <w:p>
            <w:pPr>
              <w:pStyle w:val="Compact"/>
              <w:spacing w:before="20" w:after="20" w:line="240" w:lineRule="auto"/>
              <w:jc w:val="center"/>
            </w:pPr>
            <w:r>
              <w:t xml:space="preserve">（1.6474）</w:t>
            </w:r>
          </w:p>
        </w:tc>
      </w:tr>
      <w:tr>
        <w:trPr>
          <w:cantSplit/>
        </w:trPr>
        <w:tc>
          <w:tcPr/>
          <w:p>
            <w:pPr>
              <w:pStyle w:val="Compact"/>
              <w:spacing w:before="20" w:after="20" w:line="240" w:lineRule="auto"/>
              <w:jc w:val="center"/>
            </w:pPr>
            <w:r>
              <w:rPr>
                <w:iCs/>
                <w:i/>
              </w:rPr>
              <w:t xml:space="preserve">stru</w:t>
            </w:r>
          </w:p>
        </w:tc>
        <w:tc>
          <w:tcPr/>
          <w:p>
            <w:pPr>
              <w:pStyle w:val="Compact"/>
              <w:spacing w:before="20" w:after="20" w:line="240" w:lineRule="auto"/>
              <w:jc w:val="center"/>
            </w:pPr>
            <w:r>
              <w:t xml:space="preserve">0.0030*</w:t>
            </w:r>
          </w:p>
        </w:tc>
        <w:tc>
          <w:tcPr/>
          <w:p>
            <w:pPr>
              <w:pStyle w:val="Compact"/>
              <w:spacing w:before="20" w:after="20" w:line="240" w:lineRule="auto"/>
              <w:jc w:val="center"/>
            </w:pPr>
            <w:r>
              <w:t xml:space="preserve">−0.0023</w:t>
            </w:r>
          </w:p>
        </w:tc>
        <w:tc>
          <w:tcPr/>
          <w:p>
            <w:pPr>
              <w:pStyle w:val="Compact"/>
              <w:spacing w:before="20" w:after="20" w:line="240" w:lineRule="auto"/>
              <w:jc w:val="center"/>
            </w:pPr>
            <w:r>
              <w:t xml:space="preserve">0.0008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（1.8459）</w:t>
            </w:r>
          </w:p>
        </w:tc>
        <w:tc>
          <w:tcPr/>
          <w:p>
            <w:pPr>
              <w:pStyle w:val="Compact"/>
              <w:spacing w:before="20" w:after="20" w:line="240" w:lineRule="auto"/>
              <w:jc w:val="center"/>
            </w:pPr>
            <w:r>
              <w:t xml:space="preserve">（−0.5230）</w:t>
            </w:r>
          </w:p>
        </w:tc>
        <w:tc>
          <w:tcPr/>
          <w:p>
            <w:pPr>
              <w:pStyle w:val="Compact"/>
              <w:spacing w:before="20" w:after="20" w:line="240" w:lineRule="auto"/>
              <w:jc w:val="center"/>
            </w:pPr>
            <w:r>
              <w:t xml:space="preserve">（0.1621）</w:t>
            </w:r>
          </w:p>
        </w:tc>
      </w:tr>
      <w:tr>
        <w:trPr>
          <w:cantSplit/>
        </w:trPr>
        <w:tc>
          <w:tcPr/>
          <w:p>
            <w:pPr>
              <w:pStyle w:val="Compact"/>
              <w:spacing w:before="20" w:after="20" w:line="240" w:lineRule="auto"/>
              <w:jc w:val="center"/>
            </w:pPr>
            <w:r>
              <w:rPr>
                <w:iCs/>
                <w:i/>
              </w:rPr>
              <w:t xml:space="preserve">open</w:t>
            </w:r>
          </w:p>
        </w:tc>
        <w:tc>
          <w:tcPr/>
          <w:p>
            <w:pPr>
              <w:pStyle w:val="Compact"/>
              <w:spacing w:before="20" w:after="20" w:line="240" w:lineRule="auto"/>
              <w:jc w:val="center"/>
            </w:pPr>
            <w:r>
              <w:t xml:space="preserve">−0.0913</w:t>
            </w:r>
          </w:p>
        </w:tc>
        <w:tc>
          <w:tcPr/>
          <w:p>
            <w:pPr>
              <w:pStyle w:val="Compact"/>
              <w:spacing w:before="20" w:after="20" w:line="240" w:lineRule="auto"/>
              <w:jc w:val="center"/>
            </w:pPr>
            <w:r>
              <w:t xml:space="preserve">−0.1377</w:t>
            </w:r>
          </w:p>
        </w:tc>
        <w:tc>
          <w:tcPr/>
          <w:p>
            <w:pPr>
              <w:pStyle w:val="Compact"/>
              <w:spacing w:before="20" w:after="20" w:line="240" w:lineRule="auto"/>
              <w:jc w:val="center"/>
            </w:pPr>
            <w:r>
              <w:t xml:space="preserve">−0.2290</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（−1.2829）</w:t>
            </w:r>
          </w:p>
        </w:tc>
        <w:tc>
          <w:tcPr/>
          <w:p>
            <w:pPr>
              <w:pStyle w:val="Compact"/>
              <w:spacing w:before="20" w:after="20" w:line="240" w:lineRule="auto"/>
              <w:jc w:val="center"/>
            </w:pPr>
            <w:r>
              <w:t xml:space="preserve">（−0.7617）</w:t>
            </w:r>
          </w:p>
        </w:tc>
        <w:tc>
          <w:tcPr/>
          <w:p>
            <w:pPr>
              <w:pStyle w:val="Compact"/>
              <w:spacing w:before="20" w:after="20" w:line="240" w:lineRule="auto"/>
              <w:jc w:val="center"/>
            </w:pPr>
            <w:r>
              <w:t xml:space="preserve">（−1.0701）</w:t>
            </w:r>
          </w:p>
        </w:tc>
      </w:tr>
      <w:tr>
        <w:trPr>
          <w:cantSplit/>
        </w:trPr>
        <w:tc>
          <w:tcPr/>
          <w:p>
            <w:pPr>
              <w:pStyle w:val="Compact"/>
              <w:spacing w:before="20" w:after="20" w:line="240" w:lineRule="auto"/>
              <w:jc w:val="center"/>
            </w:pPr>
            <w:r>
              <w:rPr>
                <w:iCs/>
                <w:i/>
              </w:rPr>
              <w:t xml:space="preserve">gov</w:t>
            </w:r>
          </w:p>
        </w:tc>
        <w:tc>
          <w:tcPr/>
          <w:p>
            <w:pPr>
              <w:pStyle w:val="Compact"/>
              <w:spacing w:before="20" w:after="20" w:line="240" w:lineRule="auto"/>
              <w:jc w:val="center"/>
            </w:pPr>
            <w:r>
              <w:t xml:space="preserve">−0.2365*</w:t>
            </w:r>
          </w:p>
        </w:tc>
        <w:tc>
          <w:tcPr/>
          <w:p>
            <w:pPr>
              <w:pStyle w:val="Compact"/>
              <w:spacing w:before="20" w:after="20" w:line="240" w:lineRule="auto"/>
              <w:jc w:val="center"/>
            </w:pPr>
            <w:r>
              <w:t xml:space="preserve">−0.4560</w:t>
            </w:r>
          </w:p>
        </w:tc>
        <w:tc>
          <w:tcPr/>
          <w:p>
            <w:pPr>
              <w:pStyle w:val="Compact"/>
              <w:spacing w:before="20" w:after="20" w:line="240" w:lineRule="auto"/>
              <w:jc w:val="center"/>
            </w:pPr>
            <w:r>
              <w:t xml:space="preserve">−0.6925*</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（−1.7936）</w:t>
            </w:r>
          </w:p>
        </w:tc>
        <w:tc>
          <w:tcPr/>
          <w:p>
            <w:pPr>
              <w:pStyle w:val="Compact"/>
              <w:spacing w:before="20" w:after="20" w:line="240" w:lineRule="auto"/>
              <w:jc w:val="center"/>
            </w:pPr>
            <w:r>
              <w:t xml:space="preserve">（−1.2980）</w:t>
            </w:r>
          </w:p>
        </w:tc>
        <w:tc>
          <w:tcPr/>
          <w:p>
            <w:pPr>
              <w:pStyle w:val="Compact"/>
              <w:spacing w:before="20" w:after="20" w:line="240" w:lineRule="auto"/>
              <w:jc w:val="center"/>
            </w:pPr>
            <w:r>
              <w:t xml:space="preserve">（−1.6967）</w:t>
            </w:r>
          </w:p>
        </w:tc>
      </w:tr>
      <w:tr>
        <w:trPr>
          <w:cantSplit/>
        </w:trPr>
        <w:tc>
          <w:tcPr/>
          <w:p>
            <w:pPr>
              <w:pStyle w:val="Compact"/>
              <w:spacing w:before="20" w:after="20" w:line="240" w:lineRule="auto"/>
              <w:jc w:val="center"/>
            </w:pPr>
            <w:r>
              <w:rPr>
                <w:iCs/>
                <w:i/>
              </w:rPr>
              <w:t xml:space="preserve">infra</w:t>
            </w:r>
          </w:p>
        </w:tc>
        <w:tc>
          <w:tcPr/>
          <w:p>
            <w:pPr>
              <w:pStyle w:val="Compact"/>
              <w:spacing w:before="20" w:after="20" w:line="240" w:lineRule="auto"/>
              <w:jc w:val="center"/>
            </w:pPr>
            <w:r>
              <w:t xml:space="preserve">0.1090***</w:t>
            </w:r>
          </w:p>
        </w:tc>
        <w:tc>
          <w:tcPr/>
          <w:p>
            <w:pPr>
              <w:pStyle w:val="Compact"/>
              <w:spacing w:before="20" w:after="20" w:line="240" w:lineRule="auto"/>
              <w:jc w:val="center"/>
            </w:pPr>
            <w:r>
              <w:t xml:space="preserve">0.2148***</w:t>
            </w:r>
          </w:p>
        </w:tc>
        <w:tc>
          <w:tcPr/>
          <w:p>
            <w:pPr>
              <w:pStyle w:val="Compact"/>
              <w:spacing w:before="20" w:after="20" w:line="240" w:lineRule="auto"/>
              <w:jc w:val="center"/>
            </w:pPr>
            <w:r>
              <w:t xml:space="preserve">0.3238***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（3.6341）</w:t>
            </w:r>
          </w:p>
        </w:tc>
        <w:tc>
          <w:tcPr/>
          <w:p>
            <w:pPr>
              <w:pStyle w:val="Compact"/>
              <w:spacing w:before="20" w:after="20" w:line="240" w:lineRule="auto"/>
              <w:jc w:val="center"/>
            </w:pPr>
            <w:r>
              <w:t xml:space="preserve">（2.8679）</w:t>
            </w:r>
          </w:p>
        </w:tc>
        <w:tc>
          <w:tcPr/>
          <w:p>
            <w:pPr>
              <w:pStyle w:val="Compact"/>
              <w:spacing w:before="20" w:after="20" w:line="240" w:lineRule="auto"/>
              <w:jc w:val="center"/>
            </w:pPr>
            <w:r>
              <w:t xml:space="preserve">（3.6574）</w:t>
            </w:r>
          </w:p>
        </w:tc>
      </w:tr>
      <w:tr>
        <w:trPr>
          <w:cantSplit/>
        </w:trPr>
        <w:tc>
          <w:tcPr/>
          <w:p>
            <w:pPr>
              <w:pStyle w:val="Compact"/>
              <w:spacing w:before="20" w:after="20" w:line="240" w:lineRule="auto"/>
              <w:jc w:val="center"/>
            </w:pPr>
            <w:r>
              <w:rPr>
                <w:iCs/>
                <w:i/>
              </w:rPr>
              <w:t xml:space="preserve">fin</w:t>
            </w:r>
          </w:p>
        </w:tc>
        <w:tc>
          <w:tcPr/>
          <w:p>
            <w:pPr>
              <w:pStyle w:val="Compact"/>
              <w:spacing w:before="20" w:after="20" w:line="240" w:lineRule="auto"/>
              <w:jc w:val="center"/>
            </w:pPr>
            <w:r>
              <w:t xml:space="preserve">0.0903***</w:t>
            </w:r>
          </w:p>
        </w:tc>
        <w:tc>
          <w:tcPr/>
          <w:p>
            <w:pPr>
              <w:pStyle w:val="Compact"/>
              <w:spacing w:before="20" w:after="20" w:line="240" w:lineRule="auto"/>
              <w:jc w:val="center"/>
            </w:pPr>
            <w:r>
              <w:t xml:space="preserve">0.2107***</w:t>
            </w:r>
          </w:p>
        </w:tc>
        <w:tc>
          <w:tcPr/>
          <w:p>
            <w:pPr>
              <w:pStyle w:val="Compact"/>
              <w:spacing w:before="20" w:after="20" w:line="240" w:lineRule="auto"/>
              <w:jc w:val="center"/>
            </w:pPr>
            <w:r>
              <w:t xml:space="preserve">0.3010***</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（3.5949）</w:t>
            </w:r>
          </w:p>
        </w:tc>
        <w:tc>
          <w:tcPr/>
          <w:p>
            <w:pPr>
              <w:pStyle w:val="Compact"/>
              <w:spacing w:before="20" w:after="20" w:line="240" w:lineRule="auto"/>
              <w:jc w:val="center"/>
            </w:pPr>
            <w:r>
              <w:t xml:space="preserve">（3.0415）</w:t>
            </w:r>
          </w:p>
        </w:tc>
        <w:tc>
          <w:tcPr/>
          <w:p>
            <w:pPr>
              <w:pStyle w:val="Compact"/>
              <w:spacing w:before="20" w:after="20" w:line="240" w:lineRule="auto"/>
              <w:jc w:val="center"/>
            </w:pPr>
            <w:r>
              <w:t xml:space="preserve">（3.5135）</w:t>
            </w:r>
          </w:p>
        </w:tc>
      </w:tr>
    </w:tbl>
    <w:p>
      <w:pPr>
        <w:pStyle w:val="TableNote"/>
      </w:pPr>
      <w:r>
        <w:t xml:space="preserve">注：各效应的标准误由参数估计量的渐近分布中抽取2000次模拟样本得到。</w:t>
      </w:r>
    </w:p>
    <w:bookmarkEnd w:id="34"/>
    <w:bookmarkStart w:id="35" w:name="稳健性检验"/>
    <w:p>
      <w:pPr>
        <w:pStyle w:val="Heading2"/>
      </w:pPr>
      <w:r>
        <w:t xml:space="preserve">3.4 稳健性检验</w:t>
      </w:r>
    </w:p>
    <w:p>
      <w:pPr>
        <w:pStyle w:val="FirstParagraph"/>
      </w:pPr>
      <w:r>
        <w:t xml:space="preserve">表6报告了六项稳健性检验。第（1）列与第（2）列分别采用地理距离权重矩阵与经济地理嵌套矩阵重新估计，老龄化的系数为−0.0173与−0.0174，其空间滞后项系数为−0.0225与−0.0247，空间自回归系数为0.3099与0.3196，均在1%的水平上显著；对应的总效应分别为−0.0578与−0.0618，量级略大于基准结果，说明基准估计相对保守。第（3）列将被解释变量替换为劳动生产率的对数，各核心系数的符号与显著性保持不变。第（4）列对所有连续变量作上下1%的缩尾处理，第（5）列将样本区间限定为2011—2019年以排除新冠疫情的影响，结论均未发生实质性改变。第（6）列进一步估计动态空间杜宾模型，被解释变量一阶滞后项的系数为0.3178且在1%的水平上显著，表明全要素生产率具有明显的路径依赖特征，在控制这一动态调整过程后，老龄化的系数仍为−0.0118并在1%的水平上显著。</w:t>
      </w:r>
    </w:p>
    <w:p>
      <w:pPr>
        <w:pStyle w:val="TableCaption"/>
      </w:pPr>
      <w:r>
        <w:t xml:space="preserve">表6 稳健性检验结果</w:t>
      </w:r>
    </w:p>
    <w:tbl>
      <w:tblPr>
        <w:tblStyle w:val="Table"/>
        <w:jc w:val="center"/>
        <w:tblLook w:firstRow="1" w:lastRow="0" w:firstColumn="0" w:lastColumn="0" w:noHBand="0" w:noVBand="0" w:val="0020"/>
        <w:tblCaption w:val="表6 稳健性检验结果"/>
        <w:tblW w:w="5000" w:type="pct"/>
        <w:tblLayout w:type="autofit"/>
      </w:tblPr>
      <w:tblGrid>
        <w:gridCol w:w="1131"/>
        <w:gridCol w:w="1131"/>
        <w:gridCol w:w="1131"/>
        <w:gridCol w:w="1131"/>
        <w:gridCol w:w="1131"/>
        <w:gridCol w:w="1131"/>
        <w:gridCol w:w="1131"/>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（1）地理距离矩阵</w:t>
            </w:r>
          </w:p>
        </w:tc>
        <w:tc>
          <w:tcPr/>
          <w:p>
            <w:pPr>
              <w:pStyle w:val="Compact"/>
              <w:spacing w:before="20" w:after="20" w:line="240" w:lineRule="auto"/>
              <w:jc w:val="center"/>
            </w:pPr>
            <w:r>
              <w:t xml:space="preserve">（2）经济地理嵌套矩阵</w:t>
            </w:r>
          </w:p>
        </w:tc>
        <w:tc>
          <w:tcPr/>
          <w:p>
            <w:pPr>
              <w:pStyle w:val="Compact"/>
              <w:spacing w:before="20" w:after="20" w:line="240" w:lineRule="auto"/>
              <w:jc w:val="center"/>
            </w:pPr>
            <w:r>
              <w:t xml:space="preserve">（3）替换被解释变量</w:t>
            </w:r>
          </w:p>
        </w:tc>
        <w:tc>
          <w:tcPr/>
          <w:p>
            <w:pPr>
              <w:pStyle w:val="Compact"/>
              <w:spacing w:before="20" w:after="20" w:line="240" w:lineRule="auto"/>
              <w:jc w:val="center"/>
            </w:pPr>
            <w:r>
              <w:t xml:space="preserve">（4）缩尾处理</w:t>
            </w:r>
          </w:p>
        </w:tc>
        <w:tc>
          <w:tcPr/>
          <w:p>
            <w:pPr>
              <w:pStyle w:val="Compact"/>
              <w:spacing w:before="20" w:after="20" w:line="240" w:lineRule="auto"/>
              <w:jc w:val="center"/>
            </w:pPr>
            <w:r>
              <w:t xml:space="preserve">（5）剔除2020年后样本</w:t>
            </w:r>
          </w:p>
        </w:tc>
        <w:tc>
          <w:tcPr/>
          <w:p>
            <w:pPr>
              <w:pStyle w:val="Compact"/>
              <w:spacing w:before="20" w:after="20" w:line="240" w:lineRule="auto"/>
              <w:jc w:val="center"/>
            </w:pPr>
            <w:r>
              <w:t xml:space="preserve">（6）动态空间杜宾模型</w:t>
            </w:r>
          </w:p>
        </w:tc>
      </w:tr>
      <w:tr>
        <w:trPr>
          <w:cantSplit/>
        </w:trPr>
        <w:tc>
          <w:tcPr/>
          <w:p>
            <w:pPr>
              <w:pStyle w:val="Compact"/>
              <w:spacing w:before="20" w:after="20" w:line="240" w:lineRule="auto"/>
              <w:jc w:val="center"/>
            </w:pPr>
            <w:r>
              <w:rPr>
                <w:iCs/>
                <w:i/>
              </w:rPr>
              <w:t xml:space="preserve">aging</w:t>
            </w:r>
          </w:p>
        </w:tc>
        <w:tc>
          <w:tcPr/>
          <w:p>
            <w:pPr>
              <w:pStyle w:val="Compact"/>
              <w:spacing w:before="20" w:after="20" w:line="240" w:lineRule="auto"/>
              <w:jc w:val="center"/>
            </w:pPr>
            <w:r>
              <w:t xml:space="preserve">−0.0173***</w:t>
            </w:r>
          </w:p>
        </w:tc>
        <w:tc>
          <w:tcPr/>
          <w:p>
            <w:pPr>
              <w:pStyle w:val="Compact"/>
              <w:spacing w:before="20" w:after="20" w:line="240" w:lineRule="auto"/>
              <w:jc w:val="center"/>
            </w:pPr>
            <w:r>
              <w:t xml:space="preserve">−0.0174***</w:t>
            </w:r>
          </w:p>
        </w:tc>
        <w:tc>
          <w:tcPr/>
          <w:p>
            <w:pPr>
              <w:pStyle w:val="Compact"/>
              <w:spacing w:before="20" w:after="20" w:line="240" w:lineRule="auto"/>
              <w:jc w:val="center"/>
            </w:pPr>
            <w:r>
              <w:t xml:space="preserve">−0.0115***</w:t>
            </w:r>
          </w:p>
        </w:tc>
        <w:tc>
          <w:tcPr/>
          <w:p>
            <w:pPr>
              <w:pStyle w:val="Compact"/>
              <w:spacing w:before="20" w:after="20" w:line="240" w:lineRule="auto"/>
              <w:jc w:val="center"/>
            </w:pPr>
            <w:r>
              <w:t xml:space="preserve">−0.0156***</w:t>
            </w:r>
          </w:p>
        </w:tc>
        <w:tc>
          <w:tcPr/>
          <w:p>
            <w:pPr>
              <w:pStyle w:val="Compact"/>
              <w:spacing w:before="20" w:after="20" w:line="240" w:lineRule="auto"/>
              <w:jc w:val="center"/>
            </w:pPr>
            <w:r>
              <w:t xml:space="preserve">−0.0173***</w:t>
            </w:r>
          </w:p>
        </w:tc>
        <w:tc>
          <w:tcPr/>
          <w:p>
            <w:pPr>
              <w:pStyle w:val="Compact"/>
              <w:spacing w:before="20" w:after="20" w:line="240" w:lineRule="auto"/>
              <w:jc w:val="center"/>
            </w:pPr>
            <w:r>
              <w:t xml:space="preserve">−0.0118***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（−6.3317）</w:t>
            </w:r>
          </w:p>
        </w:tc>
        <w:tc>
          <w:tcPr/>
          <w:p>
            <w:pPr>
              <w:pStyle w:val="Compact"/>
              <w:spacing w:before="20" w:after="20" w:line="240" w:lineRule="auto"/>
              <w:jc w:val="center"/>
            </w:pPr>
            <w:r>
              <w:t xml:space="preserve">（−6.3181）</w:t>
            </w:r>
          </w:p>
        </w:tc>
        <w:tc>
          <w:tcPr/>
          <w:p>
            <w:pPr>
              <w:pStyle w:val="Compact"/>
              <w:spacing w:before="20" w:after="20" w:line="240" w:lineRule="auto"/>
              <w:jc w:val="center"/>
            </w:pPr>
            <w:r>
              <w:t xml:space="preserve">（−4.2950）</w:t>
            </w:r>
          </w:p>
        </w:tc>
        <w:tc>
          <w:tcPr/>
          <w:p>
            <w:pPr>
              <w:pStyle w:val="Compact"/>
              <w:spacing w:before="20" w:after="20" w:line="240" w:lineRule="auto"/>
              <w:jc w:val="center"/>
            </w:pPr>
            <w:r>
              <w:t xml:space="preserve">（−6.0562）</w:t>
            </w:r>
          </w:p>
        </w:tc>
        <w:tc>
          <w:tcPr/>
          <w:p>
            <w:pPr>
              <w:pStyle w:val="Compact"/>
              <w:spacing w:before="20" w:after="20" w:line="240" w:lineRule="auto"/>
              <w:jc w:val="center"/>
            </w:pPr>
            <w:r>
              <w:t xml:space="preserve">（−4.4400）</w:t>
            </w:r>
          </w:p>
        </w:tc>
        <w:tc>
          <w:tcPr/>
          <w:p>
            <w:pPr>
              <w:pStyle w:val="Compact"/>
              <w:spacing w:before="20" w:after="20" w:line="240" w:lineRule="auto"/>
              <w:jc w:val="center"/>
            </w:pPr>
            <w:r>
              <w:t xml:space="preserve">（−4.2119）</w:t>
            </w:r>
          </w:p>
        </w:tc>
      </w:tr>
      <w:tr>
        <w:trPr>
          <w:cantSplit/>
        </w:trPr>
        <w:tc>
          <w:tcPr/>
          <w:p>
            <w:pPr>
              <w:pStyle w:val="Compact"/>
              <w:spacing w:before="20" w:after="20" w:line="240" w:lineRule="auto"/>
              <w:jc w:val="center"/>
            </w:pPr>
            <w:r>
              <w:rPr>
                <w:iCs/>
                <w:i/>
              </w:rPr>
              <w:t xml:space="preserve">W</w:t>
            </w:r>
            <w:r>
              <w:t xml:space="preserve">×</w:t>
            </w:r>
            <w:r>
              <w:rPr>
                <w:iCs/>
                <w:i/>
              </w:rPr>
              <w:t xml:space="preserve">aging</w:t>
            </w:r>
          </w:p>
        </w:tc>
        <w:tc>
          <w:tcPr/>
          <w:p>
            <w:pPr>
              <w:pStyle w:val="Compact"/>
              <w:spacing w:before="20" w:after="20" w:line="240" w:lineRule="auto"/>
              <w:jc w:val="center"/>
            </w:pPr>
            <w:r>
              <w:t xml:space="preserve">−0.0225***</w:t>
            </w:r>
          </w:p>
        </w:tc>
        <w:tc>
          <w:tcPr/>
          <w:p>
            <w:pPr>
              <w:pStyle w:val="Compact"/>
              <w:spacing w:before="20" w:after="20" w:line="240" w:lineRule="auto"/>
              <w:jc w:val="center"/>
            </w:pPr>
            <w:r>
              <w:t xml:space="preserve">−0.0247***</w:t>
            </w:r>
          </w:p>
        </w:tc>
        <w:tc>
          <w:tcPr/>
          <w:p>
            <w:pPr>
              <w:pStyle w:val="Compact"/>
              <w:spacing w:before="20" w:after="20" w:line="240" w:lineRule="auto"/>
              <w:jc w:val="center"/>
            </w:pPr>
            <w:r>
              <w:t xml:space="preserve">−0.0206***</w:t>
            </w:r>
          </w:p>
        </w:tc>
        <w:tc>
          <w:tcPr/>
          <w:p>
            <w:pPr>
              <w:pStyle w:val="Compact"/>
              <w:spacing w:before="20" w:after="20" w:line="240" w:lineRule="auto"/>
              <w:jc w:val="center"/>
            </w:pPr>
            <w:r>
              <w:t xml:space="preserve">−0.0187***</w:t>
            </w:r>
          </w:p>
        </w:tc>
        <w:tc>
          <w:tcPr/>
          <w:p>
            <w:pPr>
              <w:pStyle w:val="Compact"/>
              <w:spacing w:before="20" w:after="20" w:line="240" w:lineRule="auto"/>
              <w:jc w:val="center"/>
            </w:pPr>
            <w:r>
              <w:t xml:space="preserve">−0.0191***</w:t>
            </w:r>
          </w:p>
        </w:tc>
        <w:tc>
          <w:tcPr/>
          <w:p>
            <w:pPr>
              <w:pStyle w:val="Compact"/>
              <w:spacing w:before="20" w:after="20" w:line="240" w:lineRule="auto"/>
              <w:jc w:val="center"/>
            </w:pPr>
            <w:r>
              <w:t xml:space="preserve">−0.0122**</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（−3.5940）</w:t>
            </w:r>
          </w:p>
        </w:tc>
        <w:tc>
          <w:tcPr/>
          <w:p>
            <w:pPr>
              <w:pStyle w:val="Compact"/>
              <w:spacing w:before="20" w:after="20" w:line="240" w:lineRule="auto"/>
              <w:jc w:val="center"/>
            </w:pPr>
            <w:r>
              <w:t xml:space="preserve">（−3.8105）</w:t>
            </w:r>
          </w:p>
        </w:tc>
        <w:tc>
          <w:tcPr/>
          <w:p>
            <w:pPr>
              <w:pStyle w:val="Compact"/>
              <w:spacing w:before="20" w:after="20" w:line="240" w:lineRule="auto"/>
              <w:jc w:val="center"/>
            </w:pPr>
            <w:r>
              <w:t xml:space="preserve">（−4.2974）</w:t>
            </w:r>
          </w:p>
        </w:tc>
        <w:tc>
          <w:tcPr/>
          <w:p>
            <w:pPr>
              <w:pStyle w:val="Compact"/>
              <w:spacing w:before="20" w:after="20" w:line="240" w:lineRule="auto"/>
              <w:jc w:val="center"/>
            </w:pPr>
            <w:r>
              <w:t xml:space="preserve">（−3.9058）</w:t>
            </w:r>
          </w:p>
        </w:tc>
        <w:tc>
          <w:tcPr/>
          <w:p>
            <w:pPr>
              <w:pStyle w:val="Compact"/>
              <w:spacing w:before="20" w:after="20" w:line="240" w:lineRule="auto"/>
              <w:jc w:val="center"/>
            </w:pPr>
            <w:r>
              <w:t xml:space="preserve">（−2.7470）</w:t>
            </w:r>
          </w:p>
        </w:tc>
        <w:tc>
          <w:tcPr/>
          <w:p>
            <w:pPr>
              <w:pStyle w:val="Compact"/>
              <w:spacing w:before="20" w:after="20" w:line="240" w:lineRule="auto"/>
              <w:jc w:val="center"/>
            </w:pPr>
            <w:r>
              <w:t xml:space="preserve">（−2.3943）</w:t>
            </w:r>
          </w:p>
        </w:tc>
      </w:tr>
      <w:tr>
        <w:trPr>
          <w:cantSplit/>
        </w:trPr>
        <w:tc>
          <w:tcPr/>
          <w:p>
            <w:pPr>
              <w:pStyle w:val="Compact"/>
              <w:spacing w:before="20" w:after="20" w:line="240" w:lineRule="auto"/>
              <w:jc w:val="center"/>
            </w:pPr>
            <m:oMath>
              <m:r>
                <m:t>ρ</m:t>
              </m:r>
            </m:oMath>
          </w:p>
        </w:tc>
        <w:tc>
          <w:tcPr/>
          <w:p>
            <w:pPr>
              <w:pStyle w:val="Compact"/>
              <w:spacing w:before="20" w:after="20" w:line="240" w:lineRule="auto"/>
              <w:jc w:val="center"/>
            </w:pPr>
            <w:r>
              <w:t xml:space="preserve">0.3099***</w:t>
            </w:r>
          </w:p>
        </w:tc>
        <w:tc>
          <w:tcPr/>
          <w:p>
            <w:pPr>
              <w:pStyle w:val="Compact"/>
              <w:spacing w:before="20" w:after="20" w:line="240" w:lineRule="auto"/>
              <w:jc w:val="center"/>
            </w:pPr>
            <w:r>
              <w:t xml:space="preserve">0.3196***</w:t>
            </w:r>
          </w:p>
        </w:tc>
        <w:tc>
          <w:tcPr/>
          <w:p>
            <w:pPr>
              <w:pStyle w:val="Compact"/>
              <w:spacing w:before="20" w:after="20" w:line="240" w:lineRule="auto"/>
              <w:jc w:val="center"/>
            </w:pPr>
            <w:r>
              <w:t xml:space="preserve">0.1464*</w:t>
            </w:r>
          </w:p>
        </w:tc>
        <w:tc>
          <w:tcPr/>
          <w:p>
            <w:pPr>
              <w:pStyle w:val="Compact"/>
              <w:spacing w:before="20" w:after="20" w:line="240" w:lineRule="auto"/>
              <w:jc w:val="center"/>
            </w:pPr>
            <w:r>
              <w:t xml:space="preserve">0.2274***</w:t>
            </w:r>
          </w:p>
        </w:tc>
        <w:tc>
          <w:tcPr/>
          <w:p>
            <w:pPr>
              <w:pStyle w:val="Compact"/>
              <w:spacing w:before="20" w:after="20" w:line="240" w:lineRule="auto"/>
              <w:jc w:val="center"/>
            </w:pPr>
            <w:r>
              <w:t xml:space="preserve">0.3238***</w:t>
            </w:r>
          </w:p>
        </w:tc>
        <w:tc>
          <w:tcPr/>
          <w:p>
            <w:pPr>
              <w:pStyle w:val="Compact"/>
              <w:spacing w:before="20" w:after="20" w:line="240" w:lineRule="auto"/>
              <w:jc w:val="center"/>
            </w:pPr>
            <w:r>
              <w:t xml:space="preserve">0.2968***</w:t>
            </w: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（2.9905）</w:t>
            </w:r>
          </w:p>
        </w:tc>
        <w:tc>
          <w:tcPr/>
          <w:p>
            <w:pPr>
              <w:pStyle w:val="Compact"/>
              <w:spacing w:before="20" w:after="20" w:line="240" w:lineRule="auto"/>
              <w:jc w:val="center"/>
            </w:pPr>
            <w:r>
              <w:t xml:space="preserve">（3.0217）</w:t>
            </w:r>
          </w:p>
        </w:tc>
        <w:tc>
          <w:tcPr/>
          <w:p>
            <w:pPr>
              <w:pStyle w:val="Compact"/>
              <w:spacing w:before="20" w:after="20" w:line="240" w:lineRule="auto"/>
              <w:jc w:val="center"/>
            </w:pPr>
            <w:r>
              <w:t xml:space="preserve">（1.9324）</w:t>
            </w:r>
          </w:p>
        </w:tc>
        <w:tc>
          <w:tcPr/>
          <w:p>
            <w:pPr>
              <w:pStyle w:val="Compact"/>
              <w:spacing w:before="20" w:after="20" w:line="240" w:lineRule="auto"/>
              <w:jc w:val="center"/>
            </w:pPr>
            <w:r>
              <w:t xml:space="preserve">（3.0727）</w:t>
            </w:r>
          </w:p>
        </w:tc>
        <w:tc>
          <w:tcPr/>
          <w:p>
            <w:pPr>
              <w:pStyle w:val="Compact"/>
              <w:spacing w:before="20" w:after="20" w:line="240" w:lineRule="auto"/>
              <w:jc w:val="center"/>
            </w:pPr>
            <w:r>
              <w:t xml:space="preserve">（3.6958）</w:t>
            </w:r>
          </w:p>
        </w:tc>
        <w:tc>
          <w:tcPr/>
          <w:p>
            <w:pPr>
              <w:pStyle w:val="Compact"/>
              <w:spacing w:before="20" w:after="20" w:line="240" w:lineRule="auto"/>
              <w:jc w:val="center"/>
            </w:pPr>
            <w:r>
              <w:t xml:space="preserve">（4.0450）</w:t>
            </w:r>
          </w:p>
        </w:tc>
      </w:tr>
      <w:tr>
        <w:trPr>
          <w:cantSplit/>
        </w:trPr>
        <w:tc>
          <w:tcPr/>
          <w:p>
            <w:pPr>
              <w:pStyle w:val="Compact"/>
              <w:spacing w:before="20" w:after="20" w:line="240" w:lineRule="auto"/>
              <w:jc w:val="center"/>
            </w:pPr>
            <w:r>
              <w:rPr>
                <w:iCs/>
                <w:i/>
              </w:rPr>
              <w:t xml:space="preserve">L</w:t>
            </w:r>
            <w:r>
              <w:t xml:space="preserve">.</w:t>
            </w:r>
            <w:r>
              <w:rPr>
                <w:iCs/>
                <w:i/>
              </w:rPr>
              <w:t xml:space="preserve">lntfp</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0.3178***</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（5.9529）</w:t>
            </w:r>
          </w:p>
        </w:tc>
      </w:tr>
      <w:tr>
        <w:trPr>
          <w:cantSplit/>
        </w:trPr>
        <w:tc>
          <w:tcPr/>
          <w:p>
            <w:pPr>
              <w:pStyle w:val="Compact"/>
              <w:spacing w:before="20" w:after="20" w:line="240" w:lineRule="auto"/>
              <w:jc w:val="center"/>
            </w:pPr>
            <w:r>
              <w:rPr>
                <w:iCs/>
                <w:i/>
              </w:rPr>
              <w:t xml:space="preserve">W</w:t>
            </w:r>
            <w:r>
              <w:t xml:space="preserve">×</w:t>
            </w:r>
            <w:r>
              <w:rPr>
                <w:iCs/>
                <w:i/>
              </w:rPr>
              <w:t xml:space="preserve">L</w:t>
            </w:r>
            <w:r>
              <w:t xml:space="preserve">.</w:t>
            </w:r>
            <w:r>
              <w:rPr>
                <w:iCs/>
                <w:i/>
              </w:rPr>
              <w:t xml:space="preserve">lntfp</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−0.2844***</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（−3.0478）</w:t>
            </w:r>
          </w:p>
        </w:tc>
      </w:tr>
      <w:tr>
        <w:trPr>
          <w:cantSplit/>
        </w:trPr>
        <w:tc>
          <w:tcPr/>
          <w:p>
            <w:pPr>
              <w:pStyle w:val="Compact"/>
              <w:spacing w:before="20" w:after="20" w:line="240" w:lineRule="auto"/>
              <w:jc w:val="center"/>
            </w:pPr>
            <w:r>
              <w:t xml:space="preserve">老龄化的总效应</w:t>
            </w:r>
          </w:p>
        </w:tc>
        <w:tc>
          <w:tcPr/>
          <w:p>
            <w:pPr>
              <w:pStyle w:val="Compact"/>
              <w:spacing w:before="20" w:after="20" w:line="240" w:lineRule="auto"/>
              <w:jc w:val="center"/>
            </w:pPr>
            <w:r>
              <w:t xml:space="preserve">−0.0578***</w:t>
            </w:r>
          </w:p>
        </w:tc>
        <w:tc>
          <w:tcPr/>
          <w:p>
            <w:pPr>
              <w:pStyle w:val="Compact"/>
              <w:spacing w:before="20" w:after="20" w:line="240" w:lineRule="auto"/>
              <w:jc w:val="center"/>
            </w:pPr>
            <w:r>
              <w:t xml:space="preserve">−0.0618***</w:t>
            </w:r>
          </w:p>
        </w:tc>
        <w:tc>
          <w:tcPr/>
          <w:p>
            <w:pPr>
              <w:pStyle w:val="Compact"/>
              <w:spacing w:before="20" w:after="20" w:line="240" w:lineRule="auto"/>
              <w:jc w:val="center"/>
            </w:pPr>
            <w:r>
              <w:t xml:space="preserve">−0.0376***</w:t>
            </w:r>
          </w:p>
        </w:tc>
        <w:tc>
          <w:tcPr/>
          <w:p>
            <w:pPr>
              <w:pStyle w:val="Compact"/>
              <w:spacing w:before="20" w:after="20" w:line="240" w:lineRule="auto"/>
              <w:jc w:val="center"/>
            </w:pPr>
            <w:r>
              <w:t xml:space="preserve">−0.0444***</w:t>
            </w:r>
          </w:p>
        </w:tc>
        <w:tc>
          <w:tcPr/>
          <w:p>
            <w:pPr>
              <w:pStyle w:val="Compact"/>
              <w:spacing w:before="20" w:after="20" w:line="240" w:lineRule="auto"/>
              <w:jc w:val="center"/>
            </w:pPr>
            <w:r>
              <w:t xml:space="preserve">−0.0538***</w:t>
            </w:r>
          </w:p>
        </w:tc>
        <w:tc>
          <w:tcPr/>
          <w:p>
            <w:pPr>
              <w:pStyle w:val="Compact"/>
              <w:spacing w:before="20" w:after="20" w:line="240" w:lineRule="auto"/>
              <w:jc w:val="center"/>
            </w:pPr>
            <w:r>
              <w:t xml:space="preserve">−0.0341***</w:t>
            </w:r>
          </w:p>
        </w:tc>
      </w:tr>
      <w:tr>
        <w:trPr>
          <w:cantSplit/>
        </w:trP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t xml:space="preserve">双固定效应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270</w:t>
            </w:r>
          </w:p>
        </w:tc>
        <w:tc>
          <w:tcPr/>
          <w:p>
            <w:pPr>
              <w:pStyle w:val="Compact"/>
              <w:spacing w:before="20" w:after="20" w:line="240" w:lineRule="auto"/>
              <w:jc w:val="center"/>
            </w:pPr>
            <w:r>
              <w:t xml:space="preserve">360</w:t>
            </w:r>
          </w:p>
        </w:tc>
      </w:tr>
      <w:tr>
        <w:trPr>
          <w:cantSplit/>
        </w:trPr>
        <w:tc>
          <w:tcPr/>
          <w:p>
            <w:pPr>
              <w:pStyle w:val="Compact"/>
              <w:spacing w:before="20" w:after="20" w:line="240" w:lineRule="auto"/>
              <w:jc w:val="center"/>
            </w:pPr>
            <w:r>
              <w:rPr>
                <w:iCs/>
                <w:i/>
              </w:rPr>
              <w:t xml:space="preserve">R</w:t>
            </w:r>
            <w:r>
              <w:t xml:space="preserve">²</w:t>
            </w:r>
          </w:p>
        </w:tc>
        <w:tc>
          <w:tcPr/>
          <w:p>
            <w:pPr>
              <w:pStyle w:val="Compact"/>
              <w:spacing w:before="20" w:after="20" w:line="240" w:lineRule="auto"/>
              <w:jc w:val="center"/>
            </w:pPr>
            <w:r>
              <w:t xml:space="preserve">0.2942</w:t>
            </w:r>
          </w:p>
        </w:tc>
        <w:tc>
          <w:tcPr/>
          <w:p>
            <w:pPr>
              <w:pStyle w:val="Compact"/>
              <w:spacing w:before="20" w:after="20" w:line="240" w:lineRule="auto"/>
              <w:jc w:val="center"/>
            </w:pPr>
            <w:r>
              <w:t xml:space="preserve">0.3014</w:t>
            </w:r>
          </w:p>
        </w:tc>
        <w:tc>
          <w:tcPr/>
          <w:p>
            <w:pPr>
              <w:pStyle w:val="Compact"/>
              <w:spacing w:before="20" w:after="20" w:line="240" w:lineRule="auto"/>
              <w:jc w:val="center"/>
            </w:pPr>
            <w:r>
              <w:t xml:space="preserve">0.2701</w:t>
            </w:r>
          </w:p>
        </w:tc>
        <w:tc>
          <w:tcPr/>
          <w:p>
            <w:pPr>
              <w:pStyle w:val="Compact"/>
              <w:spacing w:before="20" w:after="20" w:line="240" w:lineRule="auto"/>
              <w:jc w:val="center"/>
            </w:pPr>
            <w:r>
              <w:t xml:space="preserve">0.3768</w:t>
            </w:r>
          </w:p>
        </w:tc>
        <w:tc>
          <w:tcPr/>
          <w:p>
            <w:pPr>
              <w:pStyle w:val="Compact"/>
              <w:spacing w:before="20" w:after="20" w:line="240" w:lineRule="auto"/>
              <w:jc w:val="center"/>
            </w:pPr>
            <w:r>
              <w:t xml:space="preserve">0.3730</w:t>
            </w:r>
          </w:p>
        </w:tc>
        <w:tc>
          <w:tcPr/>
          <w:p>
            <w:pPr>
              <w:pStyle w:val="Compact"/>
              <w:spacing w:before="20" w:after="20" w:line="240" w:lineRule="auto"/>
              <w:jc w:val="center"/>
            </w:pPr>
            <w:r>
              <w:t xml:space="preserve">0.3744</w:t>
            </w:r>
          </w:p>
        </w:tc>
      </w:tr>
    </w:tbl>
    <w:p>
      <w:pPr>
        <w:pStyle w:val="TableNote"/>
      </w:pPr>
      <w:r>
        <w:t xml:space="preserve">注：第（3）至第（6）列均采用0—1邻接空间权重矩阵；</w:t>
      </w:r>
      <w:r>
        <w:t xml:space="preserve">“</w:t>
      </w:r>
      <w:r>
        <w:t xml:space="preserve">老龄化的总效应</w:t>
      </w:r>
      <w:r>
        <w:t xml:space="preserve">”</w:t>
      </w:r>
      <w:r>
        <w:t xml:space="preserve">按</w:t>
      </w:r>
      <m:oMath>
        <m:d>
          <m:dPr>
            <m:begChr m:val="("/>
            <m:endChr m:val=")"/>
            <m:sepChr m:val=""/>
            <m:grow/>
          </m:dPr>
          <m:e>
            <m:sSub>
              <m:e>
                <m:r>
                  <m:t>β</m:t>
                </m:r>
              </m:e>
              <m:sub>
                <m:r>
                  <m:t>1</m:t>
                </m:r>
              </m:sub>
            </m:sSub>
            <m:r>
              <m:rPr>
                <m:sty m:val="p"/>
              </m:rPr>
              <m:t>+</m:t>
            </m:r>
            <m:sSub>
              <m:e>
                <m:r>
                  <m:t>θ</m:t>
                </m:r>
              </m:e>
              <m:sub>
                <m:r>
                  <m:t>1</m:t>
                </m:r>
              </m:sub>
            </m:sSub>
          </m:e>
        </m:d>
        <m:r>
          <m:rPr>
            <m:sty m:val="p"/>
          </m:rPr>
          <m:t>/</m:t>
        </m:r>
        <m:d>
          <m:dPr>
            <m:begChr m:val="("/>
            <m:endChr m:val=")"/>
            <m:sepChr m:val=""/>
            <m:grow/>
          </m:dPr>
          <m:e>
            <m:r>
              <m:t>1</m:t>
            </m:r>
            <m:r>
              <m:rPr>
                <m:sty m:val="p"/>
              </m:rPr>
              <m:t>−</m:t>
            </m:r>
            <m:r>
              <m:t>ρ</m:t>
            </m:r>
          </m:e>
        </m:d>
      </m:oMath>
      <w:r>
        <w:t xml:space="preserve">计算，其显著性依据模拟抽样得到的标准误判定。</w:t>
      </w:r>
    </w:p>
    <w:bookmarkEnd w:id="35"/>
    <w:bookmarkStart w:id="36" w:name="内生性处理"/>
    <w:p>
      <w:pPr>
        <w:pStyle w:val="Heading2"/>
      </w:pPr>
      <w:r>
        <w:t xml:space="preserve">3.5 内生性处理</w:t>
      </w:r>
    </w:p>
    <w:p>
      <w:pPr>
        <w:pStyle w:val="FirstParagraph"/>
      </w:pPr>
      <w:r>
        <w:t xml:space="preserve">地区生产率的负向冲击可能引致青壮年劳动力外流，从而反向推高本地老龄化水平，导致老龄化变量存在内生性。本文以1982年人口普查各省份少儿人口占比的标准化值与时间趋势的交乘项为工具变量加以处理，结果见表7。</w:t>
      </w:r>
    </w:p>
    <w:p>
      <w:pPr>
        <w:pStyle w:val="BodyText"/>
      </w:pPr>
      <w:r>
        <w:t xml:space="preserve">第一阶段中工具变量的系数为1.1380，在1%的水平上显著，</w:t>
      </w:r>
      <w:r>
        <w:rPr>
          <w:iCs/>
          <w:i/>
        </w:rPr>
        <w:t xml:space="preserve">F</w:t>
      </w:r>
      <w:r>
        <w:t xml:space="preserve">统计量为133.419，远高于10的经验阈值，不存在弱工具变量问题。第（2）列的两阶段最小二乘估计中老龄化的系数为−0.0289，与同一设定下的最小二乘估计值−0.0189相比，绝对值有所增大，方向保持一致。第（3）列进一步采用控制函数法，将第一阶段残差纳入空间杜宾模型：残差项的系数为0.0017，</w:t>
      </w:r>
      <w:r>
        <w:rPr>
          <w:iCs/>
          <w:i/>
        </w:rPr>
        <w:t xml:space="preserve">t</w:t>
      </w:r>
      <w:r>
        <w:t xml:space="preserve">值仅为0.2617，未能拒绝老龄化外生的原假设；纳入控制函数项后老龄化的系数为−0.0152、其空间滞后项系数为−0.0164，对应的总效应为−0.0426，与基准结果的−0.0418几乎一致。综上，内生性问题并未实质性影响本文结论，基准估计甚至可能因测量误差导致的衰减偏误而略显保守。</w:t>
      </w:r>
    </w:p>
    <w:p>
      <w:pPr>
        <w:pStyle w:val="TableCaption"/>
      </w:pPr>
      <w:r>
        <w:t xml:space="preserve">表7 内生性检验结果</w:t>
      </w:r>
    </w:p>
    <w:tbl>
      <w:tblPr>
        <w:tblStyle w:val="Table"/>
        <w:jc w:val="center"/>
        <w:tblLook w:firstRow="1" w:lastRow="0" w:firstColumn="0" w:lastColumn="0" w:noHBand="0" w:noVBand="0" w:val="0020"/>
        <w:tblCaption w:val="表7 内生性检验结果"/>
        <w:tblW w:w="5000" w:type="pct"/>
        <w:tblLayout w:type="autofit"/>
      </w:tblPr>
      <w:tblGrid>
        <w:gridCol w:w="1980"/>
        <w:gridCol w:w="1980"/>
        <w:gridCol w:w="1980"/>
        <w:gridCol w:w="1980"/>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（1）第一阶段</w:t>
            </w:r>
          </w:p>
        </w:tc>
        <w:tc>
          <w:tcPr/>
          <w:p>
            <w:pPr>
              <w:pStyle w:val="Compact"/>
              <w:spacing w:before="20" w:after="20" w:line="240" w:lineRule="auto"/>
              <w:jc w:val="center"/>
            </w:pPr>
            <w:r>
              <w:t xml:space="preserve">（2）两阶段最小二乘</w:t>
            </w:r>
          </w:p>
        </w:tc>
        <w:tc>
          <w:tcPr/>
          <w:p>
            <w:pPr>
              <w:pStyle w:val="Compact"/>
              <w:spacing w:before="20" w:after="20" w:line="240" w:lineRule="auto"/>
              <w:jc w:val="center"/>
            </w:pPr>
            <w:r>
              <w:t xml:space="preserve">（3）控制函数法</w:t>
            </w:r>
          </w:p>
        </w:tc>
      </w:tr>
      <w:tr>
        <w:trPr>
          <w:cantSplit/>
        </w:trPr>
        <w:tc>
          <w:tcPr/>
          <w:p>
            <w:pPr>
              <w:pStyle w:val="Compact"/>
              <w:spacing w:before="20" w:after="20" w:line="240" w:lineRule="auto"/>
              <w:jc w:val="center"/>
            </w:pPr>
            <w:r>
              <w:t xml:space="preserve">1982年少儿人口占比×时间趋势</w:t>
            </w:r>
          </w:p>
        </w:tc>
        <w:tc>
          <w:tcPr/>
          <w:p>
            <w:pPr>
              <w:pStyle w:val="Compact"/>
              <w:spacing w:before="20" w:after="20" w:line="240" w:lineRule="auto"/>
              <w:jc w:val="center"/>
            </w:pPr>
            <w:r>
              <w:t xml:space="preserve">1.1380***</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（3.3060）</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aging</w:t>
            </w:r>
          </w:p>
        </w:tc>
        <w:tc>
          <w:tcPr/>
          <w:p>
            <w:pPr>
              <w:pStyle w:val="Compact"/>
              <w:spacing w:before="20" w:after="20" w:line="240" w:lineRule="auto"/>
              <w:jc w:val="center"/>
            </w:pPr>
          </w:p>
        </w:tc>
        <w:tc>
          <w:tcPr/>
          <w:p>
            <w:pPr>
              <w:pStyle w:val="Compact"/>
              <w:spacing w:before="20" w:after="20" w:line="240" w:lineRule="auto"/>
              <w:jc w:val="center"/>
            </w:pPr>
            <w:r>
              <w:t xml:space="preserve">−0.0289***</w:t>
            </w:r>
          </w:p>
        </w:tc>
        <w:tc>
          <w:tcPr/>
          <w:p>
            <w:pPr>
              <w:pStyle w:val="Compact"/>
              <w:spacing w:before="20" w:after="20" w:line="240" w:lineRule="auto"/>
              <w:jc w:val="center"/>
            </w:pPr>
            <w:r>
              <w:t xml:space="preserve">−0.0152***</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（−3.3220）</w:t>
            </w:r>
          </w:p>
        </w:tc>
        <w:tc>
          <w:tcPr/>
          <w:p>
            <w:pPr>
              <w:pStyle w:val="Compact"/>
              <w:spacing w:before="20" w:after="20" w:line="240" w:lineRule="auto"/>
              <w:jc w:val="center"/>
            </w:pPr>
            <w:r>
              <w:t xml:space="preserve">（−2.7119）</w:t>
            </w:r>
          </w:p>
        </w:tc>
      </w:tr>
      <w:tr>
        <w:trPr>
          <w:cantSplit/>
        </w:trPr>
        <w:tc>
          <w:tcPr/>
          <w:p>
            <w:pPr>
              <w:pStyle w:val="Compact"/>
              <w:spacing w:before="20" w:after="20" w:line="240" w:lineRule="auto"/>
              <w:jc w:val="center"/>
            </w:pPr>
            <w:r>
              <w:rPr>
                <w:iCs/>
                <w:i/>
              </w:rPr>
              <w:t xml:space="preserve">W</w:t>
            </w:r>
            <w:r>
              <w:t xml:space="preserve">×</w:t>
            </w:r>
            <w:r>
              <w:rPr>
                <w:iCs/>
                <w:i/>
              </w:rPr>
              <w:t xml:space="preserve">aging</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−0.0164***</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（−2.9099）</w:t>
            </w:r>
          </w:p>
        </w:tc>
      </w:tr>
      <w:tr>
        <w:trPr>
          <w:cantSplit/>
        </w:trPr>
        <w:tc>
          <w:tcPr/>
          <w:p>
            <w:pPr>
              <w:pStyle w:val="Compact"/>
              <w:spacing w:before="20" w:after="20" w:line="240" w:lineRule="auto"/>
              <w:jc w:val="center"/>
            </w:pPr>
            <w:r>
              <w:t xml:space="preserve">控制函数项</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0.0017</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（0.2617）</w:t>
            </w:r>
          </w:p>
        </w:tc>
      </w:tr>
      <w:tr>
        <w:trPr>
          <w:cantSplit/>
        </w:trPr>
        <w:tc>
          <w:tcPr/>
          <w:p>
            <w:pPr>
              <w:pStyle w:val="Compact"/>
              <w:spacing w:before="20" w:after="20" w:line="240" w:lineRule="auto"/>
              <w:jc w:val="center"/>
            </w:pPr>
            <m:oMath>
              <m:r>
                <m:t>ρ</m:t>
              </m:r>
            </m:oMath>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0.2563***</w:t>
            </w:r>
          </w:p>
        </w:tc>
      </w:tr>
      <w:tr>
        <w:trPr>
          <w:cantSplit/>
        </w:trPr>
        <w:tc>
          <w:tcPr/>
          <w:p>
            <w:pPr>
              <w:pStyle w:val="Compact"/>
              <w:spacing w:before="20" w:after="20" w:line="240" w:lineRule="auto"/>
              <w:jc w:val="center"/>
            </w:pPr>
            <w:r>
              <w:t xml:space="preserve">最小二乘对照估计</w:t>
            </w:r>
          </w:p>
        </w:tc>
        <w:tc>
          <w:tcPr/>
          <w:p>
            <w:pPr>
              <w:pStyle w:val="Compact"/>
              <w:spacing w:before="20" w:after="20" w:line="240" w:lineRule="auto"/>
              <w:jc w:val="center"/>
            </w:pPr>
          </w:p>
        </w:tc>
        <w:tc>
          <w:tcPr/>
          <w:p>
            <w:pPr>
              <w:pStyle w:val="Compact"/>
              <w:spacing w:before="20" w:after="20" w:line="240" w:lineRule="auto"/>
              <w:jc w:val="center"/>
            </w:pPr>
            <w:r>
              <w:t xml:space="preserve">−0.0189***</w:t>
            </w: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（−4.1709）</w:t>
            </w: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第一阶段</w:t>
            </w:r>
            <w:r>
              <w:rPr>
                <w:iCs/>
                <w:i/>
              </w:rPr>
              <w:t xml:space="preserve">F</w:t>
            </w:r>
            <w:r>
              <w:t xml:space="preserve">统计量</w:t>
            </w:r>
          </w:p>
        </w:tc>
        <w:tc>
          <w:tcPr/>
          <w:p>
            <w:pPr>
              <w:pStyle w:val="Compact"/>
              <w:spacing w:before="20" w:after="20" w:line="240" w:lineRule="auto"/>
              <w:jc w:val="center"/>
            </w:pPr>
            <w:r>
              <w:t xml:space="preserve">133.419</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老龄化的总效应</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−0.0426</w:t>
            </w:r>
          </w:p>
        </w:tc>
      </w:tr>
      <w:tr>
        <w:trPr>
          <w:cantSplit/>
        </w:trP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t xml:space="preserve">双固定效应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r>
    </w:tbl>
    <w:p>
      <w:pPr>
        <w:pStyle w:val="TableNote"/>
      </w:pPr>
      <w:r>
        <w:t xml:space="preserve">注：第（1）（2）列为非空间设定下的估计，控制变量包含各控制变量及其空间滞后项；第（3）列为纳入第一阶段残差的空间杜宾模型，控制函数项的</w:t>
      </w:r>
      <w:r>
        <w:rPr>
          <w:iCs/>
          <w:i/>
        </w:rPr>
        <w:t xml:space="preserve">t</w:t>
      </w:r>
      <w:r>
        <w:t xml:space="preserve">值构成老龄化外生性的检验统计量。</w:t>
      </w:r>
    </w:p>
    <w:bookmarkEnd w:id="36"/>
    <w:bookmarkStart w:id="40" w:name="门槛效应检验"/>
    <w:p>
      <w:pPr>
        <w:pStyle w:val="Heading2"/>
      </w:pPr>
      <w:r>
        <w:t xml:space="preserve">3.6 门槛效应检验</w:t>
      </w:r>
    </w:p>
    <w:p>
      <w:pPr>
        <w:pStyle w:val="FirstParagraph"/>
      </w:pPr>
      <w:r>
        <w:t xml:space="preserve">表8第（1）部分报告了门槛效应的存在性检验结果。单一门槛检验的</w:t>
      </w:r>
      <w:r>
        <w:rPr>
          <w:iCs/>
          <w:i/>
        </w:rPr>
        <w:t xml:space="preserve">F</w:t>
      </w:r>
      <w:r>
        <w:t xml:space="preserve">统计量为119.238，自助法</w:t>
      </w:r>
      <w:r>
        <w:rPr>
          <w:iCs/>
          <w:i/>
        </w:rPr>
        <w:t xml:space="preserve">P</w:t>
      </w:r>
      <w:r>
        <w:t xml:space="preserve">值为0.0000；双重门槛检验的</w:t>
      </w:r>
      <w:r>
        <w:rPr>
          <w:iCs/>
          <w:i/>
        </w:rPr>
        <w:t xml:space="preserve">F</w:t>
      </w:r>
      <w:r>
        <w:t xml:space="preserve">统计量为201.215，自助法</w:t>
      </w:r>
      <w:r>
        <w:rPr>
          <w:iCs/>
          <w:i/>
        </w:rPr>
        <w:t xml:space="preserve">P</w:t>
      </w:r>
      <w:r>
        <w:t xml:space="preserve">值为0.0000；三重门槛检验的</w:t>
      </w:r>
      <w:r>
        <w:rPr>
          <w:iCs/>
          <w:i/>
        </w:rPr>
        <w:t xml:space="preserve">F</w:t>
      </w:r>
      <w:r>
        <w:t xml:space="preserve">统计量为9.133，自助法</w:t>
      </w:r>
      <w:r>
        <w:rPr>
          <w:iCs/>
          <w:i/>
        </w:rPr>
        <w:t xml:space="preserve">P</w:t>
      </w:r>
      <w:r>
        <w:t xml:space="preserve">值为0.1225，在10%的水平上亦不显著。据此判定研发强度存在双重门槛：第一阶段的单一门槛搜索给出的估计值为2.2323，第二阶段在给定第一门槛的条件下给出的估计值为1.2786，由小到大排序后记为</w:t>
      </w:r>
      <m:oMath>
        <m:sSub>
          <m:e>
            <m:r>
              <m:t>γ</m:t>
            </m:r>
          </m:e>
          <m:sub>
            <m:r>
              <m:t>1</m:t>
            </m:r>
          </m:sub>
        </m:sSub>
        <m:r>
          <m:rPr>
            <m:sty m:val="p"/>
          </m:rPr>
          <m:t>=</m:t>
        </m:r>
        <m:r>
          <m:t>1.2786</m:t>
        </m:r>
      </m:oMath>
      <w:r>
        <w:t xml:space="preserve">与</w:t>
      </w:r>
      <m:oMath>
        <m:sSub>
          <m:e>
            <m:r>
              <m:t>γ</m:t>
            </m:r>
          </m:e>
          <m:sub>
            <m:r>
              <m:t>2</m:t>
            </m:r>
          </m:sub>
        </m:sSub>
        <m:r>
          <m:rPr>
            <m:sty m:val="p"/>
          </m:rPr>
          <m:t>=</m:t>
        </m:r>
        <m:r>
          <m:t>2.2323</m:t>
        </m:r>
      </m:oMath>
      <w:r>
        <w:t xml:space="preserve">，落入三个区间的样本占比依次为23.59%、61.28%与15.13%。图2给出了两阶段搜索的似然比统计量曲线，两条曲线的极小值点清晰可辨，且低于95%临界值7.35的区间均十分狭窄，表明门槛值的估计较为精确。</w:t>
      </w:r>
    </w:p>
    <w:p>
      <w:pPr>
        <w:pStyle w:val="BodyText"/>
      </w:pPr>
      <w:r>
        <w:t xml:space="preserve">表8第（2）部分给出门槛模型的估计结果。当研发强度不超过1.2786%时，老龄化的系数为−0.0265；当研发强度介于1.2786%与2.2323%之间时，系数减弱至−0.0203；当研发强度超过2.2323%时，系数进一步减弱至−0.0109，三个区制的系数均在1%的水平上显著为负。高研发强度区制的抑制作用仅相当于低研发强度区制的41.13%，表明技术能力的提升能够显著缓解但尚不足以完全对冲人口老龄化对全要素生产率的负面影响，假设4得到验证。</w:t>
      </w:r>
    </w:p>
    <w:p>
      <w:pPr>
        <w:pStyle w:val="TableCaption"/>
      </w:pPr>
      <w:r>
        <w:t xml:space="preserve">表8 门槛效应检验与门槛模型估计结果</w:t>
      </w:r>
    </w:p>
    <w:tbl>
      <w:tblPr>
        <w:tblStyle w:val="Table"/>
        <w:jc w:val="center"/>
        <w:tblLook w:firstRow="1" w:lastRow="0" w:firstColumn="0" w:lastColumn="0" w:noHBand="0" w:noVBand="0" w:val="0020"/>
        <w:tblCaption w:val="表8 门槛效应检验与门槛模型估计结果"/>
        <w:tblW w:w="5000" w:type="pct"/>
        <w:tblLayout w:type="autofit"/>
      </w:tblPr>
      <w:tblGrid>
        <w:gridCol w:w="2640"/>
        <w:gridCol w:w="2640"/>
        <w:gridCol w:w="2640"/>
      </w:tblGrid>
      <w:tr>
        <w:trPr>
          <w:tblHeader w:val="true"/>
          <w:cantSplit/>
          <w:tblHeader/>
        </w:trPr>
        <w:tc>
          <w:tcPr/>
          <w:p>
            <w:pPr>
              <w:pStyle w:val="Compact"/>
              <w:spacing w:before="20" w:after="20" w:line="240" w:lineRule="auto"/>
              <w:jc w:val="center"/>
            </w:pPr>
            <w:r>
              <w:t xml:space="preserve">检验与估计内容</w:t>
            </w:r>
          </w:p>
        </w:tc>
        <w:tc>
          <w:tcPr/>
          <w:p>
            <w:pPr>
              <w:pStyle w:val="Compact"/>
              <w:spacing w:before="20" w:after="20" w:line="240" w:lineRule="auto"/>
              <w:jc w:val="center"/>
            </w:pPr>
            <w:r>
              <w:t xml:space="preserve">统计量／系数</w:t>
            </w:r>
          </w:p>
        </w:tc>
        <w:tc>
          <w:tcPr/>
          <w:p>
            <w:pPr>
              <w:pStyle w:val="Compact"/>
              <w:spacing w:before="20" w:after="20" w:line="240" w:lineRule="auto"/>
              <w:jc w:val="center"/>
            </w:pPr>
            <w:r>
              <w:rPr>
                <w:iCs/>
                <w:i/>
              </w:rPr>
              <w:t xml:space="preserve">P</w:t>
            </w:r>
            <w:r>
              <w:t xml:space="preserve">值／</w:t>
            </w:r>
            <w:r>
              <w:rPr>
                <w:iCs/>
                <w:i/>
              </w:rPr>
              <w:t xml:space="preserve">t</w:t>
            </w:r>
            <w:r>
              <w:t xml:space="preserve">值</w:t>
            </w:r>
          </w:p>
        </w:tc>
      </w:tr>
      <w:tr>
        <w:trPr>
          <w:cantSplit/>
        </w:trPr>
        <w:tc>
          <w:tcPr/>
          <w:p>
            <w:pPr>
              <w:pStyle w:val="Compact"/>
              <w:spacing w:before="20" w:after="20" w:line="240" w:lineRule="auto"/>
              <w:jc w:val="center"/>
            </w:pPr>
            <w:r>
              <w:t xml:space="preserve">（1）门槛效应存在性检验</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单一门槛（</w:t>
            </w:r>
            <w:r>
              <w:rPr>
                <w:iCs/>
                <w:i/>
              </w:rPr>
              <w:t xml:space="preserve">F</w:t>
            </w:r>
            <w:r>
              <w:t xml:space="preserve">统计量／自助法</w:t>
            </w:r>
            <w:r>
              <w:rPr>
                <w:iCs/>
                <w:i/>
              </w:rPr>
              <w:t xml:space="preserve">P</w:t>
            </w:r>
            <w:r>
              <w:t xml:space="preserve">值）</w:t>
            </w:r>
          </w:p>
        </w:tc>
        <w:tc>
          <w:tcPr/>
          <w:p>
            <w:pPr>
              <w:pStyle w:val="Compact"/>
              <w:spacing w:before="20" w:after="20" w:line="240" w:lineRule="auto"/>
              <w:jc w:val="center"/>
            </w:pPr>
            <w:r>
              <w:t xml:space="preserve">119.238***</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双重门槛（</w:t>
            </w:r>
            <w:r>
              <w:rPr>
                <w:iCs/>
                <w:i/>
              </w:rPr>
              <w:t xml:space="preserve">F</w:t>
            </w:r>
            <w:r>
              <w:t xml:space="preserve">统计量／自助法</w:t>
            </w:r>
            <w:r>
              <w:rPr>
                <w:iCs/>
                <w:i/>
              </w:rPr>
              <w:t xml:space="preserve">P</w:t>
            </w:r>
            <w:r>
              <w:t xml:space="preserve">值）</w:t>
            </w:r>
          </w:p>
        </w:tc>
        <w:tc>
          <w:tcPr/>
          <w:p>
            <w:pPr>
              <w:pStyle w:val="Compact"/>
              <w:spacing w:before="20" w:after="20" w:line="240" w:lineRule="auto"/>
              <w:jc w:val="center"/>
            </w:pPr>
            <w:r>
              <w:t xml:space="preserve">201.215***</w:t>
            </w:r>
          </w:p>
        </w:tc>
        <w:tc>
          <w:tcPr/>
          <w:p>
            <w:pPr>
              <w:pStyle w:val="Compact"/>
              <w:spacing w:before="20" w:after="20" w:line="240" w:lineRule="auto"/>
              <w:jc w:val="center"/>
            </w:pPr>
            <w:r>
              <w:t xml:space="preserve">0.0000</w:t>
            </w:r>
          </w:p>
        </w:tc>
      </w:tr>
      <w:tr>
        <w:trPr>
          <w:cantSplit/>
        </w:trPr>
        <w:tc>
          <w:tcPr/>
          <w:p>
            <w:pPr>
              <w:pStyle w:val="Compact"/>
              <w:spacing w:before="20" w:after="20" w:line="240" w:lineRule="auto"/>
              <w:jc w:val="center"/>
            </w:pPr>
            <w:r>
              <w:t xml:space="preserve">三重门槛（</w:t>
            </w:r>
            <w:r>
              <w:rPr>
                <w:iCs/>
                <w:i/>
              </w:rPr>
              <w:t xml:space="preserve">F</w:t>
            </w:r>
            <w:r>
              <w:t xml:space="preserve">统计量／自助法</w:t>
            </w:r>
            <w:r>
              <w:rPr>
                <w:iCs/>
                <w:i/>
              </w:rPr>
              <w:t xml:space="preserve">P</w:t>
            </w:r>
            <w:r>
              <w:t xml:space="preserve">值）</w:t>
            </w:r>
          </w:p>
        </w:tc>
        <w:tc>
          <w:tcPr/>
          <w:p>
            <w:pPr>
              <w:pStyle w:val="Compact"/>
              <w:spacing w:before="20" w:after="20" w:line="240" w:lineRule="auto"/>
              <w:jc w:val="center"/>
            </w:pPr>
            <w:r>
              <w:t xml:space="preserve">9.133</w:t>
            </w:r>
          </w:p>
        </w:tc>
        <w:tc>
          <w:tcPr/>
          <w:p>
            <w:pPr>
              <w:pStyle w:val="Compact"/>
              <w:spacing w:before="20" w:after="20" w:line="240" w:lineRule="auto"/>
              <w:jc w:val="center"/>
            </w:pPr>
            <w:r>
              <w:t xml:space="preserve">0.1225</w:t>
            </w:r>
          </w:p>
        </w:tc>
      </w:tr>
      <w:tr>
        <w:trPr>
          <w:cantSplit/>
        </w:trPr>
        <w:tc>
          <w:tcPr/>
          <w:p>
            <w:pPr>
              <w:pStyle w:val="Compact"/>
              <w:spacing w:before="20" w:after="20" w:line="240" w:lineRule="auto"/>
              <w:jc w:val="center"/>
            </w:pPr>
            <w:r>
              <w:t xml:space="preserve">门槛估计值</w:t>
            </w:r>
            <m:oMath>
              <m:sSub>
                <m:e>
                  <m:r>
                    <m:t>γ</m:t>
                  </m:r>
                </m:e>
                <m:sub>
                  <m:r>
                    <m:t>1</m:t>
                  </m:r>
                </m:sub>
              </m:sSub>
            </m:oMath>
            <w:r>
              <w:t xml:space="preserve">（%）</w:t>
            </w:r>
          </w:p>
        </w:tc>
        <w:tc>
          <w:tcPr/>
          <w:p>
            <w:pPr>
              <w:pStyle w:val="Compact"/>
              <w:spacing w:before="20" w:after="20" w:line="240" w:lineRule="auto"/>
              <w:jc w:val="center"/>
            </w:pPr>
            <w:r>
              <w:t xml:space="preserve">1.2786</w:t>
            </w: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门槛估计值</w:t>
            </w:r>
            <m:oMath>
              <m:sSub>
                <m:e>
                  <m:r>
                    <m:t>γ</m:t>
                  </m:r>
                </m:e>
                <m:sub>
                  <m:r>
                    <m:t>2</m:t>
                  </m:r>
                </m:sub>
              </m:sSub>
            </m:oMath>
            <w:r>
              <w:t xml:space="preserve">（%）</w:t>
            </w:r>
          </w:p>
        </w:tc>
        <w:tc>
          <w:tcPr/>
          <w:p>
            <w:pPr>
              <w:pStyle w:val="Compact"/>
              <w:spacing w:before="20" w:after="20" w:line="240" w:lineRule="auto"/>
              <w:jc w:val="center"/>
            </w:pPr>
            <w:r>
              <w:t xml:space="preserve">2.2323</w:t>
            </w: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（2）双重门槛模型估计结果</w:t>
            </w:r>
          </w:p>
        </w:tc>
        <w:tc>
          <w:tcPr/>
          <w:p>
            <w:pPr>
              <w:pStyle w:val="Compact"/>
              <w:spacing w:before="20" w:after="20" w:line="240" w:lineRule="auto"/>
              <w:jc w:val="center"/>
            </w:pP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aging</w:t>
            </w:r>
            <w:r>
              <w:t xml:space="preserve">×</w:t>
            </w:r>
            <w:r>
              <w:rPr>
                <w:iCs/>
                <w:i/>
              </w:rPr>
              <w:t xml:space="preserve">I</w:t>
            </w:r>
            <w:r>
              <w:t xml:space="preserve">(</w:t>
            </w:r>
            <w:r>
              <w:rPr>
                <w:iCs/>
                <w:i/>
              </w:rPr>
              <w:t xml:space="preserve">rd</w:t>
            </w:r>
            <w:r>
              <w:t xml:space="preserve">≤1.2786)</w:t>
            </w:r>
          </w:p>
        </w:tc>
        <w:tc>
          <w:tcPr/>
          <w:p>
            <w:pPr>
              <w:pStyle w:val="Compact"/>
              <w:spacing w:before="20" w:after="20" w:line="240" w:lineRule="auto"/>
              <w:jc w:val="center"/>
            </w:pPr>
            <w:r>
              <w:t xml:space="preserve">−0.0265***</w:t>
            </w:r>
          </w:p>
        </w:tc>
        <w:tc>
          <w:tcPr/>
          <w:p>
            <w:pPr>
              <w:pStyle w:val="Compact"/>
              <w:spacing w:before="20" w:after="20" w:line="240" w:lineRule="auto"/>
              <w:jc w:val="center"/>
            </w:pPr>
            <w:r>
              <w:t xml:space="preserve">（−11.1864）</w:t>
            </w:r>
          </w:p>
        </w:tc>
      </w:tr>
      <w:tr>
        <w:trPr>
          <w:cantSplit/>
        </w:trPr>
        <w:tc>
          <w:tcPr/>
          <w:p>
            <w:pPr>
              <w:pStyle w:val="Compact"/>
              <w:spacing w:before="20" w:after="20" w:line="240" w:lineRule="auto"/>
              <w:jc w:val="center"/>
            </w:pPr>
            <w:r>
              <w:rPr>
                <w:iCs/>
                <w:i/>
              </w:rPr>
              <w:t xml:space="preserve">aging</w:t>
            </w:r>
            <w:r>
              <w:t xml:space="preserve">×</w:t>
            </w:r>
            <w:r>
              <w:rPr>
                <w:iCs/>
                <w:i/>
              </w:rPr>
              <w:t xml:space="preserve">I</w:t>
            </w:r>
            <w:r>
              <w:t xml:space="preserve">(1.2786&lt;</w:t>
            </w:r>
            <w:r>
              <w:rPr>
                <w:iCs/>
                <w:i/>
              </w:rPr>
              <w:t xml:space="preserve">rd</w:t>
            </w:r>
            <w:r>
              <w:t xml:space="preserve">≤2.2323)</w:t>
            </w:r>
          </w:p>
        </w:tc>
        <w:tc>
          <w:tcPr/>
          <w:p>
            <w:pPr>
              <w:pStyle w:val="Compact"/>
              <w:spacing w:before="20" w:after="20" w:line="240" w:lineRule="auto"/>
              <w:jc w:val="center"/>
            </w:pPr>
            <w:r>
              <w:t xml:space="preserve">−0.0203***</w:t>
            </w:r>
          </w:p>
        </w:tc>
        <w:tc>
          <w:tcPr/>
          <w:p>
            <w:pPr>
              <w:pStyle w:val="Compact"/>
              <w:spacing w:before="20" w:after="20" w:line="240" w:lineRule="auto"/>
              <w:jc w:val="center"/>
            </w:pPr>
            <w:r>
              <w:t xml:space="preserve">（−9.1780）</w:t>
            </w:r>
          </w:p>
        </w:tc>
      </w:tr>
      <w:tr>
        <w:trPr>
          <w:cantSplit/>
        </w:trPr>
        <w:tc>
          <w:tcPr/>
          <w:p>
            <w:pPr>
              <w:pStyle w:val="Compact"/>
              <w:spacing w:before="20" w:after="20" w:line="240" w:lineRule="auto"/>
              <w:jc w:val="center"/>
            </w:pPr>
            <w:r>
              <w:rPr>
                <w:iCs/>
                <w:i/>
              </w:rPr>
              <w:t xml:space="preserve">aging</w:t>
            </w:r>
            <w:r>
              <w:t xml:space="preserve">×</w:t>
            </w:r>
            <w:r>
              <w:rPr>
                <w:iCs/>
                <w:i/>
              </w:rPr>
              <w:t xml:space="preserve">I</w:t>
            </w:r>
            <w:r>
              <w:t xml:space="preserve">(</w:t>
            </w:r>
            <w:r>
              <w:rPr>
                <w:iCs/>
                <w:i/>
              </w:rPr>
              <w:t xml:space="preserve">rd</w:t>
            </w:r>
            <w:r>
              <w:t xml:space="preserve">&gt;2.2323)</w:t>
            </w:r>
          </w:p>
        </w:tc>
        <w:tc>
          <w:tcPr/>
          <w:p>
            <w:pPr>
              <w:pStyle w:val="Compact"/>
              <w:spacing w:before="20" w:after="20" w:line="240" w:lineRule="auto"/>
              <w:jc w:val="center"/>
            </w:pPr>
            <w:r>
              <w:t xml:space="preserve">−0.0109***</w:t>
            </w:r>
          </w:p>
        </w:tc>
        <w:tc>
          <w:tcPr/>
          <w:p>
            <w:pPr>
              <w:pStyle w:val="Compact"/>
              <w:spacing w:before="20" w:after="20" w:line="240" w:lineRule="auto"/>
              <w:jc w:val="center"/>
            </w:pPr>
            <w:r>
              <w:t xml:space="preserve">（−3.7919）</w:t>
            </w:r>
          </w:p>
        </w:tc>
      </w:tr>
      <w:tr>
        <w:trPr>
          <w:cantSplit/>
        </w:trPr>
        <w:tc>
          <w:tcPr/>
          <w:p>
            <w:pPr>
              <w:pStyle w:val="Compact"/>
              <w:spacing w:before="20" w:after="20" w:line="240" w:lineRule="auto"/>
              <w:jc w:val="center"/>
            </w:pPr>
            <w:r>
              <w:t xml:space="preserve">邻近地区老龄化水平</w:t>
            </w:r>
          </w:p>
        </w:tc>
        <w:tc>
          <w:tcPr/>
          <w:p>
            <w:pPr>
              <w:pStyle w:val="Compact"/>
              <w:spacing w:before="20" w:after="20" w:line="240" w:lineRule="auto"/>
              <w:jc w:val="center"/>
            </w:pPr>
            <w:r>
              <w:t xml:space="preserve">−0.0169***</w:t>
            </w:r>
          </w:p>
        </w:tc>
        <w:tc>
          <w:tcPr/>
          <w:p>
            <w:pPr>
              <w:pStyle w:val="Compact"/>
              <w:spacing w:before="20" w:after="20" w:line="240" w:lineRule="auto"/>
              <w:jc w:val="center"/>
            </w:pPr>
            <w:r>
              <w:t xml:space="preserve">（−4.0199）</w:t>
            </w:r>
          </w:p>
        </w:tc>
      </w:tr>
      <w:tr>
        <w:trPr>
          <w:cantSplit/>
        </w:trP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p>
        </w:tc>
      </w:tr>
      <w:tr>
        <w:trPr>
          <w:cantSplit/>
        </w:trPr>
        <w:tc>
          <w:tcPr/>
          <w:p>
            <w:pPr>
              <w:pStyle w:val="Compact"/>
              <w:spacing w:before="20" w:after="20" w:line="240" w:lineRule="auto"/>
              <w:jc w:val="center"/>
            </w:pPr>
            <w:r>
              <w:t xml:space="preserve">双向固定效应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390</w:t>
            </w: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R</w:t>
            </w:r>
            <w:r>
              <w:t xml:space="preserve">²</w:t>
            </w:r>
          </w:p>
        </w:tc>
        <w:tc>
          <w:tcPr/>
          <w:p>
            <w:pPr>
              <w:pStyle w:val="Compact"/>
              <w:spacing w:before="20" w:after="20" w:line="240" w:lineRule="auto"/>
              <w:jc w:val="center"/>
            </w:pPr>
            <w:r>
              <w:t xml:space="preserve">0.6291</w:t>
            </w:r>
          </w:p>
        </w:tc>
        <w:tc>
          <w:tcPr/>
          <w:p>
            <w:pPr>
              <w:pStyle w:val="Compact"/>
              <w:spacing w:before="20" w:after="20" w:line="240" w:lineRule="auto"/>
              <w:jc w:val="center"/>
            </w:pPr>
          </w:p>
        </w:tc>
      </w:tr>
    </w:tbl>
    <w:p>
      <w:pPr>
        <w:pStyle w:val="TableNote"/>
      </w:pPr>
      <w:r>
        <w:t xml:space="preserve">注：单一门槛与双重门槛检验的自助抽样次数为500次，三重门槛检验为800次，自助样本均在相应的原假设模型下生成。</w:t>
      </w:r>
    </w:p>
    <w:p>
      <w:pPr>
        <w:pStyle w:val="CaptionedFigure"/>
      </w:pPr>
      <w:r>
        <w:drawing>
          <wp:inline>
            <wp:extent cx="5688000" cy="2051834"/>
            <wp:effectExtent b="0" l="0" r="0" t="0"/>
            <wp:docPr descr="图2 门槛值估计的似然比统计量曲线" title="" id="38" name="Picture"/>
            <a:graphic>
              <a:graphicData uri="http://schemas.openxmlformats.org/drawingml/2006/picture">
                <pic:pic>
                  <pic:nvPicPr>
                    <pic:cNvPr descr="p4_fig2.png" id="39" name="Picture"/>
                    <pic:cNvPicPr>
                      <a:picLocks noChangeArrowheads="1" noChangeAspect="1"/>
                    </pic:cNvPicPr>
                  </pic:nvPicPr>
                  <pic:blipFill>
                    <a:blip r:embed="rId37"/>
                    <a:stretch>
                      <a:fillRect/>
                    </a:stretch>
                  </pic:blipFill>
                  <pic:spPr bwMode="auto">
                    <a:xfrm>
                      <a:off x="0" y="0"/>
                      <a:ext cx="5688000" cy="2051834"/>
                    </a:xfrm>
                    <a:prstGeom prst="rect">
                      <a:avLst/>
                    </a:prstGeom>
                    <a:noFill/>
                    <a:ln w="9525">
                      <a:noFill/>
                      <a:headEnd/>
                      <a:tailEnd/>
                    </a:ln>
                  </pic:spPr>
                </pic:pic>
              </a:graphicData>
            </a:graphic>
          </wp:inline>
        </w:drawing>
      </w:r>
    </w:p>
    <w:p>
      <w:pPr>
        <w:pStyle w:val="ImageCaption"/>
      </w:pPr>
      <w:r>
        <w:t xml:space="preserve">图2 门槛值估计的似然比统计量曲线</w:t>
      </w:r>
    </w:p>
    <w:bookmarkEnd w:id="40"/>
    <w:bookmarkStart w:id="41" w:name="机制检验与异质性分析"/>
    <w:p>
      <w:pPr>
        <w:pStyle w:val="Heading2"/>
      </w:pPr>
      <w:r>
        <w:t xml:space="preserve">3.7 机制检验与异质性分析</w:t>
      </w:r>
    </w:p>
    <w:p>
      <w:pPr>
        <w:pStyle w:val="FirstParagraph"/>
      </w:pPr>
      <w:r>
        <w:t xml:space="preserve">参照江艇（2022）</w:t>
      </w:r>
      <w:r>
        <w:rPr>
          <w:vertAlign w:val="superscript"/>
        </w:rPr>
        <w:t xml:space="preserve">[19]</w:t>
      </w:r>
      <w:r>
        <w:t xml:space="preserve">提出的两步法，本文仅检验人口老龄化对机制变量的因果效应，机制变量与全要素生产率之间的关系依据理论与既有文献予以论证。表9第（1）至第（3）列显示，老龄化对劳动参与率的系数为−0.6311，对机器人渗透度的系数为0.3205，对人力资本的系数为0.0427，三者均在1%的水平上显著。这表明：老龄化率每提高1个百分点，劳动参与率下降0.63个百分点，构成抑制生产率的主导渠道；与此同时，机器人渗透度提高0.32台/万人、平均受教育年限延长0.04年，印证了Acemoglu和Restrepo（2022）</w:t>
      </w:r>
      <w:r>
        <w:rPr>
          <w:vertAlign w:val="superscript"/>
        </w:rPr>
        <w:t xml:space="preserve">[2]</w:t>
      </w:r>
      <w:r>
        <w:t xml:space="preserve">的诱致性创新假说与”数量—质量”权衡机制。结合既有研究关于劳动投入收缩降低产能利用效率、自动化替代与人力资本深化提升生产率的结论</w:t>
      </w:r>
      <w:r>
        <w:rPr>
          <w:vertAlign w:val="superscript"/>
        </w:rPr>
        <w:t xml:space="preserve">[7,8,5]</w:t>
      </w:r>
      <w:r>
        <w:t xml:space="preserve">，可以认为老龄化的净效应是负向渠道占优、正向渠道部分对冲的结果，假设3得到验证。</w:t>
      </w:r>
    </w:p>
    <w:p>
      <w:pPr>
        <w:pStyle w:val="BodyText"/>
      </w:pPr>
      <w:r>
        <w:t xml:space="preserve">表9第（4）列报告了区域异质性检验结果。东部、中部与西部地区老龄化的系数分别为−0.0080、−0.0106与−0.0182，抑制作用由东向西依次增强；东部与西部的组间差异为0.0102，对应</w:t>
      </w:r>
      <w:r>
        <w:rPr>
          <w:iCs/>
          <w:i/>
        </w:rPr>
        <w:t xml:space="preserve">Z</w:t>
      </w:r>
      <w:r>
        <w:t xml:space="preserve">值为1.9396、</w:t>
      </w:r>
      <w:r>
        <w:rPr>
          <w:iCs/>
          <w:i/>
        </w:rPr>
        <w:t xml:space="preserve">P</w:t>
      </w:r>
      <w:r>
        <w:t xml:space="preserve">值为0.0524，在10%的水平上显著。这一梯度与三大区域的研发强度均值（东部2.1997%、中部1.5196%、西部1.3311%）恰好相反，与门槛效应的结论相互印证：技术能力越强的地区，越有能力通过自动化替代与人力资本深化缓冲老龄化的冲击。</w:t>
      </w:r>
    </w:p>
    <w:p>
      <w:pPr>
        <w:pStyle w:val="TableCaption"/>
      </w:pPr>
      <w:r>
        <w:t xml:space="preserve">表9 机制检验与区域异质性检验结果</w:t>
      </w:r>
    </w:p>
    <w:tbl>
      <w:tblPr>
        <w:tblStyle w:val="Table"/>
        <w:jc w:val="center"/>
        <w:tblLook w:firstRow="1" w:lastRow="0" w:firstColumn="0" w:lastColumn="0" w:noHBand="0" w:noVBand="0" w:val="0020"/>
        <w:tblCaption w:val="表9 机制检验与区域异质性检验结果"/>
        <w:tblW w:w="5000" w:type="pct"/>
        <w:tblLayout w:type="autofit"/>
      </w:tblPr>
      <w:tblGrid>
        <w:gridCol w:w="1584"/>
        <w:gridCol w:w="1584"/>
        <w:gridCol w:w="1584"/>
        <w:gridCol w:w="1584"/>
        <w:gridCol w:w="1584"/>
      </w:tblGrid>
      <w:tr>
        <w:trPr>
          <w:tblHeader w:val="true"/>
          <w:cantSplit/>
          <w:tblHeader/>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w:t>
            </w:r>
            <w:r>
              <w:rPr>
                <w:iCs/>
                <w:i/>
              </w:rPr>
              <w:t xml:space="preserve">lfp</w:t>
            </w:r>
          </w:p>
        </w:tc>
        <w:tc>
          <w:tcPr/>
          <w:p>
            <w:pPr>
              <w:pStyle w:val="Compact"/>
              <w:spacing w:before="20" w:after="20" w:line="240" w:lineRule="auto"/>
              <w:jc w:val="center"/>
            </w:pPr>
            <w:r>
              <w:t xml:space="preserve">（2）</w:t>
            </w:r>
            <w:r>
              <w:rPr>
                <w:iCs/>
                <w:i/>
              </w:rPr>
              <w:t xml:space="preserve">robot</w:t>
            </w:r>
          </w:p>
        </w:tc>
        <w:tc>
          <w:tcPr/>
          <w:p>
            <w:pPr>
              <w:pStyle w:val="Compact"/>
              <w:spacing w:before="20" w:after="20" w:line="240" w:lineRule="auto"/>
              <w:jc w:val="center"/>
            </w:pPr>
            <w:r>
              <w:t xml:space="preserve">（3）</w:t>
            </w:r>
            <w:r>
              <w:rPr>
                <w:iCs/>
                <w:i/>
              </w:rPr>
              <w:t xml:space="preserve">hc</w:t>
            </w:r>
          </w:p>
        </w:tc>
        <w:tc>
          <w:tcPr/>
          <w:p>
            <w:pPr>
              <w:pStyle w:val="Compact"/>
              <w:spacing w:before="20" w:after="20" w:line="240" w:lineRule="auto"/>
              <w:jc w:val="center"/>
            </w:pPr>
            <w:r>
              <w:t xml:space="preserve">（4）区域异质性（</w:t>
            </w:r>
            <w:r>
              <w:rPr>
                <w:iCs/>
                <w:i/>
              </w:rPr>
              <w:t xml:space="preserve">lntfp</w:t>
            </w:r>
            <w:r>
              <w:t xml:space="preserve">）</w:t>
            </w:r>
          </w:p>
        </w:tc>
      </w:tr>
      <w:tr>
        <w:trPr>
          <w:cantSplit/>
        </w:trPr>
        <w:tc>
          <w:tcPr/>
          <w:p>
            <w:pPr>
              <w:pStyle w:val="Compact"/>
              <w:spacing w:before="20" w:after="20" w:line="240" w:lineRule="auto"/>
              <w:jc w:val="center"/>
            </w:pPr>
            <w:r>
              <w:rPr>
                <w:iCs/>
                <w:i/>
              </w:rPr>
              <w:t xml:space="preserve">aging</w:t>
            </w:r>
          </w:p>
        </w:tc>
        <w:tc>
          <w:tcPr/>
          <w:p>
            <w:pPr>
              <w:pStyle w:val="Compact"/>
              <w:spacing w:before="20" w:after="20" w:line="240" w:lineRule="auto"/>
              <w:jc w:val="center"/>
            </w:pPr>
            <w:r>
              <w:t xml:space="preserve">−0.6311***</w:t>
            </w:r>
          </w:p>
        </w:tc>
        <w:tc>
          <w:tcPr/>
          <w:p>
            <w:pPr>
              <w:pStyle w:val="Compact"/>
              <w:spacing w:before="20" w:after="20" w:line="240" w:lineRule="auto"/>
              <w:jc w:val="center"/>
            </w:pPr>
            <w:r>
              <w:t xml:space="preserve">0.3205***</w:t>
            </w:r>
          </w:p>
        </w:tc>
        <w:tc>
          <w:tcPr/>
          <w:p>
            <w:pPr>
              <w:pStyle w:val="Compact"/>
              <w:spacing w:before="20" w:after="20" w:line="240" w:lineRule="auto"/>
              <w:jc w:val="center"/>
            </w:pPr>
            <w:r>
              <w:t xml:space="preserve">0.0427***</w:t>
            </w:r>
          </w:p>
        </w:tc>
        <w:tc>
          <w:tcPr/>
          <w:p>
            <w:pPr>
              <w:pStyle w:val="Compact"/>
              <w:spacing w:before="20" w:after="20" w:line="240" w:lineRule="auto"/>
              <w:jc w:val="center"/>
            </w:pPr>
          </w:p>
        </w:tc>
      </w:tr>
      <w:tr>
        <w:trPr>
          <w:cantSplit/>
        </w:trPr>
        <w:tc>
          <w:tcPr/>
          <w:p>
            <w:pPr>
              <w:pStyle w:val="Compact"/>
              <w:spacing w:before="20" w:after="20" w:line="240" w:lineRule="auto"/>
              <w:jc w:val="center"/>
            </w:pPr>
          </w:p>
        </w:tc>
        <w:tc>
          <w:tcPr/>
          <w:p>
            <w:pPr>
              <w:pStyle w:val="Compact"/>
              <w:spacing w:before="20" w:after="20" w:line="240" w:lineRule="auto"/>
              <w:jc w:val="center"/>
            </w:pPr>
            <w:r>
              <w:t xml:space="preserve">（−9.7664）</w:t>
            </w:r>
          </w:p>
        </w:tc>
        <w:tc>
          <w:tcPr/>
          <w:p>
            <w:pPr>
              <w:pStyle w:val="Compact"/>
              <w:spacing w:before="20" w:after="20" w:line="240" w:lineRule="auto"/>
              <w:jc w:val="center"/>
            </w:pPr>
            <w:r>
              <w:t xml:space="preserve">（7.0001）</w:t>
            </w:r>
          </w:p>
        </w:tc>
        <w:tc>
          <w:tcPr/>
          <w:p>
            <w:pPr>
              <w:pStyle w:val="Compact"/>
              <w:spacing w:before="20" w:after="20" w:line="240" w:lineRule="auto"/>
              <w:jc w:val="center"/>
            </w:pPr>
            <w:r>
              <w:t xml:space="preserve">（7.2837）</w:t>
            </w:r>
          </w:p>
        </w:tc>
        <w:tc>
          <w:tcPr/>
          <w:p>
            <w:pPr>
              <w:pStyle w:val="Compact"/>
              <w:spacing w:before="20" w:after="20" w:line="240" w:lineRule="auto"/>
              <w:jc w:val="center"/>
            </w:pPr>
          </w:p>
        </w:tc>
      </w:tr>
      <w:tr>
        <w:trPr>
          <w:cantSplit/>
        </w:trPr>
        <w:tc>
          <w:tcPr/>
          <w:p>
            <w:pPr>
              <w:pStyle w:val="Compact"/>
              <w:spacing w:before="20" w:after="20" w:line="240" w:lineRule="auto"/>
              <w:jc w:val="center"/>
            </w:pPr>
            <w:r>
              <w:rPr>
                <w:iCs/>
                <w:i/>
              </w:rPr>
              <w:t xml:space="preserve">aging</w:t>
            </w:r>
            <w:r>
              <w:t xml:space="preserve">×东部</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−0.0080</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（−1.2480）</w:t>
            </w:r>
          </w:p>
        </w:tc>
      </w:tr>
      <w:tr>
        <w:trPr>
          <w:cantSplit/>
        </w:trPr>
        <w:tc>
          <w:tcPr/>
          <w:p>
            <w:pPr>
              <w:pStyle w:val="Compact"/>
              <w:spacing w:before="20" w:after="20" w:line="240" w:lineRule="auto"/>
              <w:jc w:val="center"/>
            </w:pPr>
            <w:r>
              <w:rPr>
                <w:iCs/>
                <w:i/>
              </w:rPr>
              <w:t xml:space="preserve">aging</w:t>
            </w:r>
            <w:r>
              <w:t xml:space="preserve">×中部</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−0.0106*</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（−1.7511）</w:t>
            </w:r>
          </w:p>
        </w:tc>
      </w:tr>
      <w:tr>
        <w:trPr>
          <w:cantSplit/>
        </w:trPr>
        <w:tc>
          <w:tcPr/>
          <w:p>
            <w:pPr>
              <w:pStyle w:val="Compact"/>
              <w:spacing w:before="20" w:after="20" w:line="240" w:lineRule="auto"/>
              <w:jc w:val="center"/>
            </w:pPr>
            <w:r>
              <w:rPr>
                <w:iCs/>
                <w:i/>
              </w:rPr>
              <w:t xml:space="preserve">aging</w:t>
            </w:r>
            <w:r>
              <w:t xml:space="preserve">×西部</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−0.0182***</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（−4.8472）</w:t>
            </w:r>
          </w:p>
        </w:tc>
      </w:tr>
      <w:tr>
        <w:trPr>
          <w:cantSplit/>
        </w:trPr>
        <w:tc>
          <w:tcPr/>
          <w:p>
            <w:pPr>
              <w:pStyle w:val="Compact"/>
              <w:spacing w:before="20" w:after="20" w:line="240" w:lineRule="auto"/>
              <w:jc w:val="center"/>
            </w:pPr>
            <w:r>
              <w:t xml:space="preserve">邻近地区老龄化水平</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−0.0175**</w:t>
            </w:r>
          </w:p>
        </w:tc>
      </w:tr>
      <w:tr>
        <w:trPr>
          <w:cantSplit/>
        </w:trP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（−2.4840）</w:t>
            </w:r>
          </w:p>
        </w:tc>
      </w:tr>
      <w:tr>
        <w:trPr>
          <w:cantSplit/>
        </w:trP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t xml:space="preserve">双向固定效应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rPr>
          <w:cantSplit/>
        </w:trP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c>
          <w:tcPr/>
          <w:p>
            <w:pPr>
              <w:pStyle w:val="Compact"/>
              <w:spacing w:before="20" w:after="20" w:line="240" w:lineRule="auto"/>
              <w:jc w:val="center"/>
            </w:pPr>
            <w:r>
              <w:t xml:space="preserve">390</w:t>
            </w:r>
          </w:p>
        </w:tc>
      </w:tr>
      <w:tr>
        <w:trPr>
          <w:cantSplit/>
        </w:trPr>
        <w:tc>
          <w:tcPr/>
          <w:p>
            <w:pPr>
              <w:pStyle w:val="Compact"/>
              <w:spacing w:before="20" w:after="20" w:line="240" w:lineRule="auto"/>
              <w:jc w:val="center"/>
            </w:pPr>
            <w:r>
              <w:rPr>
                <w:iCs/>
                <w:i/>
              </w:rPr>
              <w:t xml:space="preserve">R</w:t>
            </w:r>
            <w:r>
              <w:t xml:space="preserve">²</w:t>
            </w:r>
          </w:p>
        </w:tc>
        <w:tc>
          <w:tcPr/>
          <w:p>
            <w:pPr>
              <w:pStyle w:val="Compact"/>
              <w:spacing w:before="20" w:after="20" w:line="240" w:lineRule="auto"/>
              <w:jc w:val="center"/>
            </w:pPr>
            <w:r>
              <w:t xml:space="preserve">0.2544</w:t>
            </w:r>
          </w:p>
        </w:tc>
        <w:tc>
          <w:tcPr/>
          <w:p>
            <w:pPr>
              <w:pStyle w:val="Compact"/>
              <w:spacing w:before="20" w:after="20" w:line="240" w:lineRule="auto"/>
              <w:jc w:val="center"/>
            </w:pPr>
            <w:r>
              <w:t xml:space="preserve">0.2056</w:t>
            </w:r>
          </w:p>
        </w:tc>
        <w:tc>
          <w:tcPr/>
          <w:p>
            <w:pPr>
              <w:pStyle w:val="Compact"/>
              <w:spacing w:before="20" w:after="20" w:line="240" w:lineRule="auto"/>
              <w:jc w:val="center"/>
            </w:pPr>
            <w:r>
              <w:t xml:space="preserve">0.3374</w:t>
            </w:r>
          </w:p>
        </w:tc>
        <w:tc>
          <w:tcPr/>
          <w:p>
            <w:pPr>
              <w:pStyle w:val="Compact"/>
              <w:spacing w:before="20" w:after="20" w:line="240" w:lineRule="auto"/>
              <w:jc w:val="center"/>
            </w:pPr>
            <w:r>
              <w:t xml:space="preserve">0.3024</w:t>
            </w:r>
          </w:p>
        </w:tc>
      </w:tr>
    </w:tbl>
    <w:p>
      <w:pPr>
        <w:pStyle w:val="TableNote"/>
      </w:pPr>
      <w:r>
        <w:t xml:space="preserve">注：第（4）列以全样本分组系数模型识别区域异质性；东部与西部、中部与西部、东部与中部的组间差异检验</w:t>
      </w:r>
      <w:r>
        <w:rPr>
          <w:iCs/>
          <w:i/>
        </w:rPr>
        <w:t xml:space="preserve">Z</w:t>
      </w:r>
      <w:r>
        <w:t xml:space="preserve">值分别为1.9396、1.4908与0.4128，对应</w:t>
      </w:r>
      <w:r>
        <w:rPr>
          <w:iCs/>
          <w:i/>
        </w:rPr>
        <w:t xml:space="preserve">P</w:t>
      </w:r>
      <w:r>
        <w:t xml:space="preserve">值分别为0.0524、0.1360与0.6798。</w:t>
      </w:r>
    </w:p>
    <w:bookmarkEnd w:id="41"/>
    <w:bookmarkEnd w:id="42"/>
    <w:bookmarkStart w:id="45" w:name="结论与建议"/>
    <w:p>
      <w:pPr>
        <w:pStyle w:val="Heading1"/>
      </w:pPr>
      <w:r>
        <w:t xml:space="preserve">4 结论与建议</w:t>
      </w:r>
    </w:p>
    <w:bookmarkStart w:id="43" w:name="研究结论"/>
    <w:p>
      <w:pPr>
        <w:pStyle w:val="Heading2"/>
      </w:pPr>
      <w:r>
        <w:t xml:space="preserve">4.1 研究结论</w:t>
      </w:r>
    </w:p>
    <w:p>
      <w:pPr>
        <w:pStyle w:val="FirstParagraph"/>
      </w:pPr>
      <w:r>
        <w:t xml:space="preserve">本文基于2011—2023年30个省份的面板数据，运用空间杜宾模型与面板门槛模型考察了人口老龄化对全要素生产率的影响。主要结论如下：第一，我国省域全要素生产率与人口老龄化均存在显著的正向空间自相关，LM检验、Hausman检验、LR检验与Wald检验一致支持时空双固定效应的空间杜宾模型设定。第二，效应分解显示，老龄化率每提高1个百分点，本地全要素生产率下降1.53%，邻近地区下降2.66%，总效应为下降4.18%，间接效应约为直接效应的1.74倍，忽略空间溢出会严重低估老龄化的生产率损失。第三，更换三类空间权重矩阵、替换被解释变量、缩尾处理、调整样本区间、动态空间杜宾模型以及基于历史人口结构工具变量的两阶段最小二乘与控制函数法检验均支持上述结论；控制函数项不显著，说明在控制双固定效应与一系列时变特征后，老龄化的内生性问题并不严重。第四，老龄化的抑制作用存在基于研发强度的双重门槛，门槛值为1.2786%与2.2323%，三个区制的系数依次为−0.0265、−0.0203与−0.0109，高研发强度区制的抑制作用仅为低研发强度区制的41.13%。第五，老龄化通过降低劳动参与率抑制生产率，同时诱致自动化替代与人力资本深化形成部分对冲；抑制作用在西部地区最强、东部地区最弱，与三大区域研发强度的排序恰好相反。</w:t>
      </w:r>
    </w:p>
    <w:bookmarkEnd w:id="43"/>
    <w:bookmarkStart w:id="44" w:name="政策建议"/>
    <w:p>
      <w:pPr>
        <w:pStyle w:val="Heading2"/>
      </w:pPr>
      <w:r>
        <w:t xml:space="preserve">4.2 政策建议</w:t>
      </w:r>
    </w:p>
    <w:p>
      <w:pPr>
        <w:pStyle w:val="FirstParagraph"/>
      </w:pPr>
      <w:r>
        <w:t xml:space="preserve">第一，将应对人口老龄化的政策设计置于跨区域协同的框架之中。鉴于老龄化的生产率损失主要以空间外溢的形式实现，单一省份的应对措施难以内部化其全部收益，应在城市群与经济区层面统筹推进养老服务体系共建、劳动力市场一体化与产业链协同布局，避免各地在劳动力争夺中形成”以邻为壑”的负和竞争。</w:t>
      </w:r>
    </w:p>
    <w:p>
      <w:pPr>
        <w:pStyle w:val="BodyText"/>
      </w:pPr>
      <w:r>
        <w:t xml:space="preserve">第二，把提升研发强度作为对冲老龄化冲击的战略着力点。门槛检验表明，研发强度跨越1.28%与2.23%两个临界值后，老龄化的抑制作用显著减弱。对研发强度仍处于第一区制的省份，应通过财政科技投入引导、研发费用加计扣除与创新平台建设等方式尽快推动其跨越第一门槛；对已进入第二区制的省份，则应着力提升研发投入的质量与转化效率，争取跨越第二门槛。</w:t>
      </w:r>
    </w:p>
    <w:p>
      <w:pPr>
        <w:pStyle w:val="BodyText"/>
      </w:pPr>
      <w:r>
        <w:t xml:space="preserve">第三，畅通自动化替代与人力资本深化两条对冲渠道。一方面，加大对智能制造与工业机器人应用的支持力度，重点面向劳动力短缺突出的行业推广”机器换人”，同时完善劳动者转岗培训与社会保障衔接；另一方面，持续提高教育投入与职业技能培训的覆盖面，以人力资本质量的提升弥补劳动数量的不足，并通过渐进式延迟退休、发展银发经济等举措挖掘老年人力资源潜力，缓解劳动参与率的下行压力。</w:t>
      </w:r>
    </w:p>
    <w:p>
      <w:pPr>
        <w:pStyle w:val="BodyText"/>
      </w:pPr>
      <w:r>
        <w:t xml:space="preserve">第四，实施区域差异化的应对策略。西部地区老龄化的生产率损失最为严重且研发基础薄弱，应通过中央财政转移支付、东西部科技协作与人才定向支持等方式加快其技术能力建设；东部地区则应发挥技术优势，在自动化替代与老龄产业创新方面先行先试，并通过技术扩散带动中西部地区的能力提升。</w:t>
      </w:r>
    </w:p>
    <w:p>
      <w:pPr>
        <w:pStyle w:val="BodyText"/>
      </w:pPr>
      <w:r>
        <w:t xml:space="preserve">本文尚存在可拓展之处：受省级数据可得性限制，本文未能刻画老龄化影响的行业异质性与企业层面微观机制；此外，空间权重矩阵的设定虽已作多重稳健性检验，但劳动力流动网络等社会经济联系矩阵可能提供更贴合理论机制的空间结构，有待后续研究进一步探索。</w:t>
      </w:r>
    </w:p>
    <w:p>
      <w:pPr>
        <w:pStyle w:val="RefItem"/>
      </w:pPr>
      <w:r>
        <w:t xml:space="preserve">[1]柏培文,张云.数字经济、人口红利下降与中低技能劳动者权益[J].经济研究,2021(5).</w:t>
      </w:r>
    </w:p>
    <w:p>
      <w:pPr>
        <w:pStyle w:val="RefItem"/>
      </w:pPr>
      <w:r>
        <w:t xml:space="preserve">[2]Acemoglu D, Restrepo P. Demographics and Automation[J]. The Review of Economic Studies, 2022, 89(1).</w:t>
      </w:r>
    </w:p>
    <w:p>
      <w:pPr>
        <w:pStyle w:val="RefItem"/>
      </w:pPr>
      <w:r>
        <w:t xml:space="preserve">[3]胡鞍钢,刘生龙,马振国.人口老龄化、人口增长与经济增长——来自中国省际面板数据的实证证据[J].人口研究,2012,36(3).</w:t>
      </w:r>
    </w:p>
    <w:p>
      <w:pPr>
        <w:pStyle w:val="RefItem"/>
      </w:pPr>
      <w:r>
        <w:t xml:space="preserve">[4]汪伟,王春超.人口转变、人口红利与人口老龄化[J].浙江社会科学,2025(4).</w:t>
      </w:r>
    </w:p>
    <w:p>
      <w:pPr>
        <w:pStyle w:val="RefItem"/>
      </w:pPr>
      <w:r>
        <w:t xml:space="preserve">[5]Maestas N, Mullen K J, Powell D. The Effect of Population Aging on Economic Growth, the Labor Force, and Productivity[J]. American Economic Journal: Macroeconomics, 2023, 15(2).</w:t>
      </w:r>
    </w:p>
    <w:p>
      <w:pPr>
        <w:pStyle w:val="RefItem"/>
      </w:pPr>
      <w:r>
        <w:t xml:space="preserve">[6]沈可,李雅凝.中国的人口老龄化如何影响科技创新?——基于系统GMM方法与动态面板门槛模型的经验证据[J].人口研究,2021,45(4).</w:t>
      </w:r>
    </w:p>
    <w:p>
      <w:pPr>
        <w:pStyle w:val="RefItem"/>
      </w:pPr>
      <w:r>
        <w:t xml:space="preserve">[7]王永钦,董雯.机器人的兴起如何影响中国劳动力市场?——来自制造业上市公司的证据[J].经济研究,2020,55(10).</w:t>
      </w:r>
    </w:p>
    <w:p>
      <w:pPr>
        <w:pStyle w:val="RefItem"/>
      </w:pPr>
      <w:r>
        <w:t xml:space="preserve">[8]Dauth W, Findeisen S, Suedekum J, et al. The Adjustment of Labor Markets to Robots[J]. Journal of the European Economic Association, 2021, 19(6).</w:t>
      </w:r>
    </w:p>
    <w:p>
      <w:pPr>
        <w:pStyle w:val="RefItem"/>
      </w:pPr>
      <w:r>
        <w:t xml:space="preserve">[9]邵帅,范美婷,杨莉莉.经济结构调整、绿色技术进步与中国低碳转型发展——基于总体技术前沿和空间溢出效应视角的经验考察[J].管理世界,2022,38(2).</w:t>
      </w:r>
    </w:p>
    <w:p>
      <w:pPr>
        <w:pStyle w:val="RefItem"/>
      </w:pPr>
      <w:r>
        <w:t xml:space="preserve">[10]沈可,孙慧琳.人口老龄化对科技创新的空间效应与异质性影响——基于中国地级市面板数据的分析[J].人口研究,2024,48(2).</w:t>
      </w:r>
    </w:p>
    <w:p>
      <w:pPr>
        <w:pStyle w:val="RefItem"/>
      </w:pPr>
      <w:r>
        <w:t xml:space="preserve">[11]Acemoglu D, Restrepo P. The Race between Man and Machine: Implications of Technology for Growth, Factor Shares, and Employment[J]. American Economic Review, 2018, 108(6).</w:t>
      </w:r>
    </w:p>
    <w:p>
      <w:pPr>
        <w:pStyle w:val="RefItem"/>
      </w:pPr>
      <w:r>
        <w:t xml:space="preserve">[12]Lee L F, Yu J. Estimation of Spatial Autoregressive Panel Data Models with Fixed Effects[J]. Journal of Econometrics, 2010, 154(2).</w:t>
      </w:r>
    </w:p>
    <w:p>
      <w:pPr>
        <w:pStyle w:val="RefItem"/>
      </w:pPr>
      <w:r>
        <w:t xml:space="preserve">[13]LeSage J P, Pace R K. Introduction to Spatial Econometrics[M]. Boca Raton: Chapman &amp; Hall/CRC, 2009.</w:t>
      </w:r>
    </w:p>
    <w:p>
      <w:pPr>
        <w:pStyle w:val="RefItem"/>
      </w:pPr>
      <w:r>
        <w:t xml:space="preserve">[14]Hansen B E. Threshold Effects in Non-dynamic Panels: Estimation, Testing, and Inference[J]. Journal of Econometrics, 1999, 93(2).</w:t>
      </w:r>
    </w:p>
    <w:p>
      <w:pPr>
        <w:pStyle w:val="RefItem"/>
      </w:pPr>
      <w:r>
        <w:t xml:space="preserve">[15]秦建群,赵晶晶,王薇.数字经济对产业结构升级影响的中介效应与经验证据[J].统计与决策,2022,38(11).</w:t>
      </w:r>
    </w:p>
    <w:p>
      <w:pPr>
        <w:pStyle w:val="RefItem"/>
      </w:pPr>
      <w:r>
        <w:t xml:space="preserve">[16]邱子迅,周亚虹.数字经济发展与地区全要素生产率——基于国家级大数据综合试验区的分析[J].财经研究,2021,47(7).</w:t>
      </w:r>
    </w:p>
    <w:p>
      <w:pPr>
        <w:pStyle w:val="RefItem"/>
      </w:pPr>
      <w:r>
        <w:t xml:space="preserve">[17]Anselin L, Bera A K, Florax R, et al. Simple Diagnostic Tests for Spatial Dependence[J]. Regional Science and Urban Economics, 1996, 26(1).</w:t>
      </w:r>
    </w:p>
    <w:p>
      <w:pPr>
        <w:pStyle w:val="RefItem"/>
      </w:pPr>
      <w:r>
        <w:t xml:space="preserve">[18]Elhorst J P. Spatial Econometrics: From Cross-Sectional Data to Spatial Panels[M]. Berlin: Springer, 2014.</w:t>
      </w:r>
    </w:p>
    <w:p>
      <w:pPr>
        <w:pStyle w:val="RefItem"/>
      </w:pPr>
      <w:r>
        <w:t xml:space="preserve">[19]江艇.因果推断经验研究中的中介效应与调节效应[J].中国工业经济,2022(5).</w:t>
      </w:r>
    </w:p>
    <w:bookmarkEnd w:id="44"/>
    <w:bookmarkEnd w:id="45"/>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Rule="auto" w:line="360"/>
      <w:jc w:val="both"/>
    </w:pPr>
    <w:rPr>
      <w:rFonts w:ascii="Times New Roman" w:hAnsi="Times New Roman" w:eastAsia="宋体"/>
      <w:i w:val="0"/>
      <w:color w:val="000000"/>
      <w:sz w:val="21"/>
    </w:rPr>
  </w:style>
  <w:style w:styleId="BodyText" w:type="paragraph">
    <w:name w:val="Body Text"/>
    <w:basedOn w:val="Normal"/>
    <w:link w:val="BodyTextChar"/>
    <w:pPr>
      <w:spacing w:after="0" w:before="180" w:lineRule="auto" w:line="360"/>
      <w:ind w:firstLine="420"/>
      <w:jc w:val="both"/>
    </w:pPr>
    <w:qFormat/>
    <w:rPr>
      <w:rFonts w:ascii="Times New Roman" w:hAnsi="Times New Roman" w:eastAsia="宋体"/>
      <w:i w:val="0"/>
      <w:color w:val="000000"/>
      <w:sz w:val="21"/>
    </w:rPr>
  </w:style>
  <w:style w:customStyle="1" w:styleId="FirstParagraph" w:type="paragraph">
    <w:name w:val="First Paragraph"/>
    <w:basedOn w:val="BodyText"/>
    <w:next w:val="BodyText"/>
    <w:qFormat/>
    <w:pPr>
      <w:spacing w:after="0" w:lineRule="auto" w:line="360"/>
      <w:ind w:firstLine="420"/>
      <w:jc w:val="both"/>
    </w:pPr>
    <w:rPr>
      <w:rFonts w:ascii="Times New Roman" w:hAnsi="Times New Roman" w:eastAsia="宋体"/>
      <w:i w:val="0"/>
      <w:color w:val="000000"/>
      <w:sz w:val="21"/>
    </w:rPr>
  </w:style>
  <w:style w:customStyle="1" w:styleId="Compact" w:type="paragraph">
    <w:name w:val="Compact"/>
    <w:basedOn w:val="BodyText"/>
    <w:qFormat/>
    <w:pPr>
      <w:spacing w:after="20" w:before="20" w:lineRule="auto" w:line="288"/>
      <w:ind w:firstLine="0"/>
      <w:jc w:val="center"/>
    </w:pPr>
    <w:rPr>
      <w:rFonts w:ascii="Times New Roman" w:hAnsi="Times New Roman" w:eastAsia="宋体"/>
      <w:b w:val="0"/>
      <w:i w:val="0"/>
      <w:color w:val="000000"/>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0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24"/>
      <w:szCs w:val="32"/>
    </w:rPr>
  </w:style>
  <w:style w:styleId="Heading2" w:type="paragraph">
    <w:name w:val="Heading 2"/>
    <w:basedOn w:val="Normal"/>
    <w:next w:val="BodyText"/>
    <w:uiPriority w:val="9"/>
    <w:unhideWhenUsed/>
    <w:qFormat/>
    <w:pPr>
      <w:keepNext/>
      <w:keepLines/>
      <w:spacing w:after="60" w:before="120" w:lineRule="auto" w:line="360"/>
      <w:ind w:firstLine="0"/>
      <w:jc w:val="left"/>
      <w:outlineLvl w:val="1"/>
    </w:pPr>
    <w:rPr>
      <w:rFonts w:asciiTheme="majorHAnsi" w:cstheme="majorBidi" w:eastAsiaTheme="majorEastAsia" w:hAnsiTheme="majorHAnsi" w:ascii="Times New Roman" w:hAnsi="Times New Roman" w:eastAsia="黑体"/>
      <w:b/>
      <w:bCs/>
      <w:i w:val="0"/>
      <w:color w:val="000000"/>
      <w:sz w:val="21"/>
      <w:szCs w:val="28"/>
    </w:rPr>
  </w:style>
  <w:style w:styleId="Heading3" w:type="paragraph">
    <w:name w:val="Heading 3"/>
    <w:basedOn w:val="Normal"/>
    <w:next w:val="BodyText"/>
    <w:uiPriority w:val="9"/>
    <w:unhideWhenUsed/>
    <w:qFormat/>
    <w:pPr>
      <w:keepNext/>
      <w:keepLines/>
      <w:spacing w:after="60" w:before="120" w:lineRule="auto" w:line="360"/>
      <w:ind w:firstLine="0"/>
      <w:jc w:val="left"/>
      <w:outlineLvl w:val="2"/>
    </w:pPr>
    <w:rPr>
      <w:rFonts w:asciiTheme="majorHAnsi" w:cstheme="majorBidi" w:eastAsiaTheme="majorEastAsia" w:hAnsiTheme="majorHAnsi" w:ascii="Times New Roman" w:hAnsi="Times New Roman" w:eastAsia="黑体"/>
      <w:b/>
      <w:bCs/>
      <w:i w:val="0"/>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i w:val="0"/>
      <w:color w:val="000000"/>
      <w:sz w:val="18"/>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i w:val="0"/>
      <w:color w:val="000000"/>
      <w:sz w:val="18"/>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18"/>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18"/>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6"/>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2026-07-27T00:38:11Z</dcterms:created>
  <dcterms:modified xsi:type="dcterms:W3CDTF">2026-07-27T00:38:11Z</dcterms:modified>
</cp:coreProperties>
</file>

<file path=docProps/custom.xml><?xml version="1.0" encoding="utf-8"?>
<Properties xmlns="http://schemas.openxmlformats.org/officeDocument/2006/custom-properties" xmlns:vt="http://schemas.openxmlformats.org/officeDocument/2006/docPropsVTypes"/>
</file>