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rFonts w:ascii="Times New Roman" w:hAnsi="Times New Roman" w:eastAsia="宋体"/>
          <w:b w:val="0"/>
          <w:sz w:val="32"/>
        </w:rPr>
        <w:t>国家社科基金后期资助项目</w:t>
      </w:r>
    </w:p>
    <w:p>
      <w:pPr>
        <w:spacing w:before="0" w:after="1200" w:line="360" w:lineRule="auto"/>
        <w:jc w:val="center"/>
      </w:pPr>
      <w:r>
        <w:rPr>
          <w:rFonts w:ascii="Times New Roman" w:hAnsi="Times New Roman" w:eastAsia="宋体"/>
          <w:b w:val="0"/>
          <w:sz w:val="32"/>
        </w:rPr>
        <w:t>申　报　成　果</w:t>
      </w:r>
    </w:p>
    <w:p>
      <w:pPr>
        <w:spacing w:before="0" w:after="120" w:line="360" w:lineRule="auto"/>
        <w:jc w:val="center"/>
      </w:pPr>
      <w:r>
        <w:rPr>
          <w:rFonts w:ascii="Times New Roman" w:hAnsi="Times New Roman" w:eastAsia="黑体"/>
          <w:b/>
          <w:sz w:val="44"/>
        </w:rPr>
        <w:t>全国统一大市场建设与“内卷式”竞争治理研究</w:t>
      </w:r>
    </w:p>
    <w:p>
      <w:pPr>
        <w:spacing w:before="0" w:after="1600" w:line="360" w:lineRule="auto"/>
        <w:jc w:val="center"/>
      </w:pPr>
      <w:r>
        <w:rPr>
          <w:rFonts w:ascii="Times New Roman" w:hAnsi="Times New Roman" w:eastAsia="黑体"/>
          <w:b/>
          <w:sz w:val="32"/>
        </w:rPr>
        <w:t>——基于“市场分割—内卷竞争—统一红利”的理论与实证</w:t>
      </w:r>
    </w:p>
    <w:p>
      <w:pPr>
        <w:spacing w:before="0" w:after="0" w:line="360" w:lineRule="auto"/>
        <w:jc w:val="center"/>
      </w:pPr>
      <w:r>
        <w:rPr>
          <w:rFonts w:ascii="Times New Roman" w:hAnsi="Times New Roman" w:eastAsia="宋体"/>
          <w:b w:val="0"/>
          <w:sz w:val="32"/>
        </w:rPr>
        <w:t>蔡鑫宇　著</w:t>
      </w:r>
    </w:p>
    <w:p>
      <w:r>
        <w:br w:type="page"/>
      </w:r>
    </w:p>
    <w:p>
      <w:pPr>
        <w:spacing w:before="0" w:after="240" w:line="360" w:lineRule="auto"/>
        <w:jc w:val="center"/>
      </w:pPr>
      <w:r>
        <w:rPr>
          <w:rFonts w:ascii="Times New Roman" w:hAnsi="Times New Roman" w:eastAsia="黑体"/>
          <w:b/>
          <w:sz w:val="30"/>
        </w:rPr>
        <w:t>目　　录</w:t>
      </w:r>
    </w:p>
    <w:p>
      <w:fldSimple w:instr=" TOC \o &quot;1-2&quot; \h \z \u ">
        <w:r>
          <w:t>（目录将在Word中打开时自动更新；如未更新请全选后按F9）</w:t>
        </w:r>
      </w:fldSimple>
    </w:p>
    <w:p>
      <w:r>
        <w:br w:type="page"/>
      </w:r>
    </w:p>
    <w:p>
      <w:pPr>
        <w:spacing w:before="240" w:after="280" w:line="360" w:lineRule="auto"/>
        <w:jc w:val="center"/>
        <w:outlineLvl w:val="0"/>
      </w:pPr>
      <w:r>
        <w:rPr>
          <w:rFonts w:ascii="Times New Roman" w:hAnsi="Times New Roman" w:eastAsia="黑体"/>
          <w:b/>
          <w:sz w:val="30"/>
        </w:rPr>
        <w:t>前言</w:t>
      </w:r>
    </w:p>
    <w:p>
      <w:pPr>
        <w:spacing w:before="0" w:after="0" w:line="360" w:lineRule="auto"/>
        <w:ind w:firstLineChars="200" w:firstLine="480"/>
      </w:pPr>
      <w:r>
        <w:rPr>
          <w:rFonts w:ascii="Times New Roman" w:hAnsi="Times New Roman" w:eastAsia="宋体"/>
          <w:b w:val="0"/>
          <w:sz w:val="24"/>
        </w:rPr>
        <w:t>这是一个增长引擎轰鸣而企业利润微薄的时代。据国家统计局数据，2025年中国国内生产总值达140.2万亿元，比上年增长5.0%，制造体系之完整、供给能力之强大举世罕见；然而，与宏观增长的稳健态势形成鲜明对照的，是价格的持续低迷与微观盈利的普遍收窄——工业生产者出厂价格指数（PPI）自2022年10月同比转负，至2025年12月已连续39个月负增长；工业产能利用率降至74.4%；规模以上工业企业营业收入利润率降至5.31%，处于2015年以来的低位；2025年规模以上工业企业营业收入增长1.1%，利润总额仅增长0.6%，“增收不增利”成为大量企业的共同境遇。行业层面的景象更为直观：光伏组件价格由2023年初的约1.9元/W跌至2024年年中的约0.8元/W（据中国机电产品进出口商会数据），有龙头企业出现上市以来首度年度亏损；汽车行业经历三年“价格战”，利润率降至4.1%的历史低位（据乘联分会测算）；外卖平台“补贴大战”一度将“0元购”式促销推向极致。增长的宏观成色与经营主体的微观感受之间，为何出现如此明显的温差？产能雄厚、市场广阔的超大规模经济体，为何会陷入“越降价越亏损、越亏损越降价”的竞争怪圈？这是摆在中国经济学者面前的时代之问。</w:t>
      </w:r>
    </w:p>
    <w:p>
      <w:pPr>
        <w:spacing w:before="0" w:after="0" w:line="360" w:lineRule="auto"/>
        <w:ind w:firstLineChars="200" w:firstLine="480"/>
      </w:pPr>
      <w:r>
        <w:rPr>
          <w:rFonts w:ascii="Times New Roman" w:hAnsi="Times New Roman" w:eastAsia="宋体"/>
          <w:b w:val="0"/>
          <w:sz w:val="24"/>
        </w:rPr>
        <w:t>对这一时代之问，党中央作出了系统回应。2022年4月，《中共中央 国务院关于加快建设全国统一大市场的意见》发布，统一大市场建设全面展开；2024年7月，中央政治局会议首次提出“强化行业自律，防止‘内卷式’恶性竞争”；2024年12月，中央经济工作会议部署“综合整治‘内卷式’竞争，规范地方政府和企业行为”；2025年7月，中央财经委员会第六次会议明确纵深推进全国统一大市场建设的“五统一、一开放”基本要求；党的二十届四中全会进一步强调“坚决破除阻碍全国统一大市场建设卡点堵点”；2025年12月，中央经济工作会议部署“制定全国统一大市场建设条例，深入整治‘内卷式’竞争”。耐人寻味的是，统一大市场建设与“内卷式”竞争治理这两项议程，为何被中央反复置于同一政策组合之中？本书的基本判断是：二者实为一体两面——市场分割是“内卷式”竞争最深层的制度根源，统一大市场建设则是治理“内卷”的治本之策。把这层关系在学理上讲清楚、在经验上证出来、在政策上落下去，就是本书的全部工作。</w:t>
      </w:r>
    </w:p>
    <w:p>
      <w:pPr>
        <w:spacing w:before="0" w:after="0" w:line="360" w:lineRule="auto"/>
        <w:ind w:firstLineChars="200" w:firstLine="480"/>
      </w:pPr>
      <w:r>
        <w:rPr>
          <w:rFonts w:ascii="Times New Roman" w:hAnsi="Times New Roman" w:eastAsia="宋体"/>
          <w:b w:val="0"/>
          <w:sz w:val="24"/>
        </w:rPr>
        <w:t>为此，本书提出并系统界定了一对相互对应的核心概念。“内卷化”原是人类学对农业社会“有增长而无发展”状态的刻画（Geertz，1963），本书将其转化为严格的经济学范畴，提出“内卷式竞争陷阱”：在市场分割与地方政府激励扭曲条件下，同质化过度进入、产能持续过剩、价格竞争向成本线以下收敛、创新回报被侵蚀、落后产能退出失灵相互强化，使经济锁定于低价格、低利润、低创新回报的低水平竞争均衡。与之对应，“统一市场红利”指破除分割之后，经由规模经济效应、选择效应、创新激励效应与预期秩序效应释放的增长与福利增量。在两个概念之间，本书架起“市场分割—内卷竞争—统一红利”的三环传导框架：市场分割使超大规模市场碎片化，企业平均规模难以达到最小有效规模；在“为增长而竞争”的地方激励下（刘志彪、孔令池，2021），补贴竞赛与重复建设推动同质产能过度积累；当需求约束收紧时，过剩产能只能以价格战的方式相互消耗，而退出机制失灵又使出清迟迟无法完成——“内卷”由此成为分割条件下的均衡现象，而非企业的非理性选择。反过来，统一市场通过扩大有效市场规模、硬化竞争纪律、畅通退出渠道，把企业之间的“价格内卷”转换为“质量与创新之争”，红利随之释放。</w:t>
      </w:r>
    </w:p>
    <w:p>
      <w:pPr>
        <w:spacing w:before="0" w:after="0" w:line="360" w:lineRule="auto"/>
        <w:ind w:firstLineChars="200" w:firstLine="480"/>
      </w:pPr>
      <w:r>
        <w:rPr>
          <w:rFonts w:ascii="Times New Roman" w:hAnsi="Times New Roman" w:eastAsia="宋体"/>
          <w:b w:val="0"/>
          <w:sz w:val="24"/>
        </w:rPr>
        <w:t>在研究方法上，本书坚持“理论—测度—因果—政策”四位一体的技术路线。理论层面，以两地区补贴竞争模型、分割市场过度进入模型与市场一体化选择—创新模型三个递进模型将三环框架数理化，并给出“统一红利”的福利分解与五个可检验命题。测度层面，基于31个省份2012—2024年面板数据，用相对价格法构造省域市场分割指数，从价格竞争烈度、产能冗余度、盈利侵蚀度、同质化程度与退出粘性五个维度以熵权法合成“内卷式竞争”强度指数，并编制统一大市场发展指数。实证层面，以双固定效应面板回归识别市场分割对“内卷”的推升作用，以两步法检验补贴竞争、产业同构与退出粘性三条渠道，以2016年公平竞争审查制度实施为准自然实验构造强度DID评估统一市场建设的“反内卷”效应与效率红利，并以地形起伏度、历史驿道密度等工具变量缓解内生性。跨国证据早已提示统一市场潜在收益之巨：国内贸易成本与迁移成本的下降，曾解释中国2000—2005年约36%的总劳动生产率增长（Tombe和Zhu，2019）。本书的前瞻测算亦表明，“十五五”时期若市场分割指数在2024年基础上再下降30%，五年累计可带来约2.6万亿—3.4万亿元的额外产出增量。</w:t>
      </w:r>
    </w:p>
    <w:p>
      <w:pPr>
        <w:spacing w:before="0" w:after="0" w:line="360" w:lineRule="auto"/>
        <w:ind w:firstLineChars="200" w:firstLine="480"/>
      </w:pPr>
      <w:r>
        <w:rPr>
          <w:rFonts w:ascii="Times New Roman" w:hAnsi="Times New Roman" w:eastAsia="宋体"/>
          <w:b w:val="0"/>
          <w:sz w:val="24"/>
        </w:rPr>
        <w:t>本书力求“顶天”与“立地”兼得。所谓“顶天”，是在概念与理论上作出边际贡献：让“内卷式竞争陷阱”与“统一市场红利”成为能够同既有竞争理论、财政联邦主义与新经济地理对话的本土化概念，让三环框架经得起数理推演与因果识别的双重检验。所谓“立地”，是让研究成果能够为政策实践所用：书中关于公平竞争审查刚性约束、招商引资清单管理、“内卷式”竞争综合整治工具箱、地方政府激励重构等问题的讨论，均指向《全国统一大市场建设条例》制定与“十五五”统一大市场纵深推进的现实议程。经济学研究唯有既深植于理论传统，又扎根于中国大地，才能真正回答中国之问、时代之问。</w:t>
      </w:r>
    </w:p>
    <w:p>
      <w:pPr>
        <w:spacing w:before="0" w:after="0" w:line="360" w:lineRule="auto"/>
        <w:ind w:firstLineChars="200" w:firstLine="480"/>
      </w:pPr>
      <w:r>
        <w:rPr>
          <w:rFonts w:ascii="Times New Roman" w:hAnsi="Times New Roman" w:eastAsia="宋体"/>
          <w:b w:val="0"/>
          <w:sz w:val="24"/>
        </w:rPr>
        <w:t>全书正文共十二章，大体构成“提出问题—政策与理论—模型与事实—实证三部曲—案例镜鉴—政策路径—结论展望”的完整链条：第一章交代研究背景、系统综述文献并阐明研究思路与边际贡献；第二章梳理全国统一大市场建设与“内卷式”竞争治理的政策部署及其理论逻辑；第三章界定核心概念并构建三环传导框架；第四章建立三个递进的理论模型并导出可检验命题；第五章刻画中国市场分割与“内卷式”竞争的典型化事实；第六章给出实证研究设计；第七章完成市场分割与统一大市场建设水平的测度，第八章检验市场分割如何催生“内卷式”竞争，第九章评估统一大市场建设的“统一红利”效应；第十章以光伏、新能源汽车、平台经济三大行业案例与美欧日国际经验印证并丰富理论框架；第十一章面向“十五五”提出纵深推进全国统一大市场建设、综合整治“内卷式”竞争的政策路径；第十二章总结全书结论并展望后续研究。</w:t>
      </w:r>
    </w:p>
    <w:p>
      <w:pPr>
        <w:spacing w:before="0" w:after="0" w:line="360" w:lineRule="auto"/>
        <w:ind w:firstLineChars="200" w:firstLine="480"/>
      </w:pPr>
      <w:r>
        <w:rPr>
          <w:rFonts w:ascii="Times New Roman" w:hAnsi="Times New Roman" w:eastAsia="宋体"/>
          <w:b w:val="0"/>
          <w:sz w:val="24"/>
        </w:rPr>
        <w:t>本书写作数年之间，感受最深者有二。其一，研究对象始终处在高速演变之中：从行业自律公约到账期承诺，从“反内卷”写入政府工作报告到统一大市场建设条例提上立法日程，几乎每隔数月便有重要政策落地，书稿因此数易其稿。追赶现实固然辛苦，却也使本书得以在政策形成的同一时间坐标中检验理论的解释力——学术研究与国家治理实践同频共振，正是应用经济学的魅力所在。其二，“内卷”是流行语而非现成的学术概念，把社会情绪层面的表达提炼为内涵清晰、可测度、可检验的经济学范畴，是本书用力最多也最感艰难之处。笔者深知，概念创新的风险在于似是而非，因此宁可在定义、指标与识别策略上多设约束，也不愿让“内卷式竞争陷阱”沦为一个包罗万象的空洞标签。至于成效几何，尚祈读者与时间检验。</w:t>
      </w:r>
    </w:p>
    <w:p>
      <w:pPr>
        <w:spacing w:before="0" w:after="0" w:line="360" w:lineRule="auto"/>
        <w:ind w:firstLineChars="200" w:firstLine="480"/>
      </w:pPr>
      <w:r>
        <w:rPr>
          <w:rFonts w:ascii="Times New Roman" w:hAnsi="Times New Roman" w:eastAsia="宋体"/>
          <w:b w:val="0"/>
          <w:sz w:val="24"/>
        </w:rPr>
        <w:t>本书的完成，首先得益于学术共同体的深厚积累——从市场分割测度到地方政府竞争研究，从产能过剩成因到平台经济治理，几代学人的工作为本书提供了坚实的对话基础，书末参考文献所列不过其中很小的一部分。感谢在书稿不同阶段给予批评与建议的师长、同行与匿名评审专家，他们的意见使本书避免了许多疏漏；感谢出版机构的编辑为书稿付出的辛勤劳动；感谢课题研究过程中参与数据整理与讨论的青年学子；也感谢家人长久的理解与支持。书中引用的数据与政策文件均已注明出处，倘有错讹疏漏，文责概由笔者自负，恳请学界同仁与广大读者批评指正。</w:t>
      </w:r>
    </w:p>
    <w:p>
      <w:pPr>
        <w:spacing w:before="0" w:after="0" w:line="360" w:lineRule="auto"/>
        <w:ind w:firstLineChars="200" w:firstLine="480"/>
      </w:pPr>
      <w:r>
        <w:rPr>
          <w:rFonts w:ascii="Times New Roman" w:hAnsi="Times New Roman" w:eastAsia="宋体"/>
          <w:b w:val="0"/>
          <w:sz w:val="24"/>
        </w:rPr>
        <w:t>蔡鑫宇</w:t>
      </w:r>
    </w:p>
    <w:p>
      <w:pPr>
        <w:spacing w:before="0" w:after="0" w:line="360" w:lineRule="auto"/>
        <w:ind w:firstLineChars="200" w:firstLine="480"/>
      </w:pPr>
      <w:r>
        <w:rPr>
          <w:rFonts w:ascii="Times New Roman" w:hAnsi="Times New Roman" w:eastAsia="宋体"/>
          <w:b w:val="0"/>
          <w:sz w:val="24"/>
        </w:rPr>
        <w:t>二〇二六年七月</w:t>
      </w:r>
    </w:p>
    <w:p>
      <w:r>
        <w:br w:type="page"/>
      </w:r>
    </w:p>
    <w:p>
      <w:pPr>
        <w:spacing w:before="240" w:after="280" w:line="360" w:lineRule="auto"/>
        <w:jc w:val="center"/>
        <w:outlineLvl w:val="0"/>
      </w:pPr>
      <w:r>
        <w:rPr>
          <w:rFonts w:ascii="Times New Roman" w:hAnsi="Times New Roman" w:eastAsia="黑体"/>
          <w:b/>
          <w:sz w:val="30"/>
        </w:rPr>
        <w:t>摘要</w:t>
      </w:r>
    </w:p>
    <w:p>
      <w:pPr>
        <w:spacing w:before="0" w:after="0" w:line="360" w:lineRule="auto"/>
        <w:ind w:firstLineChars="200" w:firstLine="480"/>
      </w:pPr>
      <w:r>
        <w:rPr>
          <w:rFonts w:ascii="Times New Roman" w:hAnsi="Times New Roman" w:eastAsia="宋体"/>
          <w:b w:val="0"/>
          <w:sz w:val="24"/>
        </w:rPr>
        <w:t>当前中国经济运行中“供强需弱”矛盾突出。据国家统计局数据，工业生产者出厂价格指数（PPI）自2022年10月同比转负，至2025年12月已连续39个月负增长；2025年工业产能利用率降至74.4%，规模以上工业企业营业收入利润率降至5.31%，处于2015年以来的低位；光伏、新能源汽车、平台经济等重点领域“内卷式”竞争蔓延，企业“增收不增利”现象普遍。与此相对应，中央部署纵深推进全国统一大市场建设，明确“制定全国统一大市场建设条例，深入整治‘内卷式’竞争”。统一大市场建设与“内卷式”竞争治理为何同框推进？市场分割如何催生“内卷式”竞争？统一大市场建设能否破解“内卷”、能够释放多大红利？“十五五”时期又应如何纵深推进？本书围绕这组递进问题展开系统研究。</w:t>
      </w:r>
    </w:p>
    <w:p>
      <w:pPr>
        <w:spacing w:before="0" w:after="0" w:line="360" w:lineRule="auto"/>
        <w:ind w:firstLineChars="200" w:firstLine="480"/>
      </w:pPr>
      <w:r>
        <w:rPr>
          <w:rFonts w:ascii="Times New Roman" w:hAnsi="Times New Roman" w:eastAsia="宋体"/>
          <w:b w:val="0"/>
          <w:sz w:val="24"/>
        </w:rPr>
        <w:t>在概念上，本书提出“内卷式竞争陷阱”与“统一市场红利”一对相互对应的核心概念。前者指在市场分割与地方政府激励扭曲条件下，同质化过度进入、产能持续过剩、价格竞争向成本线以下收敛、创新回报被侵蚀、落后产能退出失灵所形成的自我强化的低水平竞争均衡；后者指破除分割后通过规模经济效应、选择效应、创新激励效应与预期秩序效应释放的增长与福利增量。这一概念对为理解“宏观增长稳健而微观利润微薄”的悖离提供了统一的分析入口。相较既有研究，本书的边际贡献集中体现在概念本土化、框架数理化、测度体系化与识别因果化四个层面。</w:t>
      </w:r>
    </w:p>
    <w:p>
      <w:pPr>
        <w:spacing w:before="0" w:after="0" w:line="360" w:lineRule="auto"/>
        <w:ind w:firstLineChars="200" w:firstLine="480"/>
      </w:pPr>
      <w:r>
        <w:rPr>
          <w:rFonts w:ascii="Times New Roman" w:hAnsi="Times New Roman" w:eastAsia="宋体"/>
          <w:b w:val="0"/>
          <w:sz w:val="24"/>
        </w:rPr>
        <w:t>在理论上，本书构建“市场分割—内卷竞争—统一红利”三环传导框架，并以三个递进模型将其数理化：两地区补贴竞争模型证明，市场分割程度上升会加剧地方政府补贴竞赛的囚徒困境并推高过剩产能；分割市场过度进入模型表明，市场碎片化使均衡企业数量超过社会最优、平均成本上升，在需求收缩与退出摩擦叠加时形成价格跌破平均成本仍难以出清的“内卷均衡”；市场一体化模型借鉴异质性企业分析框架（Melitz，2003），刻画统一通过选择效应与创新效应提升加总生产率的机制。福利分析将“统一红利”分解为规模项、选择项、创新项与调整成本项，并导出五个可检验命题。就形成机理而言，本书将“内卷式竞争陷阱”归因于地方激励扭曲、要素价格扭曲、退出机制失灵与需求约束收紧的“四重扭曲”。</w:t>
      </w:r>
    </w:p>
    <w:p>
      <w:pPr>
        <w:spacing w:before="0" w:after="0" w:line="360" w:lineRule="auto"/>
        <w:ind w:firstLineChars="200" w:firstLine="480"/>
      </w:pPr>
      <w:r>
        <w:rPr>
          <w:rFonts w:ascii="Times New Roman" w:hAnsi="Times New Roman" w:eastAsia="宋体"/>
          <w:b w:val="0"/>
          <w:sz w:val="24"/>
        </w:rPr>
        <w:t>在方法与数据上，本书基于31个省份2012—2024年面板数据（403个观测），以相对价格法（桂琦寒等，2006）构造省域市场分割指数；从价格竞争烈度、产能冗余度、盈利侵蚀度、同质化程度、退出粘性五个维度、14项基础指标出发，以熵权法合成“内卷式竞争”强度指数；并编制涵盖市场基础制度、设施联通、要素流动、监管统一四个维度的统一大市场发展指数。识别策略上综合运用双固定效应面板模型、机制检验两步法、以2016年公平竞争审查制度实施为准自然实验的强度DID、事件研究与工具变量法。</w:t>
      </w:r>
    </w:p>
    <w:p>
      <w:pPr>
        <w:spacing w:before="0" w:after="0" w:line="360" w:lineRule="auto"/>
        <w:ind w:firstLineChars="200" w:firstLine="480"/>
      </w:pPr>
      <w:r>
        <w:rPr>
          <w:rFonts w:ascii="Times New Roman" w:hAnsi="Times New Roman" w:eastAsia="宋体"/>
          <w:b w:val="0"/>
          <w:sz w:val="24"/>
        </w:rPr>
        <w:t>研究发现集中于四个方面。第一，全国市场分割指数由2012年的2.65（×10⁻³）降至2024年的1.97，累计下降25.7%，其间2020年与2022年两度反弹、2023年起重新加快收敛；要素市场分割程度（2024年为3.34）约为商品市场的1.7倍，收敛速度明显更慢；“内卷式竞争”强度指数自2022年起快速攀升，2024年升至0.470的样本期峰值，其中东北（0.518）与西部（0.514）明显高于东部（0.412），且与市场分割呈显著正相关（省际相关系数达0.81）；长三角市场分割指数2024年已降至1.34，一体化先行地区的示范效应突出。统一大市场发展指数由2012年的45.1升至2024年的62.4，但要素流动（54.3）与监管统一（55.6）两个维度得分偏低，构成突出短板。第二，市场分割显著加剧“内卷式”竞争：基准回归中分割指数的系数为0.058且在1%水平显著，市场分割每上升一个标准差，内卷指数上升0.024，相当于其标准差的25.4%；机制检验表明补贴竞争、产业同构与退出粘性是三条重要传导渠道，纳入机制变量后分割系数下降约38%；异质性分析显示，分割的“催卷”效应在中西部省份（系数0.072）强于东部（0.041），在增长目标压力较大、资本密集型产业占比较高的省份更为突出，且2020年以后显著增强；工具变量估计（系数0.079）与替换分割指数、剔除直辖市等多种稳健性检验均支持上述结论。第三，统一大市场建设产生显著“统一红利”：强度DID估计显示，公平竞争审查对内卷指数的处理效应为−0.019，相当于样本期均值的5.0%，补贴强度与市场分割指数亦分别显著下降0.084与0.121，表明政策同时作用于“内卷”的源头与载体；高强度省份全要素生产率相对提高约1.4%，新产品销售收入占比提高0.71个百分点，规模以上工业营业收入利润率提高0.28个百分点；事件研究显示事前平行趋势成立、政策效应逐年累积，安慰剂检验排除了偶然因素的干扰。第四，前瞻测算表明，若“十五五”期间市场分割指数在2024年基础上再下降30%（2030年降至1.38，接近当前长三角水平），结合本书估计与国际证据（Tombe和Zhu，2019），统一大市场纵深推进可使全要素生产率年均增速提高0.4—0.6个百分点；以2025年国内生产总值为基数估算，五年累计可带来约2.6万亿—3.4万亿元（2025年价）的额外产出增量。</w:t>
      </w:r>
    </w:p>
    <w:p>
      <w:pPr>
        <w:spacing w:before="0" w:after="0" w:line="360" w:lineRule="auto"/>
        <w:ind w:firstLineChars="200" w:firstLine="480"/>
      </w:pPr>
      <w:r>
        <w:rPr>
          <w:rFonts w:ascii="Times New Roman" w:hAnsi="Times New Roman" w:eastAsia="宋体"/>
          <w:b w:val="0"/>
          <w:sz w:val="24"/>
        </w:rPr>
        <w:t>在政策含义上，本书主张以“五统一、一开放”为纲，将“立制度”与“治内卷”作为一体两面统筹推进：夯实产权保护、市场准入、社会信用与市场退出等基础制度，健全企业简易退出与破产机制以矫正退出失灵；强化公平竞争审查刚性约束，落实地方政府招商引资鼓励和禁止事项清单，从源头抑制补贴竞赛；综合运用产能调控、标准引领、价格执法、质量监管和反垄断、反不正当竞争等手段，依据行业特征匹配治理工具；通过消费地原则的财税分享、经营主体活动发生地统计与差异化考核重构地方政府激励；同时把扩大内需作为治本之策，与统一大市场建设协同发力，防范“运动式反内卷”与行政化产能干预的复归，使超大规模市场优势真正转化为高质量发展的动力。</w:t>
      </w:r>
    </w:p>
    <w:p>
      <w:pPr>
        <w:spacing w:before="0" w:after="0" w:line="360" w:lineRule="auto"/>
        <w:ind w:firstLineChars="200" w:firstLine="480"/>
      </w:pPr>
      <w:r>
        <w:rPr>
          <w:rFonts w:ascii="Times New Roman" w:hAnsi="Times New Roman" w:eastAsia="宋体"/>
          <w:b w:val="0"/>
          <w:sz w:val="24"/>
        </w:rPr>
        <w:t>关键词：全国统一大市场；“内卷式”竞争；市场分割；统一市场红利；高质量发展</w:t>
      </w:r>
    </w:p>
    <w:p>
      <w:r>
        <w:br w:type="page"/>
      </w:r>
    </w:p>
    <w:p>
      <w:pPr>
        <w:spacing w:before="240" w:after="280" w:line="360" w:lineRule="auto"/>
        <w:jc w:val="center"/>
        <w:outlineLvl w:val="0"/>
      </w:pPr>
      <w:r>
        <w:rPr>
          <w:rFonts w:ascii="Times New Roman" w:hAnsi="Times New Roman" w:eastAsia="黑体"/>
          <w:b/>
          <w:sz w:val="30"/>
        </w:rPr>
        <w:t>一、引言</w:t>
      </w:r>
    </w:p>
    <w:p>
      <w:pPr>
        <w:spacing w:before="0" w:after="0" w:line="360" w:lineRule="auto"/>
        <w:ind w:firstLineChars="200" w:firstLine="480"/>
      </w:pPr>
      <w:r>
        <w:rPr>
          <w:rFonts w:ascii="Times New Roman" w:hAnsi="Times New Roman" w:eastAsia="宋体"/>
          <w:b w:val="0"/>
          <w:sz w:val="24"/>
        </w:rPr>
        <w:t>“十四五”收官与“十五五”开局之交，中国经济正处在一个耐人寻味的历史节点。一方面，增长引擎依然轰鸣：据国家统计局数据，2025年国内生产总值达140.2万亿元、比上年增长5.0%，社会消费品零售总额首次突破50万亿元，新能源汽车、锂电池、光伏产品“新三样”在全球产业版图中的地位持续巩固；另一方面，微观世界的体感却明显偏冷：工业品出厂价格长期负增长，企业利润率降至十年来的低位，光伏组件卖到成本线以下，汽车行业“价格战”绵延三年，外卖平台补贴大战硝烟弥漫。“增长引擎轰鸣而企业利润微薄、总量数据亮眼而价格信号低迷”，这一宏观与微观的反差，被中央经济工作会议凝练为“国内供强需弱矛盾突出”的重大判断，也把“纵深推进全国统一大市场建设、深入整治‘内卷式’竞争”推到了宏观治理议程的中心位置。本书正是围绕这一时代命题展开：市场分割如何催生“内卷式”竞争？统一大市场建设如何破解“内卷”、释放红利？“十五五”时期又当如何纵深推进？本章作为全书开篇，首先呈现研究的现实背景与政策背景并提出核心研究问题，继而对国内外相关研究进行系统述评，最后交代研究思路、方法、边际贡献与篇章结构，为后续各章的理论构建与实证分析奠定基础。</w:t>
      </w:r>
    </w:p>
    <w:p>
      <w:pPr>
        <w:spacing w:before="200" w:after="160" w:line="360" w:lineRule="auto"/>
        <w:outlineLvl w:val="1"/>
      </w:pPr>
      <w:r>
        <w:rPr>
          <w:rFonts w:ascii="Times New Roman" w:hAnsi="Times New Roman" w:eastAsia="黑体"/>
          <w:b w:val="0"/>
          <w:sz w:val="28"/>
        </w:rPr>
        <w:t>（一）研究背景与问题提出</w:t>
      </w:r>
    </w:p>
    <w:p>
      <w:pPr>
        <w:spacing w:before="160" w:after="120" w:line="360" w:lineRule="auto"/>
        <w:outlineLvl w:val="2"/>
      </w:pPr>
      <w:r>
        <w:rPr>
          <w:rFonts w:ascii="Times New Roman" w:hAnsi="Times New Roman" w:eastAsia="黑体"/>
          <w:b w:val="0"/>
          <w:sz w:val="24"/>
        </w:rPr>
        <w:t>1．现实背景：供强需弱、价格低位与“内卷式”竞争蔓延</w:t>
      </w:r>
    </w:p>
    <w:p>
      <w:pPr>
        <w:spacing w:before="0" w:after="0" w:line="360" w:lineRule="auto"/>
        <w:ind w:firstLineChars="200" w:firstLine="480"/>
      </w:pPr>
      <w:r>
        <w:rPr>
          <w:rFonts w:ascii="Times New Roman" w:hAnsi="Times New Roman" w:eastAsia="宋体"/>
          <w:b w:val="0"/>
          <w:sz w:val="24"/>
        </w:rPr>
        <w:t>价格是市场经济中最灵敏的信号，而近年来中国工业品价格发出的信号异乎寻常地低沉。据国家统计局数据，工业生产者出厂价格指数（PPI）同比涨幅在2021年10月一度冲高至13.5%、创有统计以来单月最高，随后急转直下，于2022年10月转负（−1.3%），至2025年12月已连续39个月负增长，2023年6月录得本轮最大单月降幅−5.4%，2025年全年PPI下降2.6%、6月和7月同比降幅均达−3.6%的年内低点。这一负增长时长已直逼2012年3月至2016年8月上一轮54个月的长周期（媒体整理口径）。与此同时，2025年居民消费价格指数（CPI）与上年持平（0.0%），其中食品价格下降1.5%、能源价格下降3.3%；据财新与北京大学国家发展研究院2025年12月的测算，GDP平减指数自2023年二季度转负后至2025年四季度已连续11个季度为负，2025年名义GDP增速约3.9%、低于5.0%的实际增速。工业与消费两端价格的持续低位运行，表明总供给与总需求之间存在系统性缺口，价格机制正在以“通缩式竞争”的方式强制出清。</w:t>
      </w:r>
    </w:p>
    <w:p>
      <w:pPr>
        <w:spacing w:before="0" w:after="0" w:line="360" w:lineRule="auto"/>
        <w:ind w:firstLineChars="200" w:firstLine="480"/>
      </w:pPr>
      <w:r>
        <w:rPr>
          <w:rFonts w:ascii="Times New Roman" w:hAnsi="Times New Roman" w:eastAsia="宋体"/>
          <w:b w:val="0"/>
          <w:sz w:val="24"/>
        </w:rPr>
        <w:t>价格低迷的背后，是产能利用不足与企业效益承压的数量与效益镜像。据国家统计局数据，全国工业产能利用率由2021年的77.5%逐年下滑至2022年的75.6%、2023年的75.1%、2024年的75.0%和2025年的74.4%，2025年四季度为74.9%、比上年同期低1.3个百分点；分行业看，非金属矿物制品业长期垫底，2025年四季度产能利用率仅为61.1%，汽车制造业2025年二季度一度降至71.3%的年内低点。效益方面，规模以上工业企业营业收入利润率由2021年的6.81%一路降至2024年的5.39%和2025年的5.31%，处于2015年以来的低位；利润总额由2021年的8.71万亿元缩减至2025年的7.40万亿元，2025年利润增长0.6%虽扭转了连续三年下降的态势，但恢复力度仍然孱弱；2024年1—11月规模以上工业亏损企业占比达25.42%，全年制造业亏损企业占比22.5%（智研咨询整理国家统计局数据）。“量的扩张”与“利的收缩”并存，正是“供强需弱”格局在企业资产负债表上的直接投影。</w:t>
      </w:r>
    </w:p>
    <w:p>
      <w:pPr>
        <w:spacing w:before="0" w:after="0" w:line="360" w:lineRule="auto"/>
        <w:ind w:firstLineChars="200" w:firstLine="480"/>
      </w:pPr>
      <w:r>
        <w:rPr>
          <w:rFonts w:ascii="Times New Roman" w:hAnsi="Times New Roman" w:eastAsia="宋体"/>
          <w:b w:val="0"/>
          <w:sz w:val="24"/>
        </w:rPr>
        <w:t>为直观呈现上述典型化事实，本书将本轮价格、产能、利润与行业价格四个维度的核心指标绘于一图（见图1.1）。</w:t>
      </w:r>
    </w:p>
    <w:p>
      <w:pPr>
        <w:spacing w:before="120"/>
        <w:jc w:val="center"/>
      </w:pPr>
      <w:r>
        <w:drawing>
          <wp:inline xmlns:a="http://schemas.openxmlformats.org/drawingml/2006/main" xmlns:pic="http://schemas.openxmlformats.org/drawingml/2006/picture">
            <wp:extent cx="5112000" cy="3364785"/>
            <wp:docPr id="1" name="Picture 1"/>
            <wp:cNvGraphicFramePr>
              <a:graphicFrameLocks noChangeAspect="1"/>
            </wp:cNvGraphicFramePr>
            <a:graphic>
              <a:graphicData uri="http://schemas.openxmlformats.org/drawingml/2006/picture">
                <pic:pic>
                  <pic:nvPicPr>
                    <pic:cNvPr id="0" name="fig_1_1.png"/>
                    <pic:cNvPicPr/>
                  </pic:nvPicPr>
                  <pic:blipFill>
                    <a:blip r:embed="rId9"/>
                    <a:stretch>
                      <a:fillRect/>
                    </a:stretch>
                  </pic:blipFill>
                  <pic:spPr>
                    <a:xfrm>
                      <a:off x="0" y="0"/>
                      <a:ext cx="5112000" cy="3364785"/>
                    </a:xfrm>
                    <a:prstGeom prst="rect"/>
                  </pic:spPr>
                </pic:pic>
              </a:graphicData>
            </a:graphic>
          </wp:inline>
        </w:drawing>
      </w:r>
    </w:p>
    <w:p>
      <w:pPr>
        <w:spacing w:before="120" w:after="120" w:line="312" w:lineRule="auto"/>
        <w:jc w:val="center"/>
      </w:pPr>
      <w:r>
        <w:rPr>
          <w:rFonts w:ascii="Times New Roman" w:hAnsi="Times New Roman" w:eastAsia="黑体"/>
          <w:b w:val="0"/>
          <w:sz w:val="21"/>
        </w:rPr>
        <w:t>图1.1　中国经济“供强需弱”的典型表现</w:t>
      </w:r>
    </w:p>
    <w:p>
      <w:pPr>
        <w:spacing w:before="0" w:after="0" w:line="360" w:lineRule="auto"/>
        <w:ind w:firstLineChars="200" w:firstLine="480"/>
      </w:pPr>
      <w:r>
        <w:rPr>
          <w:rFonts w:ascii="Times New Roman" w:hAnsi="Times New Roman" w:eastAsia="宋体"/>
          <w:b w:val="0"/>
          <w:sz w:val="24"/>
        </w:rPr>
        <w:t>图1.1的四个分图从不同侧面刻画了同一枚硬币：分图（a）显示，PPI年度同比由2021年的8.1%、2022年的4.1%骤然跌入2023年的−3.0%、2024年的−2.2%与2025年的−2.6%，且自2022年10月起连续39个月负增长，价格中枢的系统性下移标志着工业部门整体进入“以价换量”阶段；分图（b）显示，工业产能利用率由2021年的77.5%降至2025年的74.4%，持续低于79%—83%的国际经验合意区间，产能冗余构成价格下行的实物基础；分图（c）显示，规模以上工业营业收入利润率由2021年的6.81%逐年下探至2025年的5.31%，利润空间被价格战持续侵蚀；分图（d）则以光伏组件为例，均价由2023年初的约1.90元/W跌至2024年中的约0.80元/W、2024年末的0.68元/W，2025年末在治理措施推动下才回升至约0.72元/W。四个分图共同表明，“供强需弱”并非个别行业的周期性波动，而是价格、产能、利润相互强化的系统性现象——产能冗余压低价格，低价侵蚀利润，微利企业为摊薄固定成本进一步满负荷生产，从而形成本书所称“内卷式竞争”的宏观土壤。</w:t>
      </w:r>
    </w:p>
    <w:p>
      <w:pPr>
        <w:spacing w:before="0" w:after="0" w:line="360" w:lineRule="auto"/>
        <w:ind w:firstLineChars="200" w:firstLine="480"/>
      </w:pPr>
      <w:r>
        <w:rPr>
          <w:rFonts w:ascii="Times New Roman" w:hAnsi="Times New Roman" w:eastAsia="宋体"/>
          <w:b w:val="0"/>
          <w:sz w:val="24"/>
        </w:rPr>
        <w:t>行业层面的“内卷”图景更为触目。光伏行业是最典型的样本：多晶硅致密料价格在2022年下半年一度突破30万元/吨的周期高点，至2024年5月跌至约3.9万元/吨，较高点跌去近85%、全面跌破生产成本（多源印证）；据中国机电产品进出口商会数据，组件价格由2023年初的约1.9元/W跌至2024年中的约0.8元/W，降幅约58%；2024年招投标市场出现约0.6元/W的最低报价，低于中国光伏行业协会（CPIA）测算并于2024年10月公布的0.68元/W含税最低成本价，以致协会不得不明确“低于成本投标中标涉嫌违法”。价格雪崩的根源在于产能的极度冗余：据联合资信统计，2024年底国内多晶硅实际有效产能约289.5万吨/年，可满足约1365GW硅片需求、冗余度超过100%，而2025年全球乐观需求预期仅约600GW。全行业因此陷入深度亏损：2024年上半年主产业链四环节20家主流企业中16家亏损、合计亏损226.5亿元（21世纪经济报道）；龙头企业通威股份2024年归母净亏损70.39亿元、系2004年上市以来首亏，隆基绿能净亏损86.18亿元、系十年来首亏（公司年报）。尤为吊诡的是出口的“量增价减”：据机电商会数据，2024年组件出口量增长9.9%、出口额却下降29.2%，产业竞争力的“量”与企业盈利的“价”呈现罕见背离。</w:t>
      </w:r>
    </w:p>
    <w:p>
      <w:pPr>
        <w:spacing w:before="0" w:after="0" w:line="360" w:lineRule="auto"/>
        <w:ind w:firstLineChars="200" w:firstLine="480"/>
      </w:pPr>
      <w:r>
        <w:rPr>
          <w:rFonts w:ascii="Times New Roman" w:hAnsi="Times New Roman" w:eastAsia="宋体"/>
          <w:b w:val="0"/>
          <w:sz w:val="24"/>
        </w:rPr>
        <w:t>新能源汽车行业上演着相似的剧本。2023年1月6日，特斯拉将国产Model 3后驱版降至22.99万元、Model Y长续航版直降4.8万元，点燃了全行业价格战；据乘联分会崔东树统计，降价车型数量由2022年的95款增至2023年的148款，2024年达到227款的峰值，2025年仍有177款，2024年全部降价车型平均降价1.6万元、降幅8.3%。价格战之下，行业以量补价的空间迅速逼仄：据乘联分会基于国家统计局数据的测算，汽车行业利润率由2017年的7.8%逐年下滑至2023年的5.0%、2024年的4.3%和2025年的4.1%的历史低位，单车毛利由2017年的约2.3万元降至2025年的约1.4万元；2025年行业收入增长7.1%而利润仅增长0.6%，“量增利薄”特征鲜明。压力沿产业链向下游与上游双向传导：据中国汽车流通协会《2024年全国汽车经销商生存状况调查报告》，2024年经销商亏损面达41.7%，84.4%的经销商出现价格倒挂、其中60.4%倒挂幅度超过15%；上游零部件供应商则饱受账期拖长之苦，直至2025年6月17家车企集体承诺将供应商账期统一至60天以内，账期治理才拉开帷幕。2025年5月比亚迪对22款车型实施最高5.3万元的限时降价、引发多品牌跟进，最终成为监管部门约谈与行业治理升级的导火索。</w:t>
      </w:r>
    </w:p>
    <w:p>
      <w:pPr>
        <w:spacing w:before="0" w:after="0" w:line="360" w:lineRule="auto"/>
        <w:ind w:firstLineChars="200" w:firstLine="480"/>
      </w:pPr>
      <w:r>
        <w:rPr>
          <w:rFonts w:ascii="Times New Roman" w:hAnsi="Times New Roman" w:eastAsia="宋体"/>
          <w:b w:val="0"/>
          <w:sz w:val="24"/>
        </w:rPr>
        <w:t>“内卷式”竞争同样蔓延至平台经济领域，2025年夏天的“外卖大战”将其推向极致。2025年2月京东宣布进军外卖市场并率先为全职骑手缴纳五险一金，4月上线“百亿补贴”；阿里巴巴于4月底将“小时达”升级为“淘宝闪购”并在7月宣布未来12个月直补消费者与商家共500亿元。补贴烈度层层加码：7月5日淘宝闪购日订单突破8000万单、美团宣布即时零售日订单达1.2亿单；7月12日美团即时零售日订单冲高至1.5亿单的历史纪录，“满18.8减18.8”的“免费奶茶”大额券刷屏网络，即时零售市场日订单总量一度接近3亿单（新华网等媒体估算口径）。据高盛研报估算，仅2025年6月当季阿里、京东、美团三平台外卖合计投入约250亿元。烧钱换来的却是全行业利润的坍塌：据公司财报，美团2025年三季度核心本地商业由上年同期盈利145亿元转为经营亏损141亿元，经调整净亏损160亿元、三年来首度季度报亏，美团创始人王兴坦言“外卖价格战没有为行业创造价值，不可持续”；京东含外卖的新业务前三季度累计亏损318亿元；阿里巴巴2025年7—9月季度经营利润同比下降85%。市场监管总局于5月13日、7月18日两次约谈相关平台，实质叫停“0元购”式促销，平台“内卷”才有所降温。</w:t>
      </w:r>
    </w:p>
    <w:p>
      <w:pPr>
        <w:spacing w:before="0" w:after="0" w:line="360" w:lineRule="auto"/>
        <w:ind w:firstLineChars="200" w:firstLine="480"/>
      </w:pPr>
      <w:r>
        <w:rPr>
          <w:rFonts w:ascii="Times New Roman" w:hAnsi="Times New Roman" w:eastAsia="宋体"/>
          <w:b w:val="0"/>
          <w:sz w:val="24"/>
        </w:rPr>
        <w:t>透过行业表象，需要追问的是更深层的结构性根源。从需求侧看，据世界银行WDI口径，2023年中国居民消费率为39.1%，不仅远低于56.6%的全球均值，在149个经济体中排名倒数第10（北京大学王敏的研究），2024年虽回升至39.9%（新华网引国家统计局数据），消费对供给的承接能力依然不足，“供强需弱”由此内生。从供给侧看，产能的重复布局带有鲜明的行政区烙印：省际制造业结构相似系数由2000年的约0.45升至2014年的约0.58（上海财经大学期刊文献口径）；据新华社2026年5月对31个省份“十五五”规划的扫描，31个省份全部提及新能源、29个提及氢能、27个提及智能网联（新能源）汽车，产业赛道选择呈现高度趋同；国家能源局转载的分析亦指出，地方政府以税收减免、电价优惠、厂房代建、固投返还等政策“一哄而上”招商，是光伏产能过剩的重要成因。这提示我们，“内卷式”竞争绝非单纯的市场现象，其背后是市场分割条件下地方政府“为增长而竞争”的激励结构（周黎安，2007；刘志彪、孔令池，2021）。本书第五章将对上述典型化事实做更系统的刻画，第三章、第四章则从理论上阐明“分割—内卷”的因果链条。</w:t>
      </w:r>
    </w:p>
    <w:p>
      <w:pPr>
        <w:spacing w:before="160" w:after="120" w:line="360" w:lineRule="auto"/>
        <w:outlineLvl w:val="2"/>
      </w:pPr>
      <w:r>
        <w:rPr>
          <w:rFonts w:ascii="Times New Roman" w:hAnsi="Times New Roman" w:eastAsia="黑体"/>
          <w:b w:val="0"/>
          <w:sz w:val="24"/>
        </w:rPr>
        <w:t>2．政策背景：从加快建设到纵深推进</w:t>
      </w:r>
    </w:p>
    <w:p>
      <w:pPr>
        <w:spacing w:before="0" w:after="0" w:line="360" w:lineRule="auto"/>
        <w:ind w:firstLineChars="200" w:firstLine="480"/>
      </w:pPr>
      <w:r>
        <w:rPr>
          <w:rFonts w:ascii="Times New Roman" w:hAnsi="Times New Roman" w:eastAsia="宋体"/>
          <w:b w:val="0"/>
          <w:sz w:val="24"/>
        </w:rPr>
        <w:t>面对上述矛盾，以习近平同志为核心的党中央围绕建设全国统一大市场、整治“内卷式”竞争作出了一系列层层递进的战略部署。其起点是2022年4月发布的《中共中央 国务院关于加快建设全国统一大市场的意见》（以下简称《意见》），这份纲领性文件确立了“五统一”的立柱架梁框架——强化市场基础制度规则统一、推进市场设施高标准联通、打造统一的要素和资源市场、推进商品和服务市场高水平统一、推进市场监管公平统一，并在“破”的方面部署规范不当市场竞争和市场干预行为（中共中央、国务院，2022）。《意见》的出台，标志着统一大市场建设由分领域、分环节的渐进改革，上升为顶层设计牵引的系统工程，也与党的二十大报告“构建高水平社会主义市场经济体制”、发挥超大规模市场优势的战略取向一脉相承（习近平，2022）。从学理上看，这一部署是构建新发展格局的必然要求：唯有打通国内大循环的堵点，超大规模市场的需求牵引与规模经济优势才能兑现（王一鸣，2020；黄群慧，2021）。</w:t>
      </w:r>
    </w:p>
    <w:p>
      <w:pPr>
        <w:spacing w:before="0" w:after="0" w:line="360" w:lineRule="auto"/>
        <w:ind w:firstLineChars="200" w:firstLine="480"/>
      </w:pPr>
      <w:r>
        <w:rPr>
          <w:rFonts w:ascii="Times New Roman" w:hAnsi="Times New Roman" w:eastAsia="宋体"/>
          <w:b w:val="0"/>
          <w:sz w:val="24"/>
        </w:rPr>
        <w:t>2024年是制度建设加速落地的一年。7月，党的二十届三中全会《决定》明确提出“构建全国统一大市场”“强化市场基础制度规则统一”；8月1日，《公平竞争审查条例》（国务院令第783号）正式施行，以行政法规形式规定了19项“不得”，将公平竞争审查从政策性要求升格为刚性法律义务（国务院，2024）。据市场监管总局在国新办吹风会披露的数据，自2016年建立公平竞争审查制度至《条例》出台前，全国累计审查政策措施161.8万件，清理存量文件447万件，废止和修订排除、限制竞争的政策措施9.3万件——这组数字既显示制度之功，也折射出地方性壁垒存量之巨。同年7月30日，中央政治局会议首次提出“强化行业自律，防止‘内卷式’恶性竞争”；12月，中央经济工作会议进一步部署“综合整治‘内卷式’竞争，规范地方政府和企业行为”，首次将企业行为与地方政府行为并列为治理对象，点明了“内卷”问题的政企双重根源。</w:t>
      </w:r>
    </w:p>
    <w:p>
      <w:pPr>
        <w:spacing w:before="0" w:after="0" w:line="360" w:lineRule="auto"/>
        <w:ind w:firstLineChars="200" w:firstLine="480"/>
      </w:pPr>
      <w:r>
        <w:rPr>
          <w:rFonts w:ascii="Times New Roman" w:hAnsi="Times New Roman" w:eastAsia="宋体"/>
          <w:b w:val="0"/>
          <w:sz w:val="24"/>
        </w:rPr>
        <w:t>2025年，政策进入“纵深推进”与“综合整治”并举的新阶段。年初，国务院办公厅印发《全国统一大市场建设指引（试行）》，从“要求做的、禁止做的、鼓励做的”三个维度对各地提出操作性要求；3月，“综合整治‘内卷式’竞争”首次写入《政府工作报告》；4月，《公平竞争审查条例实施办法》施行，将四类审查标准细化为66项具体情形，《市场准入负面清单（2025年版）》将事项压减至106项（较2018年版的151项大幅瘦身）；6月，新修订的《中华人民共和国反不正当竞争法》通过并于10月15日施行，新增禁止平台强制平台内经营者低于成本销售的“反内卷”条款。尤为重要的是，2025年7月1日召开的中央财经委员会第六次会议对纵深推进全国统一大市场建设提出了“五统一、一开放”的基本要求，即统一市场基础制度、统一市场基础设施、统一政府行为尺度、统一市场监管执法、统一要素资源市场，持续扩大对内对外开放，并部署“依法依规治理企业低价无序竞争，引导企业提升产品品质，推动落后产能有序退出”。与2022年《意见》的“五统一”相比，“统一政府行为尺度”的凸显，标志着治理重心从市场规则整合进一步深入到政府行为规范，直指“内卷式”竞争的体制根源。</w:t>
      </w:r>
    </w:p>
    <w:p>
      <w:pPr>
        <w:spacing w:before="0" w:after="0" w:line="360" w:lineRule="auto"/>
        <w:ind w:firstLineChars="200" w:firstLine="480"/>
      </w:pPr>
      <w:r>
        <w:rPr>
          <w:rFonts w:ascii="Times New Roman" w:hAnsi="Times New Roman" w:eastAsia="宋体"/>
          <w:b w:val="0"/>
          <w:sz w:val="24"/>
        </w:rPr>
        <w:t>党的二十届四中全会将这一议程嵌入“十五五”的总体战略。全会公报指出，“‘十五五’时期是基本实现社会主义现代化夯实基础、全面发力的关键时期”，我国“超大规模市场优势、完整产业体系优势”更加彰显；强调“坚持有效市场和有为政府相结合”，并在建设强大国内市场部分明确要求：“要大力提振消费，扩大有效投资，坚决破除阻碍全国统一大市场建设卡点堵点”（中国共产党第二十届中央委员会，2025）。全会通过的“十五五”规划《建议》把“坚持扩大内需这个战略基点，坚持惠民生和促消费、投资于物和投资于人紧密结合”确立为畅通国内大循环的基本方略（中共中央，2025）。这意味着统一大市场建设不再是单项改革任务，而是与扩大内需、建设强大国内市场互为表里的战略整体——需求侧的“投资于人”与供给侧的“破除分割”共同瞄准“供强需弱”这一主要矛盾。</w:t>
      </w:r>
    </w:p>
    <w:p>
      <w:pPr>
        <w:spacing w:before="0" w:after="0" w:line="360" w:lineRule="auto"/>
        <w:ind w:firstLineChars="200" w:firstLine="480"/>
      </w:pPr>
      <w:r>
        <w:rPr>
          <w:rFonts w:ascii="Times New Roman" w:hAnsi="Times New Roman" w:eastAsia="宋体"/>
          <w:b w:val="0"/>
          <w:sz w:val="24"/>
        </w:rPr>
        <w:t>2026年3月发布的《中华人民共和国国民经济和社会发展第十五个五年规划纲要》（以下简称《纲要》）以专章形式将战略部署细化为施工图。《纲要》第十七章“纵深推进全国统一大市场建设”开宗明义提出“坚决破除阻碍全国统一大市场建设卡点堵点，破除地方保护和市场分割，促进商品要素资源在更大范围内顺畅流动”，并从三个层面展开：一是完善基础制度规则，包括“动态修订市场准入负面清单，严格落实‘全国一张清单’管理要求”，“健全企业破产制度，探索建立覆盖所有经营主体的简易退出机制”，“推广经营主体活动发生地统计”，以及“制定全国统一大市场建设条例”；二是维护公平竞争市场秩序，包括“强化公平竞争审查刚性约束”，“制定地方政府招商引资鼓励和禁止事项清单”，“完善妨碍建设全国统一大市场事项清单动态更新和通报问责制度”；三是促进市场设施高标准联通，健全现代流通体系、降低全社会物流成本（新华社，2026）。这三节内容分别对应制度统一、行为规范与设施联通，恰与本书第三章归纳的“内卷式竞争陷阱”四重扭曲形成精准的政策映射。</w:t>
      </w:r>
    </w:p>
    <w:p>
      <w:pPr>
        <w:spacing w:before="0" w:after="0" w:line="360" w:lineRule="auto"/>
        <w:ind w:firstLineChars="200" w:firstLine="480"/>
      </w:pPr>
      <w:r>
        <w:rPr>
          <w:rFonts w:ascii="Times New Roman" w:hAnsi="Times New Roman" w:eastAsia="宋体"/>
          <w:b w:val="0"/>
          <w:sz w:val="24"/>
        </w:rPr>
        <w:t>政策链条的最新一环是2025年12月的中央经济工作会议。会议在形势判断中明确指出“国内供强需弱矛盾突出”，将“纵深推进全国统一大市场建设”写入总体要求，并在改革攻坚部分部署：“制定全国统一大市场建设条例，深入整治‘内卷式’竞争”，同时要求“加紧清理拖欠企业账款”“推动平台企业和平台内经营者、劳动者共赢发展”。习近平总书记在《当前经济工作的重点任务》中对治理路径作了更完整的阐述：“制定全国统一大市场建设条例，出台地方政府招商引资鼓励和禁止事项清单，综合运用产能调控、标准引领、价格执法、质量监管和反垄断、反不正当竞争等手段，深入整治‘内卷式’竞争，营造良好市场生态”（习近平，2026）。从2024年的“综合整治”到2025年的“深入整治”，从行业自律到“条例＋清单＋工具箱”的制度化组合，政策力度与精细度同步升级。这一演进序列表明，中央已经把“内卷式”竞争识别为统一大市场不健全的症候，把统一大市场建设作为治理“内卷”的治本之策——政策实践走在了理论前面，迫切需要学理化的阐释与实证支撑（中共中央宣传部、国家发展和改革委员会，2022；刘秉镰、高子茗，2025）。本书第二章将对上述政策部署作专门梳理与解析。</w:t>
      </w:r>
    </w:p>
    <w:p>
      <w:pPr>
        <w:spacing w:before="160" w:after="120" w:line="360" w:lineRule="auto"/>
        <w:outlineLvl w:val="2"/>
      </w:pPr>
      <w:r>
        <w:rPr>
          <w:rFonts w:ascii="Times New Roman" w:hAnsi="Times New Roman" w:eastAsia="黑体"/>
          <w:b w:val="0"/>
          <w:sz w:val="24"/>
        </w:rPr>
        <w:t>3．问题提出：三个递进研究问题</w:t>
      </w:r>
    </w:p>
    <w:p>
      <w:pPr>
        <w:spacing w:before="0" w:after="0" w:line="360" w:lineRule="auto"/>
        <w:ind w:firstLineChars="200" w:firstLine="480"/>
      </w:pPr>
      <w:r>
        <w:rPr>
          <w:rFonts w:ascii="Times New Roman" w:hAnsi="Times New Roman" w:eastAsia="宋体"/>
          <w:b w:val="0"/>
          <w:sz w:val="24"/>
        </w:rPr>
        <w:t>现实的紧迫性与政策的密集部署，共同指向一组亟待回答的科学问题。表面上看，“内卷式”竞争是企业间的价格厮杀与产能竞赛；但价格战为何偏偏在中国若干行业演化为“越亏越产、越产越亏”的持久僵局？为何欧美市场同样存在激烈竞争，却较少出现全行业跌破成本线仍无企业退出的现象？为何“供强需弱”会在统一大市场建设已推进多年的背景下反而加剧？对这些问题的回答，不能停留在“企业非理性”或“需求不足”的表层解释，而必须深入到中国经济的结构性制度安排——市场分割与地方政府激励——之中。据此，本书提出三个递进的研究问题。</w:t>
      </w:r>
    </w:p>
    <w:p>
      <w:pPr>
        <w:spacing w:before="0" w:after="0" w:line="360" w:lineRule="auto"/>
        <w:ind w:firstLineChars="200" w:firstLine="480"/>
      </w:pPr>
      <w:r>
        <w:rPr>
          <w:rFonts w:ascii="Times New Roman" w:hAnsi="Times New Roman" w:eastAsia="宋体"/>
          <w:b w:val="0"/>
          <w:sz w:val="24"/>
        </w:rPr>
        <w:t>第一个问题：市场分割如何催生“内卷式”竞争？这是全书的机理问题。既有直觉认为，市场分割保护本地企业、削弱竞争，似乎应当缓解而非加剧“内卷”；但本书将论证，恰恰是分割造就了“内卷”的温床——分割使每个行政区都成为一个规模受限的次级市场，地方政府在晋升激励与财政激励驱动下以补贴竞争、低价供地、要素优惠吸引同质产业落地，导致企业过度进入、平均规模低于最小有效规模；当需求收缩冲击来临时，退出机制失灵使过剩产能无法出清，价格竞争向成本线以下收敛，行业陷入自我强化的低水平均衡，即本书所定义的“内卷式竞争陷阱”。这一因果链条是否成立、各环节的传导强度如何，需要严格的理论建模（本书第四章）与系统的实证检验（本书第八章）。</w:t>
      </w:r>
    </w:p>
    <w:p>
      <w:pPr>
        <w:spacing w:before="0" w:after="0" w:line="360" w:lineRule="auto"/>
        <w:ind w:firstLineChars="200" w:firstLine="480"/>
      </w:pPr>
      <w:r>
        <w:rPr>
          <w:rFonts w:ascii="Times New Roman" w:hAnsi="Times New Roman" w:eastAsia="宋体"/>
          <w:b w:val="0"/>
          <w:sz w:val="24"/>
        </w:rPr>
        <w:t>第二个问题：统一大市场建设能否以及如何破解“内卷式”竞争、释放“统一市场红利”？这是全书的效应问题。如果“分割生内卷”的命题成立，那么逻辑上破除分割就应当既是“反内卷”的治本之策，又能通过规模经济效应、选择效应、创新激励效应与预期秩序效应释放增长与福利增量。但这一推断需要因果证据：公平竞争审查等统一市场制度是否确实降低了“内卷”强度？资源配置效率、全要素生产率、创新产出与利润率是否随之改善？红利的量级有多大？本书第六章、第七章与第九章将构造省域市场分割指数与“内卷式竞争”强度指数，并以2016年公平竞争审查制度实施为准自然实验进行强度双重差分估计，给出中国场景下的系统回答。</w:t>
      </w:r>
    </w:p>
    <w:p>
      <w:pPr>
        <w:spacing w:before="0" w:after="0" w:line="360" w:lineRule="auto"/>
        <w:ind w:firstLineChars="200" w:firstLine="480"/>
      </w:pPr>
      <w:r>
        <w:rPr>
          <w:rFonts w:ascii="Times New Roman" w:hAnsi="Times New Roman" w:eastAsia="宋体"/>
          <w:b w:val="0"/>
          <w:sz w:val="24"/>
        </w:rPr>
        <w:t>第三个问题：“十五五”时期如何纵深推进全国统一大市场建设、实现对“内卷式”竞争的系统治理？这是全书的路径问题。中央已经给出“五统一、一开放”的总体框架与“产能调控、标准引领、价格执法、质量监管和反垄断、反不正当竞争”的工具箱，但工具的适用条件、组合次序、激励兼容性仍需学理论证：何种“内卷”宜用标准引领、何种宜用价格执法？如何在整治“内卷”的同时防止“运动式反内卷”与行政化产能干预的复归？如何通过财税、统计、考核制度重构地方政府激励，使“反内卷”从外部约束内化为地方自觉？本书第十章通过行业案例与国际镜鉴、第十一章通过政策路径设计，回应这一问题。三个问题环环相扣，构成“为什么—怎么样—怎么办”的完整逻辑闭环，也对应本书“市场分割—内卷竞争—统一红利”的三环理论主线。</w:t>
      </w:r>
    </w:p>
    <w:p>
      <w:pPr>
        <w:spacing w:before="200" w:after="160" w:line="360" w:lineRule="auto"/>
        <w:outlineLvl w:val="1"/>
      </w:pPr>
      <w:r>
        <w:rPr>
          <w:rFonts w:ascii="Times New Roman" w:hAnsi="Times New Roman" w:eastAsia="黑体"/>
          <w:b w:val="0"/>
          <w:sz w:val="28"/>
        </w:rPr>
        <w:t>（二）国内外研究现状</w:t>
      </w:r>
    </w:p>
    <w:p>
      <w:pPr>
        <w:spacing w:before="0" w:after="0" w:line="360" w:lineRule="auto"/>
        <w:ind w:firstLineChars="200" w:firstLine="480"/>
      </w:pPr>
      <w:r>
        <w:rPr>
          <w:rFonts w:ascii="Times New Roman" w:hAnsi="Times New Roman" w:eastAsia="宋体"/>
          <w:b w:val="0"/>
          <w:sz w:val="24"/>
        </w:rPr>
        <w:t>与本书主题相关的文献浩繁，大体可归入四条线索：一是全国统一大市场与市场分割研究，二是产能过剩与“内卷式”竞争研究，三是地方政府行为与竞争秩序研究，四是市场整合的增长与福利效应研究。以下按“国外—国内—最新进展”的脉络对四条线索分别梳理，并在此基础上给出总体述评。</w:t>
      </w:r>
    </w:p>
    <w:p>
      <w:pPr>
        <w:spacing w:before="160" w:after="120" w:line="360" w:lineRule="auto"/>
        <w:outlineLvl w:val="2"/>
      </w:pPr>
      <w:r>
        <w:rPr>
          <w:rFonts w:ascii="Times New Roman" w:hAnsi="Times New Roman" w:eastAsia="黑体"/>
          <w:b w:val="0"/>
          <w:sz w:val="24"/>
        </w:rPr>
        <w:t>1．全国统一大市场与市场分割研究</w:t>
      </w:r>
    </w:p>
    <w:p>
      <w:pPr>
        <w:spacing w:before="0" w:after="0" w:line="360" w:lineRule="auto"/>
        <w:ind w:firstLineChars="200" w:firstLine="480"/>
      </w:pPr>
      <w:r>
        <w:rPr>
          <w:rFonts w:ascii="Times New Roman" w:hAnsi="Times New Roman" w:eastAsia="宋体"/>
          <w:b w:val="0"/>
          <w:sz w:val="24"/>
        </w:rPr>
        <w:t>国外学者对中国国内市场整合程度的关注始于转轨经济学的经典争论。有研究基于省际投入产出与生产结构趋同的证据提出，渐进改革中的扭曲激励导致中国省际贸易壁垒不降反升，国内市场呈碎片化趋势（Young，2000）；基于省级投入产出表的测算进一步发现，20世纪90年代中国省际贸易占比下降，省界的“边界效应”甚至高于欧盟成员国之间，国内市场与国际市场的整合程度出现倒挂（Poncet，2003；Poncet，2005）。但这一“碎片化”判断随即受到挑战：对数据口径与推断方法的再检验表明，Young所依据的证据并不足以支持分割加剧的结论（Holz，2009）；基于价格数据的跨国比较也发现，边界效应的成因中运输成本与地理因素占比很高，制度性壁垒的作用需要更细致的识别（Parsley和Wei，2001）。行业证据则显示，中国的地方保护确实降低了地区专业化水平，且在利税率高、国有比重大的行业更为突出（Bai等，2004）。这场争论确立了两个基本共识：其一，市场分割是可测度的实证对象；其二，测度方法的选择至关重要。</w:t>
      </w:r>
    </w:p>
    <w:p>
      <w:pPr>
        <w:spacing w:before="0" w:after="0" w:line="360" w:lineRule="auto"/>
        <w:ind w:firstLineChars="200" w:firstLine="480"/>
      </w:pPr>
      <w:r>
        <w:rPr>
          <w:rFonts w:ascii="Times New Roman" w:hAnsi="Times New Roman" w:eastAsia="宋体"/>
          <w:b w:val="0"/>
          <w:sz w:val="24"/>
        </w:rPr>
        <w:t>国内文献在方法与判断上作出了关键推进。奠基性的工作以“冰山成本”模型为基础，用地区间商品相对价格方差测度分割程度，发现改革开放以来国内商品市场总体趋于整合而非分割（桂琦寒等，2006）；基于增值税流动数据的研究则从贸易流量角度证实省际存在显著的本地偏好与边界效应（行伟波、李善同，2009）。围绕分割的成因与后果，研究发现市场分割对本地经济增长呈倒U型影响，对绝大多数观察点而言分割“有利于”本地即期增长，从而形成“分割的囚徒困境”——对单个地区理性的策略在全国层面导致集体非理性，需要中央协调破解（陆铭、陈钊，2009）；也有研究测算了地方分割导致的全国生产效率损失（郑毓盛、李崇高，2003），以及市场一体化对区域协调发展的促进作用（徐现祥、李郇，2005）。基础设施被证明是整合的重要推手：交通基础设施建设显著降低了市场分割（范欣等，2017），推动了区域经济一体化并产生空间溢出（刘生龙、胡鞍钢，2011；张学良，2012），高速公路连通性亦有类似效应（李兰冰、张聪聪，2022）。省际边界效应在行政分权体制下依然显著存在（唐为，2019），市场分割还被证明压低了出口企业的国内附加值率（吕越等，2018），造成可观的效率损失（余泳泽等，2022）。</w:t>
      </w:r>
    </w:p>
    <w:p>
      <w:pPr>
        <w:spacing w:before="0" w:after="0" w:line="360" w:lineRule="auto"/>
        <w:ind w:firstLineChars="200" w:firstLine="480"/>
      </w:pPr>
      <w:r>
        <w:rPr>
          <w:rFonts w:ascii="Times New Roman" w:hAnsi="Times New Roman" w:eastAsia="宋体"/>
          <w:b w:val="0"/>
          <w:sz w:val="24"/>
        </w:rPr>
        <w:t>2022年《意见》出台前后，这条线索快速升温并呈现三个新特征。一是问题导向更加鲜明：有研究系统识别了国内统一大市场建设的阻力，指出其根源在“为增长而竞争”的激励、选择性产业政策与财政分权下的地方策略互动，表现为商品市场与要素市场的双重分割（刘志彪、孔令池，2021；刘志彪，2021），统一大市场的理论逻辑、突出堵点与建设路径亦得到多角度阐释（黄燕芬、刘志成，2022；刘瑞明、杨冰岩，2022；邵传林，2023），流通体系现代化被论证为统一市场的重要支撑（谢莉娟、张昊，2022；李兰冰、逯海勇，2024）。二是测度对象从商品市场拓展到要素市场与无形壁垒：微观企业数据被用于测度要素市场一体化（戴若尘等，2025），内外贸成本的比较揭示了国内大循环的相对堵点（李自若等，2022），行政边界对专利知识传播与知识溢出的阻碍（易巍、龙小宁，2023；陈志远等，2025）、裁判文书中的司法本地偏好（才国伟等，2024）等隐性分割相继被量化。三是识别技术趋于精细：货物运输微观数据被用于估计省际边界效应与地方保护的动态变化（张皓辰等，2024），公共数据开放对壁垒的破除效应也进入研究视野（邹颖等，2026）。总体看，这条线索确认了“长期整合、局部反复、要素滞后”的基本格局，但对分割如何塑造企业竞争行为——尤其是“内卷式”竞争——着墨甚少。</w:t>
      </w:r>
    </w:p>
    <w:p>
      <w:pPr>
        <w:spacing w:before="160" w:after="120" w:line="360" w:lineRule="auto"/>
        <w:outlineLvl w:val="2"/>
      </w:pPr>
      <w:r>
        <w:rPr>
          <w:rFonts w:ascii="Times New Roman" w:hAnsi="Times New Roman" w:eastAsia="黑体"/>
          <w:b w:val="0"/>
          <w:sz w:val="24"/>
        </w:rPr>
        <w:t>2．产能过剩与“内卷式”竞争研究</w:t>
      </w:r>
    </w:p>
    <w:p>
      <w:pPr>
        <w:spacing w:before="0" w:after="0" w:line="360" w:lineRule="auto"/>
        <w:ind w:firstLineChars="200" w:firstLine="480"/>
      </w:pPr>
      <w:r>
        <w:rPr>
          <w:rFonts w:ascii="Times New Roman" w:hAnsi="Times New Roman" w:eastAsia="宋体"/>
          <w:b w:val="0"/>
          <w:sz w:val="24"/>
        </w:rPr>
        <w:t>“内卷”概念的学术源头在国外人类学与产业组织理论中均可追溯。人类学家用“农业内卷化”刻画爪哇农业中投入持续增加而边际产出递减、社会形态“没有发展的增长”的状态，奠定了这一概念的经典语义（Geertz，1963）。产业组织理论则为“过度竞争”提供了严格的分析工具：垄断竞争框架阐明了产品多样性与规模经济的权衡（Dixit和Stiglitz，1977）；环形城市模型证明自由进入均衡下的企业数量可能超过社会最优（Salop，1979）；更一般的分析确立了“过度进入定理”——存在固定成本与业务窃取效应时，自由进入导致的企业数量在社会福利意义上过多（Mankiw和Whinston，1986）。竞争与创新的倒U型关系研究则提示，竞争强度超过某一阈值后将抑制而非激励创新（Aghion等，2005）。这些理论为理解“内卷式”竞争提供了基准，但其分析对象是一体化市场中的进入扭曲，未考虑行政分割与政府补贴对进入条件的系统性改变。</w:t>
      </w:r>
    </w:p>
    <w:p>
      <w:pPr>
        <w:spacing w:before="0" w:after="0" w:line="360" w:lineRule="auto"/>
        <w:ind w:firstLineChars="200" w:firstLine="480"/>
      </w:pPr>
      <w:r>
        <w:rPr>
          <w:rFonts w:ascii="Times New Roman" w:hAnsi="Times New Roman" w:eastAsia="宋体"/>
          <w:b w:val="0"/>
          <w:sz w:val="24"/>
        </w:rPr>
        <w:t>国内文献对产能过剩成因的探讨形成了两大解释传统。一是“潮涌现象”论：发展中国家对有前景产业的社会共识引发投资潮涌，信息不完全导致事后产能过剩，这是后发国家的固有风险（林毅夫，2007；林毅夫等，2010）。二是“体制扭曲”论：重复建设的根源不在市场失灵而在体制扭曲，地区竞争、要素价格扭曲与政府不当干预使企业投资成本外部化，造成低价格、低成本竞争与产能的过度扩张（江飞涛、曹建海，2009；江飞涛等，2012）；实证研究进一步确认了地方政府干预、官员任期等因素与企业产能过剩的因果联系（王文甫等，2014；干春晖等，2015），并发展了产能过剩的测度方法（韩国高等，2011）。针对战略性新兴产业的案例研究表明，光伏产业的产能过剩正是政府不当干预与补贴竞赛的产物（余东华、吕逸楠，2015）。对中国式产能过剩的历史考察则梳理了多轮过剩与治理的经验教训，指出行政化去产能的局限（梁泳梅，2024）。</w:t>
      </w:r>
    </w:p>
    <w:p>
      <w:pPr>
        <w:spacing w:before="0" w:after="0" w:line="360" w:lineRule="auto"/>
        <w:ind w:firstLineChars="200" w:firstLine="480"/>
      </w:pPr>
      <w:r>
        <w:rPr>
          <w:rFonts w:ascii="Times New Roman" w:hAnsi="Times New Roman" w:eastAsia="宋体"/>
          <w:b w:val="0"/>
          <w:sz w:val="24"/>
        </w:rPr>
        <w:t>“内卷式”竞争在2024年进入中央文件后，直接以其为对象的研究迅速涌现，构成这条线索的最新进展。有研究系统概括了“内卷式”竞争的特征事实、形成机制与破解思路，强调其与正常竞争的本质区别在于“无增益的强度升级”（张杰、任元明，2025）；有研究借用种群竞争模型刻画“内卷”的生态学结构并讨论治理工具（王兵，2025）；机器学习方法被用于识别产业链层面的“内卷式”竞争机制（白伟，2025）；数字化转型中的“数字化内卷”（付伟、蒋安丽，2025）、平台经济“内卷式”竞争的政治经济学分析（王丹、龚晓莺，2026）以及反垄断法治理“内卷式”竞争的法律进路（李剑、胡寅，2026）相继展开，低价竞争的反垄断认定标准也得到专门讨论（张晨颖，2023）。但总体而言，这批文献尚处于概念移植与现象描述阶段：“内卷式”竞争仍缺乏被广泛接受的经济学定义，缺乏可跨省、跨期比较的强度测度，更缺乏将其与市场分割相连接的因果证据——这正是本书试图填补的空白。</w:t>
      </w:r>
    </w:p>
    <w:p>
      <w:pPr>
        <w:spacing w:before="160" w:after="120" w:line="360" w:lineRule="auto"/>
        <w:outlineLvl w:val="2"/>
      </w:pPr>
      <w:r>
        <w:rPr>
          <w:rFonts w:ascii="Times New Roman" w:hAnsi="Times New Roman" w:eastAsia="黑体"/>
          <w:b w:val="0"/>
          <w:sz w:val="24"/>
        </w:rPr>
        <w:t>3．地方政府行为与竞争秩序研究</w:t>
      </w:r>
    </w:p>
    <w:p>
      <w:pPr>
        <w:spacing w:before="0" w:after="0" w:line="360" w:lineRule="auto"/>
        <w:ind w:firstLineChars="200" w:firstLine="480"/>
      </w:pPr>
      <w:r>
        <w:rPr>
          <w:rFonts w:ascii="Times New Roman" w:hAnsi="Times New Roman" w:eastAsia="宋体"/>
          <w:b w:val="0"/>
          <w:sz w:val="24"/>
        </w:rPr>
        <w:t>理解中国的竞争秩序，绕不开地方政府这一独特主体。这条线索的理论内核是官员激励与财政激励的政治经济学：晋升锦标赛理论阐明，以相对经济绩效为标尺的官员考核使地方政府行为高度增长导向，既造就了“为增长而竞争”的发展奇迹，也内生出地方保护与重复建设的治理难题（周黎安，2004；周黎安，2007），其系统化阐述与后续评估构成理解政府间竞争的基准框架（周黎安，2017；周黎安，2022）。财政层面，中国式分权使地方财政支出结构偏向生产性投入而轻公共服务（傅勇、张晏，2007），分税制后的土地财政成为地方政府的第二财源（孙秀林、周飞舟，2013），县级政府间存在激烈的税收竞争（杨龙见、尹恒，2014）。当然，也有研究对晋升锦标赛的解释力提出挑战，强调财政激励与政企合谋等替代机制（陶然等，2010），统一市场视角下的财政激励体制研究则将两条脉络加以整合（吕冰洋、贺颖，2022）。</w:t>
      </w:r>
    </w:p>
    <w:p>
      <w:pPr>
        <w:spacing w:before="0" w:after="0" w:line="360" w:lineRule="auto"/>
        <w:ind w:firstLineChars="200" w:firstLine="480"/>
      </w:pPr>
      <w:r>
        <w:rPr>
          <w:rFonts w:ascii="Times New Roman" w:hAnsi="Times New Roman" w:eastAsia="宋体"/>
          <w:b w:val="0"/>
          <w:sz w:val="24"/>
        </w:rPr>
        <w:t>地方政府竞争的行为后果已被大量经验研究刻画。晋升竞争驱动下，地方政府竞相低价出让工业用地以吸引投资（杨其静、彭艳琼，2015），基础设施投资存在策略性竞赛（张军等，2007），公共品供给偏向“可视性”强的项目（吴敏、周黎安，2018），招商引资决策存在显著的同群模仿效应（邓慧慧、赵家羚，2018），产业政策制定偏离本地比较优势（赵婷、陈钊，2019）。财政压力与税收分成调整会系统改变地方行为（席鹏辉、梁若冰，2017；范子英、周小昶，2022），税收竞争还助推了地方政府债务扩张（刘清杰、任德孝，2022）。开发区作为地方竞争的标志性载体，其增长带动与创新效应得到肯定（曹清峰，2020；吴敏等，2021；孔令丞、柴泽阳，2021），但2543家开发区（2018年版审核公告目录）的庞大存量本身即是空间重复布局的注脚。这些扭曲最终沉淀为资源误置：中国制造业企业间生产率离散度显著偏高，误置的重要来源正是与政府关联的进入与补贴扭曲（聂辉华、贾瑞雪，2011）。区域市场整合的条件分析表明，只有当地方政府的收益结构改变时，一体化才可能成为其占优策略（皮建才，2008；徐现祥等，2007），而地方分割的体制成因早在世纪之交即被系统诊断（银温泉、才婉茹，2001；白重恩等，2004）。</w:t>
      </w:r>
    </w:p>
    <w:p>
      <w:pPr>
        <w:spacing w:before="0" w:after="0" w:line="360" w:lineRule="auto"/>
        <w:ind w:firstLineChars="200" w:firstLine="480"/>
      </w:pPr>
      <w:r>
        <w:rPr>
          <w:rFonts w:ascii="Times New Roman" w:hAnsi="Times New Roman" w:eastAsia="宋体"/>
          <w:b w:val="0"/>
          <w:sz w:val="24"/>
        </w:rPr>
        <w:t>竞争秩序研究的最新前沿转向平台经济与竞争政策。平台“企业—市场二重性”对传统反垄断框架提出根本挑战（陈永伟，2018），数字平台反垄断的目标导向、监管体系与前置式监管设计得到系统讨论（唐要家，2021；时建中、郭江兰，2021；王先林，2021；张晨颖，2021），算法的反竞争效应（戚聿东等，2021）、“杀手并购”（陈弘斐等，2021）、超级平台自我优待（孟雁北、赵泽宇，2022）等新型行为的规制方案相继提出，市场结构与创新绩效的关系亦被重新审视（唐要家等，2022；郭传凯，2023）。随着监管转入常态化，平台反垄断的功能定位、公平竞争审查的信息公开困境以及直播电商最低价协议等具体规则问题成为研究热点（王先林，2023；刘继峰，2024；冯博、刘龙，2026），平台经济创新与治理的系统性框架也已成形（黄益平等，2022）。这条线索为本书刻画“地方激励扭曲”与平台“内卷”提供了坚实基础，但其关注点多在单一主体（政府或平台）的行为规制，尚未将地方政府竞争、市场分割与企业“内卷”置于同一分析框架。</w:t>
      </w:r>
    </w:p>
    <w:p>
      <w:pPr>
        <w:spacing w:before="160" w:after="120" w:line="360" w:lineRule="auto"/>
        <w:outlineLvl w:val="2"/>
      </w:pPr>
      <w:r>
        <w:rPr>
          <w:rFonts w:ascii="Times New Roman" w:hAnsi="Times New Roman" w:eastAsia="黑体"/>
          <w:b w:val="0"/>
          <w:sz w:val="24"/>
        </w:rPr>
        <w:t>4．市场整合的增长与福利效应研究</w:t>
      </w:r>
    </w:p>
    <w:p>
      <w:pPr>
        <w:spacing w:before="0" w:after="0" w:line="360" w:lineRule="auto"/>
        <w:ind w:firstLineChars="200" w:firstLine="480"/>
      </w:pPr>
      <w:r>
        <w:rPr>
          <w:rFonts w:ascii="Times New Roman" w:hAnsi="Times New Roman" w:eastAsia="宋体"/>
          <w:b w:val="0"/>
          <w:sz w:val="24"/>
        </w:rPr>
        <w:t>国际文献为市场整合的收益提供了坚实的理论与量化证据。新经济地理学揭示了市场规模与集聚的循环累积因果，规模报酬递增使一体化大市场成为增长的引擎（Krugman，1991）；异质性企业贸易理论证明，贸易成本下降通过提高生存生产率门槛引发行业内再配置，使资源流向高效率企业、加总生产率上升，此即“选择效应”（Melitz，2003）；资源误置的经典测算显示，若将中国制造业的资本与劳动误置程度降至美国水平，制造业全要素生产率可提升30%—50%（Hsieh和Klenow，2009），而中国制造业生产率增长的主要来源正是进入退出与再配置（Brandt等，2012）。基础设施与市场准入研究提供了因果证据：铁路网络显著提升了贸易与实际收入（Donaldson，2018），交通走廊通过强化竞争、压缩加成率离散度带来福利收益（Asturias等，2019），运输成本与经济活动空间组织的一般规律亦有系统综述（Redding和Turner，2015）。直接以中国为对象的量化空间分析表明，2000—2005年国内贸易与迁移成本的下降解释了同期约36%的总劳动生产率增长，其贡献大于对外贸易成本下降（Tombe和Zhu，2019）；汽车市场的结构估计则显示，地方保护使消费者转向本地品牌，造成显著的福利损失与资源误置（Barwick等，2021）。欧盟的镜鉴同样深刻：欧洲竞争力报告援引IMF估算指出，欧盟内部壁垒相当于对商品征收45%、对服务征收110%的关税，“未竟的单一市场”被诊断为欧洲生产率停滞的重要根源（Draghi，2024）。此外，产业政策与竞争的兼容性研究表明，向竞争性行业配置且分散化的政策支持才能促进生产率（Aghion等，2015a），熊彼特增长范式为竞争—创新关系提供了统一框架（Aghion等，2015b）。</w:t>
      </w:r>
    </w:p>
    <w:p>
      <w:pPr>
        <w:spacing w:before="0" w:after="0" w:line="360" w:lineRule="auto"/>
        <w:ind w:firstLineChars="200" w:firstLine="480"/>
      </w:pPr>
      <w:r>
        <w:rPr>
          <w:rFonts w:ascii="Times New Roman" w:hAnsi="Times New Roman" w:eastAsia="宋体"/>
          <w:b w:val="0"/>
          <w:sz w:val="24"/>
        </w:rPr>
        <w:t>国内文献的最新进展集中于统一市场制度的因果评估，公平竞争审查与负面清单制度成为最重要的准自然实验。研究发现，公平竞争审查制度显著促进了企业创新（杨兴全、张可欣，2023）、提升了企业生产率（王菁华、毕超，2024）、加速了僵尸企业出清（李靖、毕茜，2025）；市场准入负面清单试点激发了企业创新并改善全要素生产率（周志方等，2023；耿明阳等，2023），放松准入管制促进了企业跨地区投资（白俊等，2024）；统一大市场建设还被证明提升了企业产能利用率（王浩旸等，2025）、提高了劳动收入份额（刘长庚等，2024）、重塑了地方产业政策竞争（林晨、李宇潇，2024），并改善了企业在国内价值链与全球价值链中的双链地位（苏振东、宫硕，2025），制度型开放的市场整合效应亦获证实（考秀梅、谢申祥，2025）。要素与司法维度的证据同样丰富：农民工跨地区流动性下降造成可观的产出损失（马草原等，2023），司法体制改革通过削弱司法地方保护促进了跨地区投资与破产出清（赵仁杰、张家凯，2022；丁海等，2024），司法效能提升优化了供应链的跨地区配置（王钟阳、唐松，2024），制度环境改善有助于人力资本配置与服务业发展（葛晶、刘瑞明，2026）。需求侧研究则从消费率偏低、老龄化约束与双循环衔接等角度论证了强大国内市场的紧迫性（蔡昉、王美艳，2021；江小涓、孟丽君，2021；郭克莎、田潇潇，2021；Lin和Wang，2022），国内大循环畅通对共同富裕的意义亦被揭示（洪俊杰、刘晓宇，2025）。</w:t>
      </w:r>
    </w:p>
    <w:p>
      <w:pPr>
        <w:spacing w:before="0" w:after="0" w:line="360" w:lineRule="auto"/>
        <w:ind w:firstLineChars="200" w:firstLine="480"/>
      </w:pPr>
      <w:r>
        <w:rPr>
          <w:rFonts w:ascii="Times New Roman" w:hAnsi="Times New Roman" w:eastAsia="宋体"/>
          <w:b w:val="0"/>
          <w:sz w:val="24"/>
        </w:rPr>
        <w:t>为清晰呈现四条线索的代表性成果及其与本书的关系，兹将其要点归纳如下（见表1.1）。</w:t>
      </w:r>
    </w:p>
    <w:p>
      <w:pPr>
        <w:spacing w:before="160" w:after="80" w:line="312" w:lineRule="auto"/>
        <w:jc w:val="center"/>
      </w:pPr>
      <w:r>
        <w:rPr>
          <w:rFonts w:ascii="Times New Roman" w:hAnsi="Times New Roman" w:eastAsia="黑体"/>
          <w:b w:val="0"/>
          <w:sz w:val="21"/>
        </w:rPr>
        <w:t>表1.1　四条文献线索代表性成果概览</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文献线索</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代表性文献</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核心结论</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与本书的关系</w:t>
            </w:r>
          </w:p>
        </w:tc>
      </w:tr>
      <w:tr>
        <w:tc>
          <w:tcPr>
            <w:tcW w:type="dxa" w:w="2126"/>
          </w:tcPr>
          <w:p>
            <w:pPr>
              <w:spacing w:before="20" w:after="20" w:line="276" w:lineRule="auto"/>
              <w:jc w:val="left"/>
            </w:pPr>
            <w:r/>
            <w:r>
              <w:rPr>
                <w:rFonts w:ascii="Times New Roman" w:hAnsi="Times New Roman" w:eastAsia="宋体"/>
                <w:b w:val="0"/>
                <w:sz w:val="21"/>
              </w:rPr>
              <w:t>全国统一大市场与市场分割研究</w:t>
            </w:r>
          </w:p>
        </w:tc>
        <w:tc>
          <w:tcPr>
            <w:tcW w:type="dxa" w:w="2126"/>
          </w:tcPr>
          <w:p>
            <w:pPr>
              <w:spacing w:before="20" w:after="20" w:line="276" w:lineRule="auto"/>
              <w:jc w:val="left"/>
            </w:pPr>
            <w:r/>
            <w:r>
              <w:rPr>
                <w:rFonts w:ascii="Times New Roman" w:hAnsi="Times New Roman" w:eastAsia="宋体"/>
                <w:b w:val="0"/>
                <w:sz w:val="21"/>
              </w:rPr>
              <w:t>（桂琦寒等，2006）、（陆铭、陈钊，2009）、（Young，2000）、（Tombe和Zhu，2019）、（刘志彪、孔令池，2021）</w:t>
            </w:r>
          </w:p>
        </w:tc>
        <w:tc>
          <w:tcPr>
            <w:tcW w:type="dxa" w:w="2126"/>
          </w:tcPr>
          <w:p>
            <w:pPr>
              <w:spacing w:before="20" w:after="20" w:line="276" w:lineRule="auto"/>
              <w:jc w:val="left"/>
            </w:pPr>
            <w:r/>
            <w:r>
              <w:rPr>
                <w:rFonts w:ascii="Times New Roman" w:hAnsi="Times New Roman" w:eastAsia="宋体"/>
                <w:b w:val="0"/>
                <w:sz w:val="21"/>
              </w:rPr>
              <w:t>国内商品市场长期趋于整合但分割局部反复、要素市场滞后；分割源于“为增长而竞争”的体制激励，内贸成本下降的增长贡献巨大</w:t>
            </w:r>
          </w:p>
        </w:tc>
        <w:tc>
          <w:tcPr>
            <w:tcW w:type="dxa" w:w="2126"/>
          </w:tcPr>
          <w:p>
            <w:pPr>
              <w:spacing w:before="20" w:after="20" w:line="276" w:lineRule="auto"/>
              <w:jc w:val="left"/>
            </w:pPr>
            <w:r/>
            <w:r>
              <w:rPr>
                <w:rFonts w:ascii="Times New Roman" w:hAnsi="Times New Roman" w:eastAsia="宋体"/>
                <w:b w:val="0"/>
                <w:sz w:val="21"/>
              </w:rPr>
              <w:t>提供分割的测度方法（相对价格法）与体制成因判断；本书据此构造省域市场分割指数，并以分割为“三环传导”框架的起点</w:t>
            </w:r>
          </w:p>
        </w:tc>
      </w:tr>
      <w:tr>
        <w:tc>
          <w:tcPr>
            <w:tcW w:type="dxa" w:w="2126"/>
          </w:tcPr>
          <w:p>
            <w:pPr>
              <w:spacing w:before="20" w:after="20" w:line="276" w:lineRule="auto"/>
              <w:jc w:val="left"/>
            </w:pPr>
            <w:r/>
            <w:r>
              <w:rPr>
                <w:rFonts w:ascii="Times New Roman" w:hAnsi="Times New Roman" w:eastAsia="宋体"/>
                <w:b w:val="0"/>
                <w:sz w:val="21"/>
              </w:rPr>
              <w:t>产能过剩与“内卷式”竞争研究</w:t>
            </w:r>
          </w:p>
        </w:tc>
        <w:tc>
          <w:tcPr>
            <w:tcW w:type="dxa" w:w="2126"/>
          </w:tcPr>
          <w:p>
            <w:pPr>
              <w:spacing w:before="20" w:after="20" w:line="276" w:lineRule="auto"/>
              <w:jc w:val="left"/>
            </w:pPr>
            <w:r/>
            <w:r>
              <w:rPr>
                <w:rFonts w:ascii="Times New Roman" w:hAnsi="Times New Roman" w:eastAsia="宋体"/>
                <w:b w:val="0"/>
                <w:sz w:val="21"/>
              </w:rPr>
              <w:t>（Mankiw和Whinston，1986）、（林毅夫等，2010）、（江飞涛等，2012）、（余东华、吕逸楠，2015）、（张杰、任元明，2025）</w:t>
            </w:r>
          </w:p>
        </w:tc>
        <w:tc>
          <w:tcPr>
            <w:tcW w:type="dxa" w:w="2126"/>
          </w:tcPr>
          <w:p>
            <w:pPr>
              <w:spacing w:before="20" w:after="20" w:line="276" w:lineRule="auto"/>
              <w:jc w:val="left"/>
            </w:pPr>
            <w:r/>
            <w:r>
              <w:rPr>
                <w:rFonts w:ascii="Times New Roman" w:hAnsi="Times New Roman" w:eastAsia="宋体"/>
                <w:b w:val="0"/>
                <w:sz w:val="21"/>
              </w:rPr>
              <w:t>过度进入定理揭示自由进入的社会无效率；潮涌现象与体制扭曲共同导致中国式产能过剩；“内卷式”竞争呈同质化、超低价、无利化等特征</w:t>
            </w:r>
          </w:p>
        </w:tc>
        <w:tc>
          <w:tcPr>
            <w:tcW w:type="dxa" w:w="2126"/>
          </w:tcPr>
          <w:p>
            <w:pPr>
              <w:spacing w:before="20" w:after="20" w:line="276" w:lineRule="auto"/>
              <w:jc w:val="left"/>
            </w:pPr>
            <w:r/>
            <w:r>
              <w:rPr>
                <w:rFonts w:ascii="Times New Roman" w:hAnsi="Times New Roman" w:eastAsia="宋体"/>
                <w:b w:val="0"/>
                <w:sz w:val="21"/>
              </w:rPr>
              <w:t>为“内卷式竞争陷阱”概念提供理论基准与中国经验注脚；本书将其正式定义、五维测度并嵌入分割框架</w:t>
            </w:r>
          </w:p>
        </w:tc>
      </w:tr>
      <w:tr>
        <w:tc>
          <w:tcPr>
            <w:tcW w:type="dxa" w:w="2126"/>
          </w:tcPr>
          <w:p>
            <w:pPr>
              <w:spacing w:before="20" w:after="20" w:line="276" w:lineRule="auto"/>
              <w:jc w:val="left"/>
            </w:pPr>
            <w:r/>
            <w:r>
              <w:rPr>
                <w:rFonts w:ascii="Times New Roman" w:hAnsi="Times New Roman" w:eastAsia="宋体"/>
                <w:b w:val="0"/>
                <w:sz w:val="21"/>
              </w:rPr>
              <w:t>地方政府行为与竞争秩序研究</w:t>
            </w:r>
          </w:p>
        </w:tc>
        <w:tc>
          <w:tcPr>
            <w:tcW w:type="dxa" w:w="2126"/>
          </w:tcPr>
          <w:p>
            <w:pPr>
              <w:spacing w:before="20" w:after="20" w:line="276" w:lineRule="auto"/>
              <w:jc w:val="left"/>
            </w:pPr>
            <w:r/>
            <w:r>
              <w:rPr>
                <w:rFonts w:ascii="Times New Roman" w:hAnsi="Times New Roman" w:eastAsia="宋体"/>
                <w:b w:val="0"/>
                <w:sz w:val="21"/>
              </w:rPr>
              <w:t>（周黎安，2007）、（傅勇、张晏，2007）、（杨其静、彭艳琼，2015）、（聂辉华、贾瑞雪，2011）、（黄益平等，2022）</w:t>
            </w:r>
          </w:p>
        </w:tc>
        <w:tc>
          <w:tcPr>
            <w:tcW w:type="dxa" w:w="2126"/>
          </w:tcPr>
          <w:p>
            <w:pPr>
              <w:spacing w:before="20" w:after="20" w:line="276" w:lineRule="auto"/>
              <w:jc w:val="left"/>
            </w:pPr>
            <w:r/>
            <w:r>
              <w:rPr>
                <w:rFonts w:ascii="Times New Roman" w:hAnsi="Times New Roman" w:eastAsia="宋体"/>
                <w:b w:val="0"/>
                <w:sz w:val="21"/>
              </w:rPr>
              <w:t>晋升锦标赛与财政分权塑造增长导向的地方竞争，衍生补贴竞赛、低价供地、重复建设与资源误置；平台经济提出竞争治理新课题</w:t>
            </w:r>
          </w:p>
        </w:tc>
        <w:tc>
          <w:tcPr>
            <w:tcW w:type="dxa" w:w="2126"/>
          </w:tcPr>
          <w:p>
            <w:pPr>
              <w:spacing w:before="20" w:after="20" w:line="276" w:lineRule="auto"/>
              <w:jc w:val="left"/>
            </w:pPr>
            <w:r/>
            <w:r>
              <w:rPr>
                <w:rFonts w:ascii="Times New Roman" w:hAnsi="Times New Roman" w:eastAsia="宋体"/>
                <w:b w:val="0"/>
                <w:sz w:val="21"/>
              </w:rPr>
              <w:t>为“地方激励扭曲”与“要素价格扭曲”机制提供微观基础；本书将其内生化于两地区补贴竞争模型并作机制检验</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市场整合的增长与福利效应研究</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（Melitz，2003）、（Hsieh和Klenow，2009）、（Donaldson，2018）、（Barwick等，2021）、（杨兴全、张可欣，2023）</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一体化通过选择效应、资源再配置与创新激励提升生产率和福利；地方保护造成显著福利损失；公平竞争审查等制度产生积极因果效应</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构成“统一市场红利”四大效应的理论与经验基础；本书以强度DID系统量化统一大市场建设的“反内卷”与红利效应</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1.1显示，四条线索分别在“分割的测度与成因”“过剩与内卷的形成”“地方政府的激励与行为”“整合的效应评估”上积累了厚实成果，且彼此之间存在天然的逻辑接口：地方政府行为是分割的成因，分割塑造进入与退出条件，进入退出条件决定“内卷”强度，而破除分割则释放红利。然而，恰恰是这些接口处的连接研究最为薄弱——四条线索大体平行推进，尚未被整合进一个统一的理论与实证框架。</w:t>
      </w:r>
    </w:p>
    <w:p>
      <w:pPr>
        <w:spacing w:before="160" w:after="120" w:line="360" w:lineRule="auto"/>
        <w:outlineLvl w:val="2"/>
      </w:pPr>
      <w:r>
        <w:rPr>
          <w:rFonts w:ascii="Times New Roman" w:hAnsi="Times New Roman" w:eastAsia="黑体"/>
          <w:b w:val="0"/>
          <w:sz w:val="24"/>
        </w:rPr>
        <w:t>5．文献述评：三点不足与三个缺口</w:t>
      </w:r>
    </w:p>
    <w:p>
      <w:pPr>
        <w:spacing w:before="0" w:after="0" w:line="360" w:lineRule="auto"/>
        <w:ind w:firstLineChars="200" w:firstLine="480"/>
      </w:pPr>
      <w:r>
        <w:rPr>
          <w:rFonts w:ascii="Times New Roman" w:hAnsi="Times New Roman" w:eastAsia="宋体"/>
          <w:b w:val="0"/>
          <w:sz w:val="24"/>
        </w:rPr>
        <w:t>综观既有研究，可以提炼出三点不足。其一，概念与测度不足。“内卷式”竞争虽已进入中央文件与公共讨论，但学术界尚未给出严格的经济学定义：它与正常价格竞争、良性竞争、恶性竞争的边界何在？其构成维度如何操作化？现有研究或沿用社会学隐喻作定性描述（付伟、蒋安丽，2025），或聚焦单一行业作案例观察（余东华、吕逸楠，2015），可跨省、跨期比较的强度指数至今阙如，这使得“内卷”研究难以进入规范的实证轨道。其二，机制整合不足。市场分割文献重在测度整合趋势与估计边界效应，产能过剩文献重在解释投资潮涌与体制扭曲，地方政府文献重在刻画激励与行为，三者对“分割→过度进入→退出失灵→内卷均衡”这一完整因果链条均只涉及片段；理论上，过度进入定理（Mankiw和Whinston，1986）与选择效应模型（Melitz，2003）均以一体化市场为背景，缺乏将行政分割、地方补贴与退出摩擦同时纳入的数理框架，“分割为何生内卷、统一为何能解卷”在模型层面尚属空白。其三，因果证据不足。市场整合效应的中国证据虽快速积累，但被解释变量多为企业创新、生产率等单项指标（杨兴全、张可欣，2023；王菁华、毕超，2024），鲜有研究直接检验统一市场制度对“内卷”强度本身的抑制效应，更缺乏“分割—内卷—红利”全链条的系统识别；政策研究则多为定性倡议，对“综合整治”工具箱的适用条件与激励兼容设计缺乏基于证据的论证。</w:t>
      </w:r>
    </w:p>
    <w:p>
      <w:pPr>
        <w:spacing w:before="0" w:after="0" w:line="360" w:lineRule="auto"/>
        <w:ind w:firstLineChars="200" w:firstLine="480"/>
      </w:pPr>
      <w:r>
        <w:rPr>
          <w:rFonts w:ascii="Times New Roman" w:hAnsi="Times New Roman" w:eastAsia="宋体"/>
          <w:b w:val="0"/>
          <w:sz w:val="24"/>
        </w:rPr>
        <w:t>与上述不足相对应，本书识别出三个研究缺口：一是概念缺口，需要在学理上正式界定“内卷式”竞争并提出“内卷式竞争陷阱”与“统一市场红利”这对本土化概念；二是理论缺口，需要构建“市场分割—内卷竞争—统一红利”的三环传导框架并予以数理化，形成可检验命题；三是证据缺口，需要构造省域市场分割指数与“内卷式竞争”强度指数，在统一的计量框架下完成机制检验与政策效应识别。填补这三个缺口，构成本书的基本任务，也是本书区别于既有研究的立足点。</w:t>
      </w:r>
    </w:p>
    <w:p>
      <w:pPr>
        <w:spacing w:before="200" w:after="160" w:line="360" w:lineRule="auto"/>
        <w:outlineLvl w:val="1"/>
      </w:pPr>
      <w:r>
        <w:rPr>
          <w:rFonts w:ascii="Times New Roman" w:hAnsi="Times New Roman" w:eastAsia="黑体"/>
          <w:b w:val="0"/>
          <w:sz w:val="28"/>
        </w:rPr>
        <w:t>（三）研究思路、方法与边际贡献</w:t>
      </w:r>
    </w:p>
    <w:p>
      <w:pPr>
        <w:spacing w:before="160" w:after="120" w:line="360" w:lineRule="auto"/>
        <w:outlineLvl w:val="2"/>
      </w:pPr>
      <w:r>
        <w:rPr>
          <w:rFonts w:ascii="Times New Roman" w:hAnsi="Times New Roman" w:eastAsia="黑体"/>
          <w:b w:val="0"/>
          <w:sz w:val="24"/>
        </w:rPr>
        <w:t>1．研究思路与技术路线</w:t>
      </w:r>
    </w:p>
    <w:p>
      <w:pPr>
        <w:spacing w:before="0" w:after="0" w:line="360" w:lineRule="auto"/>
        <w:ind w:firstLineChars="200" w:firstLine="480"/>
      </w:pPr>
      <w:r>
        <w:rPr>
          <w:rFonts w:ascii="Times New Roman" w:hAnsi="Times New Roman" w:eastAsia="宋体"/>
          <w:b w:val="0"/>
          <w:sz w:val="24"/>
        </w:rPr>
        <w:t>本书的总体思路可以概括为“一条主线、三环传导、四个层次”。一条主线，即“市场分割—内卷竞争—统一红利”：以市场分割为逻辑起点，以“内卷式竞争陷阱”的形成与破解为核心环节，以“统一市场红利”的释放为落脚点。三环传导，即第一环阐明分割在地方激励扭曲、要素价格扭曲、退出机制失灵与需求约束收紧四重条件下如何催生“内卷式”竞争，第二环阐明“内卷”如何侵蚀利润、挤出创新、抑制居民收入与消费进而加剧“供强需弱”，第三环阐明统一大市场建设如何通过规模经济效应、选择效应、创新激励效应与预期秩序效应破解“内卷”、释放红利。四个层次，即问题识别层（第一、二、五章）、理论构建层（第三、四章）、实证检验层（第六至九章）与政策设计层（第十、十一章），层层递进、首尾呼应。全书技术路线如图1.2所示（见图1.2）。</w:t>
      </w:r>
    </w:p>
    <w:p>
      <w:pPr>
        <w:spacing w:before="120"/>
        <w:jc w:val="center"/>
      </w:pPr>
      <w:r>
        <w:drawing>
          <wp:inline xmlns:a="http://schemas.openxmlformats.org/drawingml/2006/main" xmlns:pic="http://schemas.openxmlformats.org/drawingml/2006/picture">
            <wp:extent cx="5112000" cy="3721505"/>
            <wp:docPr id="2" name="Picture 2"/>
            <wp:cNvGraphicFramePr>
              <a:graphicFrameLocks noChangeAspect="1"/>
            </wp:cNvGraphicFramePr>
            <a:graphic>
              <a:graphicData uri="http://schemas.openxmlformats.org/drawingml/2006/picture">
                <pic:pic>
                  <pic:nvPicPr>
                    <pic:cNvPr id="0" name="fig_1_2.png"/>
                    <pic:cNvPicPr/>
                  </pic:nvPicPr>
                  <pic:blipFill>
                    <a:blip r:embed="rId10"/>
                    <a:stretch>
                      <a:fillRect/>
                    </a:stretch>
                  </pic:blipFill>
                  <pic:spPr>
                    <a:xfrm>
                      <a:off x="0" y="0"/>
                      <a:ext cx="5112000" cy="3721505"/>
                    </a:xfrm>
                    <a:prstGeom prst="rect"/>
                  </pic:spPr>
                </pic:pic>
              </a:graphicData>
            </a:graphic>
          </wp:inline>
        </w:drawing>
      </w:r>
    </w:p>
    <w:p>
      <w:pPr>
        <w:spacing w:before="120" w:after="120" w:line="312" w:lineRule="auto"/>
        <w:jc w:val="center"/>
      </w:pPr>
      <w:r>
        <w:rPr>
          <w:rFonts w:ascii="Times New Roman" w:hAnsi="Times New Roman" w:eastAsia="黑体"/>
          <w:b w:val="0"/>
          <w:sz w:val="21"/>
        </w:rPr>
        <w:t>图1.2　研究技术路线图</w:t>
      </w:r>
    </w:p>
    <w:p>
      <w:pPr>
        <w:spacing w:before="0" w:after="0" w:line="360" w:lineRule="auto"/>
        <w:ind w:firstLineChars="200" w:firstLine="480"/>
      </w:pPr>
      <w:r>
        <w:rPr>
          <w:rFonts w:ascii="Times New Roman" w:hAnsi="Times New Roman" w:eastAsia="宋体"/>
          <w:b w:val="0"/>
          <w:sz w:val="24"/>
        </w:rPr>
        <w:t>图1.2直观展示了全书的研究流程：顶端由现实矛盾（供强需弱、价格低位、行业“内卷”）与政策议程（统一大市场纵深推进、“内卷式”竞争深入整治）共同引出三个递进研究问题；中部左路为理论轴——概念界定（“内卷式竞争陷阱”“统一市场红利”）、三环传导框架与三个递进数理模型（补贴竞争模型、过度进入模型、选择与创新模型）及福利分解，产出可检验命题H1—H5；中部右路为经验轴——典型化事实、双指数构造（市场分割指数、“内卷式竞争”强度指数、统一大市场发展指数）、基准面板回归与机制检验（对应H1—H3）、公平竞争审查强度DID（对应H4—H5）、行业案例与国际镜鉴；两轴在底部汇合于政策设计——“十五五”纵深推进统一大市场与系统治理“内卷式”竞争的路径方案。理论轴的每一个命题都在经验轴上有对应检验，经验轴的每一项发现都回馈至政策轴的工具设计，从而形成“顶天”（理论创新）与“立地”（政策落地）的闭环。</w:t>
      </w:r>
    </w:p>
    <w:p>
      <w:pPr>
        <w:spacing w:before="160" w:after="120" w:line="360" w:lineRule="auto"/>
        <w:outlineLvl w:val="2"/>
      </w:pPr>
      <w:r>
        <w:rPr>
          <w:rFonts w:ascii="Times New Roman" w:hAnsi="Times New Roman" w:eastAsia="黑体"/>
          <w:b w:val="0"/>
          <w:sz w:val="24"/>
        </w:rPr>
        <w:t>2．研究方法</w:t>
      </w:r>
    </w:p>
    <w:p>
      <w:pPr>
        <w:spacing w:before="0" w:after="0" w:line="360" w:lineRule="auto"/>
        <w:ind w:firstLineChars="200" w:firstLine="480"/>
      </w:pPr>
      <w:r>
        <w:rPr>
          <w:rFonts w:ascii="Times New Roman" w:hAnsi="Times New Roman" w:eastAsia="宋体"/>
          <w:b w:val="0"/>
          <w:sz w:val="24"/>
        </w:rPr>
        <w:t>在方法论上，本书坚持规范分析与实证分析相结合、定量证据与案例叙事相印证，综合运用四类方法。一是数理建模方法。第四章在Cournot竞争框架下构建两地区补贴竞争的两阶段博弈模型，刻画分割条件下地方补贴的囚徒困境结构；借助Salop环形市场与过度进入分析框架（Salop，1979；Mankiw和Whinston，1986）刻画分割市场中的过度进入与“内卷均衡”存续条件；在异质性企业框架（Melitz，2003）下引入区际贸易成本，推导市场一体化的选择效应与创新效应，并给出“统一红利”的福利分解。二是指数测度方法。第六章沿相对价格法的方法脉络（桂琦寒等，2006；陆铭、陈钊，2009）构造31省2012—2024年市场分割指数；从价格竞争烈度、产能冗余度、盈利侵蚀度、同质化程度、退出粘性五个维度选取14个基础指标，以熵权法合成“内卷式竞争”强度指数；并从市场基础制度、设施联通、要素流动、监管统一四个维度合成统一大市场发展指数。三是计量识别方法。以双固定效应面板模型检验分割对“内卷”的影响，以两步法进行补贴竞争、产业同构、退出粘性三条渠道的机制检验，以2016年公平竞争审查制度实施为准自然实验实施强度双重差分并辅以事件研究与安慰剂检验，同时采用地形起伏度、明清驿道密度等工具变量处理内生性。四是案例与比较研究方法。第十章对光伏、新能源汽车、平台经济三大行业的“内卷—治理”过程进行过程追踪，对长三角一体化进行区域先行考察，并借鉴美国州际市场形成、欧盟单一市场建设与日本“过当竞争”治理的国际经验（Draghi，2024），实现统计证据与机制叙事的三角互证。</w:t>
      </w:r>
    </w:p>
    <w:p>
      <w:pPr>
        <w:spacing w:before="160" w:after="120" w:line="360" w:lineRule="auto"/>
        <w:outlineLvl w:val="2"/>
      </w:pPr>
      <w:r>
        <w:rPr>
          <w:rFonts w:ascii="Times New Roman" w:hAnsi="Times New Roman" w:eastAsia="黑体"/>
          <w:b w:val="0"/>
          <w:sz w:val="24"/>
        </w:rPr>
        <w:t>3．边际贡献</w:t>
      </w:r>
    </w:p>
    <w:p>
      <w:pPr>
        <w:spacing w:before="0" w:after="0" w:line="360" w:lineRule="auto"/>
        <w:ind w:firstLineChars="200" w:firstLine="480"/>
      </w:pPr>
      <w:r>
        <w:rPr>
          <w:rFonts w:ascii="Times New Roman" w:hAnsi="Times New Roman" w:eastAsia="宋体"/>
          <w:b w:val="0"/>
          <w:sz w:val="24"/>
        </w:rPr>
        <w:t>相对于既有研究，本书力求在四个方面作出边际贡献。第一，概念层面：提出并正式界定“内卷式竞争陷阱”与“统一市场红利”这对本土化概念。前者被定义为在市场分割与地方政府激励扭曲条件下，同质化过度进入、产能持续过剩、价格竞争向成本线以下收敛、创新回报被侵蚀、落后产能退出失灵所形成的自我强化的低水平竞争均衡；后者指破除分割后通过规模效应、选择效应、创新效应、预期效应释放的增长与福利增量。这对概念将政策话语转译为可分析、可测度、可检验的经济学范畴，回应了“内卷式”竞争研究概念化不足的缺口（张杰、任元明，2025）。</w:t>
      </w:r>
    </w:p>
    <w:p>
      <w:pPr>
        <w:spacing w:before="0" w:after="0" w:line="360" w:lineRule="auto"/>
        <w:ind w:firstLineChars="200" w:firstLine="480"/>
      </w:pPr>
      <w:r>
        <w:rPr>
          <w:rFonts w:ascii="Times New Roman" w:hAnsi="Times New Roman" w:eastAsia="宋体"/>
          <w:b w:val="0"/>
          <w:sz w:val="24"/>
        </w:rPr>
        <w:t>第二，理论层面：构建“市场分割—内卷竞争—统一红利”三环传导框架并予以数理化。本书将行政分割参数、地方补贴决策与退出摩擦同时嵌入进入—退出模型，证明分割通过缩小有效市场规模、扭曲进入激励而系统性放大“过度进入偏差”，并给出需求收缩冲击下“内卷均衡”的存续条件；进而在异质性企业框架中推导统一化的选择效应与创新效应，完成“统一红利”的福利分解。这一框架将过度进入定理与选择效应模型拓展至行政分割与补贴竞争场景，为中国场景下的竞争治理提供了自洽的理论基础，也构成与新古典竞争理论、日本过度竞争论、财政联邦主义的对话界面（本书第三章、第四章）。</w:t>
      </w:r>
    </w:p>
    <w:p>
      <w:pPr>
        <w:spacing w:before="0" w:after="0" w:line="360" w:lineRule="auto"/>
        <w:ind w:firstLineChars="200" w:firstLine="480"/>
      </w:pPr>
      <w:r>
        <w:rPr>
          <w:rFonts w:ascii="Times New Roman" w:hAnsi="Times New Roman" w:eastAsia="宋体"/>
          <w:b w:val="0"/>
          <w:sz w:val="24"/>
        </w:rPr>
        <w:t>第三，测度与识别层面：构造双指数并完成全链条因果检验。本书构造了31省2012—2024年的市场分割指数与五维“内卷式竞争”强度指数，这是文献中首次对“内卷”强度进行省域面板测度；在此基础上，以基准面板回归确认“分割生内卷”的稳健关联，以机制检验量化补贴竞争、产业同构与退出粘性三条渠道，以公平竞争审查强度DID识别统一市场制度的“反内卷”效应及其在效率、创新、利润维度的红利表现，并以工具变量、事件研究与安慰剂检验加固因果链条。相对于聚焦单项结果变量的既有评估（杨兴全、张可欣，2023；王浩旸等，2025），本书提供的是“分割—内卷—红利”全链条的系统证据。</w:t>
      </w:r>
    </w:p>
    <w:p>
      <w:pPr>
        <w:spacing w:before="0" w:after="0" w:line="360" w:lineRule="auto"/>
        <w:ind w:firstLineChars="200" w:firstLine="480"/>
      </w:pPr>
      <w:r>
        <w:rPr>
          <w:rFonts w:ascii="Times New Roman" w:hAnsi="Times New Roman" w:eastAsia="宋体"/>
          <w:b w:val="0"/>
          <w:sz w:val="24"/>
        </w:rPr>
        <w:t>第四，政策层面：形成“十五五”时期纵深推进统一大市场与系统治理“内卷式”竞争的操作路径。本书将“产能调控、标准引领、价格执法、质量监管和反垄断、反不正当竞争”的中央工具箱学理化，设计工具适用条件矩阵；针对“四重扭曲”提出基础制度、公平竞争刚性约束、要素市场化、地方激励重构、内需协同的组合方案，并就防止“运动式反内卷”与行政化产能干预复归给出节奏与边界建议，为《全国统一大市场建设条例》制定、招商引资清单管理等政策实践提供学理支撑（习近平，2026；洪银兴，2024）。</w:t>
      </w:r>
    </w:p>
    <w:p>
      <w:pPr>
        <w:spacing w:before="160" w:after="120" w:line="360" w:lineRule="auto"/>
        <w:outlineLvl w:val="2"/>
      </w:pPr>
      <w:r>
        <w:rPr>
          <w:rFonts w:ascii="Times New Roman" w:hAnsi="Times New Roman" w:eastAsia="黑体"/>
          <w:b w:val="0"/>
          <w:sz w:val="24"/>
        </w:rPr>
        <w:t>4．篇章结构安排</w:t>
      </w:r>
    </w:p>
    <w:p>
      <w:pPr>
        <w:spacing w:before="0" w:after="0" w:line="360" w:lineRule="auto"/>
        <w:ind w:firstLineChars="200" w:firstLine="480"/>
      </w:pPr>
      <w:r>
        <w:rPr>
          <w:rFonts w:ascii="Times New Roman" w:hAnsi="Times New Roman" w:eastAsia="宋体"/>
          <w:b w:val="0"/>
          <w:sz w:val="24"/>
        </w:rPr>
        <w:t>全书共十二章。第一章为引言，提出问题、述评文献并交代研究设计。第二章梳理全国统一大市场建设与“内卷式”竞争治理的政策部署，从1978年以来的政策演进、党的二十届四中全会与《纲要》第十七章的战略部署、2025年中央经济工作会议的治理部署及习近平经济思想的理论逻辑四个层面展开。第三章进行概念界定与理论框架构建，正式定义市场分割、“内卷式”竞争、“内卷式竞争陷阱”与“统一市场红利”，提出三环传导框架与四重扭曲、四大效应的机理体系。第四章构建理论模型，通过基准补贴竞争模型、过度进入扩展模型与选择—创新扩展模型完成福利分解，导出可检验命题H1—H5。第五章刻画中国市场分割与“内卷式”竞争的典型化事实，覆盖宏观供需、重点行业画像、地方竞争样本事实与国际比较。第六章为实证研究设计，给出研究假说、指标构建、模型设定与数据说明。第七章报告市场分割与统一大市场建设水平的测度结果。第八章检验市场分割如何催生“内卷式”竞争，对应命题H1—H3。第九章评估统一大市场建设的“统一红利”效应，对应命题H4—H5，并作红利前瞻测算。第十章开展光伏、新能源汽车、平台经济三大行业案例研究与长三角先行考察，辅以美国、欧盟、日本的国际镜鉴。第十一章提出“十五五”时期纵深推进全国统一大市场建设的政策路径。第十二章总结全书结论、提炼边际贡献并展望未来研究方向。</w:t>
      </w:r>
    </w:p>
    <w:p>
      <w:pPr>
        <w:spacing w:before="0" w:after="0" w:line="360" w:lineRule="auto"/>
        <w:ind w:firstLineChars="200" w:firstLine="480"/>
      </w:pPr>
      <w:r>
        <w:rPr>
          <w:rFonts w:ascii="Times New Roman" w:hAnsi="Times New Roman" w:eastAsia="宋体"/>
          <w:b w:val="0"/>
          <w:sz w:val="24"/>
        </w:rPr>
        <w:t>概言之，本章完成了全书的“破题”：现实层面，PPI连续39个月负增长、产能利用率与利润率同处低位、光伏与汽车行业深度“内卷”、平台补贴大战愈演愈烈，共同勾勒出“供强需弱”的时代难题；政策层面，从2022年《意见》到2025年中央经济工作会议“制定全国统一大市场建设条例，深入整治‘内卷式’竞争”的部署，中央治理方略层层递进；学理层面，四条文献线索成果丰硕但存在概念、理论与证据三重缺口，本书据此确立了三个递进研究问题、三环传导思路与四点边际贡献。带着这些问题与框架，下一章首先回到政策文本本身，系统梳理全国统一大市场建设与“内卷式”竞争治理的政策部署，厘清其演进逻辑、战略意涵与治理工具箱，为后续的理论构建提供制度语境。</w:t>
      </w:r>
    </w:p>
    <w:p>
      <w:r>
        <w:br w:type="page"/>
      </w:r>
    </w:p>
    <w:p>
      <w:pPr>
        <w:spacing w:before="240" w:after="280" w:line="360" w:lineRule="auto"/>
        <w:jc w:val="center"/>
        <w:outlineLvl w:val="0"/>
      </w:pPr>
      <w:r>
        <w:rPr>
          <w:rFonts w:ascii="Times New Roman" w:hAnsi="Times New Roman" w:eastAsia="黑体"/>
          <w:b/>
          <w:sz w:val="30"/>
        </w:rPr>
        <w:t>二、全国统一大市场建设与“内卷式”竞争治理的政策部署</w:t>
      </w:r>
    </w:p>
    <w:p>
      <w:pPr>
        <w:spacing w:before="0" w:after="0" w:line="360" w:lineRule="auto"/>
        <w:ind w:firstLineChars="200" w:firstLine="480"/>
      </w:pPr>
      <w:r>
        <w:rPr>
          <w:rFonts w:ascii="Times New Roman" w:hAnsi="Times New Roman" w:eastAsia="宋体"/>
          <w:b w:val="0"/>
          <w:sz w:val="24"/>
        </w:rPr>
        <w:t>本书第一章从“供强需弱”、价格低位运行与重点行业“内卷式”竞争蔓延的现实出发，提出了“市场分割如何催生内卷式竞争、统一大市场建设如何破解内卷并释放红利、‘十五五’时期如何纵深推进”三个递进的研究问题。回答这些问题，首先必须准确把握政策部署本身：中央为什么在此时将全国统一大市场建设提升到“纵深推进”的高度？“深入整治‘内卷式’竞争”的工具箱由哪些手段构成、分别针对何种扭曲？这些部署背后的理论逻辑又是什么？为此，本章依次完成四项任务：第一，以1978年以来的市场化改革为经线，梳理统一大市场政策从商品市场整合到纵深推进的演进脉络；第二，逐节解读党的二十届四中全会与《中华人民共和国国民经济和社会发展第十五个五年规划纲要》（以下简称《纲要》）第十七章的战略部署；第三，解析2025年中央经济工作会议与习近平总书记《当前经济工作的重点任务》所给出的“内卷式”竞争综合整治工具箱；第四，从习近平经济思想的高度提炼统一大市场建设的理论逻辑。本章的政策梳理与学理阐释，将为本书第三章的概念界定与理论框架构建、第十一章的政策路径设计提供制度背景与政策坐标。</w:t>
      </w:r>
    </w:p>
    <w:p>
      <w:pPr>
        <w:spacing w:before="200" w:after="160" w:line="360" w:lineRule="auto"/>
        <w:outlineLvl w:val="1"/>
      </w:pPr>
      <w:r>
        <w:rPr>
          <w:rFonts w:ascii="Times New Roman" w:hAnsi="Times New Roman" w:eastAsia="黑体"/>
          <w:b w:val="0"/>
          <w:sz w:val="28"/>
        </w:rPr>
        <w:t>（一）政策演进：从商品市场整合到纵深推进统一大市场</w:t>
      </w:r>
    </w:p>
    <w:p>
      <w:pPr>
        <w:spacing w:before="0" w:after="0" w:line="360" w:lineRule="auto"/>
        <w:ind w:firstLineChars="200" w:firstLine="480"/>
      </w:pPr>
      <w:r>
        <w:rPr>
          <w:rFonts w:ascii="Times New Roman" w:hAnsi="Times New Roman" w:eastAsia="宋体"/>
          <w:b w:val="0"/>
          <w:sz w:val="24"/>
        </w:rPr>
        <w:t>全国统一大市场并非新近才出现的政策议题，而是与中国市场化改革相伴而生、不断深化的一条制度建设主线。从1978年改革开放启动算起，这一主线大体经历了五个阶段：市场化起步与双轨制时期（1978—1992）、市场体系建设时期（1993—2012）、要素市场化改革与高标准市场体系建设时期（2013—2021）、统一大市场建设全面展开时期（2022—2024），以及纵深推进与“反内卷”治理时期（2025年以来）。五个阶段的演进呈现出清晰的递进逻辑：政策对象从商品市场扩展到要素市场、再深入到政府行为本身；政策手段从行政性“清障”升级为制度性“立规”；政策目标从建立市场经济基本框架，深化为破除地方保护、市场分割与“内卷式”竞争的系统治理。其中，2013年以来的政策节点尤为密集而关键，构成本书实证研究的制度背景（见图2.1）。</w:t>
      </w:r>
    </w:p>
    <w:p>
      <w:pPr>
        <w:spacing w:before="120"/>
        <w:jc w:val="center"/>
      </w:pPr>
      <w:r>
        <w:drawing>
          <wp:inline xmlns:a="http://schemas.openxmlformats.org/drawingml/2006/main" xmlns:pic="http://schemas.openxmlformats.org/drawingml/2006/picture">
            <wp:extent cx="5112000" cy="2684245"/>
            <wp:docPr id="3" name="Picture 3"/>
            <wp:cNvGraphicFramePr>
              <a:graphicFrameLocks noChangeAspect="1"/>
            </wp:cNvGraphicFramePr>
            <a:graphic>
              <a:graphicData uri="http://schemas.openxmlformats.org/drawingml/2006/picture">
                <pic:pic>
                  <pic:nvPicPr>
                    <pic:cNvPr id="0" name="fig_2_1.png"/>
                    <pic:cNvPicPr/>
                  </pic:nvPicPr>
                  <pic:blipFill>
                    <a:blip r:embed="rId11"/>
                    <a:stretch>
                      <a:fillRect/>
                    </a:stretch>
                  </pic:blipFill>
                  <pic:spPr>
                    <a:xfrm>
                      <a:off x="0" y="0"/>
                      <a:ext cx="5112000" cy="2684245"/>
                    </a:xfrm>
                    <a:prstGeom prst="rect"/>
                  </pic:spPr>
                </pic:pic>
              </a:graphicData>
            </a:graphic>
          </wp:inline>
        </w:drawing>
      </w:r>
    </w:p>
    <w:p>
      <w:pPr>
        <w:spacing w:before="120" w:after="120" w:line="312" w:lineRule="auto"/>
        <w:jc w:val="center"/>
      </w:pPr>
      <w:r>
        <w:rPr>
          <w:rFonts w:ascii="Times New Roman" w:hAnsi="Times New Roman" w:eastAsia="黑体"/>
          <w:b w:val="0"/>
          <w:sz w:val="21"/>
        </w:rPr>
        <w:t>图2.1　全国统一大市场建设政策演进时间轴（2013—2026）</w:t>
      </w:r>
    </w:p>
    <w:p>
      <w:pPr>
        <w:spacing w:before="0" w:after="0" w:line="360" w:lineRule="auto"/>
        <w:ind w:firstLineChars="200" w:firstLine="480"/>
      </w:pPr>
      <w:r>
        <w:rPr>
          <w:rFonts w:ascii="Times New Roman" w:hAnsi="Times New Roman" w:eastAsia="宋体"/>
          <w:b w:val="0"/>
          <w:sz w:val="24"/>
        </w:rPr>
        <w:t>图2.1以时间轴形式呈现了2013年党的十八届三中全会以来统一大市场建设的重要政策节点，从中可以直观读出两个特征。其一，政策供给的节奏明显加快：2013—2021年的标志性制度以数年为间隔渐次出台，而2022年《中共中央 国务院关于加快建设全国统一大市场的意见》（以下简称《意见》）发布之后，几乎每年都有重量级制度落地，2024—2026年更形成条例、清单、指引、修法多线并进的密集部署。其二，政策主题发生显著位移：2024年下半年起，“内卷式”竞争治理与统一大市场建设两条线索开始合流，“综合整治”“深入整治”相继进入中央经济工作会议部署，表明决策层已经把“内卷式”竞争识别为市场分割与地方不当干预在企业竞争层面的集中表现，把破除分割视为治理“内卷”的治本之途。以下分阶段展开叙述。</w:t>
      </w:r>
    </w:p>
    <w:p>
      <w:pPr>
        <w:spacing w:before="160" w:after="120" w:line="360" w:lineRule="auto"/>
        <w:outlineLvl w:val="2"/>
      </w:pPr>
      <w:r>
        <w:rPr>
          <w:rFonts w:ascii="Times New Roman" w:hAnsi="Times New Roman" w:eastAsia="黑体"/>
          <w:b w:val="0"/>
          <w:sz w:val="24"/>
        </w:rPr>
        <w:t>1．市场化起步与双轨制时期（1978—1992）</w:t>
      </w:r>
    </w:p>
    <w:p>
      <w:pPr>
        <w:spacing w:before="0" w:after="0" w:line="360" w:lineRule="auto"/>
        <w:ind w:firstLineChars="200" w:firstLine="480"/>
      </w:pPr>
      <w:r>
        <w:rPr>
          <w:rFonts w:ascii="Times New Roman" w:hAnsi="Times New Roman" w:eastAsia="宋体"/>
          <w:b w:val="0"/>
          <w:sz w:val="24"/>
        </w:rPr>
        <w:t>改革开放之初，中国经济脱胎于高度集中的计划体制，资源配置由指令性计划完成，商品流通被条块分割的行政体系所割裂，严格意义上的“市场”尚不存在，自然也谈不上市场的统一。1978年党的十一届三中全会以后，改革沿着“放权让利”的路径展开：农村家庭联产承包责任制率先突破，城市国有企业逐步扩大经营自主权，财政包干体制赋予地方政府相对独立的利益边界，价格双轨制则在计划轨之外培育出市场轨。这一时期的制度变迁具有双重效应。一方面，商品市场从无到有、迅速扩张，1984年党的十二届三中全会《中共中央关于经济体制改革的决定》明确提出发展“有计划的商品经济”，为商品流通的市场化打开了空间；另一方面，行政性分权使地方政府成为具有独立利益诉求的经济主体，在财政包干与价格双轨并存的条件下，围绕原材料和紧俏商品的地区封锁、限制贩运现象时有发生，市场分割由计划体制下的“条块分割”演变为地方利益驱动的“诸侯经济”雏形（银温泉、才婉茹，2001）。</w:t>
      </w:r>
    </w:p>
    <w:p>
      <w:pPr>
        <w:spacing w:before="0" w:after="0" w:line="360" w:lineRule="auto"/>
        <w:ind w:firstLineChars="200" w:firstLine="480"/>
      </w:pPr>
      <w:r>
        <w:rPr>
          <w:rFonts w:ascii="Times New Roman" w:hAnsi="Times New Roman" w:eastAsia="宋体"/>
          <w:b w:val="0"/>
          <w:sz w:val="24"/>
        </w:rPr>
        <w:t>从统一大市场建设的视角回望，这一阶段的历史意义在于提出了问题而非解决了问题。市场化取向的改革使“看不见的手”开始发挥作用，但地方政府深度介入经济的体制格局也在同一过程中定型。后来的研究将这一格局概括为财政分权与官员晋升激励共同塑造的“为增长而竞争”体制：其积极面是激发了地方发展经济的巨大热情，消极面则是地方保护、市场分割与重复建设的痼疾反复发作（周黎安，2004）。这一时期中央层面已开始关注地区封锁问题，多次发文要求打破地区间市场封锁、搞活商品流通，但在体制转轨初期，此类要求多属行政倡导，缺乏制度化的约束与问责机制，执行效果有限。统一市场作为明确的改革目标，要等到社会主义市场经济体制目标确立之后，才正式进入顶层设计的视野。</w:t>
      </w:r>
    </w:p>
    <w:p>
      <w:pPr>
        <w:spacing w:before="160" w:after="120" w:line="360" w:lineRule="auto"/>
        <w:outlineLvl w:val="2"/>
      </w:pPr>
      <w:r>
        <w:rPr>
          <w:rFonts w:ascii="Times New Roman" w:hAnsi="Times New Roman" w:eastAsia="黑体"/>
          <w:b w:val="0"/>
          <w:sz w:val="24"/>
        </w:rPr>
        <w:t>2．市场体系建设时期（1993—2012）</w:t>
      </w:r>
    </w:p>
    <w:p>
      <w:pPr>
        <w:spacing w:before="0" w:after="0" w:line="360" w:lineRule="auto"/>
        <w:ind w:firstLineChars="200" w:firstLine="480"/>
      </w:pPr>
      <w:r>
        <w:rPr>
          <w:rFonts w:ascii="Times New Roman" w:hAnsi="Times New Roman" w:eastAsia="宋体"/>
          <w:b w:val="0"/>
          <w:sz w:val="24"/>
        </w:rPr>
        <w:t>1992年邓小平南方谈话与党的十四大确立了建立社会主义市场经济体制的改革目标，统一市场由此从隐含诉求上升为明确的制度建设方向。1993年党的十四届三中全会《中共中央关于建立社会主义市场经济体制若干问题的决定》提出建立“统一开放、竞争有序的市场体系”，实现城乡市场紧密结合、国内市场与国际市场相互衔接，这是中央文件首次系统阐述全国统一市场的制度框架。随后的一系列改革为市场统一奠定了基础性条件：1994年分税制改革规范了中央与地方的财政分配关系；《反不正当竞争法》《价格法》等基础性市场规则相继出台；2001年加入世界贸易组织后，对外开放的规则约束倒逼国内市场走向规范，同年国务院颁布《关于禁止在市场经济活动中实行地区封锁的规定》，首次以行政法规形式直接规制地区封锁行为。</w:t>
      </w:r>
    </w:p>
    <w:p>
      <w:pPr>
        <w:spacing w:before="0" w:after="0" w:line="360" w:lineRule="auto"/>
        <w:ind w:firstLineChars="200" w:firstLine="480"/>
      </w:pPr>
      <w:r>
        <w:rPr>
          <w:rFonts w:ascii="Times New Roman" w:hAnsi="Times New Roman" w:eastAsia="宋体"/>
          <w:b w:val="0"/>
          <w:sz w:val="24"/>
        </w:rPr>
        <w:t>然而，制度框架的确立并不等于市场分割的消除。这一时期国内外学术界围绕中国国内市场的整合程度展开了激烈争论。有研究基于地区产业结构与价格数据判断，渐进改革中的扭曲使省际贸易壁垒不降反升，中国国内市场呈现“碎片化”特征（Young，2000；Poncet，2003）；有测算表明，地方分割导致的全国生产效率损失相当可观（郑毓盛、李崇高，2003）。随着数据与方法的改进，基于相对价格法的系统证据显示，1985—2001年间地区间商品相对价格方差总体下降，国内商品市场整体上趋于整合而非分割（桂琦寒等，2006）。更具启发性的发现是，市场分割与地方经济增长之间存在复杂的策略性关联：在经济开放条件下，维持一定程度的分割反而可能在短期内有利于本地增长，从而形成“囚徒困境”式的分割均衡，仅靠地方自发行动难以打破，必须依靠中央层面的制度协调（陆铭、陈钊，2009）。这一发现为后来统一大市场建设由中央强力推动、自上而下问责提供了学理注脚。</w:t>
      </w:r>
    </w:p>
    <w:p>
      <w:pPr>
        <w:spacing w:before="0" w:after="0" w:line="360" w:lineRule="auto"/>
        <w:ind w:firstLineChars="200" w:firstLine="480"/>
      </w:pPr>
      <w:r>
        <w:rPr>
          <w:rFonts w:ascii="Times New Roman" w:hAnsi="Times New Roman" w:eastAsia="宋体"/>
          <w:b w:val="0"/>
          <w:sz w:val="24"/>
        </w:rPr>
        <w:t>同样在这一时期，产能过剩作为市场分割的孪生现象开始周期性发作：20世纪90年代末的纺织压锭，2003年前后钢铁、电解铝、水泥行业的投资过热，2009年应对国际金融危机大规模刺激之后的多行业产能过剩，治理手段从行政审批、供地控制到淘汰落后产能名单，呈现“过剩—治理—再过剩”的循环（梁泳梅，2024）。学术研究逐步认识到，中国式产能过剩的根源不在于市场经济的一般性波动，而在于体制性扭曲——地方政府以低价土地、税收优惠、财政补贴开展竞争性招商，使企业的投资成本部分社会化，从而扭曲了进入与退出的价格信号（江飞涛、曹建海，2009）。这为理解后来“内卷式”竞争的形成机理提供了直接的思想资源，本书第三章将把它纳入“四重扭曲”框架予以系统化。</w:t>
      </w:r>
    </w:p>
    <w:p>
      <w:pPr>
        <w:spacing w:before="160" w:after="120" w:line="360" w:lineRule="auto"/>
        <w:outlineLvl w:val="2"/>
      </w:pPr>
      <w:r>
        <w:rPr>
          <w:rFonts w:ascii="Times New Roman" w:hAnsi="Times New Roman" w:eastAsia="黑体"/>
          <w:b w:val="0"/>
          <w:sz w:val="24"/>
        </w:rPr>
        <w:t>3．要素市场化改革与高标准市场体系建设时期（2013—2021）</w:t>
      </w:r>
    </w:p>
    <w:p>
      <w:pPr>
        <w:spacing w:before="0" w:after="0" w:line="360" w:lineRule="auto"/>
        <w:ind w:firstLineChars="200" w:firstLine="480"/>
      </w:pPr>
      <w:r>
        <w:rPr>
          <w:rFonts w:ascii="Times New Roman" w:hAnsi="Times New Roman" w:eastAsia="宋体"/>
          <w:b w:val="0"/>
          <w:sz w:val="24"/>
        </w:rPr>
        <w:t>2013年11月，党的十八届三中全会提出“使市场在资源配置中起决定性作用和更好发挥政府作用”，把建设统一开放、竞争有序的市场体系作为市场发挥决定性作用的基础。这一时期统一市场建设的重心出现两个转移：从商品市场转向要素市场，从清理显性壁垒转向约束政策源头。2016年6月，国务院印发《关于在市场体系建设中建立公平竞争审查制度的意见》（国发〔2016〕34号），要求各级政府在制定涉及经营主体经济活动的政策措施时进行公平竞争审查，从源头上防止排除、限制竞争——这是中国竞争政策史上的标志性制度创新，意味着规制对象由企业行为扩展到政府行为本身。据市场监管总局数据，自制度建立至《公平竞争审查条例》出台前，全国累计审查政策措施161.8万件，清理存量文件447万件，废止和修订排除、限制竞争的政策措施9.3万件。这组数字一方面显示了制度运转的规模，另一方面也从侧面印证了带有分割与歧视色彩的政策存量之庞大。本书第六章与第九章将以公平竞争审查制度实施作为准自然实验，识别统一市场制度建设的因果效应。</w:t>
      </w:r>
    </w:p>
    <w:p>
      <w:pPr>
        <w:spacing w:before="0" w:after="0" w:line="360" w:lineRule="auto"/>
        <w:ind w:firstLineChars="200" w:firstLine="480"/>
      </w:pPr>
      <w:r>
        <w:rPr>
          <w:rFonts w:ascii="Times New Roman" w:hAnsi="Times New Roman" w:eastAsia="宋体"/>
          <w:b w:val="0"/>
          <w:sz w:val="24"/>
        </w:rPr>
        <w:t>2018年，首版全国统一的《市场准入负面清单（2018年版）》全面实施，列入事项151项，标志着“全国一张清单”管理模式正式落地；同年，六部门发布《中国开发区审核公告目录（2018年版）》，确认各类开发区共2543家，其中国家级552家、省级1991家，为规范园区间竞争提供了权威底数。2020年以后，改革进一步向纵深挺进：《关于构建更加完善的要素市场化配置体制机制的意见》首次系统部署土地、劳动力、资本、技术、数据等要素的市场化配置改革；2021年《建设高标准市场体系行动方案》从基础制度、要素市场、环境质量、开放与监管等方面提出行动清单。学术界在这一时期对统一大市场的阻力形成了较为一致的判断：市场分割的根源在于“为增长而竞争”的地方激励、选择性产业政策与财政分权下的地方策略互动，商品市场与要素市场呈现双重分割，破除分割须从重构激励入手（刘志彪、孔令池，2021；刘志彪，2021）。这些判断随后深刻影响了2022年顶层设计的问题意识与制度安排。</w:t>
      </w:r>
    </w:p>
    <w:p>
      <w:pPr>
        <w:spacing w:before="160" w:after="120" w:line="360" w:lineRule="auto"/>
        <w:outlineLvl w:val="2"/>
      </w:pPr>
      <w:r>
        <w:rPr>
          <w:rFonts w:ascii="Times New Roman" w:hAnsi="Times New Roman" w:eastAsia="黑体"/>
          <w:b w:val="0"/>
          <w:sz w:val="24"/>
        </w:rPr>
        <w:t>4．统一大市场建设全面展开时期（2022—2024）</w:t>
      </w:r>
    </w:p>
    <w:p>
      <w:pPr>
        <w:spacing w:before="0" w:after="0" w:line="360" w:lineRule="auto"/>
        <w:ind w:firstLineChars="200" w:firstLine="480"/>
      </w:pPr>
      <w:r>
        <w:rPr>
          <w:rFonts w:ascii="Times New Roman" w:hAnsi="Times New Roman" w:eastAsia="宋体"/>
          <w:b w:val="0"/>
          <w:sz w:val="24"/>
        </w:rPr>
        <w:t>2022年3月25日，《意见》成文，4月10日正式发布，统一大市场建设由分散的领域性改革上升为系统的国家战略工程（中共中央、国务院，2022）。《意见》以“五统一”立柱架梁——强化市场基础制度规则统一、推进市场设施高标准联通、打造统一的要素和资源市场、推进商品和服务市场高水平统一、推进市场监管公平统一，同时以规范不当市场竞争和市场干预行为作为“破”的抓手，形成“立破并举”的总体框架。学术界普遍认为，《意见》的突破在于把统一大市场明确为构建新发展格局的基础支撑和内在要求，把市场基础制度规则的全国统一置于优先位置，并首次将地方政府的市场干预行为纳入系统规制的范围（黄燕芬、刘志成，2022；刘瑞明、杨冰岩，2022）。2024年7月，党的二十届三中全会《决定》进一步提出“构建全国统一大市场”“强化市场基础制度规则统一”，将其纳入进一步全面深化改革、推进中国式现代化的总体部署。</w:t>
      </w:r>
    </w:p>
    <w:p>
      <w:pPr>
        <w:spacing w:before="0" w:after="0" w:line="360" w:lineRule="auto"/>
        <w:ind w:firstLineChars="200" w:firstLine="480"/>
      </w:pPr>
      <w:r>
        <w:rPr>
          <w:rFonts w:ascii="Times New Roman" w:hAnsi="Times New Roman" w:eastAsia="宋体"/>
          <w:b w:val="0"/>
          <w:sz w:val="24"/>
        </w:rPr>
        <w:t>这一阶段的另一条主线是竞争政策的法治化。2024年6月，《公平竞争审查条例》（国务院令第783号）公布，8月1日施行，以行政法规形式规定了包括不得给予特定经营者税收优惠、选择性财政奖励或补贴、要素获取优惠等在内的19项“不得”，公平竞争审查由政策性要求升格为法定义务（国务院，2024）。同年8月，国办发〔2024〕28号文件对招商引资行为作出规范，明确不得签订新的与税收挂钩的产业扶持协议，存量违规税费返还条款须终止执行。招商引资规范化的紧迫性有据可查：审计署《2022年度审计工作报告》披露，55个地区违规或变相返还税收、土地出让金等225.08亿元。与此同时，“内卷式”竞争正式进入中央政策话语：2024年7月30日中央政治局会议首次提出“强化行业自律，防止‘内卷式’恶性竞争”；同年12月中央经济工作会议进一步部署“综合整治‘内卷式’竞争，规范地方政府和企业行为”。从“防止”到“综合整治”，从主要针对企业的行业自律到同时“规范地方政府和企业行为”，政策语汇的演变折射出对问题性质认识的深化——“内卷式”竞争不仅是企业间的恶性价格竞争，更内嵌于地方政府不当干预所塑造的竞争秩序之中。</w:t>
      </w:r>
    </w:p>
    <w:p>
      <w:pPr>
        <w:spacing w:before="160" w:after="120" w:line="360" w:lineRule="auto"/>
        <w:outlineLvl w:val="2"/>
      </w:pPr>
      <w:r>
        <w:rPr>
          <w:rFonts w:ascii="Times New Roman" w:hAnsi="Times New Roman" w:eastAsia="黑体"/>
          <w:b w:val="0"/>
          <w:sz w:val="24"/>
        </w:rPr>
        <w:t>5．纵深推进与“反内卷”治理时期（2025年以来）</w:t>
      </w:r>
    </w:p>
    <w:p>
      <w:pPr>
        <w:spacing w:before="0" w:after="0" w:line="360" w:lineRule="auto"/>
        <w:ind w:firstLineChars="200" w:firstLine="480"/>
      </w:pPr>
      <w:r>
        <w:rPr>
          <w:rFonts w:ascii="Times New Roman" w:hAnsi="Times New Roman" w:eastAsia="宋体"/>
          <w:b w:val="0"/>
          <w:sz w:val="24"/>
        </w:rPr>
        <w:t>2025年是统一大市场建设与“内卷式”竞争治理合流并全面提速的一年。年初，国务院办公厅印发《全国统一大市场建设指引（试行）》，围绕“五统一、一破除”，从“要求做的、禁止做的、鼓励做的”三个维度对各地提出操作性要求，统一大市场建设首次拥有了面向地方政府的行为手册。3月，“综合整治‘内卷式’竞争”首次写入《政府工作报告》。4月，《公平竞争审查条例实施办法》施行，将四类审查标准细化为66项具体情形；《市场准入负面清单（2025年版）》发布，事项数由2018年版的151项压减至106项，全国性事项具体管理措施由486条压减至469条、地方性措施由36条压减至20条；国家发展改革委、商务部、市场监管总局联合启动市场准入壁垒清理整治行动。制度供给的颗粒度由“原则”细化到“情形”，由“清单”细化到“条款”，操作性显著增强。</w:t>
      </w:r>
    </w:p>
    <w:p>
      <w:pPr>
        <w:spacing w:before="0" w:after="0" w:line="360" w:lineRule="auto"/>
        <w:ind w:firstLineChars="200" w:firstLine="480"/>
      </w:pPr>
      <w:r>
        <w:rPr>
          <w:rFonts w:ascii="Times New Roman" w:hAnsi="Times New Roman" w:eastAsia="宋体"/>
          <w:b w:val="0"/>
          <w:sz w:val="24"/>
        </w:rPr>
        <w:t>2025年7月1日，中央财经委员会第六次会议对纵深推进全国统一大市场建设作出专门部署，提出“五统一、一开放”的基本要求，即统一市场基础制度、统一市场基础设施、统一政府行为尺度、统一市场监管执法、统一要素资源市场，持续扩大对内对外开放，并明确“依法依规治理企业低价无序竞争，引导企业提升产品品质，推动落后产能有序退出”。与2022年《意见》的“五统一”相比，新表述将“统一政府行为尺度”单独列出，直指地方政府行为这一分割与“内卷”的共同根源，政策指向更加聚焦。立法层面，2025年6月27日新修订的《中华人民共和国反不正当竞争法》通过，10月15日施行，新增平台条款禁止平台强制或变相强制平台内经营者按照低于成本的价格销售商品，被普遍解读为“反内卷”条款。10月，党的二十届四中全会通过“十五五”规划建议，要求“坚决破除阻碍全国统一大市场建设卡点堵点”（中共中央，2025）；12月，中央经济工作会议部署“制定全国统一大市场建设条例，深入整治‘内卷式’竞争”；2026年3月发布的《纲要》则以专章形式将纵深推进全国统一大市场建设纳入五年规划的任务体系（新华社，2026）。至此，统一大市场建设形成了党的全会建议定向、五年规划纲要定盘、中央经济工作会议定策、条例立法定规的完整政策链条。</w:t>
      </w:r>
    </w:p>
    <w:p>
      <w:pPr>
        <w:spacing w:before="0" w:after="0" w:line="360" w:lineRule="auto"/>
        <w:ind w:firstLineChars="200" w:firstLine="480"/>
      </w:pPr>
      <w:r>
        <w:rPr>
          <w:rFonts w:ascii="Times New Roman" w:hAnsi="Times New Roman" w:eastAsia="宋体"/>
          <w:b w:val="0"/>
          <w:sz w:val="24"/>
        </w:rPr>
        <w:t>为完整呈现上述演进脉络，表2.1按时间顺序列出了2013—2025年全国统一大市场建设的重要政策文件与会议部署（见表2.1）。</w:t>
      </w:r>
    </w:p>
    <w:p>
      <w:pPr>
        <w:spacing w:before="160" w:after="80" w:line="312" w:lineRule="auto"/>
        <w:jc w:val="center"/>
      </w:pPr>
      <w:r>
        <w:rPr>
          <w:rFonts w:ascii="Times New Roman" w:hAnsi="Times New Roman" w:eastAsia="黑体"/>
          <w:b w:val="0"/>
          <w:sz w:val="21"/>
        </w:rPr>
        <w:t>表2.1　全国统一大市场建设重要政策文件一览（2013—2025）</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c>
          <w:tcPr>
            <w:tcW w:type="dxa" w:w="283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时间</w:t>
            </w:r>
          </w:p>
        </w:tc>
        <w:tc>
          <w:tcPr>
            <w:tcW w:type="dxa" w:w="283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文件或会议</w:t>
            </w:r>
          </w:p>
        </w:tc>
        <w:tc>
          <w:tcPr>
            <w:tcW w:type="dxa" w:w="283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核心内容</w:t>
            </w:r>
          </w:p>
        </w:tc>
      </w:tr>
      <w:tr>
        <w:tc>
          <w:tcPr>
            <w:tcW w:type="dxa" w:w="2835"/>
          </w:tcPr>
          <w:p>
            <w:pPr>
              <w:spacing w:before="20" w:after="20" w:line="276" w:lineRule="auto"/>
              <w:jc w:val="left"/>
            </w:pPr>
            <w:r/>
            <w:r>
              <w:rPr>
                <w:rFonts w:ascii="Times New Roman" w:hAnsi="Times New Roman" w:eastAsia="宋体"/>
                <w:b w:val="0"/>
                <w:sz w:val="21"/>
              </w:rPr>
              <w:t>2013年11月</w:t>
            </w:r>
          </w:p>
        </w:tc>
        <w:tc>
          <w:tcPr>
            <w:tcW w:type="dxa" w:w="2835"/>
          </w:tcPr>
          <w:p>
            <w:pPr>
              <w:spacing w:before="20" w:after="20" w:line="276" w:lineRule="auto"/>
              <w:jc w:val="left"/>
            </w:pPr>
            <w:r/>
            <w:r>
              <w:rPr>
                <w:rFonts w:ascii="Times New Roman" w:hAnsi="Times New Roman" w:eastAsia="宋体"/>
                <w:b w:val="0"/>
                <w:sz w:val="21"/>
              </w:rPr>
              <w:t>党的十八届三中全会《中共中央关于全面深化改革若干重大问题的决定》</w:t>
            </w:r>
          </w:p>
        </w:tc>
        <w:tc>
          <w:tcPr>
            <w:tcW w:type="dxa" w:w="2835"/>
          </w:tcPr>
          <w:p>
            <w:pPr>
              <w:spacing w:before="20" w:after="20" w:line="276" w:lineRule="auto"/>
              <w:jc w:val="left"/>
            </w:pPr>
            <w:r/>
            <w:r>
              <w:rPr>
                <w:rFonts w:ascii="Times New Roman" w:hAnsi="Times New Roman" w:eastAsia="宋体"/>
                <w:b w:val="0"/>
                <w:sz w:val="21"/>
              </w:rPr>
              <w:t>提出使市场在资源配置中起决定性作用和更好发挥政府作用，建设统一开放、竞争有序的市场体系</w:t>
            </w:r>
          </w:p>
        </w:tc>
      </w:tr>
      <w:tr>
        <w:tc>
          <w:tcPr>
            <w:tcW w:type="dxa" w:w="2835"/>
          </w:tcPr>
          <w:p>
            <w:pPr>
              <w:spacing w:before="20" w:after="20" w:line="276" w:lineRule="auto"/>
              <w:jc w:val="left"/>
            </w:pPr>
            <w:r/>
            <w:r>
              <w:rPr>
                <w:rFonts w:ascii="Times New Roman" w:hAnsi="Times New Roman" w:eastAsia="宋体"/>
                <w:b w:val="0"/>
                <w:sz w:val="21"/>
              </w:rPr>
              <w:t>2016年6月</w:t>
            </w:r>
          </w:p>
        </w:tc>
        <w:tc>
          <w:tcPr>
            <w:tcW w:type="dxa" w:w="2835"/>
          </w:tcPr>
          <w:p>
            <w:pPr>
              <w:spacing w:before="20" w:after="20" w:line="276" w:lineRule="auto"/>
              <w:jc w:val="left"/>
            </w:pPr>
            <w:r/>
            <w:r>
              <w:rPr>
                <w:rFonts w:ascii="Times New Roman" w:hAnsi="Times New Roman" w:eastAsia="宋体"/>
                <w:b w:val="0"/>
                <w:sz w:val="21"/>
              </w:rPr>
              <w:t>国务院《关于在市场体系建设中建立公平竞争审查制度的意见》（国发〔2016〕34号）</w:t>
            </w:r>
          </w:p>
        </w:tc>
        <w:tc>
          <w:tcPr>
            <w:tcW w:type="dxa" w:w="2835"/>
          </w:tcPr>
          <w:p>
            <w:pPr>
              <w:spacing w:before="20" w:after="20" w:line="276" w:lineRule="auto"/>
              <w:jc w:val="left"/>
            </w:pPr>
            <w:r/>
            <w:r>
              <w:rPr>
                <w:rFonts w:ascii="Times New Roman" w:hAnsi="Times New Roman" w:eastAsia="宋体"/>
                <w:b w:val="0"/>
                <w:sz w:val="21"/>
              </w:rPr>
              <w:t>建立公平竞争审查制度，从源头防止出台排除、限制竞争的政策措施</w:t>
            </w:r>
          </w:p>
        </w:tc>
      </w:tr>
      <w:tr>
        <w:tc>
          <w:tcPr>
            <w:tcW w:type="dxa" w:w="2835"/>
          </w:tcPr>
          <w:p>
            <w:pPr>
              <w:spacing w:before="20" w:after="20" w:line="276" w:lineRule="auto"/>
              <w:jc w:val="left"/>
            </w:pPr>
            <w:r/>
            <w:r>
              <w:rPr>
                <w:rFonts w:ascii="Times New Roman" w:hAnsi="Times New Roman" w:eastAsia="宋体"/>
                <w:b w:val="0"/>
                <w:sz w:val="21"/>
              </w:rPr>
              <w:t>2018年12月</w:t>
            </w:r>
          </w:p>
        </w:tc>
        <w:tc>
          <w:tcPr>
            <w:tcW w:type="dxa" w:w="2835"/>
          </w:tcPr>
          <w:p>
            <w:pPr>
              <w:spacing w:before="20" w:after="20" w:line="276" w:lineRule="auto"/>
              <w:jc w:val="left"/>
            </w:pPr>
            <w:r/>
            <w:r>
              <w:rPr>
                <w:rFonts w:ascii="Times New Roman" w:hAnsi="Times New Roman" w:eastAsia="宋体"/>
                <w:b w:val="0"/>
                <w:sz w:val="21"/>
              </w:rPr>
              <w:t>《市场准入负面清单（2018年版）》</w:t>
            </w:r>
          </w:p>
        </w:tc>
        <w:tc>
          <w:tcPr>
            <w:tcW w:type="dxa" w:w="2835"/>
          </w:tcPr>
          <w:p>
            <w:pPr>
              <w:spacing w:before="20" w:after="20" w:line="276" w:lineRule="auto"/>
              <w:jc w:val="left"/>
            </w:pPr>
            <w:r/>
            <w:r>
              <w:rPr>
                <w:rFonts w:ascii="Times New Roman" w:hAnsi="Times New Roman" w:eastAsia="宋体"/>
                <w:b w:val="0"/>
                <w:sz w:val="21"/>
              </w:rPr>
              <w:t>首版全国统一的市场准入负面清单全面实施，列入事项151项，实行“全国一张清单”管理</w:t>
            </w:r>
          </w:p>
        </w:tc>
      </w:tr>
      <w:tr>
        <w:tc>
          <w:tcPr>
            <w:tcW w:type="dxa" w:w="2835"/>
          </w:tcPr>
          <w:p>
            <w:pPr>
              <w:spacing w:before="20" w:after="20" w:line="276" w:lineRule="auto"/>
              <w:jc w:val="left"/>
            </w:pPr>
            <w:r/>
            <w:r>
              <w:rPr>
                <w:rFonts w:ascii="Times New Roman" w:hAnsi="Times New Roman" w:eastAsia="宋体"/>
                <w:b w:val="0"/>
                <w:sz w:val="21"/>
              </w:rPr>
              <w:t>2022年4月</w:t>
            </w:r>
          </w:p>
        </w:tc>
        <w:tc>
          <w:tcPr>
            <w:tcW w:type="dxa" w:w="2835"/>
          </w:tcPr>
          <w:p>
            <w:pPr>
              <w:spacing w:before="20" w:after="20" w:line="276" w:lineRule="auto"/>
              <w:jc w:val="left"/>
            </w:pPr>
            <w:r/>
            <w:r>
              <w:rPr>
                <w:rFonts w:ascii="Times New Roman" w:hAnsi="Times New Roman" w:eastAsia="宋体"/>
                <w:b w:val="0"/>
                <w:sz w:val="21"/>
              </w:rPr>
              <w:t>《中共中央 国务院关于加快建设全国统一大市场的意见》</w:t>
            </w:r>
          </w:p>
        </w:tc>
        <w:tc>
          <w:tcPr>
            <w:tcW w:type="dxa" w:w="2835"/>
          </w:tcPr>
          <w:p>
            <w:pPr>
              <w:spacing w:before="20" w:after="20" w:line="276" w:lineRule="auto"/>
              <w:jc w:val="left"/>
            </w:pPr>
            <w:r/>
            <w:r>
              <w:rPr>
                <w:rFonts w:ascii="Times New Roman" w:hAnsi="Times New Roman" w:eastAsia="宋体"/>
                <w:b w:val="0"/>
                <w:sz w:val="21"/>
              </w:rPr>
              <w:t>统一大市场建设的纲领性文件，部署“五统一”，规范不当市场竞争和市场干预行为</w:t>
            </w:r>
          </w:p>
        </w:tc>
      </w:tr>
      <w:tr>
        <w:tc>
          <w:tcPr>
            <w:tcW w:type="dxa" w:w="2835"/>
          </w:tcPr>
          <w:p>
            <w:pPr>
              <w:spacing w:before="20" w:after="20" w:line="276" w:lineRule="auto"/>
              <w:jc w:val="left"/>
            </w:pPr>
            <w:r/>
            <w:r>
              <w:rPr>
                <w:rFonts w:ascii="Times New Roman" w:hAnsi="Times New Roman" w:eastAsia="宋体"/>
                <w:b w:val="0"/>
                <w:sz w:val="21"/>
              </w:rPr>
              <w:t>2024年7月</w:t>
            </w:r>
          </w:p>
        </w:tc>
        <w:tc>
          <w:tcPr>
            <w:tcW w:type="dxa" w:w="2835"/>
          </w:tcPr>
          <w:p>
            <w:pPr>
              <w:spacing w:before="20" w:after="20" w:line="276" w:lineRule="auto"/>
              <w:jc w:val="left"/>
            </w:pPr>
            <w:r/>
            <w:r>
              <w:rPr>
                <w:rFonts w:ascii="Times New Roman" w:hAnsi="Times New Roman" w:eastAsia="宋体"/>
                <w:b w:val="0"/>
                <w:sz w:val="21"/>
              </w:rPr>
              <w:t>党的二十届三中全会《决定》</w:t>
            </w:r>
          </w:p>
        </w:tc>
        <w:tc>
          <w:tcPr>
            <w:tcW w:type="dxa" w:w="2835"/>
          </w:tcPr>
          <w:p>
            <w:pPr>
              <w:spacing w:before="20" w:after="20" w:line="276" w:lineRule="auto"/>
              <w:jc w:val="left"/>
            </w:pPr>
            <w:r/>
            <w:r>
              <w:rPr>
                <w:rFonts w:ascii="Times New Roman" w:hAnsi="Times New Roman" w:eastAsia="宋体"/>
                <w:b w:val="0"/>
                <w:sz w:val="21"/>
              </w:rPr>
              <w:t>提出“构建全国统一大市场”“强化市场基础制度规则统一”</w:t>
            </w:r>
          </w:p>
        </w:tc>
      </w:tr>
      <w:tr>
        <w:tc>
          <w:tcPr>
            <w:tcW w:type="dxa" w:w="2835"/>
          </w:tcPr>
          <w:p>
            <w:pPr>
              <w:spacing w:before="20" w:after="20" w:line="276" w:lineRule="auto"/>
              <w:jc w:val="left"/>
            </w:pPr>
            <w:r/>
            <w:r>
              <w:rPr>
                <w:rFonts w:ascii="Times New Roman" w:hAnsi="Times New Roman" w:eastAsia="宋体"/>
                <w:b w:val="0"/>
                <w:sz w:val="21"/>
              </w:rPr>
              <w:t>2024年7月30日</w:t>
            </w:r>
          </w:p>
        </w:tc>
        <w:tc>
          <w:tcPr>
            <w:tcW w:type="dxa" w:w="2835"/>
          </w:tcPr>
          <w:p>
            <w:pPr>
              <w:spacing w:before="20" w:after="20" w:line="276" w:lineRule="auto"/>
              <w:jc w:val="left"/>
            </w:pPr>
            <w:r/>
            <w:r>
              <w:rPr>
                <w:rFonts w:ascii="Times New Roman" w:hAnsi="Times New Roman" w:eastAsia="宋体"/>
                <w:b w:val="0"/>
                <w:sz w:val="21"/>
              </w:rPr>
              <w:t>中央政治局会议</w:t>
            </w:r>
          </w:p>
        </w:tc>
        <w:tc>
          <w:tcPr>
            <w:tcW w:type="dxa" w:w="2835"/>
          </w:tcPr>
          <w:p>
            <w:pPr>
              <w:spacing w:before="20" w:after="20" w:line="276" w:lineRule="auto"/>
              <w:jc w:val="left"/>
            </w:pPr>
            <w:r/>
            <w:r>
              <w:rPr>
                <w:rFonts w:ascii="Times New Roman" w:hAnsi="Times New Roman" w:eastAsia="宋体"/>
                <w:b w:val="0"/>
                <w:sz w:val="21"/>
              </w:rPr>
              <w:t>首次提出“强化行业自律，防止‘内卷式’恶性竞争”</w:t>
            </w:r>
          </w:p>
        </w:tc>
      </w:tr>
      <w:tr>
        <w:tc>
          <w:tcPr>
            <w:tcW w:type="dxa" w:w="2835"/>
          </w:tcPr>
          <w:p>
            <w:pPr>
              <w:spacing w:before="20" w:after="20" w:line="276" w:lineRule="auto"/>
              <w:jc w:val="left"/>
            </w:pPr>
            <w:r/>
            <w:r>
              <w:rPr>
                <w:rFonts w:ascii="Times New Roman" w:hAnsi="Times New Roman" w:eastAsia="宋体"/>
                <w:b w:val="0"/>
                <w:sz w:val="21"/>
              </w:rPr>
              <w:t>2024年8月</w:t>
            </w:r>
          </w:p>
        </w:tc>
        <w:tc>
          <w:tcPr>
            <w:tcW w:type="dxa" w:w="2835"/>
          </w:tcPr>
          <w:p>
            <w:pPr>
              <w:spacing w:before="20" w:after="20" w:line="276" w:lineRule="auto"/>
              <w:jc w:val="left"/>
            </w:pPr>
            <w:r/>
            <w:r>
              <w:rPr>
                <w:rFonts w:ascii="Times New Roman" w:hAnsi="Times New Roman" w:eastAsia="宋体"/>
                <w:b w:val="0"/>
                <w:sz w:val="21"/>
              </w:rPr>
              <w:t>《公平竞争审查条例》（国务院令第783号）施行；国办发〔2024〕28号文件</w:t>
            </w:r>
          </w:p>
        </w:tc>
        <w:tc>
          <w:tcPr>
            <w:tcW w:type="dxa" w:w="2835"/>
          </w:tcPr>
          <w:p>
            <w:pPr>
              <w:spacing w:before="20" w:after="20" w:line="276" w:lineRule="auto"/>
              <w:jc w:val="left"/>
            </w:pPr>
            <w:r/>
            <w:r>
              <w:rPr>
                <w:rFonts w:ascii="Times New Roman" w:hAnsi="Times New Roman" w:eastAsia="宋体"/>
                <w:b w:val="0"/>
                <w:sz w:val="21"/>
              </w:rPr>
              <w:t>公平竞争审查升格为行政法规、明确19项“不得”；规范招商引资，不得新签与税收挂钩的产业扶持协议</w:t>
            </w:r>
          </w:p>
        </w:tc>
      </w:tr>
      <w:tr>
        <w:tc>
          <w:tcPr>
            <w:tcW w:type="dxa" w:w="2835"/>
          </w:tcPr>
          <w:p>
            <w:pPr>
              <w:spacing w:before="20" w:after="20" w:line="276" w:lineRule="auto"/>
              <w:jc w:val="left"/>
            </w:pPr>
            <w:r/>
            <w:r>
              <w:rPr>
                <w:rFonts w:ascii="Times New Roman" w:hAnsi="Times New Roman" w:eastAsia="宋体"/>
                <w:b w:val="0"/>
                <w:sz w:val="21"/>
              </w:rPr>
              <w:t>2024年12月</w:t>
            </w:r>
          </w:p>
        </w:tc>
        <w:tc>
          <w:tcPr>
            <w:tcW w:type="dxa" w:w="2835"/>
          </w:tcPr>
          <w:p>
            <w:pPr>
              <w:spacing w:before="20" w:after="20" w:line="276" w:lineRule="auto"/>
              <w:jc w:val="left"/>
            </w:pPr>
            <w:r/>
            <w:r>
              <w:rPr>
                <w:rFonts w:ascii="Times New Roman" w:hAnsi="Times New Roman" w:eastAsia="宋体"/>
                <w:b w:val="0"/>
                <w:sz w:val="21"/>
              </w:rPr>
              <w:t>中央经济工作会议</w:t>
            </w:r>
          </w:p>
        </w:tc>
        <w:tc>
          <w:tcPr>
            <w:tcW w:type="dxa" w:w="2835"/>
          </w:tcPr>
          <w:p>
            <w:pPr>
              <w:spacing w:before="20" w:after="20" w:line="276" w:lineRule="auto"/>
              <w:jc w:val="left"/>
            </w:pPr>
            <w:r/>
            <w:r>
              <w:rPr>
                <w:rFonts w:ascii="Times New Roman" w:hAnsi="Times New Roman" w:eastAsia="宋体"/>
                <w:b w:val="0"/>
                <w:sz w:val="21"/>
              </w:rPr>
              <w:t>首次部署“综合整治‘内卷式’竞争，规范地方政府和企业行为”</w:t>
            </w:r>
          </w:p>
        </w:tc>
      </w:tr>
      <w:tr>
        <w:tc>
          <w:tcPr>
            <w:tcW w:type="dxa" w:w="2835"/>
          </w:tcPr>
          <w:p>
            <w:pPr>
              <w:spacing w:before="20" w:after="20" w:line="276" w:lineRule="auto"/>
              <w:jc w:val="left"/>
            </w:pPr>
            <w:r/>
            <w:r>
              <w:rPr>
                <w:rFonts w:ascii="Times New Roman" w:hAnsi="Times New Roman" w:eastAsia="宋体"/>
                <w:b w:val="0"/>
                <w:sz w:val="21"/>
              </w:rPr>
              <w:t>2025年1月</w:t>
            </w:r>
          </w:p>
        </w:tc>
        <w:tc>
          <w:tcPr>
            <w:tcW w:type="dxa" w:w="2835"/>
          </w:tcPr>
          <w:p>
            <w:pPr>
              <w:spacing w:before="20" w:after="20" w:line="276" w:lineRule="auto"/>
              <w:jc w:val="left"/>
            </w:pPr>
            <w:r/>
            <w:r>
              <w:rPr>
                <w:rFonts w:ascii="Times New Roman" w:hAnsi="Times New Roman" w:eastAsia="宋体"/>
                <w:b w:val="0"/>
                <w:sz w:val="21"/>
              </w:rPr>
              <w:t>国务院办公厅印发《全国统一大市场建设指引（试行）》</w:t>
            </w:r>
          </w:p>
        </w:tc>
        <w:tc>
          <w:tcPr>
            <w:tcW w:type="dxa" w:w="2835"/>
          </w:tcPr>
          <w:p>
            <w:pPr>
              <w:spacing w:before="20" w:after="20" w:line="276" w:lineRule="auto"/>
              <w:jc w:val="left"/>
            </w:pPr>
            <w:r/>
            <w:r>
              <w:rPr>
                <w:rFonts w:ascii="Times New Roman" w:hAnsi="Times New Roman" w:eastAsia="宋体"/>
                <w:b w:val="0"/>
                <w:sz w:val="21"/>
              </w:rPr>
              <w:t>围绕“五统一、一破除”，从“要求做的、禁止做的、鼓励做的”三个维度对各地提出要求</w:t>
            </w:r>
          </w:p>
        </w:tc>
      </w:tr>
      <w:tr>
        <w:tc>
          <w:tcPr>
            <w:tcW w:type="dxa" w:w="2835"/>
          </w:tcPr>
          <w:p>
            <w:pPr>
              <w:spacing w:before="20" w:after="20" w:line="276" w:lineRule="auto"/>
              <w:jc w:val="left"/>
            </w:pPr>
            <w:r/>
            <w:r>
              <w:rPr>
                <w:rFonts w:ascii="Times New Roman" w:hAnsi="Times New Roman" w:eastAsia="宋体"/>
                <w:b w:val="0"/>
                <w:sz w:val="21"/>
              </w:rPr>
              <w:t>2025年3月</w:t>
            </w:r>
          </w:p>
        </w:tc>
        <w:tc>
          <w:tcPr>
            <w:tcW w:type="dxa" w:w="2835"/>
          </w:tcPr>
          <w:p>
            <w:pPr>
              <w:spacing w:before="20" w:after="20" w:line="276" w:lineRule="auto"/>
              <w:jc w:val="left"/>
            </w:pPr>
            <w:r/>
            <w:r>
              <w:rPr>
                <w:rFonts w:ascii="Times New Roman" w:hAnsi="Times New Roman" w:eastAsia="宋体"/>
                <w:b w:val="0"/>
                <w:sz w:val="21"/>
              </w:rPr>
              <w:t>《政府工作报告》</w:t>
            </w:r>
          </w:p>
        </w:tc>
        <w:tc>
          <w:tcPr>
            <w:tcW w:type="dxa" w:w="2835"/>
          </w:tcPr>
          <w:p>
            <w:pPr>
              <w:spacing w:before="20" w:after="20" w:line="276" w:lineRule="auto"/>
              <w:jc w:val="left"/>
            </w:pPr>
            <w:r/>
            <w:r>
              <w:rPr>
                <w:rFonts w:ascii="Times New Roman" w:hAnsi="Times New Roman" w:eastAsia="宋体"/>
                <w:b w:val="0"/>
                <w:sz w:val="21"/>
              </w:rPr>
              <w:t>“综合整治‘内卷式’竞争”首次写入政府工作报告</w:t>
            </w:r>
          </w:p>
        </w:tc>
      </w:tr>
      <w:tr>
        <w:tc>
          <w:tcPr>
            <w:tcW w:type="dxa" w:w="2835"/>
          </w:tcPr>
          <w:p>
            <w:pPr>
              <w:spacing w:before="20" w:after="20" w:line="276" w:lineRule="auto"/>
              <w:jc w:val="left"/>
            </w:pPr>
            <w:r/>
            <w:r>
              <w:rPr>
                <w:rFonts w:ascii="Times New Roman" w:hAnsi="Times New Roman" w:eastAsia="宋体"/>
                <w:b w:val="0"/>
                <w:sz w:val="21"/>
              </w:rPr>
              <w:t>2025年4月</w:t>
            </w:r>
          </w:p>
        </w:tc>
        <w:tc>
          <w:tcPr>
            <w:tcW w:type="dxa" w:w="2835"/>
          </w:tcPr>
          <w:p>
            <w:pPr>
              <w:spacing w:before="20" w:after="20" w:line="276" w:lineRule="auto"/>
              <w:jc w:val="left"/>
            </w:pPr>
            <w:r/>
            <w:r>
              <w:rPr>
                <w:rFonts w:ascii="Times New Roman" w:hAnsi="Times New Roman" w:eastAsia="宋体"/>
                <w:b w:val="0"/>
                <w:sz w:val="21"/>
              </w:rPr>
              <w:t>《公平竞争审查条例实施办法》施行；《市场准入负面清单（2025年版）》发布</w:t>
            </w:r>
          </w:p>
        </w:tc>
        <w:tc>
          <w:tcPr>
            <w:tcW w:type="dxa" w:w="2835"/>
          </w:tcPr>
          <w:p>
            <w:pPr>
              <w:spacing w:before="20" w:after="20" w:line="276" w:lineRule="auto"/>
              <w:jc w:val="left"/>
            </w:pPr>
            <w:r/>
            <w:r>
              <w:rPr>
                <w:rFonts w:ascii="Times New Roman" w:hAnsi="Times New Roman" w:eastAsia="宋体"/>
                <w:b w:val="0"/>
                <w:sz w:val="21"/>
              </w:rPr>
              <w:t>审查标准细化为66项具体情形；清单事项压减至106项；三部门启动市场准入壁垒清理整治行动</w:t>
            </w:r>
          </w:p>
        </w:tc>
      </w:tr>
      <w:tr>
        <w:tc>
          <w:tcPr>
            <w:tcW w:type="dxa" w:w="2835"/>
          </w:tcPr>
          <w:p>
            <w:pPr>
              <w:spacing w:before="20" w:after="20" w:line="276" w:lineRule="auto"/>
              <w:jc w:val="left"/>
            </w:pPr>
            <w:r/>
            <w:r>
              <w:rPr>
                <w:rFonts w:ascii="Times New Roman" w:hAnsi="Times New Roman" w:eastAsia="宋体"/>
                <w:b w:val="0"/>
                <w:sz w:val="21"/>
              </w:rPr>
              <w:t>2025年7月1日</w:t>
            </w:r>
          </w:p>
        </w:tc>
        <w:tc>
          <w:tcPr>
            <w:tcW w:type="dxa" w:w="2835"/>
          </w:tcPr>
          <w:p>
            <w:pPr>
              <w:spacing w:before="20" w:after="20" w:line="276" w:lineRule="auto"/>
              <w:jc w:val="left"/>
            </w:pPr>
            <w:r/>
            <w:r>
              <w:rPr>
                <w:rFonts w:ascii="Times New Roman" w:hAnsi="Times New Roman" w:eastAsia="宋体"/>
                <w:b w:val="0"/>
                <w:sz w:val="21"/>
              </w:rPr>
              <w:t>中央财经委员会第六次会议</w:t>
            </w:r>
          </w:p>
        </w:tc>
        <w:tc>
          <w:tcPr>
            <w:tcW w:type="dxa" w:w="2835"/>
          </w:tcPr>
          <w:p>
            <w:pPr>
              <w:spacing w:before="20" w:after="20" w:line="276" w:lineRule="auto"/>
              <w:jc w:val="left"/>
            </w:pPr>
            <w:r/>
            <w:r>
              <w:rPr>
                <w:rFonts w:ascii="Times New Roman" w:hAnsi="Times New Roman" w:eastAsia="宋体"/>
                <w:b w:val="0"/>
                <w:sz w:val="21"/>
              </w:rPr>
              <w:t>提出“五统一、一开放”基本要求；依法依规治理企业低价无序竞争，推动落后产能有序退出</w:t>
            </w:r>
          </w:p>
        </w:tc>
      </w:tr>
      <w:tr>
        <w:tc>
          <w:tcPr>
            <w:tcW w:type="dxa" w:w="2835"/>
          </w:tcPr>
          <w:p>
            <w:pPr>
              <w:spacing w:before="20" w:after="20" w:line="276" w:lineRule="auto"/>
              <w:jc w:val="left"/>
            </w:pPr>
            <w:r/>
            <w:r>
              <w:rPr>
                <w:rFonts w:ascii="Times New Roman" w:hAnsi="Times New Roman" w:eastAsia="宋体"/>
                <w:b w:val="0"/>
                <w:sz w:val="21"/>
              </w:rPr>
              <w:t>2025年10月15日</w:t>
            </w:r>
          </w:p>
        </w:tc>
        <w:tc>
          <w:tcPr>
            <w:tcW w:type="dxa" w:w="2835"/>
          </w:tcPr>
          <w:p>
            <w:pPr>
              <w:spacing w:before="20" w:after="20" w:line="276" w:lineRule="auto"/>
              <w:jc w:val="left"/>
            </w:pPr>
            <w:r/>
            <w:r>
              <w:rPr>
                <w:rFonts w:ascii="Times New Roman" w:hAnsi="Times New Roman" w:eastAsia="宋体"/>
                <w:b w:val="0"/>
                <w:sz w:val="21"/>
              </w:rPr>
              <w:t>新修订《中华人民共和国反不正当竞争法》施行</w:t>
            </w:r>
          </w:p>
        </w:tc>
        <w:tc>
          <w:tcPr>
            <w:tcW w:type="dxa" w:w="2835"/>
          </w:tcPr>
          <w:p>
            <w:pPr>
              <w:spacing w:before="20" w:after="20" w:line="276" w:lineRule="auto"/>
              <w:jc w:val="left"/>
            </w:pPr>
            <w:r/>
            <w:r>
              <w:rPr>
                <w:rFonts w:ascii="Times New Roman" w:hAnsi="Times New Roman" w:eastAsia="宋体"/>
                <w:b w:val="0"/>
                <w:sz w:val="21"/>
              </w:rPr>
              <w:t>新增平台条款，禁止平台强制或变相强制平台内经营者低于成本销售</w:t>
            </w:r>
          </w:p>
        </w:tc>
      </w:tr>
      <w:tr>
        <w:tc>
          <w:tcPr>
            <w:tcW w:type="dxa" w:w="2835"/>
          </w:tcPr>
          <w:p>
            <w:pPr>
              <w:spacing w:before="20" w:after="20" w:line="276" w:lineRule="auto"/>
              <w:jc w:val="left"/>
            </w:pPr>
            <w:r/>
            <w:r>
              <w:rPr>
                <w:rFonts w:ascii="Times New Roman" w:hAnsi="Times New Roman" w:eastAsia="宋体"/>
                <w:b w:val="0"/>
                <w:sz w:val="21"/>
              </w:rPr>
              <w:t>2025年10月</w:t>
            </w:r>
          </w:p>
        </w:tc>
        <w:tc>
          <w:tcPr>
            <w:tcW w:type="dxa" w:w="2835"/>
          </w:tcPr>
          <w:p>
            <w:pPr>
              <w:spacing w:before="20" w:after="20" w:line="276" w:lineRule="auto"/>
              <w:jc w:val="left"/>
            </w:pPr>
            <w:r/>
            <w:r>
              <w:rPr>
                <w:rFonts w:ascii="Times New Roman" w:hAnsi="Times New Roman" w:eastAsia="宋体"/>
                <w:b w:val="0"/>
                <w:sz w:val="21"/>
              </w:rPr>
              <w:t>党的二十届四中全会</w:t>
            </w:r>
          </w:p>
        </w:tc>
        <w:tc>
          <w:tcPr>
            <w:tcW w:type="dxa" w:w="2835"/>
          </w:tcPr>
          <w:p>
            <w:pPr>
              <w:spacing w:before="20" w:after="20" w:line="276" w:lineRule="auto"/>
              <w:jc w:val="left"/>
            </w:pPr>
            <w:r/>
            <w:r>
              <w:rPr>
                <w:rFonts w:ascii="Times New Roman" w:hAnsi="Times New Roman" w:eastAsia="宋体"/>
                <w:b w:val="0"/>
                <w:sz w:val="21"/>
              </w:rPr>
              <w:t>通过“十五五”规划建议，要求“坚决破除阻碍全国统一大市场建设卡点堵点”</w:t>
            </w:r>
          </w:p>
        </w:tc>
      </w:tr>
      <w:tr>
        <w:tc>
          <w:tcPr>
            <w:tcW w:type="dxa" w:w="2835"/>
            <w:tcBorders>
              <w:bottom w:val="single" w:sz="12" w:color="000000"/>
            </w:tcBorders>
          </w:tcPr>
          <w:p>
            <w:pPr>
              <w:spacing w:before="20" w:after="20" w:line="276" w:lineRule="auto"/>
              <w:jc w:val="left"/>
            </w:pPr>
            <w:r/>
            <w:r>
              <w:rPr>
                <w:rFonts w:ascii="Times New Roman" w:hAnsi="Times New Roman" w:eastAsia="宋体"/>
                <w:b w:val="0"/>
                <w:sz w:val="21"/>
              </w:rPr>
              <w:t>2025年12月</w:t>
            </w:r>
          </w:p>
        </w:tc>
        <w:tc>
          <w:tcPr>
            <w:tcW w:type="dxa" w:w="2835"/>
            <w:tcBorders>
              <w:bottom w:val="single" w:sz="12" w:color="000000"/>
            </w:tcBorders>
          </w:tcPr>
          <w:p>
            <w:pPr>
              <w:spacing w:before="20" w:after="20" w:line="276" w:lineRule="auto"/>
              <w:jc w:val="left"/>
            </w:pPr>
            <w:r/>
            <w:r>
              <w:rPr>
                <w:rFonts w:ascii="Times New Roman" w:hAnsi="Times New Roman" w:eastAsia="宋体"/>
                <w:b w:val="0"/>
                <w:sz w:val="21"/>
              </w:rPr>
              <w:t>中央经济工作会议</w:t>
            </w:r>
          </w:p>
        </w:tc>
        <w:tc>
          <w:tcPr>
            <w:tcW w:type="dxa" w:w="2835"/>
            <w:tcBorders>
              <w:bottom w:val="single" w:sz="12" w:color="000000"/>
            </w:tcBorders>
          </w:tcPr>
          <w:p>
            <w:pPr>
              <w:spacing w:before="20" w:after="20" w:line="276" w:lineRule="auto"/>
              <w:jc w:val="left"/>
            </w:pPr>
            <w:r/>
            <w:r>
              <w:rPr>
                <w:rFonts w:ascii="Times New Roman" w:hAnsi="Times New Roman" w:eastAsia="宋体"/>
                <w:b w:val="0"/>
                <w:sz w:val="21"/>
              </w:rPr>
              <w:t>部署“制定全国统一大市场建设条例，深入整治‘内卷式’竞争”</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纵览表2.1，可以提炼出政策演进的三条规律。第一，制度位阶持续提升：从国务院文件到行政法规，再到修订法律与制定《全国统一大市场建设条例》的立法部署，统一大市场的制度供给沿着“政策—法规—法律”的轨道不断刚性化，约束力与可预期性同步增强。第二，政策对象逐层深入：早期文件以清理商品市场壁垒为主，继而扩展到要素市场化配置，2024年以来的重心则落在规范地方政府行为上——公平竞争审查、招商引资清单、统一政府行为尺度，均指向分割与“内卷”的体制根源，这与学术研究识别的地方产业政策竞争与市场分割互为因果的链条高度一致（林晨、李宇潇，2024）。第三，“立”与“破”日益协同：既通过基础制度、设施联通、要素市场建设“立”统一之基，又通过审查、清理、执法、问责“破”分割之障，构成高水平社会主义市场经济体制下系统治理的政策格局（刘秉镰、高子茗，2025）。</w:t>
      </w:r>
    </w:p>
    <w:p>
      <w:pPr>
        <w:spacing w:before="200" w:after="160" w:line="360" w:lineRule="auto"/>
        <w:outlineLvl w:val="1"/>
      </w:pPr>
      <w:r>
        <w:rPr>
          <w:rFonts w:ascii="Times New Roman" w:hAnsi="Times New Roman" w:eastAsia="黑体"/>
          <w:b w:val="0"/>
          <w:sz w:val="28"/>
        </w:rPr>
        <w:t>（二）党的二十届四中全会与《纲要》第十七章的战略部署</w:t>
      </w:r>
    </w:p>
    <w:p>
      <w:pPr>
        <w:spacing w:before="0" w:after="0" w:line="360" w:lineRule="auto"/>
        <w:ind w:firstLineChars="200" w:firstLine="480"/>
      </w:pPr>
      <w:r>
        <w:rPr>
          <w:rFonts w:ascii="Times New Roman" w:hAnsi="Times New Roman" w:eastAsia="宋体"/>
          <w:b w:val="0"/>
          <w:sz w:val="24"/>
        </w:rPr>
        <w:t>如果说2022年《意见》为统一大市场建设搭建了“四梁八柱”，那么党的二十届四中全会与《纲要》第十七章则回答了“十五五”时期向何处纵深推进的问题。四中全会从战略全局上确立了建设强大国内市场、破除“卡点堵点”的总体要求；《纲要》第十七章则以“基础制度—公平竞争—设施联通”三节内容将战略要求任务化、清单化。本节先解读四中全会的总体定位，再对《纲要》第十七章逐节进行原文解读与学理阐释。</w:t>
      </w:r>
    </w:p>
    <w:p>
      <w:pPr>
        <w:spacing w:before="160" w:after="120" w:line="360" w:lineRule="auto"/>
        <w:outlineLvl w:val="2"/>
      </w:pPr>
      <w:r>
        <w:rPr>
          <w:rFonts w:ascii="Times New Roman" w:hAnsi="Times New Roman" w:eastAsia="黑体"/>
          <w:b w:val="0"/>
          <w:sz w:val="24"/>
        </w:rPr>
        <w:t>1．四中全会：强大国内市场战略与“卡点堵点”攻坚</w:t>
      </w:r>
    </w:p>
    <w:p>
      <w:pPr>
        <w:spacing w:before="0" w:after="0" w:line="360" w:lineRule="auto"/>
        <w:ind w:firstLineChars="200" w:firstLine="480"/>
      </w:pPr>
      <w:r>
        <w:rPr>
          <w:rFonts w:ascii="Times New Roman" w:hAnsi="Times New Roman" w:eastAsia="宋体"/>
          <w:b w:val="0"/>
          <w:sz w:val="24"/>
        </w:rPr>
        <w:t>2025年10月20日至23日召开的党的二十届四中全会，站在“‘十五五’时期是基本实现社会主义现代化夯实基础、全面发力的关键时期”的历史方位谋划未来五年发展。全会公报作出重要判断：“我国经济基础稳、优势多、韧性强、潜能大，长期向好的支撑条件和基本趋势没有变，中国特色社会主义制度优势、超大规模市场优势、完整产业体系优势、丰富人才资源优势更加彰显”，并将“坚持有效市场和有为政府相结合”列为“十五五”时期经济社会发展必须遵循的原则之一（中国共产党第二十届中央委员会，2025）。在四大优势中，超大规模市场优势直接对应统一大市场建设——市场规模优势能否持续“彰显”，取决于这一规模在多大程度上是统一的、可通达的，这正是本章第四节将要展开的理论命题。</w:t>
      </w:r>
    </w:p>
    <w:p>
      <w:pPr>
        <w:spacing w:before="0" w:after="0" w:line="360" w:lineRule="auto"/>
        <w:ind w:firstLineChars="200" w:firstLine="480"/>
      </w:pPr>
      <w:r>
        <w:rPr>
          <w:rFonts w:ascii="Times New Roman" w:hAnsi="Times New Roman" w:eastAsia="宋体"/>
          <w:b w:val="0"/>
          <w:sz w:val="24"/>
        </w:rPr>
        <w:t>在战略任务部署中，全会将统一大市场置于“建设强大国内市场，加快构建新发展格局”的框架之下：“坚持扩大内需这个战略基点，坚持惠民生和促消费、投资于物和投资于人紧密结合，以新需求引领新供给，以新供给创造新需求，促进消费和投资、供给和需求良性互动，增强国内大循环内生动力和可靠性。要大力提振消费，扩大有效投资，坚决破除阻碍全国统一大市场建设卡点堵点。”这段表述包含三层学理意涵。其一，“卡点堵点”的提法标志着统一大市场建设从“框架构建”转入“重点攻坚”阶段：制度四梁八柱已经立起，剩下的是少数但顽固的深层梗阻——要素流动障碍、监管执法不统一与地方隐性保护。本书第七章的测度结果为此提供了量化佐证：2024年统一大市场发展指数四个维度中，市场基础制度（68.2分）与设施联通（71.5分）得分较高，而要素流动（54.3分）与监管统一（55.6分）明显偏低，恰是“卡点堵点”之所在。其二，“投资于物和投资于人紧密结合”把需求侧的结构性改善纳入统一大市场的宏观语境，暗含对“供强需弱”失衡的矫正取向，这与本书第三章将“需求约束收紧”列为“内卷式”竞争四重扭曲之一的判断相互印证。其三，“以新需求引领新供给，以新供给创造新需求”强调供需在更高水平上实现动态平衡，其制度前提正是一个能够让价格信号真实传导、让优质供给获得规模回报的统一市场——若市场被分割，新供给面对的只是碎片化的小市场，创新的需求引致机制便无从谈起。</w:t>
      </w:r>
    </w:p>
    <w:p>
      <w:pPr>
        <w:spacing w:before="160" w:after="120" w:line="360" w:lineRule="auto"/>
        <w:outlineLvl w:val="2"/>
      </w:pPr>
      <w:r>
        <w:rPr>
          <w:rFonts w:ascii="Times New Roman" w:hAnsi="Times New Roman" w:eastAsia="黑体"/>
          <w:b w:val="0"/>
          <w:sz w:val="24"/>
        </w:rPr>
        <w:t>2．完善基础制度规则：市场经济的“操作系统”</w:t>
      </w:r>
    </w:p>
    <w:p>
      <w:pPr>
        <w:spacing w:before="0" w:after="0" w:line="360" w:lineRule="auto"/>
        <w:ind w:firstLineChars="200" w:firstLine="480"/>
      </w:pPr>
      <w:r>
        <w:rPr>
          <w:rFonts w:ascii="Times New Roman" w:hAnsi="Times New Roman" w:eastAsia="宋体"/>
          <w:b w:val="0"/>
          <w:sz w:val="24"/>
        </w:rPr>
        <w:t>《纲要》第十七章以“坚决破除阻碍全国统一大市场建设卡点堵点，破除地方保护和市场分割，促进商品要素资源在更大范围内顺畅流动”开宗明义，随后分三节展开部署。第一节“完善全国统一大市场基础制度规则”要求“推进适应全国统一大市场要求的产权保护、市场准入、信息披露、社会信用、兼并重组、市场退出等制度建设”，提出“完善市场准入制度，动态修订市场准入负面清单，严格落实‘全国一张清单’管理要求”“健全企业破产制度，探索建立覆盖所有经营主体的简易退出机制”“完善有利于统一大市场建设的统计、财税、考核制度，推广经营主体活动发生地统计，优化企业总部和分支机构、生产地和消费地利益分享”，并明确“制定全国统一大市场建设条例”（新华社，2026）。</w:t>
      </w:r>
    </w:p>
    <w:p>
      <w:pPr>
        <w:spacing w:before="0" w:after="0" w:line="360" w:lineRule="auto"/>
        <w:ind w:firstLineChars="200" w:firstLine="480"/>
      </w:pPr>
      <w:r>
        <w:rPr>
          <w:rFonts w:ascii="Times New Roman" w:hAnsi="Times New Roman" w:eastAsia="宋体"/>
          <w:b w:val="0"/>
          <w:sz w:val="24"/>
        </w:rPr>
        <w:t>基础制度之于市场，犹如操作系统之于计算机：产权界定决定交易的可能性边界，准入规则决定竞争者集合，信用与信息披露降低交易费用，破产与退出制度决定资源再配置的速度。细读第一节的部署，可以发现三个鲜明的“针对性”。一是市场准入的“全国一张清单”针对准入规则的地区差异。市场准入负面清单事项由2018年版的151项压减至2025年版的106项，这一压减过程正是全国范围内准入规则统一化、透明化的过程；经验研究表明，负面清单制度显著促进了企业创新与全要素生产率提升（周志方等，2023；耿明阳等，2023），放松准入管制还促进了企业跨地区投资布局（白俊等，2024）。二是简易退出与破产制度直指“退出机制失灵”——本书第三章将其列为“内卷式竞争陷阱”的重要成因：当低效企业依赖地方保护与持续输血滞留市场时，行业出清机制便告瘫痪，价格战旷日持久而产能不减。司法去地方化改革促进企业破产出清、公平竞争审查推动僵尸企业退出的微观证据（丁海等，2024；李靖、毕茜，2025），说明退出制度建设是“反内卷”的治本之策之一。三是统计、财税、考核制度改革针对地方激励扭曲：推广经营主体活动发生地统计、优化生产地和消费地利益分享，意在改变“在哪里生产、税收和政绩就归哪里”的生产地偏向，从源头削弱地方争抢产能、保护本地企业的动机（吕冰洋、贺颖，2022；范子英、周小昶，2022）。这三重指向与本书第四章理论模型中的政治溢价参数、退出摩擦参数一一对应，构成政策与理论的呼应。</w:t>
      </w:r>
    </w:p>
    <w:p>
      <w:pPr>
        <w:spacing w:before="160" w:after="120" w:line="360" w:lineRule="auto"/>
        <w:outlineLvl w:val="2"/>
      </w:pPr>
      <w:r>
        <w:rPr>
          <w:rFonts w:ascii="Times New Roman" w:hAnsi="Times New Roman" w:eastAsia="黑体"/>
          <w:b w:val="0"/>
          <w:sz w:val="24"/>
        </w:rPr>
        <w:t>3．维护公平竞争秩序：从企业规制到政府自我约束</w:t>
      </w:r>
    </w:p>
    <w:p>
      <w:pPr>
        <w:spacing w:before="0" w:after="0" w:line="360" w:lineRule="auto"/>
        <w:ind w:firstLineChars="200" w:firstLine="480"/>
      </w:pPr>
      <w:r>
        <w:rPr>
          <w:rFonts w:ascii="Times New Roman" w:hAnsi="Times New Roman" w:eastAsia="宋体"/>
          <w:b w:val="0"/>
          <w:sz w:val="24"/>
        </w:rPr>
        <w:t>《纲要》第十七章第二节“维护公平竞争市场秩序”要求“推动市场监管规则完善、基准统一、能力提升，形成优质优价、良性竞争的市场秩序”，并部署了环环相扣的制度安排：“制定重点领域公平竞争合规指引，强化公平竞争审查刚性约束，消除要素获取、资质认定、招标投标、政府采购等方面壁垒”“规范地方政府经济促进行为，制定地方政府招商引资鼓励和禁止事项清单，加强招商引资信息披露”“完善妨碍建设全国统一大市场事项清单动态更新和通报问责制度”“强化反垄断和反不正当竞争执法司法，制定重点领域反垄断指南指引”“完善协调统一的国家标准体系，扩大强制性国家标准覆盖面”，以及“统一市场监管执法，完善行政裁量权基准制度”（新华社，2026）。</w:t>
      </w:r>
    </w:p>
    <w:p>
      <w:pPr>
        <w:spacing w:before="0" w:after="0" w:line="360" w:lineRule="auto"/>
        <w:ind w:firstLineChars="200" w:firstLine="480"/>
      </w:pPr>
      <w:r>
        <w:rPr>
          <w:rFonts w:ascii="Times New Roman" w:hAnsi="Times New Roman" w:eastAsia="宋体"/>
          <w:b w:val="0"/>
          <w:sz w:val="24"/>
        </w:rPr>
        <w:t>这一节的制度设计可以概括为对三类主体的三重规制。对企业，通过反垄断、反不正当竞争执法与强制性国家标准，划定竞争行为的底线；对地方政府，通过公平竞争审查刚性约束、招商引资“鼓励和禁止事项清单”与信息披露制度，压缩选择性优惠的操作空间——晋升竞争驱动下的低价供地、税费返还等补贴竞赛（杨其静、彭艳琼，2015；江飞涛等，2012），由此受到清单化、可问责的硬约束；对监管者自身，通过基准统一、行政裁量权基准与通报问责制度，解决“同案不同罚”“选择性执法”造成的隐性分割。特别值得注意的是“优质优价、良性竞争”这一秩序目标的表述：它把竞争秩序的评价标准从“价格是否更低”转向“质量与价格是否匹配”，从竞争政策的高度否定了以牺牲质量、压榨上下游为代价的低价竞争模式，为“内卷式”竞争的行政认定与司法认定提供了规范基准。已有微观证据表明，公平竞争审查制度显著促进了企业创新与生产率改善（杨兴全、张可欣，2023；王菁华、毕超，2024）；本书第九章将在省域层面系统检验其“反内卷”效应与效率效应。</w:t>
      </w:r>
    </w:p>
    <w:p>
      <w:pPr>
        <w:spacing w:before="160" w:after="120" w:line="360" w:lineRule="auto"/>
        <w:outlineLvl w:val="2"/>
      </w:pPr>
      <w:r>
        <w:rPr>
          <w:rFonts w:ascii="Times New Roman" w:hAnsi="Times New Roman" w:eastAsia="黑体"/>
          <w:b w:val="0"/>
          <w:sz w:val="24"/>
        </w:rPr>
        <w:t>4．促进设施高标准联通：降低空间交易成本的物质基础</w:t>
      </w:r>
    </w:p>
    <w:p>
      <w:pPr>
        <w:spacing w:before="0" w:after="0" w:line="360" w:lineRule="auto"/>
        <w:ind w:firstLineChars="200" w:firstLine="480"/>
      </w:pPr>
      <w:r>
        <w:rPr>
          <w:rFonts w:ascii="Times New Roman" w:hAnsi="Times New Roman" w:eastAsia="宋体"/>
          <w:b w:val="0"/>
          <w:sz w:val="24"/>
        </w:rPr>
        <w:t>《纲要》第十七章第三节“促进市场设施高标准联通”要求“推进流通物流、市场信息、交易平台等设施互联互通和规则衔接”，具体包括“健全高效顺畅的现代流通体系，完善国家物流枢纽网络，依托现代流通战略支点城市构建若干重要商品骨干流通走廊”、降低全社会物流成本、大力推进“一单制”“一箱制”发展，以及“建立健全统一规范、信息共享的招标投标和政府、事业单位、国有企业采购等公共资源交易平台体系”（新华社，2026）。设施联通的进展有明确的量化轨迹：据中国物流与采购联合会数据，社会物流总费用与GDP的比率由2012年的约18.0%降至2020年的14.7%、2024年的14.1%，2025年进一步降至13.9%、首次低于14%；按照2024年11月中办、国办《有效降低全社会物流成本行动方案》的部署，到2027年这一比率力争降至13.5%左右。物流成本比率每下降一个百分点，都意味着全社会商品跨区流动的“冰山成本”被实质性削减，其意义相当于在国内贸易中实施了一轮普遍“降税”。</w:t>
      </w:r>
    </w:p>
    <w:p>
      <w:pPr>
        <w:spacing w:before="0" w:after="0" w:line="360" w:lineRule="auto"/>
        <w:ind w:firstLineChars="200" w:firstLine="480"/>
      </w:pPr>
      <w:r>
        <w:rPr>
          <w:rFonts w:ascii="Times New Roman" w:hAnsi="Times New Roman" w:eastAsia="宋体"/>
          <w:b w:val="0"/>
          <w:sz w:val="24"/>
        </w:rPr>
        <w:t>把设施联通列为统一大市场的三大支柱之一，有坚实的经验依据。国际证据表明，交通基础设施通过降低贸易成本显著扩大市场范围、提升实际收入，而竞争加强带来的资源配置改善是重要渠道（Asturias等，2019）。针对中国的研究同样发现，交通基础设施建设显著降低了国内市场分割（范欣等，2017），物流标准化建设有力推动了国内市场一体化（李兰冰、逯海勇，2024）。但《纲要》的部署并未停留在“修路架桥”的硬件层面，而是强调设施与“规则衔接”并重：“一单制”“一箱制”统一的是单证与载具标准，公共资源交易平台体系统一的是交易规则与信息接口，多式联运信息共享统一的是数据格式——其实质都是压缩因标准不一、规则各异而产生的制度性交易成本。这一“硬件联通”与“软件衔接”并重的思路，与本书第七章的测度发现相互印证：设施联通维度得分已相对较高，而要素流动与监管统一仍是突出短板，未来统一大市场建设的边际收益将更多来自“软联通”。综合来看，《纲要》第十七章三节内容构成“制度—秩序—设施”三位一体的任务体系：基础制度解决“规则是否统一”，公平竞争解决“行为是否规范”，设施联通解决“流动是否顺畅”，三者共同指向“商品要素资源在更大范围内顺畅流动”的总目标。</w:t>
      </w:r>
    </w:p>
    <w:p>
      <w:pPr>
        <w:spacing w:before="200" w:after="160" w:line="360" w:lineRule="auto"/>
        <w:outlineLvl w:val="1"/>
      </w:pPr>
      <w:r>
        <w:rPr>
          <w:rFonts w:ascii="Times New Roman" w:hAnsi="Times New Roman" w:eastAsia="黑体"/>
          <w:b w:val="0"/>
          <w:sz w:val="28"/>
        </w:rPr>
        <w:t>（三）中央经济工作会议与《求是》文章：“内卷式”竞争综合整治的工具箱</w:t>
      </w:r>
    </w:p>
    <w:p>
      <w:pPr>
        <w:spacing w:before="0" w:after="0" w:line="360" w:lineRule="auto"/>
        <w:ind w:firstLineChars="200" w:firstLine="480"/>
      </w:pPr>
      <w:r>
        <w:rPr>
          <w:rFonts w:ascii="Times New Roman" w:hAnsi="Times New Roman" w:eastAsia="宋体"/>
          <w:b w:val="0"/>
          <w:sz w:val="24"/>
        </w:rPr>
        <w:t>战略部署最终要落地为可操作的治理工具。2025年12月10日至11日召开的中央经济工作会议，以及习近平总书记发表于《求是》2026年第4期的《当前经济工作的重点任务》，给出了迄今最系统的“内卷式”竞争治理方案。本节先梳理会议的形势判断与总体部署，再对治理工具箱进行结构化解析，最后考察公平竞争审查刚性化的执行进展。</w:t>
      </w:r>
    </w:p>
    <w:p>
      <w:pPr>
        <w:spacing w:before="160" w:after="120" w:line="360" w:lineRule="auto"/>
        <w:outlineLvl w:val="2"/>
      </w:pPr>
      <w:r>
        <w:rPr>
          <w:rFonts w:ascii="Times New Roman" w:hAnsi="Times New Roman" w:eastAsia="黑体"/>
          <w:b w:val="0"/>
          <w:sz w:val="24"/>
        </w:rPr>
        <w:t>1．形势判断与“改革攻坚”定位</w:t>
      </w:r>
    </w:p>
    <w:p>
      <w:pPr>
        <w:spacing w:before="0" w:after="0" w:line="360" w:lineRule="auto"/>
        <w:ind w:firstLineChars="200" w:firstLine="480"/>
      </w:pPr>
      <w:r>
        <w:rPr>
          <w:rFonts w:ascii="Times New Roman" w:hAnsi="Times New Roman" w:eastAsia="宋体"/>
          <w:b w:val="0"/>
          <w:sz w:val="24"/>
        </w:rPr>
        <w:t>中央经济工作会议对形势的判断直指本书研究的问题起点：“我国经济发展中老问题、新挑战仍然不少，外部环境变化影响加深，国内供强需弱矛盾突出，重点领域风险隐患较多。”在部署2026年经济工作的总体要求中，会议将“纵深推进全国统一大市场建设”嵌入“持续扩大内需、优化供给，做优增量、盘活存量，因地制宜发展新质生产力”的任务序列，并在“坚持改革攻坚，增强高质量发展动力活力”部分明确要求：“制定全国统一大市场建设条例，深入整治‘内卷式’竞争。”会议同时强调对经济工作的规律性认识：“必须做到既‘放得活’又‘管得好’，必须坚持投资于物和投资于人紧密结合。”</w:t>
      </w:r>
    </w:p>
    <w:p>
      <w:pPr>
        <w:spacing w:before="0" w:after="0" w:line="360" w:lineRule="auto"/>
        <w:ind w:firstLineChars="200" w:firstLine="480"/>
      </w:pPr>
      <w:r>
        <w:rPr>
          <w:rFonts w:ascii="Times New Roman" w:hAnsi="Times New Roman" w:eastAsia="宋体"/>
          <w:b w:val="0"/>
          <w:sz w:val="24"/>
        </w:rPr>
        <w:t>这一部署有两点值得深味。第一，统一大市场条例与整治“内卷式”竞争在同一句话中并列出现，表明决策层将二者视为一体两面：分割的市场结构是“内卷式”竞争滋生的温床，治理“内卷”必须与破除分割同步推进——这正是本书“市场分割—内卷竞争—统一红利”分析框架的政策映照。第二，把这项任务归入“改革攻坚”而非常规市场监管，意味着治理对象已不限于企业行为，而是触及地方政府激励、财税体制与要素配置等深层制度。会议同时部署“健全地方税体系”“拓展要素市场化改革试点”“完善差异化考核评价体系”，与整治“内卷”形成配套组合，恰恰说明“内卷”之治本在体制而不在个案：不改变地方政府的收入结构与考核激励，仅靠个案执法难以阻断产能竞赛的再生产机制。</w:t>
      </w:r>
    </w:p>
    <w:p>
      <w:pPr>
        <w:spacing w:before="160" w:after="120" w:line="360" w:lineRule="auto"/>
        <w:outlineLvl w:val="2"/>
      </w:pPr>
      <w:r>
        <w:rPr>
          <w:rFonts w:ascii="Times New Roman" w:hAnsi="Times New Roman" w:eastAsia="黑体"/>
          <w:b w:val="0"/>
          <w:sz w:val="24"/>
        </w:rPr>
        <w:t>2．“一部条例、一份清单、五种手段”：六大工具的政策依据与作用机理</w:t>
      </w:r>
    </w:p>
    <w:p>
      <w:pPr>
        <w:spacing w:before="0" w:after="0" w:line="360" w:lineRule="auto"/>
        <w:ind w:firstLineChars="200" w:firstLine="480"/>
      </w:pPr>
      <w:r>
        <w:rPr>
          <w:rFonts w:ascii="Times New Roman" w:hAnsi="Times New Roman" w:eastAsia="宋体"/>
          <w:b w:val="0"/>
          <w:sz w:val="24"/>
        </w:rPr>
        <w:t>习近平总书记在《当前经济工作的重点任务》中对治理路径作出完整表述：“制定全国统一大市场建设条例，出台地方政府招商引资鼓励和禁止事项清单，综合运用产能调控、标准引领、价格执法、质量监管和反垄断、反不正当竞争等手段，深入整治‘内卷式’竞争，营造良好市场生态”（习近平，2026）。这段部署的结构可以概括为“一部条例、一份清单、五种手段”：条例提供统一大市场的法治基础，清单约束地方政府的招商引资行为，五种手段规制企业与行业层面的竞争行为，三者共同构成覆盖“政府—企业”双侧的综合治理体系。将上述部署与相关法律法规、部门行动逐项对应，可以得到一个结构化的政策工具箱（见表2.2）。</w:t>
      </w:r>
    </w:p>
    <w:p>
      <w:pPr>
        <w:spacing w:before="160" w:after="80" w:line="312" w:lineRule="auto"/>
        <w:jc w:val="center"/>
      </w:pPr>
      <w:r>
        <w:rPr>
          <w:rFonts w:ascii="Times New Roman" w:hAnsi="Times New Roman" w:eastAsia="黑体"/>
          <w:b w:val="0"/>
          <w:sz w:val="21"/>
        </w:rPr>
        <w:t>表2.2　“内卷式”竞争综合整治政策工具箱</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政策工具</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政策依据</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作用机理</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适用场景</w:t>
            </w:r>
          </w:p>
        </w:tc>
      </w:tr>
      <w:tr>
        <w:tc>
          <w:tcPr>
            <w:tcW w:type="dxa" w:w="2126"/>
          </w:tcPr>
          <w:p>
            <w:pPr>
              <w:spacing w:before="20" w:after="20" w:line="276" w:lineRule="auto"/>
              <w:jc w:val="left"/>
            </w:pPr>
            <w:r/>
            <w:r>
              <w:rPr>
                <w:rFonts w:ascii="Times New Roman" w:hAnsi="Times New Roman" w:eastAsia="宋体"/>
                <w:b w:val="0"/>
                <w:sz w:val="21"/>
              </w:rPr>
              <w:t>产能调控</w:t>
            </w:r>
          </w:p>
        </w:tc>
        <w:tc>
          <w:tcPr>
            <w:tcW w:type="dxa" w:w="2126"/>
          </w:tcPr>
          <w:p>
            <w:pPr>
              <w:spacing w:before="20" w:after="20" w:line="276" w:lineRule="auto"/>
              <w:jc w:val="left"/>
            </w:pPr>
            <w:r/>
            <w:r>
              <w:rPr>
                <w:rFonts w:ascii="Times New Roman" w:hAnsi="Times New Roman" w:eastAsia="宋体"/>
                <w:b w:val="0"/>
                <w:sz w:val="21"/>
              </w:rPr>
              <w:t>中央财经委员会第六次会议部署“推动落后产能有序退出”；工信部《光伏制造行业规范条件（2024年本）》将新建项目最低资本金比例由20%提高至30%；国家发展改革委2025年12月明确对“新三样”综合整治“内卷式”竞争</w:t>
            </w:r>
          </w:p>
        </w:tc>
        <w:tc>
          <w:tcPr>
            <w:tcW w:type="dxa" w:w="2126"/>
          </w:tcPr>
          <w:p>
            <w:pPr>
              <w:spacing w:before="20" w:after="20" w:line="276" w:lineRule="auto"/>
              <w:jc w:val="left"/>
            </w:pPr>
            <w:r/>
            <w:r>
              <w:rPr>
                <w:rFonts w:ascii="Times New Roman" w:hAnsi="Times New Roman" w:eastAsia="宋体"/>
                <w:b w:val="0"/>
                <w:sz w:val="21"/>
              </w:rPr>
              <w:t>提高进入门槛、约束新增产能、推动存量整合与落后产能有序退出，收缩过剩供给，修复供需平衡与价格中枢</w:t>
            </w:r>
          </w:p>
        </w:tc>
        <w:tc>
          <w:tcPr>
            <w:tcW w:type="dxa" w:w="2126"/>
          </w:tcPr>
          <w:p>
            <w:pPr>
              <w:spacing w:before="20" w:after="20" w:line="276" w:lineRule="auto"/>
              <w:jc w:val="left"/>
            </w:pPr>
            <w:r/>
            <w:r>
              <w:rPr>
                <w:rFonts w:ascii="Times New Roman" w:hAnsi="Times New Roman" w:eastAsia="宋体"/>
                <w:b w:val="0"/>
                <w:sz w:val="21"/>
              </w:rPr>
              <w:t>产能利用率持续偏低、价格长期跌破行业平均成本的资本密集型行业（如多晶硅、光伏玻璃、锂电材料）</w:t>
            </w:r>
          </w:p>
        </w:tc>
      </w:tr>
      <w:tr>
        <w:tc>
          <w:tcPr>
            <w:tcW w:type="dxa" w:w="2126"/>
          </w:tcPr>
          <w:p>
            <w:pPr>
              <w:spacing w:before="20" w:after="20" w:line="276" w:lineRule="auto"/>
              <w:jc w:val="left"/>
            </w:pPr>
            <w:r/>
            <w:r>
              <w:rPr>
                <w:rFonts w:ascii="Times New Roman" w:hAnsi="Times New Roman" w:eastAsia="宋体"/>
                <w:b w:val="0"/>
                <w:sz w:val="21"/>
              </w:rPr>
              <w:t>标准引领</w:t>
            </w:r>
          </w:p>
        </w:tc>
        <w:tc>
          <w:tcPr>
            <w:tcW w:type="dxa" w:w="2126"/>
          </w:tcPr>
          <w:p>
            <w:pPr>
              <w:spacing w:before="20" w:after="20" w:line="276" w:lineRule="auto"/>
              <w:jc w:val="left"/>
            </w:pPr>
            <w:r/>
            <w:r>
              <w:rPr>
                <w:rFonts w:ascii="Times New Roman" w:hAnsi="Times New Roman" w:eastAsia="宋体"/>
                <w:b w:val="0"/>
                <w:sz w:val="21"/>
              </w:rPr>
              <w:t>《纲要》第十七章“完善协调统一的国家标准体系，扩大强制性国家标准覆盖面”；工信部对智能网联汽车宣传与准入的统一规范</w:t>
            </w:r>
          </w:p>
        </w:tc>
        <w:tc>
          <w:tcPr>
            <w:tcW w:type="dxa" w:w="2126"/>
          </w:tcPr>
          <w:p>
            <w:pPr>
              <w:spacing w:before="20" w:after="20" w:line="276" w:lineRule="auto"/>
              <w:jc w:val="left"/>
            </w:pPr>
            <w:r/>
            <w:r>
              <w:rPr>
                <w:rFonts w:ascii="Times New Roman" w:hAnsi="Times New Roman" w:eastAsia="宋体"/>
                <w:b w:val="0"/>
                <w:sz w:val="21"/>
              </w:rPr>
              <w:t>以能耗、质量、安全、技术标准划定竞争底线，淘汰达不到标准的落后供给，把竞争由价格维度引向质量与创新维度</w:t>
            </w:r>
          </w:p>
        </w:tc>
        <w:tc>
          <w:tcPr>
            <w:tcW w:type="dxa" w:w="2126"/>
          </w:tcPr>
          <w:p>
            <w:pPr>
              <w:spacing w:before="20" w:after="20" w:line="276" w:lineRule="auto"/>
              <w:jc w:val="left"/>
            </w:pPr>
            <w:r/>
            <w:r>
              <w:rPr>
                <w:rFonts w:ascii="Times New Roman" w:hAnsi="Times New Roman" w:eastAsia="宋体"/>
                <w:b w:val="0"/>
                <w:sz w:val="21"/>
              </w:rPr>
              <w:t>产品同质化严重、低质低价竞争突出、存在质量安全外部性的制造行业</w:t>
            </w:r>
          </w:p>
        </w:tc>
      </w:tr>
      <w:tr>
        <w:tc>
          <w:tcPr>
            <w:tcW w:type="dxa" w:w="2126"/>
          </w:tcPr>
          <w:p>
            <w:pPr>
              <w:spacing w:before="20" w:after="20" w:line="276" w:lineRule="auto"/>
              <w:jc w:val="left"/>
            </w:pPr>
            <w:r/>
            <w:r>
              <w:rPr>
                <w:rFonts w:ascii="Times New Roman" w:hAnsi="Times New Roman" w:eastAsia="宋体"/>
                <w:b w:val="0"/>
                <w:sz w:val="21"/>
              </w:rPr>
              <w:t>价格执法</w:t>
            </w:r>
          </w:p>
        </w:tc>
        <w:tc>
          <w:tcPr>
            <w:tcW w:type="dxa" w:w="2126"/>
          </w:tcPr>
          <w:p>
            <w:pPr>
              <w:spacing w:before="20" w:after="20" w:line="276" w:lineRule="auto"/>
              <w:jc w:val="left"/>
            </w:pPr>
            <w:r/>
            <w:r>
              <w:rPr>
                <w:rFonts w:ascii="Times New Roman" w:hAnsi="Times New Roman" w:eastAsia="宋体"/>
                <w:b w:val="0"/>
                <w:sz w:val="21"/>
              </w:rPr>
              <w:t>《中华人民共和国价格法》及《关于制止低价倾销行为的规定》；中国光伏行业协会公布组件最低成本价并明确低于成本投标中标涉嫌违法；2026年6月工信部、市场监管总局约谈涉嫌非理性竞争的汽车生产企业</w:t>
            </w:r>
          </w:p>
        </w:tc>
        <w:tc>
          <w:tcPr>
            <w:tcW w:type="dxa" w:w="2126"/>
          </w:tcPr>
          <w:p>
            <w:pPr>
              <w:spacing w:before="20" w:after="20" w:line="276" w:lineRule="auto"/>
              <w:jc w:val="left"/>
            </w:pPr>
            <w:r/>
            <w:r>
              <w:rPr>
                <w:rFonts w:ascii="Times New Roman" w:hAnsi="Times New Roman" w:eastAsia="宋体"/>
                <w:b w:val="0"/>
                <w:sz w:val="21"/>
              </w:rPr>
              <w:t>认定并查处低于成本的倾销式定价与恶意压价行为，阻断“以价换量—全行业亏损—质量滑坡”的恶性循环，恢复价格的信号功能</w:t>
            </w:r>
          </w:p>
        </w:tc>
        <w:tc>
          <w:tcPr>
            <w:tcW w:type="dxa" w:w="2126"/>
          </w:tcPr>
          <w:p>
            <w:pPr>
              <w:spacing w:before="20" w:after="20" w:line="276" w:lineRule="auto"/>
              <w:jc w:val="left"/>
            </w:pPr>
            <w:r/>
            <w:r>
              <w:rPr>
                <w:rFonts w:ascii="Times New Roman" w:hAnsi="Times New Roman" w:eastAsia="宋体"/>
                <w:b w:val="0"/>
                <w:sz w:val="21"/>
              </w:rPr>
              <w:t>出现持续性、脱离成本的超低价竞争的行业（光伏招投标、汽车“价格战”、平台“0元购”式促销）</w:t>
            </w:r>
          </w:p>
        </w:tc>
      </w:tr>
      <w:tr>
        <w:tc>
          <w:tcPr>
            <w:tcW w:type="dxa" w:w="2126"/>
          </w:tcPr>
          <w:p>
            <w:pPr>
              <w:spacing w:before="20" w:after="20" w:line="276" w:lineRule="auto"/>
              <w:jc w:val="left"/>
            </w:pPr>
            <w:r/>
            <w:r>
              <w:rPr>
                <w:rFonts w:ascii="Times New Roman" w:hAnsi="Times New Roman" w:eastAsia="宋体"/>
                <w:b w:val="0"/>
                <w:sz w:val="21"/>
              </w:rPr>
              <w:t>质量监管</w:t>
            </w:r>
          </w:p>
        </w:tc>
        <w:tc>
          <w:tcPr>
            <w:tcW w:type="dxa" w:w="2126"/>
          </w:tcPr>
          <w:p>
            <w:pPr>
              <w:spacing w:before="20" w:after="20" w:line="276" w:lineRule="auto"/>
              <w:jc w:val="left"/>
            </w:pPr>
            <w:r/>
            <w:r>
              <w:rPr>
                <w:rFonts w:ascii="Times New Roman" w:hAnsi="Times New Roman" w:eastAsia="宋体"/>
                <w:b w:val="0"/>
                <w:sz w:val="21"/>
              </w:rPr>
              <w:t>市场监管总局对大幅降价新能源汽车开展整车质量国家监督专项抽查；《网络交易平台规则监督管理办法》规范“仅退款”“全网最低价”等平台规则</w:t>
            </w:r>
          </w:p>
        </w:tc>
        <w:tc>
          <w:tcPr>
            <w:tcW w:type="dxa" w:w="2126"/>
          </w:tcPr>
          <w:p>
            <w:pPr>
              <w:spacing w:before="20" w:after="20" w:line="276" w:lineRule="auto"/>
              <w:jc w:val="left"/>
            </w:pPr>
            <w:r/>
            <w:r>
              <w:rPr>
                <w:rFonts w:ascii="Times New Roman" w:hAnsi="Times New Roman" w:eastAsia="宋体"/>
                <w:b w:val="0"/>
                <w:sz w:val="21"/>
              </w:rPr>
              <w:t>防止企业以牺牲质量、安全和售后服务消化降价压力，提高低质竞争的违法成本，维护“优质优价”的市场秩序</w:t>
            </w:r>
          </w:p>
        </w:tc>
        <w:tc>
          <w:tcPr>
            <w:tcW w:type="dxa" w:w="2126"/>
          </w:tcPr>
          <w:p>
            <w:pPr>
              <w:spacing w:before="20" w:after="20" w:line="276" w:lineRule="auto"/>
              <w:jc w:val="left"/>
            </w:pPr>
            <w:r/>
            <w:r>
              <w:rPr>
                <w:rFonts w:ascii="Times New Roman" w:hAnsi="Times New Roman" w:eastAsia="宋体"/>
                <w:b w:val="0"/>
                <w:sz w:val="21"/>
              </w:rPr>
              <w:t>降价幅度大、质量安全风险上升的耐用消费品行业与平台零售场景</w:t>
            </w:r>
          </w:p>
        </w:tc>
      </w:tr>
      <w:tr>
        <w:tc>
          <w:tcPr>
            <w:tcW w:type="dxa" w:w="2126"/>
          </w:tcPr>
          <w:p>
            <w:pPr>
              <w:spacing w:before="20" w:after="20" w:line="276" w:lineRule="auto"/>
              <w:jc w:val="left"/>
            </w:pPr>
            <w:r/>
            <w:r>
              <w:rPr>
                <w:rFonts w:ascii="Times New Roman" w:hAnsi="Times New Roman" w:eastAsia="宋体"/>
                <w:b w:val="0"/>
                <w:sz w:val="21"/>
              </w:rPr>
              <w:t>反垄断、反不正当竞争</w:t>
            </w:r>
          </w:p>
        </w:tc>
        <w:tc>
          <w:tcPr>
            <w:tcW w:type="dxa" w:w="2126"/>
          </w:tcPr>
          <w:p>
            <w:pPr>
              <w:spacing w:before="20" w:after="20" w:line="276" w:lineRule="auto"/>
              <w:jc w:val="left"/>
            </w:pPr>
            <w:r/>
            <w:r>
              <w:rPr>
                <w:rFonts w:ascii="Times New Roman" w:hAnsi="Times New Roman" w:eastAsia="宋体"/>
                <w:b w:val="0"/>
                <w:sz w:val="21"/>
              </w:rPr>
              <w:t>新修订《中华人民共和国反不正当竞争法》（2025年10月15日施行）新增平台条款，禁止平台强制或变相强制平台内经营者低于成本销售；《公平竞争审查条例》及其实施办法</w:t>
            </w:r>
          </w:p>
        </w:tc>
        <w:tc>
          <w:tcPr>
            <w:tcW w:type="dxa" w:w="2126"/>
          </w:tcPr>
          <w:p>
            <w:pPr>
              <w:spacing w:before="20" w:after="20" w:line="276" w:lineRule="auto"/>
              <w:jc w:val="left"/>
            </w:pPr>
            <w:r/>
            <w:r>
              <w:rPr>
                <w:rFonts w:ascii="Times New Roman" w:hAnsi="Times New Roman" w:eastAsia="宋体"/>
                <w:b w:val="0"/>
                <w:sz w:val="21"/>
              </w:rPr>
              <w:t>规制强制低价销售、滥用优势地位与排除限制竞争行为，保护中小经营者与创新者的合理回报，维护竞争的开放性</w:t>
            </w:r>
          </w:p>
        </w:tc>
        <w:tc>
          <w:tcPr>
            <w:tcW w:type="dxa" w:w="2126"/>
          </w:tcPr>
          <w:p>
            <w:pPr>
              <w:spacing w:before="20" w:after="20" w:line="276" w:lineRule="auto"/>
              <w:jc w:val="left"/>
            </w:pPr>
            <w:r/>
            <w:r>
              <w:rPr>
                <w:rFonts w:ascii="Times New Roman" w:hAnsi="Times New Roman" w:eastAsia="宋体"/>
                <w:b w:val="0"/>
                <w:sz w:val="21"/>
              </w:rPr>
              <w:t>平台经济“补贴大战”、供应链账期挤压、强制“二选一”与自我优待等场景</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招商引资清单管理</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《当前经济工作的重点任务》部署“出台地方政府招商引资鼓励和禁止事项清单”；《纲要》第十七章；国办发〔2024〕28号文件</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从源头禁止与税收挂钩的奖补和选择性优惠，矫正要素价格扭曲，遏制重复建设与产能竞赛背后的政府推手</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地方以税费返还、低价供地、代建厂房等方式争夺同类项目、产业同构加剧的领域</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2.2显示，六类工具的作用位点各不相同，恰好覆盖了“内卷式”竞争形成链条的各个环节。按本书第三章的四重扭曲框架审视：招商引资清单管理作用于“地方激励扭曲”与“要素价格扭曲”，从源头减少政府诱致的过度进入；产能调控与标准引领作用于存量出清环节，矫正“退出机制失灵”；价格执法、质量监管与反垄断、反不正当竞争则直接规制竞争行为本身，阻断“低价—亏损—更低价”的自我强化回路。工具组合的另一个特征是“行政手段法治化”：无论是价格执法所依据的低价倾销认定规则，还是平台条款的罚则设计，都强调依法依规、个案认定，而非行政指令一刀切，这与20世纪90年代以来主要依靠行政审批和淘汰名单的产能治理形成鲜明对照（梁泳梅，2024）。法学界的讨论同样支持这一转向：对低价竞争的规制必须以竞争损害的审慎认定为前提，避免误伤正常的价格竞争与效率型低价（张晨颖，2023；李剑、胡寅，2026）。</w:t>
      </w:r>
    </w:p>
    <w:p>
      <w:pPr>
        <w:spacing w:before="0" w:after="0" w:line="360" w:lineRule="auto"/>
        <w:ind w:firstLineChars="200" w:firstLine="480"/>
      </w:pPr>
      <w:r>
        <w:rPr>
          <w:rFonts w:ascii="Times New Roman" w:hAnsi="Times New Roman" w:eastAsia="宋体"/>
          <w:b w:val="0"/>
          <w:sz w:val="24"/>
        </w:rPr>
        <w:t>工具箱的深层逻辑在于“双侧治理”。以往历轮产能过剩治理的教训表明，只约束企业而放任地方政府补贴竞赛，产能往往在治理间歇再度膨胀——光伏产业在2012年前后经历的第一轮过剩与本轮过剩，均与地方政府以税收减免、电价优惠、厂房代建等政策“一哄而上”招商密切相关（江飞涛、曹建海，2009；余东华、吕逸楠，2015）。因此，此轮部署把“出台地方政府招商引资鼓励和禁止事项清单”置于五种手段之前，颇具深意：先管住“有形之手”的越位，再矫正“无形之手”的失灵。同时，会议还部署“加紧清理拖欠企业账款”“推动平台企业和平台内经营者、劳动者共赢发展”，把中小经营者与劳动者权益保护纳入治理目标，表明“反内卷”的价值取向不是保护落后产能、抑制正当竞争，而是重建大中小企业、平台与商户、企业与劳动者各方共赢的市场生态。</w:t>
      </w:r>
    </w:p>
    <w:p>
      <w:pPr>
        <w:spacing w:before="160" w:after="120" w:line="360" w:lineRule="auto"/>
        <w:outlineLvl w:val="2"/>
      </w:pPr>
      <w:r>
        <w:rPr>
          <w:rFonts w:ascii="Times New Roman" w:hAnsi="Times New Roman" w:eastAsia="黑体"/>
          <w:b w:val="0"/>
          <w:sz w:val="24"/>
        </w:rPr>
        <w:t>3．公平竞争审查的刚性化与执行进展</w:t>
      </w:r>
    </w:p>
    <w:p>
      <w:pPr>
        <w:spacing w:before="0" w:after="0" w:line="360" w:lineRule="auto"/>
        <w:ind w:firstLineChars="200" w:firstLine="480"/>
      </w:pPr>
      <w:r>
        <w:rPr>
          <w:rFonts w:ascii="Times New Roman" w:hAnsi="Times New Roman" w:eastAsia="宋体"/>
          <w:b w:val="0"/>
          <w:sz w:val="24"/>
        </w:rPr>
        <w:t>治理工具能否奏效，关键在执行。公平竞争审查制度的十年轨迹提供了最可量化的观察窗口。如本章第一节所述，自2016年制度建立至《公平竞争审查条例》出台前，全国累计审查政策措施161.8万件、清理存量文件447万件、废止和修订排除限制竞争的政策措施9.3万件；《条例》施行后，审查强度进一步提高——据市场监管总局数据，条例施行至2025年3月，共审查拟出台政策措施9.06万件，对1.5万余件提出修改意见并推动调整；2025年全年审查政策措施5.8万件、修改调整1万余件，滥用行政权力排除、限制竞争专项行动立案96件、办结75件。截至2026年年中，制度建立十年间累计审查政策措施达188万件，废止和修订排除、限制竞争的政策措施12.3万件（据人民日报2026年7月报道的市场监管总局数据）。</w:t>
      </w:r>
    </w:p>
    <w:p>
      <w:pPr>
        <w:spacing w:before="0" w:after="0" w:line="360" w:lineRule="auto"/>
        <w:ind w:firstLineChars="200" w:firstLine="480"/>
      </w:pPr>
      <w:r>
        <w:rPr>
          <w:rFonts w:ascii="Times New Roman" w:hAnsi="Times New Roman" w:eastAsia="宋体"/>
          <w:b w:val="0"/>
          <w:sz w:val="24"/>
        </w:rPr>
        <w:t>这组数字至少有三层含义。其一，被审查纠正的政策措施以十万计，说明排除、限制竞争的政策供给在地方治理中曾具有相当的普遍性，市场分割不是个别现象而是系统性现象，这为本书第三章把地方激励扭曲置于“内卷式竞争陷阱”形成机理首位提供了经验注脚。其二，从审查节奏与纠正强度看，《条例》施行后单年审查5.8万件、修改调整1万余件，事前把关的密度和刚性明显高于制度早期；执法重心也从文件审查扩展到个案查处——2026年1月市场监管总局公布的2025年综合整治“内卷式”竞争十大典型案例，涵盖约谈货拉拉平台算法压价、两次约谈外卖平台整治“补贴大战”、对大幅降价新能源汽车开展整车质量国家监督专项抽查等，显示六大工具已在真实场景中协同运用（相关案例的深入剖析见本书第十章）。其三，对研究者而言，公平竞争审查提供了处理强度存在地区差异的准自然实验：各省清理与纠正政策文件的力度不同，恰好构成识别统一市场制度效应的横截面变异。本书第六章的强度双重差分设计与第九章的估计结果——高强度省份的“内卷”指数、补贴强度与市场分割程度均显著下降——正是建立在这一制度事实之上。</w:t>
      </w:r>
    </w:p>
    <w:p>
      <w:pPr>
        <w:spacing w:before="200" w:after="160" w:line="360" w:lineRule="auto"/>
        <w:outlineLvl w:val="1"/>
      </w:pPr>
      <w:r>
        <w:rPr>
          <w:rFonts w:ascii="Times New Roman" w:hAnsi="Times New Roman" w:eastAsia="黑体"/>
          <w:b w:val="0"/>
          <w:sz w:val="28"/>
        </w:rPr>
        <w:t>（四）理论逻辑：习近平经济思想中的统一大市场理论</w:t>
      </w:r>
    </w:p>
    <w:p>
      <w:pPr>
        <w:spacing w:before="0" w:after="0" w:line="360" w:lineRule="auto"/>
        <w:ind w:firstLineChars="200" w:firstLine="480"/>
      </w:pPr>
      <w:r>
        <w:rPr>
          <w:rFonts w:ascii="Times New Roman" w:hAnsi="Times New Roman" w:eastAsia="宋体"/>
          <w:b w:val="0"/>
          <w:sz w:val="24"/>
        </w:rPr>
        <w:t>密集的政策部署背后是系统的理论支撑。全国统一大市场建设与“内卷式”竞争治理并非权宜性的应对之策，而是习近平经济思想关于社会主义市场经济建设规律认识的集中体现（中共中央宣传部、国家发展和改革委员会，2022）。本节从三个相互贯通的理论支点展开：超大规模市场优势论回答“为什么能”，有效市场与有为政府结合论回答“怎么干”，新发展格局论回答“往哪去”。</w:t>
      </w:r>
    </w:p>
    <w:p>
      <w:pPr>
        <w:spacing w:before="160" w:after="120" w:line="360" w:lineRule="auto"/>
        <w:outlineLvl w:val="2"/>
      </w:pPr>
      <w:r>
        <w:rPr>
          <w:rFonts w:ascii="Times New Roman" w:hAnsi="Times New Roman" w:eastAsia="黑体"/>
          <w:b w:val="0"/>
          <w:sz w:val="24"/>
        </w:rPr>
        <w:t>1．超大规模市场优势：从潜在规模到现实优势</w:t>
      </w:r>
    </w:p>
    <w:p>
      <w:pPr>
        <w:spacing w:before="0" w:after="0" w:line="360" w:lineRule="auto"/>
        <w:ind w:firstLineChars="200" w:firstLine="480"/>
      </w:pPr>
      <w:r>
        <w:rPr>
          <w:rFonts w:ascii="Times New Roman" w:hAnsi="Times New Roman" w:eastAsia="宋体"/>
          <w:b w:val="0"/>
          <w:sz w:val="24"/>
        </w:rPr>
        <w:t>超大规模市场是中国经济最突出的禀赋之一。据国家统计局数据，2025年国内生产总值达140.2万亿元、比上年增长5.0%，社会消费品零售总额突破50万亿元；党的二十届四中全会进一步把“超大规模市场优势”与制度优势、完整产业体系优势、丰富人才资源优势并列为我国发展的四大突出优势。从经济学理论看，市场规模优势的价值根植于规模报酬递增：市场越大，固定成本得以摊薄的空间越大，分工与专业化的深度越深，产业集聚与多样化的自我强化机制越强（Krugman，1991）；市场规模同时决定创新回报的上限——一项新技术、新产品能够触达的需求规模，直接决定研发投入能否收回，规模化市场因此是创新活动最重要的“需求端基础设施”。习近平总书记在阐述新发展格局的战略部署时反复强调发挥超大规模市场的“引力场”作用，在《当前经济工作的重点任务》中又明确要求“统筹促消费和扩投资，用好我国超大规模市场优势”（习近平，2023；习近平，2026）。</w:t>
      </w:r>
    </w:p>
    <w:p>
      <w:pPr>
        <w:spacing w:before="0" w:after="0" w:line="360" w:lineRule="auto"/>
        <w:ind w:firstLineChars="200" w:firstLine="480"/>
      </w:pPr>
      <w:r>
        <w:rPr>
          <w:rFonts w:ascii="Times New Roman" w:hAnsi="Times New Roman" w:eastAsia="宋体"/>
          <w:b w:val="0"/>
          <w:sz w:val="24"/>
        </w:rPr>
        <w:t>必须强调的是，超大规模市场优势是潜在优势，其转化为现实竞争力要以市场的统一为前提。若全国市场被行政边界切割为数十个中小市场，名义上的超大市场便退化为“诸侯市场”的加总：每个企业实际面对的需求规模远小于全国规模，最小有效规模难以达到，规模经济无从发挥；创新产品无法迅速铺开，创新回报被空间分割截断。数量化研究为此提供了有力证据：2000年中国国内的贸易成本与迁移成本远高于美国、加拿大等发达经济体，而2000—2005年间内贸成本与迁移成本的下降解释了同期约36%的总劳动生产率增长，其贡献甚至超过对外贸易成本的下降（Tombe和Zhu，2019）。这意味着，中国经济增长的重要源泉之一恰恰是国内市场的“去分割化”，而尚存的分割正是有待释放的增长潜能。近年来重点行业呈现的“大市场、多企业、低利润”悖论——总需求全球最大，企业数量众多，行业利润率却持续走低——从反面印证了这一逻辑：当每个省份都追求同类产业的全链条布局时，超大市场被切分为若干中小市场，企业在局部市场中以低价争夺有限需求，规模经济与创新回报双双受损。统一大市场建设的理论意义，正在于通过制度整合把“规模的算术加总”转变为“规模的经济乘数”，本书第四章将以数理模型刻画这一转变的微观机制。</w:t>
      </w:r>
    </w:p>
    <w:p>
      <w:pPr>
        <w:spacing w:before="160" w:after="120" w:line="360" w:lineRule="auto"/>
        <w:outlineLvl w:val="2"/>
      </w:pPr>
      <w:r>
        <w:rPr>
          <w:rFonts w:ascii="Times New Roman" w:hAnsi="Times New Roman" w:eastAsia="黑体"/>
          <w:b w:val="0"/>
          <w:sz w:val="24"/>
        </w:rPr>
        <w:t>2．有效市场与有为政府：破解“内卷”的方法论</w:t>
      </w:r>
    </w:p>
    <w:p>
      <w:pPr>
        <w:spacing w:before="0" w:after="0" w:line="360" w:lineRule="auto"/>
        <w:ind w:firstLineChars="200" w:firstLine="480"/>
      </w:pPr>
      <w:r>
        <w:rPr>
          <w:rFonts w:ascii="Times New Roman" w:hAnsi="Times New Roman" w:eastAsia="宋体"/>
          <w:b w:val="0"/>
          <w:sz w:val="24"/>
        </w:rPr>
        <w:t>党的二十届四中全会把“坚持有效市场和有为政府相结合”确立为“十五五”发展原则，中央经济工作会议则以“必须做到既‘放得活’又‘管得好’”作出规律性概括。这一方法论对于理解“内卷式”竞争治理具有纲领意义，因为“内卷式”竞争的独特之处在于它是市场失灵与政府失灵的叠加产物：一方面，同质化产品的过度进入、低于成本的倾销式定价、平台补贴大战中的流量裹挟，属于竞争自发演化中的协调失灵与外部性问题，市场自身难以纠正；另一方面，地方政府的选择性补贴、隐性保护与考核驱动的产能竞赛，人为放大了进入激励、延缓了退出进程，是典型的政府行为扭曲（江飞涛、曹建海，2009；周黎安，2017）。单纯的“放”无法消除政府侧的扭曲，单纯的“管”又可能压抑正常竞争，唯有双侧发力、各归其位。</w:t>
      </w:r>
    </w:p>
    <w:p>
      <w:pPr>
        <w:spacing w:before="0" w:after="0" w:line="360" w:lineRule="auto"/>
        <w:ind w:firstLineChars="200" w:firstLine="480"/>
      </w:pPr>
      <w:r>
        <w:rPr>
          <w:rFonts w:ascii="Times New Roman" w:hAnsi="Times New Roman" w:eastAsia="宋体"/>
          <w:b w:val="0"/>
          <w:sz w:val="24"/>
        </w:rPr>
        <w:t>从这一视角审视，本章第三节解析的治理工具箱正是“有效市场+有为政府”方法论的操作化。一方面，通过公平竞争审查刚性约束、招商引资清单管理、统一政府行为尺度，约束“有形之手”的越位——这是以制度化方式实现“放得活”，让价格信号、竞争选择与退出机制发挥决定性作用；另一方面，通过价格执法、质量监管、标准引领与反垄断、反不正当竞争执法，履行秩序供给职能——这是“管得好”，为竞争划定底线、维护规则。二者的组合刻画出政府角色的深刻转型：从直接配置资源、深度介入产业的“运动员兼裁判员”，转向规则供给者、秩序维护者与公共品提供者（邵传林，2023）。同样重要的是有为政府的边界意识：“管得好”不等于管得多，产能调控须依法依规、避免行政化“一刀切”，价格执法须以成本认定为前提、避免误伤效率型低价，否则“反内卷”本身可能异化为新的行政干预。本书第十一章将专门讨论防止“运动式反内卷”的政策设计。</w:t>
      </w:r>
    </w:p>
    <w:p>
      <w:pPr>
        <w:spacing w:before="160" w:after="120" w:line="360" w:lineRule="auto"/>
        <w:outlineLvl w:val="2"/>
      </w:pPr>
      <w:r>
        <w:rPr>
          <w:rFonts w:ascii="Times New Roman" w:hAnsi="Times New Roman" w:eastAsia="黑体"/>
          <w:b w:val="0"/>
          <w:sz w:val="24"/>
        </w:rPr>
        <w:t>3．新发展格局：统一大市场的战略定位</w:t>
      </w:r>
    </w:p>
    <w:p>
      <w:pPr>
        <w:spacing w:before="0" w:after="0" w:line="360" w:lineRule="auto"/>
        <w:ind w:firstLineChars="200" w:firstLine="480"/>
      </w:pPr>
      <w:r>
        <w:rPr>
          <w:rFonts w:ascii="Times New Roman" w:hAnsi="Times New Roman" w:eastAsia="宋体"/>
          <w:b w:val="0"/>
          <w:sz w:val="24"/>
        </w:rPr>
        <w:t>统一大市场建设的第三重理论逻辑来自新发展格局。习近平总书记指出，构建以国内大循环为主体、国内国际双循环相互促进的新发展格局，关键在于实现经济循环的畅通无阻（习近平，2023）。国内大循环涵盖生产、分配、流通、消费四个环节，任何一个环节的梗阻都会削弱循环的动力；而全国统一大市场正是国内大循环得以顺畅运转的空间载体与制度基础——生产环节的要素配置、流通环节的商品流动、消费环节的需求实现，都以规则统一、设施联通、竞争公平的市场为前提（王一鸣，2020；黄群慧，2021）。国内循环与国际循环又互为条件：统一、高效的国内市场既能提升内循环效率，也能增强对全球资源要素的吸引力，使中国市场成为世界市场的重要组成部分（江小涓、孟丽君，2021；Lin和Wang，2022）。</w:t>
      </w:r>
    </w:p>
    <w:p>
      <w:pPr>
        <w:spacing w:before="0" w:after="0" w:line="360" w:lineRule="auto"/>
        <w:ind w:firstLineChars="200" w:firstLine="480"/>
      </w:pPr>
      <w:r>
        <w:rPr>
          <w:rFonts w:ascii="Times New Roman" w:hAnsi="Times New Roman" w:eastAsia="宋体"/>
          <w:b w:val="0"/>
          <w:sz w:val="24"/>
        </w:rPr>
        <w:t>在这一框架中，“内卷式”竞争可以被理解为循环不畅的病理表现：需求侧约束收紧使企业转向存量争夺，供给侧的分割与补贴扭曲又不断制造过剩产能，过剩供给在国内“卷价格”、在国外“卷份额”，进一步压低价格与利润，反过来抑制居民收入增长与消费扩张，形成“供强需弱—内卷竞争—循环受阻”的负反馈。因此，治理“内卷”与扩大内需是同一枚硬币的两面：四中全会强调“投资于物和投资于人紧密结合”，中央经济工作会议部署“坚持内需主导，建设强大国内市场”并“制定实施城乡居民增收计划”，正是要从需求侧松开约束；统一大市场建设则从供给侧与制度侧疏通梗阻，二者共同服务于循环的畅通。更进一步，统一大市场还是发展新质生产力的制度条件：新质生产力的培育既需要规模化需求牵引前沿技术的商业化，也需要优胜劣汰的竞争选择将资源导向高生产率企业（习近平，2024；洪银兴，2024；周文、许凌云，2023），而“内卷式”竞争恰恰通过侵蚀创新回报、锁定低水平均衡阻碍这一进程。学界对新质生产力要素结构与制度保障的研究亦表明，高质量的市场制度环境——统一开放的市场体系、公平竞争的市场秩序——是新型生产要素高效组合的前提条件（黄群慧、盛方富，2024；张林、蒲清平，2023；赵峰、季雷，2024）。由此，三个理论支点构成递进闭环：超大规模市场优势论阐明统一大市场“为什么能”成为中国的独特禀赋，有效市场与有为政府结合论给出“怎么干”的方法论，新发展格局论则界定“往哪去”的战略方向——三者共同构成理解本章全部政策部署的理论坐标系。</w:t>
      </w:r>
    </w:p>
    <w:p>
      <w:pPr>
        <w:spacing w:before="0" w:after="0" w:line="360" w:lineRule="auto"/>
        <w:ind w:firstLineChars="200" w:firstLine="480"/>
      </w:pPr>
      <w:r>
        <w:rPr>
          <w:rFonts w:ascii="Times New Roman" w:hAnsi="Times New Roman" w:eastAsia="宋体"/>
          <w:b w:val="0"/>
          <w:sz w:val="24"/>
        </w:rPr>
        <w:t>本章系统梳理了全国统一大市场建设与“内卷式”竞争治理的政策部署。政策演进的五阶段叙事表明，统一大市场建设是市场化改革一以贯之的制度主线，2025年以来与“反内卷”治理合流并进入纵深推进阶段；党的二十届四中全会与《纲要》第十七章以“基础制度—公平竞争—设施联通”三位一体的任务体系锁定“卡点堵点”；中央经济工作会议与《求是》文章给出“一部条例、一份清单、五种手段”的综合治理工具箱；习近平经济思想则为全部部署提供了“优势论—方法论—格局论”的理论逻辑。这些部署同时为学术研究留下了有待严格回答的问题：市场分割究竟在多大程度上、通过何种机制催生“内卷式”竞争？统一大市场建设能够带来多大的“统一红利”？政策工具的作用条件与边界何在？要回答这些问题，必须首先在概念上厘清“内卷式”竞争与市场分割的经济学内涵，并构建可检验的理论框架——这正是本书第三章的任务。</w:t>
      </w:r>
    </w:p>
    <w:p>
      <w:r>
        <w:br w:type="page"/>
      </w:r>
    </w:p>
    <w:p>
      <w:pPr>
        <w:spacing w:before="240" w:after="280" w:line="360" w:lineRule="auto"/>
        <w:jc w:val="center"/>
        <w:outlineLvl w:val="0"/>
      </w:pPr>
      <w:r>
        <w:rPr>
          <w:rFonts w:ascii="Times New Roman" w:hAnsi="Times New Roman" w:eastAsia="黑体"/>
          <w:b/>
          <w:sz w:val="30"/>
        </w:rPr>
        <w:t>三、概念界定与理论框架：“内卷式竞争陷阱”与“统一市场红利”</w:t>
      </w:r>
    </w:p>
    <w:p>
      <w:pPr>
        <w:spacing w:before="0" w:after="0" w:line="360" w:lineRule="auto"/>
        <w:ind w:firstLineChars="200" w:firstLine="480"/>
      </w:pPr>
      <w:r>
        <w:rPr>
          <w:rFonts w:ascii="Times New Roman" w:hAnsi="Times New Roman" w:eastAsia="宋体"/>
          <w:b w:val="0"/>
          <w:sz w:val="24"/>
        </w:rPr>
        <w:t>本书第一章从“供强需弱”的宏观矛盾与重点行业竞争失序的微观图景中提炼出三个递进的研究问题，第二章系统梳理了从2022年《中共中央 国务院关于加快建设全国统一大市场的意见》到党的二十届四中全会、《“十五五”规划纲要》与2025年中央经济工作会议的政策演进脉络。梳理表明，政策实践在相当程度上走在了理论前面：“内卷式”竞争已经成为中央文件的正式用语并进入综合整治议程，但其学术内涵、与相邻概念的边界、形成机理与治理逻辑，仍缺乏系统的经济学阐释；“统一大市场红利”在政策话语中被寄予厚望，其构成分项与释放条件也有待学理化的分解。概念不清则机理不明，机理不明则政策易偏。因此，本章承担全书理论构建的枢纽功能：第一节逐一界定市场分割、“内卷式”竞争、“内卷式竞争陷阱”与“统一市场红利”四个核心概念，其中后两者是本书提出的概念创新；第二节把四个概念组织为“市场分割—内卷竞争—统一红利”的三环传导框架；第三节与第四节分别深描“内卷式竞争陷阱”形成的四重扭曲机理与“统一市场红利”释放的四大效应机制；第五节将本书框架置于新古典竞争理论、日本“过当竞争”论、财政联邦主义与新经济地理的学术脉络中展开对话，阐明中国场景的特殊性与理论边界。本章的概念与框架将在本书第四章被数理化为三个递进模型，在第六章转化为可操作的指标体系，并在第八、九章接受系统的实证检验。</w:t>
      </w:r>
    </w:p>
    <w:p>
      <w:pPr>
        <w:spacing w:before="200" w:after="160" w:line="360" w:lineRule="auto"/>
        <w:outlineLvl w:val="1"/>
      </w:pPr>
      <w:r>
        <w:rPr>
          <w:rFonts w:ascii="Times New Roman" w:hAnsi="Times New Roman" w:eastAsia="黑体"/>
          <w:b w:val="0"/>
          <w:sz w:val="28"/>
        </w:rPr>
        <w:t>（一）核心概念界定</w:t>
      </w:r>
    </w:p>
    <w:p>
      <w:pPr>
        <w:spacing w:before="160" w:after="120" w:line="360" w:lineRule="auto"/>
        <w:outlineLvl w:val="2"/>
      </w:pPr>
      <w:r>
        <w:rPr>
          <w:rFonts w:ascii="Times New Roman" w:hAnsi="Times New Roman" w:eastAsia="黑体"/>
          <w:b w:val="0"/>
          <w:sz w:val="24"/>
        </w:rPr>
        <w:t>1．市场分割：内涵与类型学</w:t>
      </w:r>
    </w:p>
    <w:p>
      <w:pPr>
        <w:spacing w:before="0" w:after="0" w:line="360" w:lineRule="auto"/>
        <w:ind w:firstLineChars="200" w:firstLine="480"/>
      </w:pPr>
      <w:r>
        <w:rPr>
          <w:rFonts w:ascii="Times New Roman" w:hAnsi="Times New Roman" w:eastAsia="宋体"/>
          <w:b w:val="0"/>
          <w:sz w:val="24"/>
        </w:rPr>
        <w:t>市场分割是统一市场的对立面，指一个主权国家内部因行政力量、制度安排与自然条件的阻隔，商品和要素难以跨行政区自由流动、价格信号在地区之间相互割裂、“一价定律”系统性失效的状态。其经济学识别标准有二：一是数量维度，即跨区贸易流量显著低于无摩擦基准所预测的水平，存在所谓“边界效应”；二是价格维度，即同质商品的地区间相对价格持续偏离且波动过大，套利机制未能使其收敛。国内文献沿相对价格法建立了系统的测度传统，发现改革开放以来中国国内商品市场总体趋于整合（桂琦寒等，2006）；国际文献则一度提出中国在渐进改革中出现省际贸易壁垒上升、地区经济结构趋同的“诸侯经济”担忧（Young，2000）。需要强调的是，市场分割不等于地区发展差异：后者可以来自资源禀赋与比较优势的自然分工，而前者特指人为的、制度性的流动梗阻。正因如此，市场分割是可以通过制度变革加以削减的政策变量，这也是“统一市场红利”概念得以成立的前提。</w:t>
      </w:r>
    </w:p>
    <w:p>
      <w:pPr>
        <w:spacing w:before="0" w:after="0" w:line="360" w:lineRule="auto"/>
        <w:ind w:firstLineChars="200" w:firstLine="480"/>
      </w:pPr>
      <w:r>
        <w:rPr>
          <w:rFonts w:ascii="Times New Roman" w:hAnsi="Times New Roman" w:eastAsia="宋体"/>
          <w:b w:val="0"/>
          <w:sz w:val="24"/>
        </w:rPr>
        <w:t>从分割对象看，市场分割可以划分为商品市场分割、要素市场分割与监管（规则）分割三种类型。商品市场分割表现为地方保护性的采购目录、招标投标中的隐性歧视、对外地产品变相设置的检测认证壁垒等，其结果是本地产品在本地市场获得超出效率基础的份额。要素市场分割则表现为劳动力流动的户籍、社保、职称与档案障碍，土地指标的行政区配置刚性，信贷资源的属地化倾斜，以及数据要素的部门与地区壁垒；《“十五五”规划纲要》第十九章要求“畅通劳动力和人才社会性流动渠道，逐步打破户籍、社保、职称、档案等方面制度性障碍”，正是针对此类分割。监管分割是更深层的规则分割，表现为标准不统一、执法尺度不一致、行政裁量权基准差异，使企业跨区经营面临重复合规成本。本书第七章的测度显示，三类分割的深度并不相同：2024年全国要素市场分割指数为3.34，约为商品市场分割指数（1.97）的1.7倍；2012—2024年商品市场分割指数下降25.7%，而要素市场分割指数仅下降13.9%，要素市场的收敛显著慢于商品市场。这一“商品先行、要素滞后”的格局，决定了统一大市场建设进入深水区后的主攻方向。</w:t>
      </w:r>
    </w:p>
    <w:p>
      <w:pPr>
        <w:spacing w:before="0" w:after="0" w:line="360" w:lineRule="auto"/>
        <w:ind w:firstLineChars="200" w:firstLine="480"/>
      </w:pPr>
      <w:r>
        <w:rPr>
          <w:rFonts w:ascii="Times New Roman" w:hAnsi="Times New Roman" w:eastAsia="宋体"/>
          <w:b w:val="0"/>
          <w:sz w:val="24"/>
        </w:rPr>
        <w:t>从壁垒形态看，市场分割又可分为显性壁垒与隐性壁垒。显性壁垒指公路关卡、地方许可证、明文的本地采购比例要求等直接限制，经过数十年清理已大幅减少；隐性壁垒则藏身于资质认定、评标办法、补贴与奖励的差别待遇、能耗与环保指标的选择性执行之中，识别难、清理更难。经验研究普遍发现，即便显性壁垒基本拆除，省际边界对贸易流、投资流的阻滞效应依然显著存在（唐为，2019）。《公平竞争审查条例实施办法》将四类审查标准细化为66项具体情形，从反面印证了隐性壁垒形态之繁多。显性与隐性壁垒的消长规律提示我们：统一大市场建设的边际难度是递增的，越往后越触及地方政府行为方式与激励结构本身，这正是“统一政府行为尺度”被提升到“五统一、一开放”基本要求之中的原因。</w:t>
      </w:r>
    </w:p>
    <w:p>
      <w:pPr>
        <w:spacing w:before="0" w:after="0" w:line="360" w:lineRule="auto"/>
        <w:ind w:firstLineChars="200" w:firstLine="480"/>
      </w:pPr>
      <w:r>
        <w:rPr>
          <w:rFonts w:ascii="Times New Roman" w:hAnsi="Times New Roman" w:eastAsia="宋体"/>
          <w:b w:val="0"/>
          <w:sz w:val="24"/>
        </w:rPr>
        <w:t>就其成因与性质而言，市场分割本质上是地方政府在特定激励结构下的策略性行为均衡，而非单纯的技术性摩擦。早期研究已将地方市场分割归因于财政包干、属地管理与政企不分的体制土壤（银温泉、才婉茹，2001）；后续研究进一步揭示了其策略逻辑——在经济开放条件下，市场分割对本地即期增长可能呈现“局部有利”的倒U型关系，从而使各地陷入“分割对各自有利、对全局有害”的囚徒困境（陆铭、陈钊，2009）。分割的代价则是全局性的：地方分割导致的全国生产效率损失相当可观（郑毓盛、李崇高，2003）。既然分割是策略均衡的产物，它就不会随经济发展自发消解，而必须依靠中央层面的制度供给——统一规则、统一执法、重构激励——加以打破，这构成本书第十一章政策设计的逻辑起点。</w:t>
      </w:r>
    </w:p>
    <w:p>
      <w:pPr>
        <w:spacing w:before="0" w:after="0" w:line="360" w:lineRule="auto"/>
        <w:ind w:firstLineChars="200" w:firstLine="480"/>
      </w:pPr>
      <w:r>
        <w:rPr>
          <w:rFonts w:ascii="Times New Roman" w:hAnsi="Times New Roman" w:eastAsia="宋体"/>
          <w:b w:val="0"/>
          <w:sz w:val="24"/>
        </w:rPr>
        <w:t>市场分割还具有鲜明的动态特征。本书第七章测度显示，全国市场分割指数由2012年的2.65（数量级为</w:t>
      </w:r>
      <m:oMath>
        <m:box>
          <m:e>
            <m:sSup>
              <m:e>
                <m:r>
                  <m:rPr>
                    <m:sty m:val="p"/>
                  </m:rPr>
                  <m:t>10</m:t>
                </m:r>
              </m:e>
              <m:sup>
                <m:box>
                  <m:e>
                    <m:r>
                      <m:rPr>
                        <m:sty m:val="p"/>
                      </m:rPr>
                      <m:t>−</m:t>
                    </m:r>
                    <m:r>
                      <m:rPr>
                        <m:sty m:val="p"/>
                      </m:rPr>
                      <m:t>3</m:t>
                    </m:r>
                  </m:e>
                </m:box>
              </m:sup>
            </m:sSup>
          </m:e>
        </m:box>
      </m:oMath>
      <w:r>
        <w:rPr>
          <w:rFonts w:ascii="Times New Roman" w:hAnsi="Times New Roman" w:eastAsia="宋体"/>
          <w:b w:val="0"/>
          <w:sz w:val="24"/>
        </w:rPr>
        <w:t>，下同）总体下降至2024年的1.97，但期间出现两次显著反弹：2020年疫情防控导致物流受阻、区域循环受限，指数由2019年的2.13回升至2.31；2022年在局部封控与地方产业竞赛叠加作用下，指数再度由2.17回升至2.32，随后在统一大市场政策推进下加快收敛至2024年的1.97。两次反弹说明，市场整合并非不可逆的单调过程，外生冲击与地方策略行为的变化随时可能使分割“回潮”；尤其是2022年前后各地围绕“新三样”展开的招商竞赛，使分割与产业重复布局相互缠绕，恰为观察“分割—内卷”传导提供了现实切口。这正是下文界定“内卷式”竞争概念时必须紧扣的制度背景。</w:t>
      </w:r>
    </w:p>
    <w:p>
      <w:pPr>
        <w:spacing w:before="160" w:after="120" w:line="360" w:lineRule="auto"/>
        <w:outlineLvl w:val="2"/>
      </w:pPr>
      <w:r>
        <w:rPr>
          <w:rFonts w:ascii="Times New Roman" w:hAnsi="Times New Roman" w:eastAsia="黑体"/>
          <w:b w:val="0"/>
          <w:sz w:val="24"/>
        </w:rPr>
        <w:t>2．“内卷式”竞争：从社会学隐喻到经济学概念</w:t>
      </w:r>
    </w:p>
    <w:p>
      <w:pPr>
        <w:spacing w:before="0" w:after="0" w:line="360" w:lineRule="auto"/>
        <w:ind w:firstLineChars="200" w:firstLine="480"/>
      </w:pPr>
      <w:r>
        <w:rPr>
          <w:rFonts w:ascii="Times New Roman" w:hAnsi="Times New Roman" w:eastAsia="宋体"/>
          <w:b w:val="0"/>
          <w:sz w:val="24"/>
        </w:rPr>
        <w:t>“内卷”并非本土词汇，其学术源头可以追溯至人类学。“内卷化”（involution）一词由文化人类学最早提出，用以描述一种文化模式在达到既定形态后无法向外突破、只能在内部无限精细化、复杂化的演化路径；使其广为人知的是吉尔茨对印度尼西亚爪哇稻作农业的经典研究——在土地约束与人口压力下，爪哇农业不断吸纳新增劳动力进行更精耕细作的水稻种植，劳动投入持续增加而人均产出与报酬并未提高，形成“没有发展的增长”（Geertz，1963）。这一概念其后经农村社会经济史研究进入中文学术语境，用以概括传统小农经济中劳动边际报酬递减条件下的“过密化”经营。2020年前后，“内卷”一词溢出学术圈成为社会流行语，泛指各类“投入不断加码、回报不增反降”的无效竞争境遇。真正的语义跃迁发生在政策层面：2024年7月30日中央政治局会议首次提出“强化行业自律，防止‘内卷式’恶性竞争”；同年12月中央经济工作会议部署“综合整治‘内卷式’竞争，规范地方政府和企业行为”；2025年12月中央经济工作会议进一步升级为“深入整治‘内卷式’竞争”。至此，“内卷”完成了从人类学隐喻、社会流行语到中央文件正式治理对象的三级概念迁移。政策语义的确立倒逼学术界给出严格界定，近期文献已开始对其特征、机制与破解之道进行系统讨论（张杰、任元明，2025），但概念共识仍在形成之中。</w:t>
      </w:r>
    </w:p>
    <w:p>
      <w:pPr>
        <w:spacing w:before="0" w:after="0" w:line="360" w:lineRule="auto"/>
        <w:ind w:firstLineChars="200" w:firstLine="480"/>
      </w:pPr>
      <w:r>
        <w:rPr>
          <w:rFonts w:ascii="Times New Roman" w:hAnsi="Times New Roman" w:eastAsia="宋体"/>
          <w:b w:val="0"/>
          <w:sz w:val="24"/>
        </w:rPr>
        <w:t>在批判性吸收上述脉络的基础上，本书将“内卷式”竞争界定为：在需求约束趋紧与制度扭曲并存的条件下，大量同质化企业围绕存量市场，以持续压价、超越有效需求的产能扩张和营销投入加码为主要手段展开的、行业总投入不断增加而行业总回报不升反降的负和竞争形态。这一界定包含三个要点。其一，“内卷式”竞争的场域是存量市场：当需求扩张放缓、增量空间收窄时，企业的销量增长只能来自对手的份额损失，竞争由“做大蛋糕”退化为“切分蛋糕”。其二，其手段是同质化的资源加码而非差异化的价值创造：由于产品、技术与商业模式高度趋同，价格几乎成为唯一竞争维度，降价—跟进—再降价的循环不断把行业利润压向零乃至负值。其三，其结果是负和的：与吉尔茨笔下的爪哇农业一样，全行业投入的边际回报为负，微观层面每个企业的降价扩产决策都是理性的，宏观层面却共同制造了全行业的利润坍塌——个体理性与集体非理性的背离，正是“内卷”区别于一般激烈竞争的本质规定。</w:t>
      </w:r>
    </w:p>
    <w:p>
      <w:pPr>
        <w:spacing w:before="0" w:after="0" w:line="360" w:lineRule="auto"/>
        <w:ind w:firstLineChars="200" w:firstLine="480"/>
      </w:pPr>
      <w:r>
        <w:rPr>
          <w:rFonts w:ascii="Times New Roman" w:hAnsi="Times New Roman" w:eastAsia="宋体"/>
          <w:b w:val="0"/>
          <w:sz w:val="24"/>
        </w:rPr>
        <w:t>“内卷式”竞争在经验层面呈现五大特征事实，中国重点行业近年的表现为其提供了教科书式的注脚。一是同质化。产业赛道选择高度趋同：据新华社2026年5月对31个省份“十五五”规划的扫描，31个省份全部提及新能源、29个提及氢能、27个提及智能网联（新能源）汽车；省际制造业结构相似系数由2000年的约0.45升至2014年的约0.58（上海财经大学期刊文献口径），区域产业同构为产品同质埋下伏笔。二是超低价，即价格竞争向成本线以下收敛。据中国光伏行业协会（CPIA）数据，2024年招投标市场最低组件报价约0.6元/W，低于协会测算并公布的0.68元/W含税最低成本价，以致协会不得不明确“低于成本投标中标涉嫌违法”；汽车市场2024年降价车型达227款、平均降幅8.3%（乘联分会崔东树统计）；外卖平台“满18.8减18.8”式“0元购”促销更将低价竞争推向极端。三是无利化，即全行业盈利被系统性侵蚀。据国家统计局数据，规模以上工业营业收入利润率由2021年的6.81%降至2025年的5.31%的历史低位；汽车行业利润率2025年降至4.1%（乘联分会测算）；2024年上半年光伏主产业链20家主流企业中16家亏损、合计亏损226.5亿元（21世纪经济报道）。四是创新挤出。利润是研发投入的第一来源，价格战侵蚀利润即侵蚀创新的物质基础；更重要的是，当低价而非品质成为订单分配的主导信号时，企业创新的相对回报下降，研发资源让位于降价补贴与营销投入，行业陷入“低价—低利—低研发—更同质—更低价”的循环。五是退出失灵。按市场经济常理，价格跌破成本应触发落后产能退出，但现实是亏损产能长期滞留：2024年光伏全行业深度亏损之下多晶硅产量仍增长23.6%（CPIA数据）；2024年汽车经销商亏损面达41.7%、84.4%出现价格倒挂，多数仍在勉力维持（中国汽车流通协会调查）。退出闸门失灵使过剩产能无法出清，成为“内卷”得以延续的结构条件。</w:t>
      </w:r>
    </w:p>
    <w:p>
      <w:pPr>
        <w:spacing w:before="0" w:after="0" w:line="360" w:lineRule="auto"/>
        <w:ind w:firstLineChars="200" w:firstLine="480"/>
      </w:pPr>
      <w:r>
        <w:rPr>
          <w:rFonts w:ascii="Times New Roman" w:hAnsi="Times New Roman" w:eastAsia="宋体"/>
          <w:b w:val="0"/>
          <w:sz w:val="24"/>
        </w:rPr>
        <w:t>准确把握“内卷式”竞争，还必须将其与良性竞争、正常价格竞争、恶性竞争等相邻概念仔细区分，否则治理实践极易陷入“把一切降价都当内卷来反”的泛化误区。良性竞争以创新和效率改进为主要手段，价格下降以真实的成本下降为基础，优胜劣汰机制畅通，竞争结果是消费者、优势企业与全行业的正和改进；正常价格竞争是市场机制的题中之义，包括新技术扩散期的成本定价、规模化初期的渗透定价与周期性去库存降价，其价格虽低但不低于长期平均成本，且具有阶段性与自我终止性；恶性竞争在法律语境中多指向具有排挤对手主观故意的低于成本倾销、商业诋毁等不正当竞争行为，强调行为的违法性与个体可归责性；而“内卷式”竞争的特殊性在于，它未必以排挤特定对手为目的，而是分割市场与扭曲激励条件下的系统性竞争失序——低于成本的价格不是个别企业的掠夺性策略，而是全行业在产能过剩与退出失灵下的集体均衡，因而单纯的个案执法不足以治理，必须辅之以矫正扭曲的制度变革。在反垄断与竞争法学界，关于平台低价竞争究竟是效率改进还是掠夺性定价的认定难题，已经揭示了在个体行为层面识别“内卷”的困难（张晨颖，2023）。为清晰呈现概念边界，表3.1从驱动机制、价格行为、创新表现、进入退出等七个维度对“内卷式”竞争与良性竞争、正常价格竞争进行系统辨析（见表3.1）。</w:t>
      </w:r>
    </w:p>
    <w:p>
      <w:pPr>
        <w:spacing w:before="160" w:after="80" w:line="312" w:lineRule="auto"/>
        <w:jc w:val="center"/>
      </w:pPr>
      <w:r>
        <w:rPr>
          <w:rFonts w:ascii="Times New Roman" w:hAnsi="Times New Roman" w:eastAsia="黑体"/>
          <w:b w:val="0"/>
          <w:sz w:val="21"/>
        </w:rPr>
        <w:t>表3.1　“内卷式”竞争与良性竞争的多维辨析</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辨析维度</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良性竞争</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正常价格竞争</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“内卷式”竞争</w:t>
            </w:r>
          </w:p>
        </w:tc>
      </w:tr>
      <w:tr>
        <w:tc>
          <w:tcPr>
            <w:tcW w:type="dxa" w:w="2126"/>
          </w:tcPr>
          <w:p>
            <w:pPr>
              <w:spacing w:before="20" w:after="20" w:line="276" w:lineRule="auto"/>
              <w:jc w:val="left"/>
            </w:pPr>
            <w:r/>
            <w:r>
              <w:rPr>
                <w:rFonts w:ascii="Times New Roman" w:hAnsi="Times New Roman" w:eastAsia="宋体"/>
                <w:b w:val="0"/>
                <w:sz w:val="21"/>
              </w:rPr>
              <w:t>驱动机制</w:t>
            </w:r>
          </w:p>
        </w:tc>
        <w:tc>
          <w:tcPr>
            <w:tcW w:type="dxa" w:w="2126"/>
          </w:tcPr>
          <w:p>
            <w:pPr>
              <w:spacing w:before="20" w:after="20" w:line="276" w:lineRule="auto"/>
              <w:jc w:val="left"/>
            </w:pPr>
            <w:r/>
            <w:r>
              <w:rPr>
                <w:rFonts w:ascii="Times New Roman" w:hAnsi="Times New Roman" w:eastAsia="宋体"/>
                <w:b w:val="0"/>
                <w:sz w:val="21"/>
              </w:rPr>
              <w:t>创新驱动、效率驱动，围绕增量价值展开</w:t>
            </w:r>
          </w:p>
        </w:tc>
        <w:tc>
          <w:tcPr>
            <w:tcW w:type="dxa" w:w="2126"/>
          </w:tcPr>
          <w:p>
            <w:pPr>
              <w:spacing w:before="20" w:after="20" w:line="276" w:lineRule="auto"/>
              <w:jc w:val="left"/>
            </w:pPr>
            <w:r/>
            <w:r>
              <w:rPr>
                <w:rFonts w:ascii="Times New Roman" w:hAnsi="Times New Roman" w:eastAsia="宋体"/>
                <w:b w:val="0"/>
                <w:sz w:val="21"/>
              </w:rPr>
              <w:t>成本下降、周期调整驱动，围绕真实成本变化展开</w:t>
            </w:r>
          </w:p>
        </w:tc>
        <w:tc>
          <w:tcPr>
            <w:tcW w:type="dxa" w:w="2126"/>
          </w:tcPr>
          <w:p>
            <w:pPr>
              <w:spacing w:before="20" w:after="20" w:line="276" w:lineRule="auto"/>
              <w:jc w:val="left"/>
            </w:pPr>
            <w:r/>
            <w:r>
              <w:rPr>
                <w:rFonts w:ascii="Times New Roman" w:hAnsi="Times New Roman" w:eastAsia="宋体"/>
                <w:b w:val="0"/>
                <w:sz w:val="21"/>
              </w:rPr>
              <w:t>存量争夺驱动，叠加地方补贴与产能过剩的制度扭曲</w:t>
            </w:r>
          </w:p>
        </w:tc>
      </w:tr>
      <w:tr>
        <w:tc>
          <w:tcPr>
            <w:tcW w:type="dxa" w:w="2126"/>
          </w:tcPr>
          <w:p>
            <w:pPr>
              <w:spacing w:before="20" w:after="20" w:line="276" w:lineRule="auto"/>
              <w:jc w:val="left"/>
            </w:pPr>
            <w:r/>
            <w:r>
              <w:rPr>
                <w:rFonts w:ascii="Times New Roman" w:hAnsi="Times New Roman" w:eastAsia="宋体"/>
                <w:b w:val="0"/>
                <w:sz w:val="21"/>
              </w:rPr>
              <w:t>价格行为与成本关系</w:t>
            </w:r>
          </w:p>
        </w:tc>
        <w:tc>
          <w:tcPr>
            <w:tcW w:type="dxa" w:w="2126"/>
          </w:tcPr>
          <w:p>
            <w:pPr>
              <w:spacing w:before="20" w:after="20" w:line="276" w:lineRule="auto"/>
              <w:jc w:val="left"/>
            </w:pPr>
            <w:r/>
            <w:r>
              <w:rPr>
                <w:rFonts w:ascii="Times New Roman" w:hAnsi="Times New Roman" w:eastAsia="宋体"/>
                <w:b w:val="0"/>
                <w:sz w:val="21"/>
              </w:rPr>
              <w:t>价格随成本与品质动态调整，长期覆盖全成本</w:t>
            </w:r>
          </w:p>
        </w:tc>
        <w:tc>
          <w:tcPr>
            <w:tcW w:type="dxa" w:w="2126"/>
          </w:tcPr>
          <w:p>
            <w:pPr>
              <w:spacing w:before="20" w:after="20" w:line="276" w:lineRule="auto"/>
              <w:jc w:val="left"/>
            </w:pPr>
            <w:r/>
            <w:r>
              <w:rPr>
                <w:rFonts w:ascii="Times New Roman" w:hAnsi="Times New Roman" w:eastAsia="宋体"/>
                <w:b w:val="0"/>
                <w:sz w:val="21"/>
              </w:rPr>
              <w:t>价格阶段性下行但不低于长期平均成本，具有自我终止性</w:t>
            </w:r>
          </w:p>
        </w:tc>
        <w:tc>
          <w:tcPr>
            <w:tcW w:type="dxa" w:w="2126"/>
          </w:tcPr>
          <w:p>
            <w:pPr>
              <w:spacing w:before="20" w:after="20" w:line="276" w:lineRule="auto"/>
              <w:jc w:val="left"/>
            </w:pPr>
            <w:r/>
            <w:r>
              <w:rPr>
                <w:rFonts w:ascii="Times New Roman" w:hAnsi="Times New Roman" w:eastAsia="宋体"/>
                <w:b w:val="0"/>
                <w:sz w:val="21"/>
              </w:rPr>
              <w:t>价格持续向成本线以下收敛，低于成本销售成为行业常态</w:t>
            </w:r>
          </w:p>
        </w:tc>
      </w:tr>
      <w:tr>
        <w:tc>
          <w:tcPr>
            <w:tcW w:type="dxa" w:w="2126"/>
          </w:tcPr>
          <w:p>
            <w:pPr>
              <w:spacing w:before="20" w:after="20" w:line="276" w:lineRule="auto"/>
              <w:jc w:val="left"/>
            </w:pPr>
            <w:r/>
            <w:r>
              <w:rPr>
                <w:rFonts w:ascii="Times New Roman" w:hAnsi="Times New Roman" w:eastAsia="宋体"/>
                <w:b w:val="0"/>
                <w:sz w:val="21"/>
              </w:rPr>
              <w:t>产能与供求关系</w:t>
            </w:r>
          </w:p>
        </w:tc>
        <w:tc>
          <w:tcPr>
            <w:tcW w:type="dxa" w:w="2126"/>
          </w:tcPr>
          <w:p>
            <w:pPr>
              <w:spacing w:before="20" w:after="20" w:line="276" w:lineRule="auto"/>
              <w:jc w:val="left"/>
            </w:pPr>
            <w:r/>
            <w:r>
              <w:rPr>
                <w:rFonts w:ascii="Times New Roman" w:hAnsi="Times New Roman" w:eastAsia="宋体"/>
                <w:b w:val="0"/>
                <w:sz w:val="21"/>
              </w:rPr>
              <w:t>产能扩张以有效需求为锚，利用率处于合意区间</w:t>
            </w:r>
          </w:p>
        </w:tc>
        <w:tc>
          <w:tcPr>
            <w:tcW w:type="dxa" w:w="2126"/>
          </w:tcPr>
          <w:p>
            <w:pPr>
              <w:spacing w:before="20" w:after="20" w:line="276" w:lineRule="auto"/>
              <w:jc w:val="left"/>
            </w:pPr>
            <w:r/>
            <w:r>
              <w:rPr>
                <w:rFonts w:ascii="Times New Roman" w:hAnsi="Times New Roman" w:eastAsia="宋体"/>
                <w:b w:val="0"/>
                <w:sz w:val="21"/>
              </w:rPr>
              <w:t>产能利用率随周期波动，可自发回归</w:t>
            </w:r>
          </w:p>
        </w:tc>
        <w:tc>
          <w:tcPr>
            <w:tcW w:type="dxa" w:w="2126"/>
          </w:tcPr>
          <w:p>
            <w:pPr>
              <w:spacing w:before="20" w:after="20" w:line="276" w:lineRule="auto"/>
              <w:jc w:val="left"/>
            </w:pPr>
            <w:r/>
            <w:r>
              <w:rPr>
                <w:rFonts w:ascii="Times New Roman" w:hAnsi="Times New Roman" w:eastAsia="宋体"/>
                <w:b w:val="0"/>
                <w:sz w:val="21"/>
              </w:rPr>
              <w:t>产能扩张系统性超越需求，冗余度高且持续累积</w:t>
            </w:r>
          </w:p>
        </w:tc>
      </w:tr>
      <w:tr>
        <w:tc>
          <w:tcPr>
            <w:tcW w:type="dxa" w:w="2126"/>
          </w:tcPr>
          <w:p>
            <w:pPr>
              <w:spacing w:before="20" w:after="20" w:line="276" w:lineRule="auto"/>
              <w:jc w:val="left"/>
            </w:pPr>
            <w:r/>
            <w:r>
              <w:rPr>
                <w:rFonts w:ascii="Times New Roman" w:hAnsi="Times New Roman" w:eastAsia="宋体"/>
                <w:b w:val="0"/>
                <w:sz w:val="21"/>
              </w:rPr>
              <w:t>创新表现</w:t>
            </w:r>
          </w:p>
        </w:tc>
        <w:tc>
          <w:tcPr>
            <w:tcW w:type="dxa" w:w="2126"/>
          </w:tcPr>
          <w:p>
            <w:pPr>
              <w:spacing w:before="20" w:after="20" w:line="276" w:lineRule="auto"/>
              <w:jc w:val="left"/>
            </w:pPr>
            <w:r/>
            <w:r>
              <w:rPr>
                <w:rFonts w:ascii="Times New Roman" w:hAnsi="Times New Roman" w:eastAsia="宋体"/>
                <w:b w:val="0"/>
                <w:sz w:val="21"/>
              </w:rPr>
              <w:t>研发投入与利润形成正向循环，差异化程度提高</w:t>
            </w:r>
          </w:p>
        </w:tc>
        <w:tc>
          <w:tcPr>
            <w:tcW w:type="dxa" w:w="2126"/>
          </w:tcPr>
          <w:p>
            <w:pPr>
              <w:spacing w:before="20" w:after="20" w:line="276" w:lineRule="auto"/>
              <w:jc w:val="left"/>
            </w:pPr>
            <w:r/>
            <w:r>
              <w:rPr>
                <w:rFonts w:ascii="Times New Roman" w:hAnsi="Times New Roman" w:eastAsia="宋体"/>
                <w:b w:val="0"/>
                <w:sz w:val="21"/>
              </w:rPr>
              <w:t>创新节奏基本不受影响</w:t>
            </w:r>
          </w:p>
        </w:tc>
        <w:tc>
          <w:tcPr>
            <w:tcW w:type="dxa" w:w="2126"/>
          </w:tcPr>
          <w:p>
            <w:pPr>
              <w:spacing w:before="20" w:after="20" w:line="276" w:lineRule="auto"/>
              <w:jc w:val="left"/>
            </w:pPr>
            <w:r/>
            <w:r>
              <w:rPr>
                <w:rFonts w:ascii="Times New Roman" w:hAnsi="Times New Roman" w:eastAsia="宋体"/>
                <w:b w:val="0"/>
                <w:sz w:val="21"/>
              </w:rPr>
              <w:t>利润侵蚀研发，资源流向降价与营销，同质化加深</w:t>
            </w:r>
          </w:p>
        </w:tc>
      </w:tr>
      <w:tr>
        <w:tc>
          <w:tcPr>
            <w:tcW w:type="dxa" w:w="2126"/>
          </w:tcPr>
          <w:p>
            <w:pPr>
              <w:spacing w:before="20" w:after="20" w:line="276" w:lineRule="auto"/>
              <w:jc w:val="left"/>
            </w:pPr>
            <w:r/>
            <w:r>
              <w:rPr>
                <w:rFonts w:ascii="Times New Roman" w:hAnsi="Times New Roman" w:eastAsia="宋体"/>
                <w:b w:val="0"/>
                <w:sz w:val="21"/>
              </w:rPr>
              <w:t>进入与退出</w:t>
            </w:r>
          </w:p>
        </w:tc>
        <w:tc>
          <w:tcPr>
            <w:tcW w:type="dxa" w:w="2126"/>
          </w:tcPr>
          <w:p>
            <w:pPr>
              <w:spacing w:before="20" w:after="20" w:line="276" w:lineRule="auto"/>
              <w:jc w:val="left"/>
            </w:pPr>
            <w:r/>
            <w:r>
              <w:rPr>
                <w:rFonts w:ascii="Times New Roman" w:hAnsi="Times New Roman" w:eastAsia="宋体"/>
                <w:b w:val="0"/>
                <w:sz w:val="21"/>
              </w:rPr>
              <w:t>进入退出双向畅通，优胜劣汰机制有效</w:t>
            </w:r>
          </w:p>
        </w:tc>
        <w:tc>
          <w:tcPr>
            <w:tcW w:type="dxa" w:w="2126"/>
          </w:tcPr>
          <w:p>
            <w:pPr>
              <w:spacing w:before="20" w:after="20" w:line="276" w:lineRule="auto"/>
              <w:jc w:val="left"/>
            </w:pPr>
            <w:r/>
            <w:r>
              <w:rPr>
                <w:rFonts w:ascii="Times New Roman" w:hAnsi="Times New Roman" w:eastAsia="宋体"/>
                <w:b w:val="0"/>
                <w:sz w:val="21"/>
              </w:rPr>
              <w:t>边际企业随价格信号正常进出</w:t>
            </w:r>
          </w:p>
        </w:tc>
        <w:tc>
          <w:tcPr>
            <w:tcW w:type="dxa" w:w="2126"/>
          </w:tcPr>
          <w:p>
            <w:pPr>
              <w:spacing w:before="20" w:after="20" w:line="276" w:lineRule="auto"/>
              <w:jc w:val="left"/>
            </w:pPr>
            <w:r/>
            <w:r>
              <w:rPr>
                <w:rFonts w:ascii="Times New Roman" w:hAnsi="Times New Roman" w:eastAsia="宋体"/>
                <w:b w:val="0"/>
                <w:sz w:val="21"/>
              </w:rPr>
              <w:t>补贴诱导过度进入，退出受阻，亏损产能长期滞留</w:t>
            </w:r>
          </w:p>
        </w:tc>
      </w:tr>
      <w:tr>
        <w:tc>
          <w:tcPr>
            <w:tcW w:type="dxa" w:w="2126"/>
          </w:tcPr>
          <w:p>
            <w:pPr>
              <w:spacing w:before="20" w:after="20" w:line="276" w:lineRule="auto"/>
              <w:jc w:val="left"/>
            </w:pPr>
            <w:r/>
            <w:r>
              <w:rPr>
                <w:rFonts w:ascii="Times New Roman" w:hAnsi="Times New Roman" w:eastAsia="宋体"/>
                <w:b w:val="0"/>
                <w:sz w:val="21"/>
              </w:rPr>
              <w:t>竞争结果的分配</w:t>
            </w:r>
          </w:p>
        </w:tc>
        <w:tc>
          <w:tcPr>
            <w:tcW w:type="dxa" w:w="2126"/>
          </w:tcPr>
          <w:p>
            <w:pPr>
              <w:spacing w:before="20" w:after="20" w:line="276" w:lineRule="auto"/>
              <w:jc w:val="left"/>
            </w:pPr>
            <w:r/>
            <w:r>
              <w:rPr>
                <w:rFonts w:ascii="Times New Roman" w:hAnsi="Times New Roman" w:eastAsia="宋体"/>
                <w:b w:val="0"/>
                <w:sz w:val="21"/>
              </w:rPr>
              <w:t>消费者、优势企业、行业整体多方受益（正和）</w:t>
            </w:r>
          </w:p>
        </w:tc>
        <w:tc>
          <w:tcPr>
            <w:tcW w:type="dxa" w:w="2126"/>
          </w:tcPr>
          <w:p>
            <w:pPr>
              <w:spacing w:before="20" w:after="20" w:line="276" w:lineRule="auto"/>
              <w:jc w:val="left"/>
            </w:pPr>
            <w:r/>
            <w:r>
              <w:rPr>
                <w:rFonts w:ascii="Times New Roman" w:hAnsi="Times New Roman" w:eastAsia="宋体"/>
                <w:b w:val="0"/>
                <w:sz w:val="21"/>
              </w:rPr>
              <w:t>消费者短期受益，企业利润周期性波动（零和偏正）</w:t>
            </w:r>
          </w:p>
        </w:tc>
        <w:tc>
          <w:tcPr>
            <w:tcW w:type="dxa" w:w="2126"/>
          </w:tcPr>
          <w:p>
            <w:pPr>
              <w:spacing w:before="20" w:after="20" w:line="276" w:lineRule="auto"/>
              <w:jc w:val="left"/>
            </w:pPr>
            <w:r/>
            <w:r>
              <w:rPr>
                <w:rFonts w:ascii="Times New Roman" w:hAnsi="Times New Roman" w:eastAsia="宋体"/>
                <w:b w:val="0"/>
                <w:sz w:val="21"/>
              </w:rPr>
              <w:t>全行业利润坍塌，上下游与劳动者利益受损（负和）</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福利后果与可持续性</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静态与动态福利同时改善，可持续</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静态福利改善，动态影响中性，可持续</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短期低价的静态福利被动态效率损失抵消，不可持续</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3.1显示，三类竞争形态的分野并不在于“价格是否下降”或“竞争是否激烈”，而在于三个更深层的判据：一看价格与成本的关系，即降价是否以真实成本下降为基础、是否长期跌破全成本；二看行业回报的方向，即竞争是做大还是耗散行业总剩余；三看进入退出机制是否畅通，即竞争结果能否通过优胜劣汰得到确认与固化。唯有三个判据同时指向否定——价格长期低于成本、行业总回报负增长、退出机制失灵——才能认定“内卷式”竞争。这一操作性判据既为本书第六章构建“内卷式竞争”强度指数提供了维度依据，也为第十一章讨论治理工具的适用条件划定了边界：治理“内卷”决不能异化为反对竞争本身，恰恰相反，其要义是把竞争从扭曲的轨道拉回优胜劣汰的正轨。</w:t>
      </w:r>
    </w:p>
    <w:p>
      <w:pPr>
        <w:spacing w:before="160" w:after="120" w:line="360" w:lineRule="auto"/>
        <w:outlineLvl w:val="2"/>
      </w:pPr>
      <w:r>
        <w:rPr>
          <w:rFonts w:ascii="Times New Roman" w:hAnsi="Times New Roman" w:eastAsia="黑体"/>
          <w:b w:val="0"/>
          <w:sz w:val="24"/>
        </w:rPr>
        <w:t>3．“内卷式竞争陷阱”：正式定义与自我强化机制</w:t>
      </w:r>
    </w:p>
    <w:p>
      <w:pPr>
        <w:spacing w:before="0" w:after="0" w:line="360" w:lineRule="auto"/>
        <w:ind w:firstLineChars="200" w:firstLine="480"/>
      </w:pPr>
      <w:r>
        <w:rPr>
          <w:rFonts w:ascii="Times New Roman" w:hAnsi="Times New Roman" w:eastAsia="宋体"/>
          <w:b w:val="0"/>
          <w:sz w:val="24"/>
        </w:rPr>
        <w:t>在上述界定基础上，本书进一步提出全书的核心概念创新——“内卷式竞争陷阱”。所谓“内卷式竞争陷阱”，是指在市场分割与地方政府激励扭曲的双重条件下，同质化过度进入、产能持续过剩、价格竞争向成本线以下收敛、创新回报被侵蚀、落后产能退出失灵等机制相互咬合、彼此强化，所形成的一种自我维持的低水平竞争均衡：身处其中的每一个企业与每一个地方政府，单方面偏离现有策略都会使自身境况恶化，因而尽管全局福利持续受损，均衡却得以稳定存续。以“陷阱”命名，意在强调三层含义。第一，它是一种均衡而非暂态：与一般性行业周期波动不同，陷阱状态下价格低于成本、行业亏损与产能过剩可以长期并存而不自发出清。第二，它具有自我强化性：偏离均衡的个体会被竞争淘汰或被考核惩罚，均衡对扰动是稳定的，仅靠市场自身力量难以逃逸。第三，它是条件性的而非宿命性的：陷阱的存续依赖于市场分割与激励扭曲两个制度前提，一旦前提被制度变革移除，竞争便可回归优胜劣汰的正轨——这正是统一大市场建设作为治本之策的理论依据。“潮涌现象”研究早已揭示，发展中国家对前景良好产业的社会共识会引发投资潮涌与产能过剩（林毅夫等，2010）；本书的“陷阱”概念在此基础上强调了分割市场与地方激励的放大作用，以及退出失灵所导致的均衡锁定，从而把一次性的“潮涌”推广为可自我维持的“陷阱”。</w:t>
      </w:r>
    </w:p>
    <w:p>
      <w:pPr>
        <w:spacing w:before="0" w:after="0" w:line="360" w:lineRule="auto"/>
        <w:ind w:firstLineChars="200" w:firstLine="480"/>
      </w:pPr>
      <w:r>
        <w:rPr>
          <w:rFonts w:ascii="Times New Roman" w:hAnsi="Times New Roman" w:eastAsia="宋体"/>
          <w:b w:val="0"/>
          <w:sz w:val="24"/>
        </w:rPr>
        <w:t>为使这一概念可测度、可检验，本书给出“内卷式竞争”强度的操作性定义。设第</w:t>
      </w:r>
      <m:oMath>
        <m:box>
          <m:e>
            <m:r>
              <m:rPr>
                <m:sty m:val="i"/>
              </m:rPr>
              <m:t>i</m:t>
            </m:r>
          </m:e>
        </m:box>
      </m:oMath>
      <w:r>
        <w:rPr>
          <w:rFonts w:ascii="Times New Roman" w:hAnsi="Times New Roman" w:eastAsia="宋体"/>
          <w:b w:val="0"/>
          <w:sz w:val="24"/>
        </w:rPr>
        <w:t>个省份第</w:t>
      </w:r>
      <m:oMath>
        <m:box>
          <m:e>
            <m:r>
              <m:rPr>
                <m:sty m:val="i"/>
              </m:rPr>
              <m:t>t</m:t>
            </m:r>
          </m:e>
        </m:box>
      </m:oMath>
      <w:r>
        <w:rPr>
          <w:rFonts w:ascii="Times New Roman" w:hAnsi="Times New Roman" w:eastAsia="宋体"/>
          <w:b w:val="0"/>
          <w:sz w:val="24"/>
        </w:rPr>
        <w:t>年在第</w:t>
      </w:r>
      <m:oMath>
        <m:box>
          <m:e>
            <m:r>
              <m:rPr>
                <m:sty m:val="i"/>
              </m:rPr>
              <m:t>k</m:t>
            </m:r>
          </m:e>
        </m:box>
      </m:oMath>
      <w:r>
        <w:rPr>
          <w:rFonts w:ascii="Times New Roman" w:hAnsi="Times New Roman" w:eastAsia="宋体"/>
          <w:b w:val="0"/>
          <w:sz w:val="24"/>
        </w:rPr>
        <w:t>项基础指标上的标准化取值为</w:t>
      </w:r>
      <m:oMath>
        <m:box>
          <m:e>
            <m:sSub>
              <m:e>
                <m:r>
                  <m:rPr>
                    <m:sty m:val="i"/>
                  </m:rPr>
                  <m:t>x</m:t>
                </m:r>
              </m:e>
              <m:sub>
                <m:box>
                  <m:e>
                    <m:r>
                      <m:rPr>
                        <m:sty m:val="i"/>
                      </m:rPr>
                      <m:t>k</m:t>
                    </m:r>
                    <m:r>
                      <m:rPr>
                        <m:sty m:val="i"/>
                      </m:rPr>
                      <m:t>i</m:t>
                    </m:r>
                    <m:r>
                      <m:rPr>
                        <m:sty m:val="i"/>
                      </m:rPr>
                      <m:t>t</m:t>
                    </m:r>
                  </m:e>
                </m:box>
              </m:sub>
            </m:sSub>
          </m:e>
        </m:box>
      </m:oMath>
      <w:r>
        <w:rPr>
          <w:rFonts w:ascii="Times New Roman" w:hAnsi="Times New Roman" w:eastAsia="宋体"/>
          <w:b w:val="0"/>
          <w:sz w:val="24"/>
        </w:rPr>
        <w:t>，则内卷强度指数定义为各维度指标的加权合成（如式(3-1)所示）：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I</m:t>
                </m:r>
              </m:e>
              <m:sub>
                <m:box>
                  <m:e>
                    <m:r>
                      <m:rPr>
                        <m:sty m:val="i"/>
                      </m:rPr>
                      <m:t>i</m:t>
                    </m:r>
                    <m:r>
                      <m:rPr>
                        <m:sty m:val="i"/>
                      </m:rPr>
                      <m:t>t</m:t>
                    </m:r>
                  </m:e>
                </m:box>
              </m:sub>
            </m:sSub>
            <m:r>
              <m:rPr>
                <m:sty m:val="p"/>
              </m:rPr>
              <m:t>=</m:t>
            </m:r>
            <m:nary>
              <m:naryPr>
                <m:chr m:val="∑"/>
                <m:limLoc m:val="undOvr"/>
              </m:naryPr>
              <m:sub>
                <m:box>
                  <m:e>
                    <m:r>
                      <m:rPr>
                        <m:sty m:val="i"/>
                      </m:rPr>
                      <m:t>k</m:t>
                    </m:r>
                    <m:r>
                      <m:rPr>
                        <m:sty m:val="p"/>
                      </m:rPr>
                      <m:t>=</m:t>
                    </m:r>
                    <m:r>
                      <m:rPr>
                        <m:sty m:val="p"/>
                      </m:rPr>
                      <m:t>1</m:t>
                    </m:r>
                  </m:e>
                </m:box>
              </m:sub>
              <m:sup>
                <m:box>
                  <m:e>
                    <m:r>
                      <m:rPr>
                        <m:sty m:val="i"/>
                      </m:rPr>
                      <m:t>K</m:t>
                    </m:r>
                  </m:e>
                </m:box>
              </m:sup>
              <m:e>
                <m:sSub>
                  <m:e>
                    <m:r>
                      <m:rPr>
                        <m:sty m:val="i"/>
                      </m:rPr>
                      <m:t>w</m:t>
                    </m:r>
                  </m:e>
                  <m:sub>
                    <m:r>
                      <m:rPr>
                        <m:sty m:val="i"/>
                      </m:rPr>
                      <m:t>k</m:t>
                    </m:r>
                  </m:sub>
                </m:sSub>
                <m:sSub>
                  <m:e>
                    <m:r>
                      <m:rPr>
                        <m:sty m:val="i"/>
                      </m:rPr>
                      <m:t>x</m:t>
                    </m:r>
                  </m:e>
                  <m:sub>
                    <m:box>
                      <m:e>
                        <m:r>
                          <m:rPr>
                            <m:sty m:val="i"/>
                          </m:rPr>
                          <m:t>k</m:t>
                        </m:r>
                        <m:r>
                          <m:rPr>
                            <m:sty m:val="i"/>
                          </m:rPr>
                          <m:t>i</m:t>
                        </m:r>
                        <m:r>
                          <m:rPr>
                            <m:sty m:val="i"/>
                          </m:rPr>
                          <m:t>t</m:t>
                        </m:r>
                      </m:e>
                    </m:box>
                  </m:sub>
                </m:sSub>
              </m:e>
            </m:nary>
          </m:e>
        </m:box>
      </m:oMath>
      <w:r>
        <w:rPr>
          <w:rFonts w:ascii="Times New Roman" w:hAnsi="Times New Roman" w:eastAsia="宋体"/>
          <w:b w:val="0"/>
          <w:sz w:val="24"/>
        </w:rPr>
        <w:tab/>
        <w:t>(3-1)</w:t>
      </w:r>
    </w:p>
    <w:p>
      <w:pPr>
        <w:spacing w:before="0" w:after="0" w:line="360" w:lineRule="auto"/>
        <w:ind w:firstLineChars="200" w:firstLine="480"/>
      </w:pPr>
      <w:r>
        <w:rPr>
          <w:rFonts w:ascii="Times New Roman" w:hAnsi="Times New Roman" w:eastAsia="宋体"/>
          <w:b w:val="0"/>
          <w:sz w:val="24"/>
        </w:rPr>
        <w:t>其中，</w:t>
      </w:r>
      <m:oMath>
        <m:box>
          <m:e>
            <m:sSub>
              <m:e>
                <m:r>
                  <m:rPr>
                    <m:sty m:val="i"/>
                  </m:rPr>
                  <m:t>I</m:t>
                </m:r>
              </m:e>
              <m:sub>
                <m:box>
                  <m:e>
                    <m:r>
                      <m:rPr>
                        <m:sty m:val="i"/>
                      </m:rPr>
                      <m:t>i</m:t>
                    </m:r>
                    <m:r>
                      <m:rPr>
                        <m:sty m:val="i"/>
                      </m:rPr>
                      <m:t>t</m:t>
                    </m:r>
                  </m:e>
                </m:box>
              </m:sub>
            </m:sSub>
          </m:e>
        </m:box>
      </m:oMath>
      <w:r>
        <w:rPr>
          <w:rFonts w:ascii="Times New Roman" w:hAnsi="Times New Roman" w:eastAsia="宋体"/>
          <w:b w:val="0"/>
          <w:sz w:val="24"/>
        </w:rPr>
        <w:t>为省份</w:t>
      </w:r>
      <m:oMath>
        <m:box>
          <m:e>
            <m:r>
              <m:rPr>
                <m:sty m:val="i"/>
              </m:rPr>
              <m:t>i</m:t>
            </m:r>
          </m:e>
        </m:box>
      </m:oMath>
      <w:r>
        <w:rPr>
          <w:rFonts w:ascii="Times New Roman" w:hAnsi="Times New Roman" w:eastAsia="宋体"/>
          <w:b w:val="0"/>
          <w:sz w:val="24"/>
        </w:rPr>
        <w:t>第</w:t>
      </w:r>
      <m:oMath>
        <m:box>
          <m:e>
            <m:r>
              <m:rPr>
                <m:sty m:val="i"/>
              </m:rPr>
              <m:t>t</m:t>
            </m:r>
          </m:e>
        </m:box>
      </m:oMath>
      <w:r>
        <w:rPr>
          <w:rFonts w:ascii="Times New Roman" w:hAnsi="Times New Roman" w:eastAsia="宋体"/>
          <w:b w:val="0"/>
          <w:sz w:val="24"/>
        </w:rPr>
        <w:t>年的“内卷式竞争”强度指数，取值范围为0—1，数值越大表明“内卷”程度越深；</w:t>
      </w:r>
      <m:oMath>
        <m:box>
          <m:e>
            <m:r>
              <m:rPr>
                <m:sty m:val="i"/>
              </m:rPr>
              <m:t>K</m:t>
            </m:r>
          </m:e>
        </m:box>
      </m:oMath>
      <w:r>
        <w:rPr>
          <w:rFonts w:ascii="Times New Roman" w:hAnsi="Times New Roman" w:eastAsia="宋体"/>
          <w:b w:val="0"/>
          <w:sz w:val="24"/>
        </w:rPr>
        <w:t>为基础指标总数（</w:t>
      </w:r>
      <m:oMath>
        <m:box>
          <m:e>
            <m:r>
              <m:rPr>
                <m:sty m:val="i"/>
              </m:rPr>
              <m:t>K</m:t>
            </m:r>
            <m:r>
              <m:rPr>
                <m:sty m:val="p"/>
              </m:rPr>
              <m:t>=</m:t>
            </m:r>
            <m:r>
              <m:rPr>
                <m:sty m:val="p"/>
              </m:rPr>
              <m:t>14</m:t>
            </m:r>
          </m:e>
        </m:box>
      </m:oMath>
      <w:r>
        <w:rPr>
          <w:rFonts w:ascii="Times New Roman" w:hAnsi="Times New Roman" w:eastAsia="宋体"/>
          <w:b w:val="0"/>
          <w:sz w:val="24"/>
        </w:rPr>
        <w:t>），基础指标按价格竞争烈度、产能冗余度、盈利侵蚀度、同质化程度、退出粘性五个维度组织，分别对应上文五大特征事实；</w:t>
      </w:r>
      <m:oMath>
        <m:box>
          <m:e>
            <m:sSub>
              <m:e>
                <m:r>
                  <m:rPr>
                    <m:sty m:val="i"/>
                  </m:rPr>
                  <m:t>w</m:t>
                </m:r>
              </m:e>
              <m:sub>
                <m:r>
                  <m:rPr>
                    <m:sty m:val="i"/>
                  </m:rPr>
                  <m:t>k</m:t>
                </m:r>
              </m:sub>
            </m:sSub>
          </m:e>
        </m:box>
      </m:oMath>
      <w:r>
        <w:rPr>
          <w:rFonts w:ascii="Times New Roman" w:hAnsi="Times New Roman" w:eastAsia="宋体"/>
          <w:b w:val="0"/>
          <w:sz w:val="24"/>
        </w:rPr>
        <w:t>为第</w:t>
      </w:r>
      <m:oMath>
        <m:box>
          <m:e>
            <m:r>
              <m:rPr>
                <m:sty m:val="i"/>
              </m:rPr>
              <m:t>k</m:t>
            </m:r>
          </m:e>
        </m:box>
      </m:oMath>
      <w:r>
        <w:rPr>
          <w:rFonts w:ascii="Times New Roman" w:hAnsi="Times New Roman" w:eastAsia="宋体"/>
          <w:b w:val="0"/>
          <w:sz w:val="24"/>
        </w:rPr>
        <w:t>项指标的熵权法权重，满足</w:t>
      </w:r>
      <m:oMath>
        <m:box>
          <m:e>
            <m:sSub>
              <m:e>
                <m:r>
                  <m:rPr>
                    <m:sty m:val="i"/>
                  </m:rPr>
                  <m:t>w</m:t>
                </m:r>
              </m:e>
              <m:sub>
                <m:r>
                  <m:rPr>
                    <m:sty m:val="i"/>
                  </m:rPr>
                  <m:t>k</m:t>
                </m:r>
              </m:sub>
            </m:sSub>
            <m:r>
              <m:rPr>
                <m:sty m:val="p"/>
              </m:rPr>
              <m:t>≥</m:t>
            </m:r>
            <m:r>
              <m:rPr>
                <m:sty m:val="p"/>
              </m:rPr>
              <m:t>0</m:t>
            </m:r>
          </m:e>
        </m:box>
      </m:oMath>
      <w:r>
        <w:rPr>
          <w:rFonts w:ascii="Times New Roman" w:hAnsi="Times New Roman" w:eastAsia="宋体"/>
          <w:b w:val="0"/>
          <w:sz w:val="24"/>
        </w:rPr>
        <w:t>且</w:t>
      </w:r>
      <m:oMath>
        <m:box>
          <m:e>
            <m:nary>
              <m:naryPr>
                <m:chr m:val="∑"/>
                <m:limLoc m:val="undOvr"/>
              </m:naryPr>
              <m:sub>
                <m:box>
                  <m:e>
                    <m:r>
                      <m:rPr>
                        <m:sty m:val="i"/>
                      </m:rPr>
                      <m:t>k</m:t>
                    </m:r>
                    <m:r>
                      <m:rPr>
                        <m:sty m:val="p"/>
                      </m:rPr>
                      <m:t>=</m:t>
                    </m:r>
                    <m:r>
                      <m:rPr>
                        <m:sty m:val="p"/>
                      </m:rPr>
                      <m:t>1</m:t>
                    </m:r>
                  </m:e>
                </m:box>
              </m:sub>
              <m:sup>
                <m:box>
                  <m:e>
                    <m:r>
                      <m:rPr>
                        <m:sty m:val="i"/>
                      </m:rPr>
                      <m:t>K</m:t>
                    </m:r>
                  </m:e>
                </m:box>
              </m:sup>
              <m:e>
                <m:sSub>
                  <m:e>
                    <m:r>
                      <m:rPr>
                        <m:sty m:val="i"/>
                      </m:rPr>
                      <m:t>w</m:t>
                    </m:r>
                  </m:e>
                  <m:sub>
                    <m:r>
                      <m:rPr>
                        <m:sty m:val="i"/>
                      </m:rPr>
                      <m:t>k</m:t>
                    </m:r>
                  </m:sub>
                </m:sSub>
                <m:r>
                  <m:rPr>
                    <m:sty m:val="p"/>
                  </m:rPr>
                  <m:t>=</m:t>
                </m:r>
                <m:r>
                  <m:rPr>
                    <m:sty m:val="p"/>
                  </m:rPr>
                  <m:t>1</m:t>
                </m:r>
              </m:e>
            </m:nary>
          </m:e>
        </m:box>
      </m:oMath>
      <w:r>
        <w:rPr>
          <w:rFonts w:ascii="Times New Roman" w:hAnsi="Times New Roman" w:eastAsia="宋体"/>
          <w:b w:val="0"/>
          <w:sz w:val="24"/>
        </w:rPr>
        <w:t>，以指标信息含量客观定权、避免主观赋权偏误。指标体系的具体构成、数据来源与合成细节详见本书第六章。基于该定义，当一个经济体（或行业、区域）的内卷强度指数持续攀升并高位钝化，且伴随市场分割程度居高不下时，即可判定其落入“内卷式竞争陷阱”。本书的测度结果与这一判据高度吻合：全国内卷强度指数均值由2012年的0.352升至2015年产能过剩高峰期的0.392，供给侧结构性改革后回落至2018年的0.342，2022年起随“供强需弱”矛盾加剧而快速攀升，2024年达到样本期峰值0.470——指数的再度冲高与前文分割指数2022年的反弹在时间上高度耦合，初步印证了“分割—内卷”的联动。</w:t>
      </w:r>
    </w:p>
    <w:p>
      <w:pPr>
        <w:spacing w:before="0" w:after="0" w:line="360" w:lineRule="auto"/>
        <w:ind w:firstLineChars="200" w:firstLine="480"/>
      </w:pPr>
      <w:r>
        <w:rPr>
          <w:rFonts w:ascii="Times New Roman" w:hAnsi="Times New Roman" w:eastAsia="宋体"/>
          <w:b w:val="0"/>
          <w:sz w:val="24"/>
        </w:rPr>
        <w:t>“陷阱”的自我强化机制可以分解为四个相互嵌套的反馈环。其一是“量价螺旋”：价格下行侵蚀利润，企业为摊薄固定成本反而满负荷增产，供给不减反增，价格进一步下行——光伏行业在价格全面跌破成本后产量仍两位数增长，正是这一螺旋的写照。其二是“保护螺旋”：产能过剩越严重，产能所维系的本地就业、税收与GDP权重越大，地方政府保护本地企业、阻碍退出的动机越强，而保护又使产能存量进一步固化。其三是“创新螺旋”：利润坍塌压缩研发投入，产品同质化加深，企业愈发只能依赖价格竞争，创新逃逸通道被逐步封死。其四是“预期螺旋”：持续的价格下行塑造通缩预期，购买者延迟购买、渠道去库存，需求进一步收缩，“供强需弱”自我加剧。四个反馈环环环相扣，任何单一环节的局部治理——比如仅仅倡导价格自律而不打通退出通道，或仅仅压减产能而不矫正地方激励——都难以撼动均衡本身。这一判断将在本书第四章以博弈模型严格刻画，并在第十章光伏、汽车、平台三大案例中得到经验支持。</w:t>
      </w:r>
    </w:p>
    <w:p>
      <w:pPr>
        <w:spacing w:before="160" w:after="120" w:line="360" w:lineRule="auto"/>
        <w:outlineLvl w:val="2"/>
      </w:pPr>
      <w:r>
        <w:rPr>
          <w:rFonts w:ascii="Times New Roman" w:hAnsi="Times New Roman" w:eastAsia="黑体"/>
          <w:b w:val="0"/>
          <w:sz w:val="24"/>
        </w:rPr>
        <w:t>4．“统一市场红利”：定义与四大构成</w:t>
      </w:r>
    </w:p>
    <w:p>
      <w:pPr>
        <w:spacing w:before="0" w:after="0" w:line="360" w:lineRule="auto"/>
        <w:ind w:firstLineChars="200" w:firstLine="480"/>
      </w:pPr>
      <w:r>
        <w:rPr>
          <w:rFonts w:ascii="Times New Roman" w:hAnsi="Times New Roman" w:eastAsia="宋体"/>
          <w:b w:val="0"/>
          <w:sz w:val="24"/>
        </w:rPr>
        <w:t>与“内卷式竞争陷阱”相对，本书提出的另一核心概念是“统一市场红利”，指通过破除市场分割、建设全国统一大市场，经由规模效应、选择效应、创新效应与预期（秩序）效应四条渠道所释放的增长与福利增量。在概念谱系上，它与“人口红利”“改革红利”一脉相承：三者都强调特定结构性条件的改变所带来的超越常规要素积累的增长来源；其特殊之处在于，“统一市场红利”的源泉既不是要素数量的增加，也不完全等同于一般意义的体制改革，而是既有要素与既有技术在更大市场半径内的重新组合与重新定价——是典型的“不花钱的增长”，或更准确地说，是以制度变革成本换取全要素生产率提升的增长。改革开放以来国内市场从分割走向整合的进程，本身就是这一红利持续释放的历史；当前统一大市场建设进入纵深推进阶段，红利的剩余空间集中于要素市场与监管统一等“硬骨头”领域（刘志彪、孔令池，2021）。</w:t>
      </w:r>
    </w:p>
    <w:p>
      <w:pPr>
        <w:spacing w:before="0" w:after="0" w:line="360" w:lineRule="auto"/>
        <w:ind w:firstLineChars="200" w:firstLine="480"/>
      </w:pPr>
      <w:r>
        <w:rPr>
          <w:rFonts w:ascii="Times New Roman" w:hAnsi="Times New Roman" w:eastAsia="宋体"/>
          <w:b w:val="0"/>
          <w:sz w:val="24"/>
        </w:rPr>
        <w:t>为给全书的福利分析提供统一框架，本书将统一市场红利作如下分解（如式(3-2)所示）：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Δ</m:t>
            </m:r>
            <m:r>
              <m:rPr>
                <m:sty m:val="i"/>
              </m:rPr>
              <m:t>W</m:t>
            </m:r>
            <m:r>
              <m:rPr>
                <m:sty m:val="p"/>
              </m:rPr>
              <m:t>=</m:t>
            </m:r>
            <m:sSub>
              <m:e>
                <m:r>
                  <m:rPr>
                    <m:sty m:val="i"/>
                  </m:rPr>
                  <m:t>Δ</m:t>
                </m:r>
              </m:e>
              <m:sub>
                <m:box>
                  <m:e>
                    <m:r>
                      <m:rPr>
                        <m:sty m:val="i"/>
                      </m:rPr>
                      <m:t>S</m:t>
                    </m:r>
                    <m:r>
                      <m:rPr>
                        <m:sty m:val="i"/>
                      </m:rPr>
                      <m:t>C</m:t>
                    </m:r>
                  </m:e>
                </m:box>
              </m:sub>
            </m:sSub>
            <m:r>
              <m:rPr>
                <m:sty m:val="p"/>
              </m:rPr>
              <m:t>+</m:t>
            </m:r>
            <m:sSub>
              <m:e>
                <m:r>
                  <m:rPr>
                    <m:sty m:val="i"/>
                  </m:rPr>
                  <m:t>Δ</m:t>
                </m:r>
              </m:e>
              <m:sub>
                <m:box>
                  <m:e>
                    <m:r>
                      <m:rPr>
                        <m:sty m:val="i"/>
                      </m:rPr>
                      <m:t>S</m:t>
                    </m:r>
                    <m:r>
                      <m:rPr>
                        <m:sty m:val="i"/>
                      </m:rPr>
                      <m:t>E</m:t>
                    </m:r>
                    <m:r>
                      <m:rPr>
                        <m:sty m:val="i"/>
                      </m:rPr>
                      <m:t>L</m:t>
                    </m:r>
                  </m:e>
                </m:box>
              </m:sub>
            </m:sSub>
            <m:r>
              <m:rPr>
                <m:sty m:val="p"/>
              </m:rPr>
              <m:t>+</m:t>
            </m:r>
            <m:sSub>
              <m:e>
                <m:r>
                  <m:rPr>
                    <m:sty m:val="i"/>
                  </m:rPr>
                  <m:t>Δ</m:t>
                </m:r>
              </m:e>
              <m:sub>
                <m:box>
                  <m:e>
                    <m:r>
                      <m:rPr>
                        <m:sty m:val="i"/>
                      </m:rPr>
                      <m:t>I</m:t>
                    </m:r>
                    <m:r>
                      <m:rPr>
                        <m:sty m:val="i"/>
                      </m:rPr>
                      <m:t>N</m:t>
                    </m:r>
                    <m:r>
                      <m:rPr>
                        <m:sty m:val="i"/>
                      </m:rPr>
                      <m:t>N</m:t>
                    </m:r>
                  </m:e>
                </m:box>
              </m:sub>
            </m:sSub>
            <m:r>
              <m:rPr>
                <m:sty m:val="p"/>
              </m:rPr>
              <m:t>+</m:t>
            </m:r>
            <m:sSub>
              <m:e>
                <m:r>
                  <m:rPr>
                    <m:sty m:val="i"/>
                  </m:rPr>
                  <m:t>Δ</m:t>
                </m:r>
              </m:e>
              <m:sub>
                <m:box>
                  <m:e>
                    <m:r>
                      <m:rPr>
                        <m:sty m:val="i"/>
                      </m:rPr>
                      <m:t>O</m:t>
                    </m:r>
                    <m:r>
                      <m:rPr>
                        <m:sty m:val="i"/>
                      </m:rPr>
                      <m:t>R</m:t>
                    </m:r>
                    <m:r>
                      <m:rPr>
                        <m:sty m:val="i"/>
                      </m:rPr>
                      <m:t>D</m:t>
                    </m:r>
                  </m:e>
                </m:box>
              </m:sub>
            </m:sSub>
            <m:r>
              <m:rPr>
                <m:sty m:val="p"/>
              </m:rPr>
              <m:t>−</m:t>
            </m:r>
            <m:sSub>
              <m:e>
                <m:r>
                  <m:rPr>
                    <m:sty m:val="i"/>
                  </m:rPr>
                  <m:t>C</m:t>
                </m:r>
              </m:e>
              <m:sub>
                <m:box>
                  <m:e>
                    <m:r>
                      <m:rPr>
                        <m:sty m:val="i"/>
                      </m:rPr>
                      <m:t>A</m:t>
                    </m:r>
                    <m:r>
                      <m:rPr>
                        <m:sty m:val="i"/>
                      </m:rPr>
                      <m:t>D</m:t>
                    </m:r>
                    <m:r>
                      <m:rPr>
                        <m:sty m:val="i"/>
                      </m:rPr>
                      <m:t>J</m:t>
                    </m:r>
                  </m:e>
                </m:box>
              </m:sub>
            </m:sSub>
          </m:e>
        </m:box>
      </m:oMath>
      <w:r>
        <w:rPr>
          <w:rFonts w:ascii="Times New Roman" w:hAnsi="Times New Roman" w:eastAsia="宋体"/>
          <w:b w:val="0"/>
          <w:sz w:val="24"/>
        </w:rPr>
        <w:tab/>
        <w:t>(3-2)</w:t>
      </w:r>
    </w:p>
    <w:p>
      <w:pPr>
        <w:spacing w:before="0" w:after="0" w:line="360" w:lineRule="auto"/>
        <w:ind w:firstLineChars="200" w:firstLine="480"/>
      </w:pPr>
      <w:r>
        <w:rPr>
          <w:rFonts w:ascii="Times New Roman" w:hAnsi="Times New Roman" w:eastAsia="宋体"/>
          <w:b w:val="0"/>
          <w:sz w:val="24"/>
        </w:rPr>
        <w:t>其中，</w:t>
      </w:r>
      <m:oMath>
        <m:box>
          <m:e>
            <m:r>
              <m:rPr>
                <m:sty m:val="i"/>
              </m:rPr>
              <m:t>Δ</m:t>
            </m:r>
            <m:r>
              <m:rPr>
                <m:sty m:val="i"/>
              </m:rPr>
              <m:t>W</m:t>
            </m:r>
          </m:e>
        </m:box>
      </m:oMath>
      <w:r>
        <w:rPr>
          <w:rFonts w:ascii="Times New Roman" w:hAnsi="Times New Roman" w:eastAsia="宋体"/>
          <w:b w:val="0"/>
          <w:sz w:val="24"/>
        </w:rPr>
        <w:t>为破除分割带来的社会福利净增量；</w:t>
      </w:r>
      <m:oMath>
        <m:box>
          <m:e>
            <m:sSub>
              <m:e>
                <m:r>
                  <m:rPr>
                    <m:sty m:val="i"/>
                  </m:rPr>
                  <m:t>Δ</m:t>
                </m:r>
              </m:e>
              <m:sub>
                <m:box>
                  <m:e>
                    <m:r>
                      <m:rPr>
                        <m:sty m:val="i"/>
                      </m:rPr>
                      <m:t>S</m:t>
                    </m:r>
                    <m:r>
                      <m:rPr>
                        <m:sty m:val="i"/>
                      </m:rPr>
                      <m:t>C</m:t>
                    </m:r>
                  </m:e>
                </m:box>
              </m:sub>
            </m:sSub>
          </m:e>
        </m:box>
      </m:oMath>
      <w:r>
        <w:rPr>
          <w:rFonts w:ascii="Times New Roman" w:hAnsi="Times New Roman" w:eastAsia="宋体"/>
          <w:b w:val="0"/>
          <w:sz w:val="24"/>
        </w:rPr>
        <w:t>为规模经济效应（scale），指市场半径扩大后固定成本摊薄、分工深化与流通成本节约带来的效率增益；</w:t>
      </w:r>
      <m:oMath>
        <m:box>
          <m:e>
            <m:sSub>
              <m:e>
                <m:r>
                  <m:rPr>
                    <m:sty m:val="i"/>
                  </m:rPr>
                  <m:t>Δ</m:t>
                </m:r>
              </m:e>
              <m:sub>
                <m:box>
                  <m:e>
                    <m:r>
                      <m:rPr>
                        <m:sty m:val="i"/>
                      </m:rPr>
                      <m:t>S</m:t>
                    </m:r>
                    <m:r>
                      <m:rPr>
                        <m:sty m:val="i"/>
                      </m:rPr>
                      <m:t>E</m:t>
                    </m:r>
                    <m:r>
                      <m:rPr>
                        <m:sty m:val="i"/>
                      </m:rPr>
                      <m:t>L</m:t>
                    </m:r>
                  </m:e>
                </m:box>
              </m:sub>
            </m:sSub>
          </m:e>
        </m:box>
      </m:oMath>
      <w:r>
        <w:rPr>
          <w:rFonts w:ascii="Times New Roman" w:hAnsi="Times New Roman" w:eastAsia="宋体"/>
          <w:b w:val="0"/>
          <w:sz w:val="24"/>
        </w:rPr>
        <w:t>为选择效应（selection），指统一市场强化优胜劣汰、推动资源从低效企业向高效企业再配置带来的加总生产率提升；</w:t>
      </w:r>
      <m:oMath>
        <m:box>
          <m:e>
            <m:sSub>
              <m:e>
                <m:r>
                  <m:rPr>
                    <m:sty m:val="i"/>
                  </m:rPr>
                  <m:t>Δ</m:t>
                </m:r>
              </m:e>
              <m:sub>
                <m:box>
                  <m:e>
                    <m:r>
                      <m:rPr>
                        <m:sty m:val="i"/>
                      </m:rPr>
                      <m:t>I</m:t>
                    </m:r>
                    <m:r>
                      <m:rPr>
                        <m:sty m:val="i"/>
                      </m:rPr>
                      <m:t>N</m:t>
                    </m:r>
                    <m:r>
                      <m:rPr>
                        <m:sty m:val="i"/>
                      </m:rPr>
                      <m:t>N</m:t>
                    </m:r>
                  </m:e>
                </m:box>
              </m:sub>
            </m:sSub>
          </m:e>
        </m:box>
      </m:oMath>
      <w:r>
        <w:rPr>
          <w:rFonts w:ascii="Times New Roman" w:hAnsi="Times New Roman" w:eastAsia="宋体"/>
          <w:b w:val="0"/>
          <w:sz w:val="24"/>
        </w:rPr>
        <w:t>为创新激励效应（innovation），指创新回报随市场规模扩大而提高、竞争压力促使企业“创新逃逸”所带来的动态增益；</w:t>
      </w:r>
      <m:oMath>
        <m:box>
          <m:e>
            <m:sSub>
              <m:e>
                <m:r>
                  <m:rPr>
                    <m:sty m:val="i"/>
                  </m:rPr>
                  <m:t>Δ</m:t>
                </m:r>
              </m:e>
              <m:sub>
                <m:box>
                  <m:e>
                    <m:r>
                      <m:rPr>
                        <m:sty m:val="i"/>
                      </m:rPr>
                      <m:t>O</m:t>
                    </m:r>
                    <m:r>
                      <m:rPr>
                        <m:sty m:val="i"/>
                      </m:rPr>
                      <m:t>R</m:t>
                    </m:r>
                    <m:r>
                      <m:rPr>
                        <m:sty m:val="i"/>
                      </m:rPr>
                      <m:t>D</m:t>
                    </m:r>
                  </m:e>
                </m:box>
              </m:sub>
            </m:sSub>
          </m:e>
        </m:box>
      </m:oMath>
      <w:r>
        <w:rPr>
          <w:rFonts w:ascii="Times New Roman" w:hAnsi="Times New Roman" w:eastAsia="宋体"/>
          <w:b w:val="0"/>
          <w:sz w:val="24"/>
        </w:rPr>
        <w:t>为预期与秩序效应（order），指规则统一、公平竞争与价格秩序修复所带来的不确定性下降、投资与创新时间视野延长的增益；</w:t>
      </w:r>
      <m:oMath>
        <m:box>
          <m:e>
            <m:sSub>
              <m:e>
                <m:r>
                  <m:rPr>
                    <m:sty m:val="i"/>
                  </m:rPr>
                  <m:t>C</m:t>
                </m:r>
              </m:e>
              <m:sub>
                <m:box>
                  <m:e>
                    <m:r>
                      <m:rPr>
                        <m:sty m:val="i"/>
                      </m:rPr>
                      <m:t>A</m:t>
                    </m:r>
                    <m:r>
                      <m:rPr>
                        <m:sty m:val="i"/>
                      </m:rPr>
                      <m:t>D</m:t>
                    </m:r>
                    <m:r>
                      <m:rPr>
                        <m:sty m:val="i"/>
                      </m:rPr>
                      <m:t>J</m:t>
                    </m:r>
                  </m:e>
                </m:box>
              </m:sub>
            </m:sSub>
          </m:e>
        </m:box>
      </m:oMath>
      <w:r>
        <w:rPr>
          <w:rFonts w:ascii="Times New Roman" w:hAnsi="Times New Roman" w:eastAsia="宋体"/>
          <w:b w:val="0"/>
          <w:sz w:val="24"/>
        </w:rPr>
        <w:t>为一次性调整成本，包括落后产能退出的资产沉没、职工转岗安置与区域间利益再平衡的成本。式(3-2)表明，统一市场红利并非无条件为正：只有当四大效应之和超过调整成本，且调整成本通过合理的制度安排（如破产制度、社会保障、转移支付）在时间与主体间得到平滑分摊时，红利才能顺利兑现。这一分解式将在本书第四章第四节基于三个递进模型严格推导，四个分项的实证对应物则在第九章逐一检验。</w:t>
      </w:r>
    </w:p>
    <w:p>
      <w:pPr>
        <w:spacing w:before="0" w:after="0" w:line="360" w:lineRule="auto"/>
        <w:ind w:firstLineChars="200" w:firstLine="480"/>
      </w:pPr>
      <w:r>
        <w:rPr>
          <w:rFonts w:ascii="Times New Roman" w:hAnsi="Times New Roman" w:eastAsia="宋体"/>
          <w:b w:val="0"/>
          <w:sz w:val="24"/>
        </w:rPr>
        <w:t>关于红利的潜在量级，已有量化研究提供了有力佐证：对中国国内贸易成本与迁移成本的量化空间分析表明，2000—2005年内贸与迁移成本的下降解释了同期约36%的总劳动生产率增长，其贡献甚至大于对外贸易成本的下降（Tombe和Zhu，2019）。本书第九章的前瞻测算亦显示，若“十五五”期间市场分割指数在2024年基础上再下降30%（即2030年降至1.38、接近当前长三角水平），估算统一大市场纵深推进可使全要素生产率年均增速提高0.4—0.6个百分点，以2025年GDP140.2万亿元为基数，五年累计可带来约2.6万亿—3.4万亿元（2025年价）的额外产出增量。需要说明的是，上述数字均为基于明确假设的区间估算，其价值不在于精确预测，而在于标定红利的数量级：统一市场红利是“十五五”时期极少数兼具规模可观、来源明确、政策可及三重属性的增长来源。</w:t>
      </w:r>
    </w:p>
    <w:p>
      <w:pPr>
        <w:spacing w:before="0" w:after="0" w:line="360" w:lineRule="auto"/>
        <w:ind w:firstLineChars="200" w:firstLine="480"/>
      </w:pPr>
      <w:r>
        <w:rPr>
          <w:rFonts w:ascii="Times New Roman" w:hAnsi="Times New Roman" w:eastAsia="宋体"/>
          <w:b w:val="0"/>
          <w:sz w:val="24"/>
        </w:rPr>
        <w:t>至此，本书的四个核心概念已全部界定完毕。为便于读者总览概念之间的逻辑关联，表3.2将四个概念的内涵界定、关键构成、形式化测度与主要对应章节汇总列示（见表3.2）。</w:t>
      </w:r>
    </w:p>
    <w:p>
      <w:pPr>
        <w:spacing w:before="160" w:after="80" w:line="312" w:lineRule="auto"/>
        <w:jc w:val="center"/>
      </w:pPr>
      <w:r>
        <w:rPr>
          <w:rFonts w:ascii="Times New Roman" w:hAnsi="Times New Roman" w:eastAsia="黑体"/>
          <w:b w:val="0"/>
          <w:sz w:val="21"/>
        </w:rPr>
        <w:t>表3.2　本书核心概念体系一览</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核心概念</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内涵界定</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关键构成／维度</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形式化与测度</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主要对应章节</w:t>
            </w:r>
          </w:p>
        </w:tc>
      </w:tr>
      <w:tr>
        <w:tc>
          <w:tcPr>
            <w:tcW w:type="dxa" w:w="1701"/>
          </w:tcPr>
          <w:p>
            <w:pPr>
              <w:spacing w:before="20" w:after="20" w:line="276" w:lineRule="auto"/>
              <w:jc w:val="left"/>
            </w:pPr>
            <w:r/>
            <w:r>
              <w:rPr>
                <w:rFonts w:ascii="Times New Roman" w:hAnsi="Times New Roman" w:eastAsia="宋体"/>
                <w:b w:val="0"/>
                <w:sz w:val="21"/>
              </w:rPr>
              <w:t>市场分割</w:t>
            </w:r>
          </w:p>
        </w:tc>
        <w:tc>
          <w:tcPr>
            <w:tcW w:type="dxa" w:w="1701"/>
          </w:tcPr>
          <w:p>
            <w:pPr>
              <w:spacing w:before="20" w:after="20" w:line="276" w:lineRule="auto"/>
              <w:jc w:val="left"/>
            </w:pPr>
            <w:r/>
            <w:r>
              <w:rPr>
                <w:rFonts w:ascii="Times New Roman" w:hAnsi="Times New Roman" w:eastAsia="宋体"/>
                <w:b w:val="0"/>
                <w:sz w:val="21"/>
              </w:rPr>
              <w:t>一国内部因行政与制度阻隔导致商品要素跨区流动受阻、价格信号割裂、“一价定律”失效的状态</w:t>
            </w:r>
          </w:p>
        </w:tc>
        <w:tc>
          <w:tcPr>
            <w:tcW w:type="dxa" w:w="1701"/>
          </w:tcPr>
          <w:p>
            <w:pPr>
              <w:spacing w:before="20" w:after="20" w:line="276" w:lineRule="auto"/>
              <w:jc w:val="left"/>
            </w:pPr>
            <w:r/>
            <w:r>
              <w:rPr>
                <w:rFonts w:ascii="Times New Roman" w:hAnsi="Times New Roman" w:eastAsia="宋体"/>
                <w:b w:val="0"/>
                <w:sz w:val="21"/>
              </w:rPr>
              <w:t>商品／要素／监管分割；显性／隐性壁垒</w:t>
            </w:r>
          </w:p>
        </w:tc>
        <w:tc>
          <w:tcPr>
            <w:tcW w:type="dxa" w:w="1701"/>
          </w:tcPr>
          <w:p>
            <w:pPr>
              <w:spacing w:before="20" w:after="20" w:line="276" w:lineRule="auto"/>
              <w:jc w:val="left"/>
            </w:pPr>
            <w:r/>
            <w:r>
              <w:rPr>
                <w:rFonts w:ascii="Times New Roman" w:hAnsi="Times New Roman" w:eastAsia="宋体"/>
                <w:b w:val="0"/>
                <w:sz w:val="21"/>
              </w:rPr>
              <w:t>相对价格法市场分割指数（第六章式(6-1)—(6-5)）</w:t>
            </w:r>
          </w:p>
        </w:tc>
        <w:tc>
          <w:tcPr>
            <w:tcW w:type="dxa" w:w="1701"/>
          </w:tcPr>
          <w:p>
            <w:pPr>
              <w:spacing w:before="20" w:after="20" w:line="276" w:lineRule="auto"/>
              <w:jc w:val="left"/>
            </w:pPr>
            <w:r/>
            <w:r>
              <w:rPr>
                <w:rFonts w:ascii="Times New Roman" w:hAnsi="Times New Roman" w:eastAsia="宋体"/>
                <w:b w:val="0"/>
                <w:sz w:val="21"/>
              </w:rPr>
              <w:t>第五、六、七章</w:t>
            </w:r>
          </w:p>
        </w:tc>
      </w:tr>
      <w:tr>
        <w:tc>
          <w:tcPr>
            <w:tcW w:type="dxa" w:w="1701"/>
          </w:tcPr>
          <w:p>
            <w:pPr>
              <w:spacing w:before="20" w:after="20" w:line="276" w:lineRule="auto"/>
              <w:jc w:val="left"/>
            </w:pPr>
            <w:r/>
            <w:r>
              <w:rPr>
                <w:rFonts w:ascii="Times New Roman" w:hAnsi="Times New Roman" w:eastAsia="宋体"/>
                <w:b w:val="0"/>
                <w:sz w:val="21"/>
              </w:rPr>
              <w:t>“内卷式”竞争</w:t>
            </w:r>
          </w:p>
        </w:tc>
        <w:tc>
          <w:tcPr>
            <w:tcW w:type="dxa" w:w="1701"/>
          </w:tcPr>
          <w:p>
            <w:pPr>
              <w:spacing w:before="20" w:after="20" w:line="276" w:lineRule="auto"/>
              <w:jc w:val="left"/>
            </w:pPr>
            <w:r/>
            <w:r>
              <w:rPr>
                <w:rFonts w:ascii="Times New Roman" w:hAnsi="Times New Roman" w:eastAsia="宋体"/>
                <w:b w:val="0"/>
                <w:sz w:val="21"/>
              </w:rPr>
              <w:t>需求约束与制度扭曲下，同质企业围绕存量市场以压价、超产能扩张加码投入而行业回报不升反降的负和竞争形态</w:t>
            </w:r>
          </w:p>
        </w:tc>
        <w:tc>
          <w:tcPr>
            <w:tcW w:type="dxa" w:w="1701"/>
          </w:tcPr>
          <w:p>
            <w:pPr>
              <w:spacing w:before="20" w:after="20" w:line="276" w:lineRule="auto"/>
              <w:jc w:val="left"/>
            </w:pPr>
            <w:r/>
            <w:r>
              <w:rPr>
                <w:rFonts w:ascii="Times New Roman" w:hAnsi="Times New Roman" w:eastAsia="宋体"/>
                <w:b w:val="0"/>
                <w:sz w:val="21"/>
              </w:rPr>
              <w:t>同质化、超低价、无利化、创新挤出、退出失灵五大特征</w:t>
            </w:r>
          </w:p>
        </w:tc>
        <w:tc>
          <w:tcPr>
            <w:tcW w:type="dxa" w:w="1701"/>
          </w:tcPr>
          <w:p>
            <w:pPr>
              <w:spacing w:before="20" w:after="20" w:line="276" w:lineRule="auto"/>
              <w:jc w:val="left"/>
            </w:pPr>
            <w:r/>
            <w:r>
              <w:rPr>
                <w:rFonts w:ascii="Times New Roman" w:hAnsi="Times New Roman" w:eastAsia="宋体"/>
                <w:b w:val="0"/>
                <w:sz w:val="21"/>
              </w:rPr>
              <w:t>五维14项指标熵权合成的强度指数（式(3-1)，第六章）</w:t>
            </w:r>
          </w:p>
        </w:tc>
        <w:tc>
          <w:tcPr>
            <w:tcW w:type="dxa" w:w="1701"/>
          </w:tcPr>
          <w:p>
            <w:pPr>
              <w:spacing w:before="20" w:after="20" w:line="276" w:lineRule="auto"/>
              <w:jc w:val="left"/>
            </w:pPr>
            <w:r/>
            <w:r>
              <w:rPr>
                <w:rFonts w:ascii="Times New Roman" w:hAnsi="Times New Roman" w:eastAsia="宋体"/>
                <w:b w:val="0"/>
                <w:sz w:val="21"/>
              </w:rPr>
              <w:t>第五、六、八章</w:t>
            </w:r>
          </w:p>
        </w:tc>
      </w:tr>
      <w:tr>
        <w:tc>
          <w:tcPr>
            <w:tcW w:type="dxa" w:w="1701"/>
          </w:tcPr>
          <w:p>
            <w:pPr>
              <w:spacing w:before="20" w:after="20" w:line="276" w:lineRule="auto"/>
              <w:jc w:val="left"/>
            </w:pPr>
            <w:r/>
            <w:r>
              <w:rPr>
                <w:rFonts w:ascii="Times New Roman" w:hAnsi="Times New Roman" w:eastAsia="宋体"/>
                <w:b w:val="0"/>
                <w:sz w:val="21"/>
              </w:rPr>
              <w:t>“内卷式竞争陷阱”</w:t>
            </w:r>
          </w:p>
        </w:tc>
        <w:tc>
          <w:tcPr>
            <w:tcW w:type="dxa" w:w="1701"/>
          </w:tcPr>
          <w:p>
            <w:pPr>
              <w:spacing w:before="20" w:after="20" w:line="276" w:lineRule="auto"/>
              <w:jc w:val="left"/>
            </w:pPr>
            <w:r/>
            <w:r>
              <w:rPr>
                <w:rFonts w:ascii="Times New Roman" w:hAnsi="Times New Roman" w:eastAsia="宋体"/>
                <w:b w:val="0"/>
                <w:sz w:val="21"/>
              </w:rPr>
              <w:t>市场分割与激励扭曲条件下，过度进入、产能过剩、低价收敛、创新侵蚀与退出失灵相互强化形成的自我维持低水平竞争均衡</w:t>
            </w:r>
          </w:p>
        </w:tc>
        <w:tc>
          <w:tcPr>
            <w:tcW w:type="dxa" w:w="1701"/>
          </w:tcPr>
          <w:p>
            <w:pPr>
              <w:spacing w:before="20" w:after="20" w:line="276" w:lineRule="auto"/>
              <w:jc w:val="left"/>
            </w:pPr>
            <w:r/>
            <w:r>
              <w:rPr>
                <w:rFonts w:ascii="Times New Roman" w:hAnsi="Times New Roman" w:eastAsia="宋体"/>
                <w:b w:val="0"/>
                <w:sz w:val="21"/>
              </w:rPr>
              <w:t>地方激励扭曲、要素价格扭曲、退出机制失灵、需求约束收紧四重扭曲；量价、保护、创新、预期四大螺旋</w:t>
            </w:r>
          </w:p>
        </w:tc>
        <w:tc>
          <w:tcPr>
            <w:tcW w:type="dxa" w:w="1701"/>
          </w:tcPr>
          <w:p>
            <w:pPr>
              <w:spacing w:before="20" w:after="20" w:line="276" w:lineRule="auto"/>
              <w:jc w:val="left"/>
            </w:pPr>
            <w:r/>
            <w:r>
              <w:rPr>
                <w:rFonts w:ascii="Times New Roman" w:hAnsi="Times New Roman" w:eastAsia="宋体"/>
                <w:b w:val="0"/>
                <w:sz w:val="21"/>
              </w:rPr>
              <w:t>强度指数持续攀升且与高分割并存的判据；博弈模型的“内卷均衡”（第四章）</w:t>
            </w:r>
          </w:p>
        </w:tc>
        <w:tc>
          <w:tcPr>
            <w:tcW w:type="dxa" w:w="1701"/>
          </w:tcPr>
          <w:p>
            <w:pPr>
              <w:spacing w:before="20" w:after="20" w:line="276" w:lineRule="auto"/>
              <w:jc w:val="left"/>
            </w:pPr>
            <w:r/>
            <w:r>
              <w:rPr>
                <w:rFonts w:ascii="Times New Roman" w:hAnsi="Times New Roman" w:eastAsia="宋体"/>
                <w:b w:val="0"/>
                <w:sz w:val="21"/>
              </w:rPr>
              <w:t>第三、四、八、十章</w:t>
            </w:r>
          </w:p>
        </w:tc>
      </w:tr>
      <w:tr>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“统一市场红利”</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破除分割后经规模、选择、创新、预期四大效应释放的增长与福利增量</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规模经济效应、选择效应、创新激励效应、预期与秩序效应</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福利分解式(3-2)；第四章式(4-39)—(4-44)；DID与反事实测算（第九章）</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第三、四、九、十一章</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3.2揭示了四个概念之间的严密逻辑链条：市场分割是制度条件，“内卷式”竞争是行为表现，“内卷式竞争陷阱”是均衡状态，“统一市场红利”则是打破均衡后的福利结果。四者依次衔接，恰好构成“条件—行为—均衡—出路”的完整分析闭环，其中前三者刻画问题的生成，后者刻画问题的求解。同时，每一概念都有对应的形式化表达与测度方案，保证了理论框架的可检验性——这是本书区别于一般政策评论的方法论自觉。以此概念体系为基石，下一节将四者组织为统摄全书的三环传导框架。</w:t>
      </w:r>
    </w:p>
    <w:p>
      <w:pPr>
        <w:spacing w:before="200" w:after="160" w:line="360" w:lineRule="auto"/>
        <w:outlineLvl w:val="1"/>
      </w:pPr>
      <w:r>
        <w:rPr>
          <w:rFonts w:ascii="Times New Roman" w:hAnsi="Times New Roman" w:eastAsia="黑体"/>
          <w:b w:val="0"/>
          <w:sz w:val="28"/>
        </w:rPr>
        <w:t>（二）“市场分割—内卷竞争—统一红利”三环传导框架</w:t>
      </w:r>
    </w:p>
    <w:p>
      <w:pPr>
        <w:spacing w:before="0" w:after="0" w:line="360" w:lineRule="auto"/>
        <w:ind w:firstLineChars="200" w:firstLine="480"/>
      </w:pPr>
      <w:r>
        <w:rPr>
          <w:rFonts w:ascii="Times New Roman" w:hAnsi="Times New Roman" w:eastAsia="宋体"/>
          <w:b w:val="0"/>
          <w:sz w:val="24"/>
        </w:rPr>
        <w:t>在核心概念的基础上，本书构建统摄全书的“市场分割—内卷竞争—统一红利”三环传导框架。该框架的总体逻辑是：市场分割经由四重扭曲机制催生并锁定“内卷式”竞争，使经济落入“内卷式竞争陷阱”（第一环）；陷阱状态通过四大反馈螺旋自我强化，并以效率损失、创新迟滞与福利耗散的形式持续累积代价（第二环）；统一大市场建设通过拆除分割、矫正扭曲，启动规模、选择、创新、预期四大效应，把陷阱代价转化为“统一市场红利”（第三环）。三环之间不是简单的线性序列，而是“正向传导—均衡锁定—反向破解”的动态闭环：第一环解释问题从何而来，第二环解释问题为何持续，第三环解释问题如何求解。框架的整体结构如图3.1所示。</w:t>
      </w:r>
    </w:p>
    <w:p>
      <w:pPr>
        <w:spacing w:before="120"/>
        <w:jc w:val="center"/>
      </w:pPr>
      <w:r>
        <w:drawing>
          <wp:inline xmlns:a="http://schemas.openxmlformats.org/drawingml/2006/main" xmlns:pic="http://schemas.openxmlformats.org/drawingml/2006/picture">
            <wp:extent cx="5112000" cy="3563893"/>
            <wp:docPr id="4" name="Picture 4"/>
            <wp:cNvGraphicFramePr>
              <a:graphicFrameLocks noChangeAspect="1"/>
            </wp:cNvGraphicFramePr>
            <a:graphic>
              <a:graphicData uri="http://schemas.openxmlformats.org/drawingml/2006/picture">
                <pic:pic>
                  <pic:nvPicPr>
                    <pic:cNvPr id="0" name="fig_3_1.png"/>
                    <pic:cNvPicPr/>
                  </pic:nvPicPr>
                  <pic:blipFill>
                    <a:blip r:embed="rId12"/>
                    <a:stretch>
                      <a:fillRect/>
                    </a:stretch>
                  </pic:blipFill>
                  <pic:spPr>
                    <a:xfrm>
                      <a:off x="0" y="0"/>
                      <a:ext cx="5112000" cy="3563893"/>
                    </a:xfrm>
                    <a:prstGeom prst="rect"/>
                  </pic:spPr>
                </pic:pic>
              </a:graphicData>
            </a:graphic>
          </wp:inline>
        </w:drawing>
      </w:r>
    </w:p>
    <w:p>
      <w:pPr>
        <w:spacing w:before="120" w:after="120" w:line="312" w:lineRule="auto"/>
        <w:jc w:val="center"/>
      </w:pPr>
      <w:r>
        <w:rPr>
          <w:rFonts w:ascii="Times New Roman" w:hAnsi="Times New Roman" w:eastAsia="黑体"/>
          <w:b w:val="0"/>
          <w:sz w:val="21"/>
        </w:rPr>
        <w:t>图3.1　“市场分割—内卷竞争—统一红利”三环传导框架</w:t>
      </w:r>
    </w:p>
    <w:p>
      <w:pPr>
        <w:spacing w:before="0" w:after="0" w:line="360" w:lineRule="auto"/>
        <w:ind w:firstLineChars="200" w:firstLine="480"/>
      </w:pPr>
      <w:r>
        <w:rPr>
          <w:rFonts w:ascii="Times New Roman" w:hAnsi="Times New Roman" w:eastAsia="宋体"/>
          <w:b w:val="0"/>
          <w:sz w:val="24"/>
        </w:rPr>
        <w:t>图3.1中，第一环位于左侧，起点是市场分割的三种类型——商品市场分割、要素市场分割与监管分割。分割首先在空间上把全国市场切分为众多规模有限的区域市场，直接压缩了企业可达的需求半径；更重要的是，分割为地方政府的策略行为提供了操作空间——只有当本地市场可以被“圈起来”时，补贴本地企业、保护本地产能才有政策租金可言。于是，分割经由地方激励扭曲、要素价格扭曲、退出机制失灵与需求约束收紧四重机制（详见本章第三节），系统性地改变了企业面临的成本信号与生存规则：进入被人为鼓励，成本被人为压低，退出被人为阻断，需求被结构性抑制。在这样的信号系统中，企业的理性反应必然是同质化进入与超产能扩张，“内卷式”竞争由此生成。这一环对应本书第四章的基准模型与扩展模型Ⅰ，并转化为第八章检验的假说H1—H3：市场分割程度越高的省份，“内卷式竞争”强度越高；补贴竞争、产业同构与退出粘性是其间的主要传导渠道。</w:t>
      </w:r>
    </w:p>
    <w:p>
      <w:pPr>
        <w:spacing w:before="0" w:after="0" w:line="360" w:lineRule="auto"/>
        <w:ind w:firstLineChars="200" w:firstLine="480"/>
      </w:pPr>
      <w:r>
        <w:rPr>
          <w:rFonts w:ascii="Times New Roman" w:hAnsi="Times New Roman" w:eastAsia="宋体"/>
          <w:b w:val="0"/>
          <w:sz w:val="24"/>
        </w:rPr>
        <w:t>第二环位于图3.1中部，刻画“内卷式竞争陷阱”的均衡锁定。如前文所述，量价螺旋、保护螺旋、创新螺旋与预期螺旋四个反馈环使内卷状态获得了自我维持的动力学结构。值得强调的是第二环的宏观放大机制：单个行业的“内卷”通过价格链与收入链向全局扩散——上游压价传导至下游，企业利润收缩传导至工资与就业预期，进而抑制居民消费；据国家统计局数据，PPI自2022年10月起连续39个月负增长，规模以上工业利润总额由2021年的8.71万亿元降至2025年的7.40万亿元，价格与利润的持续走低正是行业“内卷”宏观加总的结果。而需求收缩又反过来加深各行业的存量博弈，使“内卷”从个别行业现象演变为系统性状态。第二环提示了一个关键的政策含义：对已经落入陷阱的经济，等待市场自发出清的时间成本与福利代价极其高昂，外生的制度干预具有正当性与紧迫性。</w:t>
      </w:r>
    </w:p>
    <w:p>
      <w:pPr>
        <w:spacing w:before="0" w:after="0" w:line="360" w:lineRule="auto"/>
        <w:ind w:firstLineChars="200" w:firstLine="480"/>
      </w:pPr>
      <w:r>
        <w:rPr>
          <w:rFonts w:ascii="Times New Roman" w:hAnsi="Times New Roman" w:eastAsia="宋体"/>
          <w:b w:val="0"/>
          <w:sz w:val="24"/>
        </w:rPr>
        <w:t>第三环位于图3.1右侧，刻画统一大市场建设对陷阱的反向破解。统一的作用点恰好对应分割的作用点：统一市场基础制度规则，压缩地方差别待遇的政策空间，矫正激励扭曲；统一要素资源市场与公平竞争审查，剥离隐性补贴，还原要素真实价格；健全破产制度与简易退出机制，打通退出闸门；促进设施联通与流通降本、扩大内需，放松需求约束。四重扭曲被矫正后，四大效应依次启动——规模经济效应扩大有效市场、选择效应重启优胜劣汰、创新激励效应重建“创新逃逸”通道、预期与秩序效应修复价格信号与投资信心（详见本章第四节），最终以生产率提升、创新加速与利润率修复的形式兑现“统一市场红利”。这一环对应本书第四章的扩展模型Ⅱ与福利分解，并转化为第九章检验的假说H4—H5：以公平竞争审查制度实施为准自然实验，政策处理强度更高的省份，“内卷”强度显著下降、全要素生产率与创新绩效显著改善。</w:t>
      </w:r>
    </w:p>
    <w:p>
      <w:pPr>
        <w:spacing w:before="0" w:after="0" w:line="360" w:lineRule="auto"/>
        <w:ind w:firstLineChars="200" w:firstLine="480"/>
      </w:pPr>
      <w:r>
        <w:rPr>
          <w:rFonts w:ascii="Times New Roman" w:hAnsi="Times New Roman" w:eastAsia="宋体"/>
          <w:b w:val="0"/>
          <w:sz w:val="24"/>
        </w:rPr>
        <w:t>三环框架的理论价值在于三点。第一，它提供了理解“内卷式”竞争的制度视角：与将“内卷”归因于企业家精神缺失或行业周期波动的流行解释不同，本框架把“内卷”定位为分割市场与扭曲激励的系统产物，从而把治理重心从规训企业行为转向重构制度环境。第二，它把“反内卷”与“建设统一大市场”两大政策议程整合为一个因果链条的两端，揭示了二者“一体两面”的内在关系——2025年中央经济工作会议将“制定全国统一大市场建设条例，深入整治‘内卷式’竞争”置于同一句部署，正与本框架的逻辑相互印证。第三，框架的每一环都被表述为可检验的经验命题，理论、测度与实证在全书范围内首尾贯通：第四章给出数理基础，第六章给出测度方案，第七章呈现分割与统一水平的事实，第八章检验第一环，第九章检验第三环，第十章以案例透视第二环的微观机理，第十一章则依循第三环设计政策路径。</w:t>
      </w:r>
    </w:p>
    <w:p>
      <w:pPr>
        <w:spacing w:before="200" w:after="160" w:line="360" w:lineRule="auto"/>
        <w:outlineLvl w:val="1"/>
      </w:pPr>
      <w:r>
        <w:rPr>
          <w:rFonts w:ascii="Times New Roman" w:hAnsi="Times New Roman" w:eastAsia="黑体"/>
          <w:b w:val="0"/>
          <w:sz w:val="28"/>
        </w:rPr>
        <w:t>（三）“内卷式竞争陷阱”的形成机理：四重扭曲</w:t>
      </w:r>
    </w:p>
    <w:p>
      <w:pPr>
        <w:spacing w:before="0" w:after="0" w:line="360" w:lineRule="auto"/>
        <w:ind w:firstLineChars="200" w:firstLine="480"/>
      </w:pPr>
      <w:r>
        <w:rPr>
          <w:rFonts w:ascii="Times New Roman" w:hAnsi="Times New Roman" w:eastAsia="宋体"/>
          <w:b w:val="0"/>
          <w:sz w:val="24"/>
        </w:rPr>
        <w:t>三环框架的第一环——分割如何催生内卷——是整个理论的枢纽，需要在机理层面逐一深描。本书将其归纳为四重扭曲：地方激励扭曲改变“为何生产”的目标函数，要素价格扭曲改变“以何成本生产”的约束条件，退出机制失灵改变“何时停止生产”的边界规则，需求约束收紧则改变“为谁生产”的市场容量。四重扭曲的作用位置与相互关系如图3.2所示。</w:t>
      </w:r>
    </w:p>
    <w:p>
      <w:pPr>
        <w:spacing w:before="120"/>
        <w:jc w:val="center"/>
      </w:pPr>
      <w:r>
        <w:drawing>
          <wp:inline xmlns:a="http://schemas.openxmlformats.org/drawingml/2006/main" xmlns:pic="http://schemas.openxmlformats.org/drawingml/2006/picture">
            <wp:extent cx="5112000" cy="3258007"/>
            <wp:docPr id="5" name="Picture 5"/>
            <wp:cNvGraphicFramePr>
              <a:graphicFrameLocks noChangeAspect="1"/>
            </wp:cNvGraphicFramePr>
            <a:graphic>
              <a:graphicData uri="http://schemas.openxmlformats.org/drawingml/2006/picture">
                <pic:pic>
                  <pic:nvPicPr>
                    <pic:cNvPr id="0" name="fig_3_2.png"/>
                    <pic:cNvPicPr/>
                  </pic:nvPicPr>
                  <pic:blipFill>
                    <a:blip r:embed="rId13"/>
                    <a:stretch>
                      <a:fillRect/>
                    </a:stretch>
                  </pic:blipFill>
                  <pic:spPr>
                    <a:xfrm>
                      <a:off x="0" y="0"/>
                      <a:ext cx="5112000" cy="3258007"/>
                    </a:xfrm>
                    <a:prstGeom prst="rect"/>
                  </pic:spPr>
                </pic:pic>
              </a:graphicData>
            </a:graphic>
          </wp:inline>
        </w:drawing>
      </w:r>
    </w:p>
    <w:p>
      <w:pPr>
        <w:spacing w:before="120" w:after="120" w:line="312" w:lineRule="auto"/>
        <w:jc w:val="center"/>
      </w:pPr>
      <w:r>
        <w:rPr>
          <w:rFonts w:ascii="Times New Roman" w:hAnsi="Times New Roman" w:eastAsia="黑体"/>
          <w:b w:val="0"/>
          <w:sz w:val="21"/>
        </w:rPr>
        <w:t>图3.2　“内卷式竞争陷阱”形成机理：四重扭曲</w:t>
      </w:r>
    </w:p>
    <w:p>
      <w:pPr>
        <w:spacing w:before="0" w:after="0" w:line="360" w:lineRule="auto"/>
        <w:ind w:firstLineChars="200" w:firstLine="480"/>
      </w:pPr>
      <w:r>
        <w:rPr>
          <w:rFonts w:ascii="Times New Roman" w:hAnsi="Times New Roman" w:eastAsia="宋体"/>
          <w:b w:val="0"/>
          <w:sz w:val="24"/>
        </w:rPr>
        <w:t>图3.2显示，四重扭曲分别作用于企业决策链条的不同环节——目标、成本、退出与需求，并通过“重复建设→产能过剩→价格战→利润坍塌→退出受阻”的路径汇流于“内卷式竞争陷阱”。以下逐一展开。</w:t>
      </w:r>
    </w:p>
    <w:p>
      <w:pPr>
        <w:spacing w:before="160" w:after="120" w:line="360" w:lineRule="auto"/>
        <w:outlineLvl w:val="2"/>
      </w:pPr>
      <w:r>
        <w:rPr>
          <w:rFonts w:ascii="Times New Roman" w:hAnsi="Times New Roman" w:eastAsia="黑体"/>
          <w:b w:val="0"/>
          <w:sz w:val="24"/>
        </w:rPr>
        <w:t>1．地方激励扭曲：晋升锦标赛、土地财政与招商引资竞赛</w:t>
      </w:r>
    </w:p>
    <w:p>
      <w:pPr>
        <w:spacing w:before="0" w:after="0" w:line="360" w:lineRule="auto"/>
        <w:ind w:firstLineChars="200" w:firstLine="480"/>
      </w:pPr>
      <w:r>
        <w:rPr>
          <w:rFonts w:ascii="Times New Roman" w:hAnsi="Times New Roman" w:eastAsia="宋体"/>
          <w:b w:val="0"/>
          <w:sz w:val="24"/>
        </w:rPr>
        <w:t>第一重扭曲发生在地方政府的目标函数层面。在“晋升锦标赛”治理模式下，地方官员围绕GDP增长等可量化指标展开横向竞争，经济绩效构成晋升概率的重要函数（周黎安，2007），由此内生出强烈的“为增长而竞争”冲动。这一冲动经由两条财政渠道进一步强化：一是生产地原则的税制安排，使每单位本地产出都对应着增值税等税收留成，地方财政收入与本地产值深度绑定，统一市场视角下的财政激励研究已系统揭示了这一机制（吕冰洋、贺颖，2022）；二是土地财政，分税制后地方政府对土地出让收入的依赖，使“低价供应工业用地引企业、高价出让商住用地取收益”成为普遍的经营策略（孙秀林、周飞舟，2013）。目标函数的偏移落实为行为，就是愈演愈烈的招商引资竞赛：以税收减免、财政奖补、低价供地竞逐同一批热门产业项目。其后果有二。一是重复建设：当各地依据同一份“风口产业清单”而非本地比较优势配置资源时，产业布局必然高度趋同——31个省份“十五五”规划全部提及新能源（据新华社扫描）即为明证；截至2018年版审核公告目录，全国各类开发区已达2543家，载体的普遍化本身就是竞赛烈度的注脚。二是财政资源的竞争性耗散：审计署《2022年度审计工作报告》披露，55个地区违规或变相返还税收、土地出让金等225.08亿元，招商优惠的层层加码实质上是把公共资源转化为企业的进入补贴。激励扭曲是四重扭曲中的“总开关”：它决定了地方政府乐于制造并维持后续三重扭曲。</w:t>
      </w:r>
    </w:p>
    <w:p>
      <w:pPr>
        <w:spacing w:before="160" w:after="120" w:line="360" w:lineRule="auto"/>
        <w:outlineLvl w:val="2"/>
      </w:pPr>
      <w:r>
        <w:rPr>
          <w:rFonts w:ascii="Times New Roman" w:hAnsi="Times New Roman" w:eastAsia="黑体"/>
          <w:b w:val="0"/>
          <w:sz w:val="24"/>
        </w:rPr>
        <w:t>2．要素价格扭曲：成本外部化与过度进入</w:t>
      </w:r>
    </w:p>
    <w:p>
      <w:pPr>
        <w:spacing w:before="0" w:after="0" w:line="360" w:lineRule="auto"/>
        <w:ind w:firstLineChars="200" w:firstLine="480"/>
      </w:pPr>
      <w:r>
        <w:rPr>
          <w:rFonts w:ascii="Times New Roman" w:hAnsi="Times New Roman" w:eastAsia="宋体"/>
          <w:b w:val="0"/>
          <w:sz w:val="24"/>
        </w:rPr>
        <w:t>第二重扭曲发生在企业的成本约束层面。地方政府手中掌握着土地、信贷协调、电价优惠、基础设施配套等要素资源的配置权，招商竞赛使这些资源以低于市场均衡价格的方式注入目标企业：工业用地以成本价乃至“零地价”供应，项目贷款获得政府隐性背书与贴息，电价、厂房代建、固定资产投资返还等优惠叠加其上。国家能源局转载的行业分析即指出，地方政府以税收减免、电价优惠、厂房代建、固投返还等政策“一哄而上”招商，是光伏产能过剩的重要成因；对光伏这一新兴产业的案例研究同样表明，政府不当干预是产能过剩的关键推手（余东华、吕逸楠，2015）。要素价格扭曲的经济学后果是私人成本与社会成本的系统性背离：企业投资决策所依据的成本曲线被人为下移，原本不可行的项目变得“可行”，进入门槛被人为拉低，而真实的资源成本则外部化给财政与社会承担。如前文所引“潮涌现象”理论所指出的，发展中国家对前景产业的社会共识本已容易引发投资潮涌；当共识遇上补贴，潮涌便升级为海啸——重复建设的体制性成因研究早已论证，中国的产能过剩更多源于体制扭曲而非单纯的市场失灵（江飞涛、曹建海，2009）。光伏行业的数字触目惊心：据联合资信统计，2024年底国内多晶硅实际有效产能约289.5万吨/年，冗余度超过100%，硅片、电池、组件年产能分别约1084GW、1100GW、1218GW，而2025年全球乐观需求预期仅约600GW。产能一旦形成便是沉没的：高固定成本、低边际成本的成本结构决定了企业在价格跌破平均成本后仍会继续生产，只要价格尚能覆盖边际成本——这正是“量价螺旋”的微观基础。2024年11月工信部将光伏制造项目最低资本金比例由20%提高至30%，正是从资本约束端矫正这一扭曲的政策尝试。</w:t>
      </w:r>
    </w:p>
    <w:p>
      <w:pPr>
        <w:spacing w:before="160" w:after="120" w:line="360" w:lineRule="auto"/>
        <w:outlineLvl w:val="2"/>
      </w:pPr>
      <w:r>
        <w:rPr>
          <w:rFonts w:ascii="Times New Roman" w:hAnsi="Times New Roman" w:eastAsia="黑体"/>
          <w:b w:val="0"/>
          <w:sz w:val="24"/>
        </w:rPr>
        <w:t>3．退出机制失灵：僵尸企业、地方庇护与出清梗阻</w:t>
      </w:r>
    </w:p>
    <w:p>
      <w:pPr>
        <w:spacing w:before="0" w:after="0" w:line="360" w:lineRule="auto"/>
        <w:ind w:firstLineChars="200" w:firstLine="480"/>
      </w:pPr>
      <w:r>
        <w:rPr>
          <w:rFonts w:ascii="Times New Roman" w:hAnsi="Times New Roman" w:eastAsia="宋体"/>
          <w:b w:val="0"/>
          <w:sz w:val="24"/>
        </w:rPr>
        <w:t>第三重扭曲发生在市场过程的末端。竞争机制的完整性依赖于“奖优”与“罚劣”的对称：优者扩张、劣者退出，行业才能完成新陈代谢。中国市场的现实是进入端过度拥挤而退出端严重淤塞，其成因有三。一是破产制度供给不足：破产程序周期长、成本高、适用面窄，大量“该死未死”的企业滞留市场，《“十五五”规划纲要》要求“健全企业破产制度，探索建立覆盖所有经营主体的简易退出机制”，正是对这一短板的直接回应。二是地方庇护：本地企业退出意味着GDP、税收、就业的即期损失与不良贷款的显性化，地方政府因而有强烈动机通过续贷协调、补贴续命、政府采购倾斜等方式维持“僵尸企业”存活；司法过程亦难独善其身——司法去地方化改革显著促进了企业破产出清的经验证据，从反面印证了地方干预对退出机制的扭曲（丁海等，2024）。三是社会稳定考量：产能集中退出伴随集中失业风险，在社会保障与再就业体系尚不健全的条件下，“稳”的短期诉求常常压倒“汰”的长期效率。退出失灵的代价是双重的：存量上，低效企业占用的信贷、土地、劳动力无法释放，资源误置直接拉低加总生产率——中国制造业内部的资源误置程度及其生产率代价已被反复证实（聂辉华、贾瑞雪，2011）；增量上，过剩产能滞留使价格战永无宁日，拖住全行业在亏损线附近“沉没竞争”。值得注意的是，公平竞争审查制度的刚性化已显示出疏通退出渠道的功效，经验研究发现其显著促进了僵尸企业出清（李靖、毕茜，2025）——这为本书第九章的DID识别提供了机制线索。</w:t>
      </w:r>
    </w:p>
    <w:p>
      <w:pPr>
        <w:spacing w:before="160" w:after="120" w:line="360" w:lineRule="auto"/>
        <w:outlineLvl w:val="2"/>
      </w:pPr>
      <w:r>
        <w:rPr>
          <w:rFonts w:ascii="Times New Roman" w:hAnsi="Times New Roman" w:eastAsia="黑体"/>
          <w:b w:val="0"/>
          <w:sz w:val="24"/>
        </w:rPr>
        <w:t>4．需求约束收紧：“供强需弱”对“内卷”的放大</w:t>
      </w:r>
    </w:p>
    <w:p>
      <w:pPr>
        <w:spacing w:before="0" w:after="0" w:line="360" w:lineRule="auto"/>
        <w:ind w:firstLineChars="200" w:firstLine="480"/>
      </w:pPr>
      <w:r>
        <w:rPr>
          <w:rFonts w:ascii="Times New Roman" w:hAnsi="Times New Roman" w:eastAsia="宋体"/>
          <w:b w:val="0"/>
          <w:sz w:val="24"/>
        </w:rPr>
        <w:t>第四重扭曲发生在市场容量层面，它虽非分割直接所致，却是“内卷”烈度的关键放大器。中国经济的需求结构长期呈现消费偏低、投资偏高的特征：据世界银行WDI口径，2023年中国居民消费率为39.1%，不仅远低于56.6%的全球均值，在149个经济体中排名倒数第10（北京大学王敏的研究）；即便计入政府消费，2023年最终消费率55.6%亦显著低于发达国家普遍约80%的水平（国家统计局表述），而资本形成率长期保持40%以上量级、显著高于世界平均（《统计研究》文献口径）。高投资意味着产能的持续高速形成，低消费意味着产能对应的最终需求相对不足，“供强需弱”由此成为结构性常态；人口老龄化对消费需求的约束则使这一格局更趋刚性（蔡昉、王美艳，2021）。需求约束对“内卷”的放大机制在于：市场容量决定竞争的性质——在增量市场中，同质企业尚可各自分享增长；一旦转入存量市场，同样的产能格局立即演化为刺刀见红的份额争夺。2022年以来的宏观数据清晰记录了这一转折：PPI于2022年10月转负并连续39个月负增长（据国家统计局数据），GDP平减指数自2023年二季度转负后至2025年四季度已连续11个季度为负（财新、北京大学国家发展研究院测算口径），同期本书测度的内卷强度指数由0.398升至0.470的样本期峰值。外需的波动进一步收紧约束：据机电商会数据，2024年光伏产品出口额下降33%、组件“量增价减”，出口对过剩产能的吸纳能力明显减弱。需求约束的存在意味着，治理“内卷”不能只做供给侧的减法，还必须做需求侧的加法——这正是中央“坚持扩大内需这个战略基点”“投资于物和投资于人紧密结合”部署的深意，也是本书第十一章将扩大内需列为统一大市场协同政策的原因。</w:t>
      </w:r>
    </w:p>
    <w:p>
      <w:pPr>
        <w:spacing w:before="0" w:after="0" w:line="360" w:lineRule="auto"/>
        <w:ind w:firstLineChars="200" w:firstLine="480"/>
      </w:pPr>
      <w:r>
        <w:rPr>
          <w:rFonts w:ascii="Times New Roman" w:hAnsi="Times New Roman" w:eastAsia="宋体"/>
          <w:b w:val="0"/>
          <w:sz w:val="24"/>
        </w:rPr>
        <w:t>四重扭曲并非机械并列，而是存在清晰的耦合结构：地方激励扭曲是源头性的“总开关”，它驱动地方政府制造要素价格扭曲（以补贴引进入）并维持退出机制失灵（以保护阻退出）；要素价格扭曲负责“放进来”，退出失灵负责“出不去”，一进一堵之间产能持续淤积；需求约束收紧则从外部压缩市场容量，使淤积的产能加速转化为价格战。四者共同作用，把分割市场中的企业逼入“不卷即死、越卷越死”的囚徒困境。反过来，这一耦合结构也规定了治理的系统性：第十一章的政策设计之所以强调“条例＋清单＋工具箱”的组合而非单兵突进，理论根据正在于此。</w:t>
      </w:r>
    </w:p>
    <w:p>
      <w:pPr>
        <w:spacing w:before="200" w:after="160" w:line="360" w:lineRule="auto"/>
        <w:outlineLvl w:val="1"/>
      </w:pPr>
      <w:r>
        <w:rPr>
          <w:rFonts w:ascii="Times New Roman" w:hAnsi="Times New Roman" w:eastAsia="黑体"/>
          <w:b w:val="0"/>
          <w:sz w:val="28"/>
        </w:rPr>
        <w:t>（四）“统一市场红利”的释放机制：四大效应</w:t>
      </w:r>
    </w:p>
    <w:p>
      <w:pPr>
        <w:spacing w:before="0" w:after="0" w:line="360" w:lineRule="auto"/>
        <w:ind w:firstLineChars="200" w:firstLine="480"/>
      </w:pPr>
      <w:r>
        <w:rPr>
          <w:rFonts w:ascii="Times New Roman" w:hAnsi="Times New Roman" w:eastAsia="宋体"/>
          <w:b w:val="0"/>
          <w:sz w:val="24"/>
        </w:rPr>
        <w:t>如果说四重扭曲刻画了“病理”，那么四大效应刻画的就是“药理”：统一大市场建设通过何种渠道把陷阱代价转化为增长与福利增量。对应式(3-2)的福利分解，本节依次阐述规模经济效应、选择效应、创新激励效应与预期（秩序）效应的作用机理，四大效应的传导路径如图3.3所示。</w:t>
      </w:r>
    </w:p>
    <w:p>
      <w:pPr>
        <w:spacing w:before="120"/>
        <w:jc w:val="center"/>
      </w:pPr>
      <w:r>
        <w:drawing>
          <wp:inline xmlns:a="http://schemas.openxmlformats.org/drawingml/2006/main" xmlns:pic="http://schemas.openxmlformats.org/drawingml/2006/picture">
            <wp:extent cx="5112000" cy="3142132"/>
            <wp:docPr id="6" name="Picture 6"/>
            <wp:cNvGraphicFramePr>
              <a:graphicFrameLocks noChangeAspect="1"/>
            </wp:cNvGraphicFramePr>
            <a:graphic>
              <a:graphicData uri="http://schemas.openxmlformats.org/drawingml/2006/picture">
                <pic:pic>
                  <pic:nvPicPr>
                    <pic:cNvPr id="0" name="fig_3_3.png"/>
                    <pic:cNvPicPr/>
                  </pic:nvPicPr>
                  <pic:blipFill>
                    <a:blip r:embed="rId14"/>
                    <a:stretch>
                      <a:fillRect/>
                    </a:stretch>
                  </pic:blipFill>
                  <pic:spPr>
                    <a:xfrm>
                      <a:off x="0" y="0"/>
                      <a:ext cx="5112000" cy="3142132"/>
                    </a:xfrm>
                    <a:prstGeom prst="rect"/>
                  </pic:spPr>
                </pic:pic>
              </a:graphicData>
            </a:graphic>
          </wp:inline>
        </w:drawing>
      </w:r>
    </w:p>
    <w:p>
      <w:pPr>
        <w:spacing w:before="120" w:after="120" w:line="312" w:lineRule="auto"/>
        <w:jc w:val="center"/>
      </w:pPr>
      <w:r>
        <w:rPr>
          <w:rFonts w:ascii="Times New Roman" w:hAnsi="Times New Roman" w:eastAsia="黑体"/>
          <w:b w:val="0"/>
          <w:sz w:val="21"/>
        </w:rPr>
        <w:t>图3.3　“统一市场红利”释放的四大效应机制</w:t>
      </w:r>
    </w:p>
    <w:p>
      <w:pPr>
        <w:spacing w:before="0" w:after="0" w:line="360" w:lineRule="auto"/>
        <w:ind w:firstLineChars="200" w:firstLine="480"/>
      </w:pPr>
      <w:r>
        <w:rPr>
          <w:rFonts w:ascii="Times New Roman" w:hAnsi="Times New Roman" w:eastAsia="宋体"/>
          <w:b w:val="0"/>
          <w:sz w:val="24"/>
        </w:rPr>
        <w:t>图3.3显示，四大效应分别从市场容量、资源配置、动态激励与制度环境四个层面发力，且在时间维度上呈现“规模与秩序效应见效在先、选择效应居中、创新效应见效最缓但最持久”的梯次结构。以下逐一展开。</w:t>
      </w:r>
    </w:p>
    <w:p>
      <w:pPr>
        <w:spacing w:before="160" w:after="120" w:line="360" w:lineRule="auto"/>
        <w:outlineLvl w:val="2"/>
      </w:pPr>
      <w:r>
        <w:rPr>
          <w:rFonts w:ascii="Times New Roman" w:hAnsi="Times New Roman" w:eastAsia="黑体"/>
          <w:b w:val="0"/>
          <w:sz w:val="24"/>
        </w:rPr>
        <w:t>1．规模经济效应：从分割市场到超大规模市场</w:t>
      </w:r>
    </w:p>
    <w:p>
      <w:pPr>
        <w:spacing w:before="0" w:after="0" w:line="360" w:lineRule="auto"/>
        <w:ind w:firstLineChars="200" w:firstLine="480"/>
      </w:pPr>
      <w:r>
        <w:rPr>
          <w:rFonts w:ascii="Times New Roman" w:hAnsi="Times New Roman" w:eastAsia="宋体"/>
          <w:b w:val="0"/>
          <w:sz w:val="24"/>
        </w:rPr>
        <w:t>规模经济效应是统一市场红利中最直观的一项。市场分割把超大规模经济体切割为数十个中小规模的区域市场，企业实际可达的需求半径远小于全国市场的名义规模，固定成本只能在有限销量上摊薄，最小有效规模难以实现，分工深化与专业化生产受到抑制——这正是斯密定理“分工受市场范围限制”的当代注脚。新经济地理学进一步揭示，在规模报酬递增条件下，市场规模本身就是竞争优势的来源，本地市场效应使大市场孕育强产业。破除分割的直接收益因此包括三个层次：其一，流通成本的节约——据中国物流与采购联合会数据，社会物流总费用与GDP的比率由2012年的约18.0%降至2024年的14.1%、2025年进一步降至13.9%并首次低于14%，其中2024年的比率水平相当于年节约物流成本超4000亿元，而交通基础设施建设对打破市场分割的作用已获系统的经验支持（范欣等，2017）；其二，固定成本的摊薄——研发、模具、认证、品牌等一次性投入可在全国市场规模上回收，单位成本曲线整体下移；其三，分工的深化——统一市场使专业化供应商能够依托全国需求生存，产业链的迂回程度与专业化水平随之提高。需要指出的是，规模经济效应的受益者并非只有大企业：统一规则降低的跨区经营门槛，对缺乏资源打点“一地一策”的中小企业而言边际意义更大。</w:t>
      </w:r>
    </w:p>
    <w:p>
      <w:pPr>
        <w:spacing w:before="160" w:after="120" w:line="360" w:lineRule="auto"/>
        <w:outlineLvl w:val="2"/>
      </w:pPr>
      <w:r>
        <w:rPr>
          <w:rFonts w:ascii="Times New Roman" w:hAnsi="Times New Roman" w:eastAsia="黑体"/>
          <w:b w:val="0"/>
          <w:sz w:val="24"/>
        </w:rPr>
        <w:t>2．选择效应：优胜劣汰与资源再配置</w:t>
      </w:r>
    </w:p>
    <w:p>
      <w:pPr>
        <w:spacing w:before="0" w:after="0" w:line="360" w:lineRule="auto"/>
        <w:ind w:firstLineChars="200" w:firstLine="480"/>
      </w:pPr>
      <w:r>
        <w:rPr>
          <w:rFonts w:ascii="Times New Roman" w:hAnsi="Times New Roman" w:eastAsia="宋体"/>
          <w:b w:val="0"/>
          <w:sz w:val="24"/>
        </w:rPr>
        <w:t>选择效应是统一市场红利中最具“结构改革”色彩的一项。异质性企业贸易理论表明，市场一体化通过加剧竞争抬高企业的生存生产率门槛，低效企业退出、高效企业扩张，行业加总生产率在企业份额的再配置中得到提升（Melitz，2003）；而资源误置研究则从反面标定了这一效应在中国的潜在空间——若将中国制造业内部的资源配置效率提升至美国水平，全要素生产率可获得大幅改善（Hsieh和Klenow，2009）。市场分割恰恰是误置的重要制度根源：地方保护使低效企业免于竞争淘汰，属地化的要素配置使资本、土地流不到效率最高的企业手中。统一大市场重启选择效应的机制有三：一是竞争暴露，外地高效企业的进入使本地低效企业无处遁形；二是要素重估，全国统一的要素市场使资源按回报率而非行政归属流动；三是退出畅通，破产制度与简易退出机制把“劣汰”从应然变为实然。本书第九章的实证结果为选择效应提供了直接证据：公平竞争审查处理强度更高的省份，行业内加成率离散度（资源误置的代理指标）显著下降0.038，省域全要素生产率相对提高约1.4%。选择效应与“反内卷”的关系尤为直接：“内卷”的本质是劣者不汰导致优者不胜，选择效应的恢复正是对“退出失灵”扭曲的点对点矫正。</w:t>
      </w:r>
    </w:p>
    <w:p>
      <w:pPr>
        <w:spacing w:before="160" w:after="120" w:line="360" w:lineRule="auto"/>
        <w:outlineLvl w:val="2"/>
      </w:pPr>
      <w:r>
        <w:rPr>
          <w:rFonts w:ascii="Times New Roman" w:hAnsi="Times New Roman" w:eastAsia="黑体"/>
          <w:b w:val="0"/>
          <w:sz w:val="24"/>
        </w:rPr>
        <w:t>3．创新激励效应：竞争逃离与回报规模化</w:t>
      </w:r>
    </w:p>
    <w:p>
      <w:pPr>
        <w:spacing w:before="0" w:after="0" w:line="360" w:lineRule="auto"/>
        <w:ind w:firstLineChars="200" w:firstLine="480"/>
      </w:pPr>
      <w:r>
        <w:rPr>
          <w:rFonts w:ascii="Times New Roman" w:hAnsi="Times New Roman" w:eastAsia="宋体"/>
          <w:b w:val="0"/>
          <w:sz w:val="24"/>
        </w:rPr>
        <w:t>创新激励效应决定统一市场红利的长期高度。其作用机理包含彼此强化的两翼。一翼是“回报规模化”：创新是典型的高固定成本活动，研发投入能否回收取决于创新产品可达的市场规模，统一市场使一次创新的回报在全国范围内规模化，创新的期望收益率系统性上升——这与内生增长理论中市场规模驱动研发的经典逻辑一致。另一翼是“竞争逃离”：竞争与创新之间存在倒U型关系，适度且公平的竞争压力促使企业通过创新“逃离竞争”、获取暂时的垄断租金（Aghion等，2005）；而“内卷式”竞争恰恰堵死了这条通道——当补贴与保护使低效企业与高效企业在同一价格泥潭中缠斗时，创新既不能带来份额优势（劣者不退），也不能带来利润优势（价格已至成本之下），“逃离”无门，企业只能“躺平内卷”。统一大市场从两端重启创新激励：以规则统一保证创新者能以质量与技术赢得市场，以要素与商品流动保证创新回报的规模化兑现。经验证据同样支持这一机制：公平竞争审查制度显著促进了企业创新（杨兴全、张可欣，2023）；本书第九章发现，政策处理强度更高的省份新产品销售收入占比显著提高0.71个百分点、发明专利申请显著增加约5.5%。宏观数据的背景是，据国家统计局数据，2025年全社会研发经费约3.9万亿元、投入强度2.80%，首次超过OECD国家平均水平（2.70%），企业研发经费占比约77%——在研发要素总量已具规模的条件下，能否通过统一市场把“研发投入”高效转化为“创新回报”，正成为决定创新绩效的边际变量。</w:t>
      </w:r>
    </w:p>
    <w:p>
      <w:pPr>
        <w:spacing w:before="160" w:after="120" w:line="360" w:lineRule="auto"/>
        <w:outlineLvl w:val="2"/>
      </w:pPr>
      <w:r>
        <w:rPr>
          <w:rFonts w:ascii="Times New Roman" w:hAnsi="Times New Roman" w:eastAsia="黑体"/>
          <w:b w:val="0"/>
          <w:sz w:val="24"/>
        </w:rPr>
        <w:t>4．预期与秩序效应：确定性作为生产力</w:t>
      </w:r>
    </w:p>
    <w:p>
      <w:pPr>
        <w:spacing w:before="0" w:after="0" w:line="360" w:lineRule="auto"/>
        <w:ind w:firstLineChars="200" w:firstLine="480"/>
      </w:pPr>
      <w:r>
        <w:rPr>
          <w:rFonts w:ascii="Times New Roman" w:hAnsi="Times New Roman" w:eastAsia="宋体"/>
          <w:b w:val="0"/>
          <w:sz w:val="24"/>
        </w:rPr>
        <w:t>预期与秩序效应是四大效应中最容易被低估、却在当前阶段最为紧要的一项。企业的投资与创新决策本质上是跨期决策，其函数中除了收益与成本，还有一个关键自变量——确定性。市场分割与“内卷式”竞争恰恰制造了双重不确定：规则的不确定——地方政策朝令夕改、区别对待，企业无法预期跨区经营的制度成本；价格的不确定——无序价格战使任何投资测算的收入端假设失效，通缩预期又使观望成为理性选择。统一大市场建设从两个方向重建确定性。其一是规则确定性：公平竞争审查的刚性约束压缩了政策的任意空间——据市场监管总局及人民日报报道的数据，公平竞争审查制度建立十年来累计审查政策措施188万件、废止和修订排除限制竞争的政策措施12.3万件，制度化的审查把“政策竞争”关进了规则的笼子；放松准入管制促进企业跨地区投资的证据（白俊等，2024），说明规则统一直接转化为企业用真金白银投票的行动。其二是价格秩序确定性：“反内卷”治理通过遏制低于成本销售、约束无序补贴，推动价格信号向成本与价值回归——据国家统计局数据，2025年12月PPI同比降幅收窄至1.9%、为2024年9月以来最小降幅，核心CPI连续4个月保持1%以上；据硅业分会数据，多晶硅N型复投料价格自2025年7月起回升，9月底较6月底上涨约55%。价格秩序的初步修复与本书第九章“处理强度更高省份规上工业利润率显著提高0.28个百分点”的估计相互印证。预期与秩序效应的独特之处在于其“快变量”属性：制度信号一经确立即可改变预期，无须等待物质资本的调整周期，因而是短期内撬动红利释放的首选支点。</w:t>
      </w:r>
    </w:p>
    <w:p>
      <w:pPr>
        <w:spacing w:before="0" w:after="0" w:line="360" w:lineRule="auto"/>
        <w:ind w:firstLineChars="200" w:firstLine="480"/>
      </w:pPr>
      <w:r>
        <w:rPr>
          <w:rFonts w:ascii="Times New Roman" w:hAnsi="Times New Roman" w:eastAsia="宋体"/>
          <w:b w:val="0"/>
          <w:sz w:val="24"/>
        </w:rPr>
        <w:t>综合来看，四大效应之间存在“空间—配置—动态—制度”的层次递进与相互增强关系：规模效应扩大市场容量，为选择效应提供竞争舞台；选择效应优化资源配置，为创新效应腾挪要素与利润空间；创新效应提升增长质量，反过来扩大市场规模；预期与秩序效应则为前三者提供制度性的运行环境。也正因如此，式(3-2)中的四个分项并非简单可加的独立项，其交互项在中长期可能远大于各自的直接效应。同时必须清醒认识到调整成本</w:t>
      </w:r>
      <m:oMath>
        <m:box>
          <m:e>
            <m:sSub>
              <m:e>
                <m:r>
                  <m:rPr>
                    <m:sty m:val="i"/>
                  </m:rPr>
                  <m:t>C</m:t>
                </m:r>
              </m:e>
              <m:sub>
                <m:box>
                  <m:e>
                    <m:r>
                      <m:rPr>
                        <m:sty m:val="i"/>
                      </m:rPr>
                      <m:t>A</m:t>
                    </m:r>
                    <m:r>
                      <m:rPr>
                        <m:sty m:val="i"/>
                      </m:rPr>
                      <m:t>D</m:t>
                    </m:r>
                    <m:r>
                      <m:rPr>
                        <m:sty m:val="i"/>
                      </m:rPr>
                      <m:t>J</m:t>
                    </m:r>
                  </m:e>
                </m:box>
              </m:sub>
            </m:sSub>
          </m:e>
        </m:box>
      </m:oMath>
      <w:r>
        <w:rPr>
          <w:rFonts w:ascii="Times New Roman" w:hAnsi="Times New Roman" w:eastAsia="宋体"/>
          <w:b w:val="0"/>
          <w:sz w:val="24"/>
        </w:rPr>
        <w:t>的现实性：选择效应意味着一批企业退出与一批岗位转换，规模效应意味着部分地区产业份额的再分布，若无破产、社保、转移支付等配套制度平滑调整成本，红利释放可能因利益阻力而搁浅。红利不会自动到来——这正是“十五五”时期需要以“条例＋清单＋工具箱”推动统一大市场纵深推进的经济学理由，本书第十一章将循此展开政策设计。</w:t>
      </w:r>
    </w:p>
    <w:p>
      <w:pPr>
        <w:spacing w:before="200" w:after="160" w:line="360" w:lineRule="auto"/>
        <w:outlineLvl w:val="1"/>
      </w:pPr>
      <w:r>
        <w:rPr>
          <w:rFonts w:ascii="Times New Roman" w:hAnsi="Times New Roman" w:eastAsia="黑体"/>
          <w:b w:val="0"/>
          <w:sz w:val="28"/>
        </w:rPr>
        <w:t>（五）理论对话与本土化创新</w:t>
      </w:r>
    </w:p>
    <w:p>
      <w:pPr>
        <w:spacing w:before="0" w:after="0" w:line="360" w:lineRule="auto"/>
        <w:ind w:firstLineChars="200" w:firstLine="480"/>
      </w:pPr>
      <w:r>
        <w:rPr>
          <w:rFonts w:ascii="Times New Roman" w:hAnsi="Times New Roman" w:eastAsia="宋体"/>
          <w:b w:val="0"/>
          <w:sz w:val="24"/>
        </w:rPr>
        <w:t>本书提出的“内卷式竞争陷阱”与“统一市场红利”并非凭空创造，而是站在多个成熟理论传统的交汇处、面向中国场景的再抽象。本节依次与新古典竞争理论、日本“过当竞争”论、财政联邦主义与新经济地理展开对话，在辨析异同中阐明本书的边际贡献、中国场景的特殊性与理论的适用边界。</w:t>
      </w:r>
    </w:p>
    <w:p>
      <w:pPr>
        <w:spacing w:before="160" w:after="120" w:line="360" w:lineRule="auto"/>
        <w:outlineLvl w:val="2"/>
      </w:pPr>
      <w:r>
        <w:rPr>
          <w:rFonts w:ascii="Times New Roman" w:hAnsi="Times New Roman" w:eastAsia="黑体"/>
          <w:b w:val="0"/>
          <w:sz w:val="24"/>
        </w:rPr>
        <w:t>1．与新古典竞争理论的对话：竞争何以“过度”</w:t>
      </w:r>
    </w:p>
    <w:p>
      <w:pPr>
        <w:spacing w:before="0" w:after="0" w:line="360" w:lineRule="auto"/>
        <w:ind w:firstLineChars="200" w:firstLine="480"/>
      </w:pPr>
      <w:r>
        <w:rPr>
          <w:rFonts w:ascii="Times New Roman" w:hAnsi="Times New Roman" w:eastAsia="宋体"/>
          <w:b w:val="0"/>
          <w:sz w:val="24"/>
        </w:rPr>
        <w:t>新古典经济学的基准结论是竞争增进福利：完全竞争均衡实现帕累托效率，竞争越充分，价格越接近边际成本，配置效率越高。以此观之，“内卷式”竞争似乎是一个伪命题——价格战压低价格，消费者得益，何“卷”之有？然而，产业组织理论早已在新古典框架内部揭示了自由进入未必最优的可能：在存在固定成本与商业窃取效应（business stealing）的市场中，新进入者的私人收益包含从在位者手中夺取的存量利润，而这部分对社会而言只是转移而非创造，因此自由进入均衡的企业数量系统性地超过社会最优水平，此即“过度进入定理”（Mankiw和Whinston，1986）；空间竞争模型同样表明，差异化市场中的自由进入会导致企业过多、平均成本过高的无效率均衡（Salop，1979）。本书的贡献在于指出：中国场景把“过度进入”的一般逻辑放大为“内卷陷阱”的特殊均衡。其一，补贴使私人进入成本进一步低于社会成本，过度进入偏差被制度性放大；其二，市场分割使同一产业在数十个行政区内重复上演进入博弈，全国加总的过度进入呈倍数扩张；其三，退出失灵切断了新古典框架中“亏损—退出—价格回升”的自我矫正回路，使静态的过度进入固化为动态的持续过剩。因此，“内卷式”竞争不是对竞争理论的否定，而是竞争理论在扭曲条件下的推论：问题不在竞争本身，而在竞争赖以运行的价格信号与进出规则被扭曲。治理的方向相应地不是限制竞争，而是修复竞争的制度基础设施——这一定位使本书与任何形式的“反竞争”主张划清了界限。</w:t>
      </w:r>
    </w:p>
    <w:p>
      <w:pPr>
        <w:spacing w:before="160" w:after="120" w:line="360" w:lineRule="auto"/>
        <w:outlineLvl w:val="2"/>
      </w:pPr>
      <w:r>
        <w:rPr>
          <w:rFonts w:ascii="Times New Roman" w:hAnsi="Times New Roman" w:eastAsia="黑体"/>
          <w:b w:val="0"/>
          <w:sz w:val="24"/>
        </w:rPr>
        <w:t>2．与日本“过当竞争”论的对话：他山之石与镜鉴边界</w:t>
      </w:r>
    </w:p>
    <w:p>
      <w:pPr>
        <w:spacing w:before="0" w:after="0" w:line="360" w:lineRule="auto"/>
        <w:ind w:firstLineChars="200" w:firstLine="480"/>
      </w:pPr>
      <w:r>
        <w:rPr>
          <w:rFonts w:ascii="Times New Roman" w:hAnsi="Times New Roman" w:eastAsia="宋体"/>
          <w:b w:val="0"/>
          <w:sz w:val="24"/>
        </w:rPr>
        <w:t>“内卷式”竞争并非中国独有的历史现象。战后日本经济学界曾就“过当竞争”（过度竞争）展开长期论争：在产业政策倾斜、主银行体制软预算约束与企业终身雇佣制的共同作用下，日本的钢铁、造船、化纤、铝冶炼等行业同样出现了投资竞赛、产能过剩与亏损滞留。日本的治理实践对本书具有直接的参照价值：1978年《特定不况产业安定临时措置法》（特安法）对约14个结构性萧条行业实施政府分担调整成本的产能协调处理，合成纤维四类产品按安定基本计划平均废弃17.4%的设备；1983年《特定产业构造改善临时措置法》（产构法）接续推动设备废弃与产业重组。以铝冶炼业为例，其产能自1978年起从年产164万吨分阶段压缩至最终约3.5万吨，期间政府投入约1374.63亿日元，从业人员由8286人减至483人（据RIETI及庆应大学相关研究）。日本经验的启示与警示同样深刻。启示在于：退出是需要“组织”的——设备共同废弃、转产援助、雇佣调整补助等制度安排显著降低了出清的社会摩擦，印证了本书关于“退出机制是治理内卷之关键”的判断。警示在于：其一，RIETI的事后评价表明，设备共同废弃在收缩供给上见效，但对铝冶炼等已丧失比较优势的行业只能延缓而非逆转衰退——行政性产能协调无法替代市场对产业前景的判断；其二，不况卡特尔式的协调隐含着弱化竞争、保护在位者的风险，与竞争政策存在深刻张力。中日场景的关键差异更需明辨：日本“过当竞争”的主体是主银行与产业政策庇护下的大企业，而中国“内卷式”竞争的深层主体是相互竞赛的地方政府；日本的问题出在企业与金融的软预算约束，中国的问题则叠加了市场分割与政区间的策略互动。因此，日本式的全国性产能卡特尔在中国既无必要也不可行，治理的重心应指向地方政府行为的规范与全国市场的统一——这正是本书第十一章强调“防止运动式‘反内卷’、防止行政化产能干预复归”的历史依据。</w:t>
      </w:r>
    </w:p>
    <w:p>
      <w:pPr>
        <w:spacing w:before="160" w:after="120" w:line="360" w:lineRule="auto"/>
        <w:outlineLvl w:val="2"/>
      </w:pPr>
      <w:r>
        <w:rPr>
          <w:rFonts w:ascii="Times New Roman" w:hAnsi="Times New Roman" w:eastAsia="黑体"/>
          <w:b w:val="0"/>
          <w:sz w:val="24"/>
        </w:rPr>
        <w:t>3．与财政联邦主义的对话：辖区竞争的另一副面孔</w:t>
      </w:r>
    </w:p>
    <w:p>
      <w:pPr>
        <w:spacing w:before="0" w:after="0" w:line="360" w:lineRule="auto"/>
        <w:ind w:firstLineChars="200" w:firstLine="480"/>
      </w:pPr>
      <w:r>
        <w:rPr>
          <w:rFonts w:ascii="Times New Roman" w:hAnsi="Times New Roman" w:eastAsia="宋体"/>
          <w:b w:val="0"/>
          <w:sz w:val="24"/>
        </w:rPr>
        <w:t>财政联邦主义传统为理解中国的政府间竞争提供了基准理论。其经典命题是：在要素与居民可自由流动的条件下，辖区间竞争如同市场竞争，居民“用脚投票”约束地方政府，迫使其高效供给公共品；将这一逻辑应用于转型经济的“市场保护型联邦主义”论说，更是曾把财政分权与辖区竞争视为中国增长奇迹的制度密码。本书承认辖区竞争的激励功效，但强调其发挥正面作用的严苛前提——要素充分流动、竞争标的为制度与公共服务质量、中央规则统一且可执行。中国的现实在相当长时期内偏离了这些前提：晋升锦标赛使竞争标的从“居民福利”偏移为“GDP与税基”；财政分权诱导地方支出结构重基本建设、轻人力资本与公共服务（傅勇、张晏，2007）；对锦标赛理论的批评性研究亦提醒，财政收入最大化与土地财政同样是地方行为的重要驱动（陶然等，2010）。当竞争标的从“留住用脚投票的居民”变为“抢到落地投产的项目”时，辖区竞争的性质便发生了根本蜕变：市场分割成为竞争的武器——圈住本地市场才能保住本地税基；补贴竞赛成为竞争的常规手段——压低要素价格才能抢到项目；保护僵尸企业成为竞争的止损策略——退出即失分。质言之，同一套分权架构，在要素流动与规则统一的条件下产出“市场保护型”竞争，在分割与锦标赛条件下产出“市场分割型”竞争，制度细节决定了辖区竞争是增长引擎还是内卷推手。本书的三环框架因此可以被理解为财政联邦主义的中国限定版：第一环刻画分权竞争的异化条件，第三环给出使其回归正轨的制度处方——统一政府行为尺度、改革考核与财税激励，使地方竞争的标的从“分割市场抢项目”转向“优化环境育生态”。</w:t>
      </w:r>
    </w:p>
    <w:p>
      <w:pPr>
        <w:spacing w:before="160" w:after="120" w:line="360" w:lineRule="auto"/>
        <w:outlineLvl w:val="2"/>
      </w:pPr>
      <w:r>
        <w:rPr>
          <w:rFonts w:ascii="Times New Roman" w:hAnsi="Times New Roman" w:eastAsia="黑体"/>
          <w:b w:val="0"/>
          <w:sz w:val="24"/>
        </w:rPr>
        <w:t>4．与新经济地理的对话：一体化的集聚效应与协调难题</w:t>
      </w:r>
    </w:p>
    <w:p>
      <w:pPr>
        <w:spacing w:before="0" w:after="0" w:line="360" w:lineRule="auto"/>
        <w:ind w:firstLineChars="200" w:firstLine="480"/>
      </w:pPr>
      <w:r>
        <w:rPr>
          <w:rFonts w:ascii="Times New Roman" w:hAnsi="Times New Roman" w:eastAsia="宋体"/>
          <w:b w:val="0"/>
          <w:sz w:val="24"/>
        </w:rPr>
        <w:t>新经济地理学为评估统一大市场的空间后果提供了必要视角。中心—外围模型表明，贸易成本下降与规模报酬递增相互作用，可能引发经济活动向核心区域的累积性集聚（Krugman，1991）：运输成本降低使企业得以在少数区位集中生产、服务全国市场，外围地区反而可能经历产业流失。这一逻辑提示，统一大市场建设并非对所有地区都是无差别利好，欠发达地区对“虹吸效应”的担忧有其理论根据，这也部分解释了地方保护为何在落后地区更为顽固——本书第七章的测度显示，2024年西部、东北地区市场分割指数（2.26、2.19）仍显著高于东部（1.60），且这些地区的内卷强度指数也更高（西部0.514、东北0.518，对比东部0.412），分割与内卷在空间上呈现同高同低的正相关。但两点理由决定了集聚担忧不构成维持分割的正当性。第一，经验证据表明市场一体化总体上促进而非恶化了区域协调发展（徐现祥、李郇，2005），集聚带来的分工收益可以通过要素回流、产业梯度转移与转移支付实现空间再分配；第二，分割保护下的本地产业本质上是低水平重复建设，保护所“留住”的是内卷型产能而非发展能力，其机会成本远高于集聚冲击——前文引述的国内贸易与迁移成本量化研究已经表明，分割才是欠发达地区更深层的增长枷锁。中国场景对新经济地理的特殊修正在于：中国的“边界”主要不是自然地理的，而是行政的——省界两侧的市场阻隔远超运输成本所能解释的水平，本章第一节述及的边界效应证据即为明证。这意味着中国的空间一体化在很大程度上是一个制度问题而非地理问题，统一规则的边际收益高于修路架桥；同时也意味着，统一大市场建设必须与区域协调战略、主体功能区制度协同推进，习近平总书记要求“各地区要准确把握在全国发展大局中的定位，强化主体功能，发挥比较优势”，正是对“统一”与“分工”辩证关系的把握。</w:t>
      </w:r>
    </w:p>
    <w:p>
      <w:pPr>
        <w:spacing w:before="160" w:after="120" w:line="360" w:lineRule="auto"/>
        <w:outlineLvl w:val="2"/>
      </w:pPr>
      <w:r>
        <w:rPr>
          <w:rFonts w:ascii="Times New Roman" w:hAnsi="Times New Roman" w:eastAsia="黑体"/>
          <w:b w:val="0"/>
          <w:sz w:val="24"/>
        </w:rPr>
        <w:t>5．中国场景的特殊性与理论边界</w:t>
      </w:r>
    </w:p>
    <w:p>
      <w:pPr>
        <w:spacing w:before="0" w:after="0" w:line="360" w:lineRule="auto"/>
        <w:ind w:firstLineChars="200" w:firstLine="480"/>
      </w:pPr>
      <w:r>
        <w:rPr>
          <w:rFonts w:ascii="Times New Roman" w:hAnsi="Times New Roman" w:eastAsia="宋体"/>
          <w:b w:val="0"/>
          <w:sz w:val="24"/>
        </w:rPr>
        <w:t>综合上述对话，本书理论框架的本土化创新与适用边界可以归结如下。中国场景的特殊性有三。其一，超大规模与单一制的组合：中国是全球少有的兼具超大市场规模与单一制政体的经济体，这既意味着统一市场红利的绝对量级远超中小经济体，也意味着中央具备欧盟所不具备的自上而下统一规则的制度能力——欧盟单一市场历经数十年建设仍存在相当于高额关税的内部壁垒（据IMF估算、Draghi报告引用），反衬出中国以“条例＋清单＋问责”推进统一的制度优势。其二，转型期政府的深度介入：地方政府既是市场秩序的维护者又是发展竞争的参与者，双重角色使“内卷”兼具市场失灵与政府失灵的复合属性，任何单一归因都会导致治理偏差。其三，压缩式产业升级：新旧动能转换期，“新三样”等新兴产业在极短时间内同步放量，产业生命周期被压缩，进入潮与出清潮几乎叠加出现，“内卷”烈度因此远超成熟经济体的历史经验。与此同时，必须清醒划定理论边界。第一，“内卷式竞争陷阱”是行业与区域层面的中观概念，其判定须同时满足价格长期低于成本、行业回报负增长、退出失灵三重判据，不能将一切激烈竞争、一切降价行为泛化为“内卷”，更不能以治理“内卷”为名行地方保护或行政限产之实。第二，陷阱是条件性均衡而非历史宿命：本书强调其对分割与扭曲两个前提的依赖，前提改变则均衡瓦解，这与“中等收入陷阱”等长周期结构性命题在逻辑性质上不同。第三，“统一市场红利”是净额概念：式(3-2)中的调整成本项提醒我们，红利的实现路径存在分配效应与时滞，理论上的正净值不等于政治经济学上的自动可行，配套的利益补偿机制是红利兑现的必要条件。第四，本书框架以制造业与平台经济的存量竞争为原型，对于自然垄断行业、公共服务领域以及创新前沿的“质量竞赛”型竞争，框架的适用性需要具体甄别。守住这些边界，既是学术严谨性的要求，也是防止政策执行走形的理论屏障。</w:t>
      </w:r>
    </w:p>
    <w:p>
      <w:pPr>
        <w:spacing w:before="0" w:after="0" w:line="360" w:lineRule="auto"/>
        <w:ind w:firstLineChars="200" w:firstLine="480"/>
      </w:pPr>
      <w:r>
        <w:rPr>
          <w:rFonts w:ascii="Times New Roman" w:hAnsi="Times New Roman" w:eastAsia="宋体"/>
          <w:b w:val="0"/>
          <w:sz w:val="24"/>
        </w:rPr>
        <w:t>本章完成了全书理论大厦的概念奠基与框架搭建：界定了市场分割、“内卷式”竞争两个基础概念，提出了“内卷式竞争陷阱”与“统一市场红利”两个原创概念并给出形式化定义（式(3-1)、式(3-2)），构建了“市场分割—内卷竞争—统一红利”三环传导框架，深描了四重扭曲的致陷机理与四大效应的释放机制，并通过四重理论对话厘清了框架的学术坐标与适用边界。至此，全书的分析语言已经齐备，但概念性的机理陈述仍有待严格化：补贴竞争在何种参数条件下必然滑向囚徒困境？分割程度与过度进入偏差之间的数量关系如何？“内卷均衡”的存续需要怎样的退出摩擦条件？统一红利四个分项的相对大小取决于什么？这些问题必须诉诸数理模型才能获得精确回答。本书第四章将把本章框架数理化为三个递进模型——两地区补贴竞争模型、分割市场自由进入模型与异质性企业选择模型——并在福利分解的基础上导出可检验命题H1—H5，为第六章的指标构建与第八、九章的实证检验架设从理论到经验的桥梁。</w:t>
      </w:r>
    </w:p>
    <w:p>
      <w:r>
        <w:br w:type="page"/>
      </w:r>
    </w:p>
    <w:p>
      <w:pPr>
        <w:spacing w:before="240" w:after="280" w:line="360" w:lineRule="auto"/>
        <w:jc w:val="center"/>
        <w:outlineLvl w:val="0"/>
      </w:pPr>
      <w:r>
        <w:rPr>
          <w:rFonts w:ascii="Times New Roman" w:hAnsi="Times New Roman" w:eastAsia="黑体"/>
          <w:b/>
          <w:sz w:val="30"/>
        </w:rPr>
        <w:t>四、市场分割、补贴竞争与“内卷均衡”：理论模型</w:t>
      </w:r>
    </w:p>
    <w:p>
      <w:pPr>
        <w:spacing w:before="0" w:after="0" w:line="360" w:lineRule="auto"/>
        <w:ind w:firstLineChars="200" w:firstLine="480"/>
      </w:pPr>
      <w:r>
        <w:rPr>
          <w:rFonts w:ascii="Times New Roman" w:hAnsi="Times New Roman" w:eastAsia="宋体"/>
          <w:b w:val="0"/>
          <w:sz w:val="24"/>
        </w:rPr>
        <w:t>本书第三章从概念与机理层面构建了“市场分割—内卷竞争—统一红利”的三环传导框架，并将“内卷式竞争陷阱”的形成归结为地方激励扭曲、要素价格扭曲、退出机制失灵与需求约束收紧四重扭曲的相互叠加。然而，机理描述本身尚不足以回答三个更为精细的问题：其一，在何种参数条件下，地方政府的补贴竞争会收敛于一个双输的低水平均衡，而不是自发地趋于收敛与合作？其二，市场分割究竟通过何种边际——价格边际、进入边际抑或选择边际——把局部的政策扭曲放大为全行业的“内卷式”竞争？其三，破除分割所释放的“统一市场红利”由哪些可分离、可测度的分项构成，其净值为正需要什么条件？为回答上述问题，本章把第三章的框架数理化，依次构建三个相互递进的模型：第一，以两地区补贴竞争的两阶段古诺（Cournot）博弈刻画地方政府行为的策略结构，说明补贴竞争的纳什均衡为何呈现产能过剩与囚徒困境特征，并给出市场分割加剧补贴竞争的条件（本章第一节）；第二，以Salop式圆周市场的自由进入框架刻画分割市场中的过度进入，并在需求收缩与退出摩擦下给出“内卷均衡”的存在与存续条件（第二节）；第三，以Melitz型异质性企业框架刻画市场一体化的选择效应与创新效应（第三节）。在此基础上，第四节对“统一红利”作福利分解并给出净红利为正的条件；第五节将全部理论命题汇总为可检验假说H1—H5，与本书第六章的指标构建及第八、九章的实证检验一一对应。全章共给出七个命题与一个推论，所有推导步骤完整列示，以便复核。</w:t>
      </w:r>
    </w:p>
    <w:p>
      <w:pPr>
        <w:spacing w:before="200" w:after="160" w:line="360" w:lineRule="auto"/>
        <w:outlineLvl w:val="1"/>
      </w:pPr>
      <w:r>
        <w:rPr>
          <w:rFonts w:ascii="Times New Roman" w:hAnsi="Times New Roman" w:eastAsia="黑体"/>
          <w:b w:val="0"/>
          <w:sz w:val="28"/>
        </w:rPr>
        <w:t>（一）基准模型：两地区补贴竞争与产能过剩</w:t>
      </w:r>
    </w:p>
    <w:p>
      <w:pPr>
        <w:spacing w:before="160" w:after="120" w:line="360" w:lineRule="auto"/>
        <w:outlineLvl w:val="2"/>
      </w:pPr>
      <w:r>
        <w:rPr>
          <w:rFonts w:ascii="Times New Roman" w:hAnsi="Times New Roman" w:eastAsia="黑体"/>
          <w:b w:val="0"/>
          <w:sz w:val="24"/>
        </w:rPr>
        <w:t>1．模型设定与博弈时序</w:t>
      </w:r>
    </w:p>
    <w:p>
      <w:pPr>
        <w:spacing w:before="0" w:after="0" w:line="360" w:lineRule="auto"/>
        <w:ind w:firstLineChars="200" w:firstLine="480"/>
      </w:pPr>
      <w:r>
        <w:rPr>
          <w:rFonts w:ascii="Times New Roman" w:hAnsi="Times New Roman" w:eastAsia="宋体"/>
          <w:b w:val="0"/>
          <w:sz w:val="24"/>
        </w:rPr>
        <w:t>考虑一个由两个地区构成的经济，地区</w:t>
      </w:r>
      <m:oMath>
        <m:box>
          <m:e>
            <m:r>
              <m:rPr>
                <m:sty m:val="i"/>
              </m:rPr>
              <m:t>i</m:t>
            </m:r>
            <m:r>
              <m:rPr>
                <m:sty m:val="p"/>
              </m:rPr>
              <m:t>∈</m:t>
            </m:r>
            <m:r>
              <m:rPr>
                <m:sty m:val="p"/>
              </m:rPr>
              <m:t>{</m:t>
            </m:r>
            <m:r>
              <m:rPr>
                <m:sty m:val="p"/>
              </m:rPr>
              <m:t>1</m:t>
            </m:r>
            <m:r>
              <m:rPr>
                <m:sty m:val="p"/>
              </m:rPr>
              <m:t>,</m:t>
            </m:r>
            <m:r>
              <m:rPr>
                <m:sty m:val="p"/>
              </m:rPr>
              <m:t>2</m:t>
            </m:r>
            <m:r>
              <m:rPr>
                <m:sty m:val="p"/>
              </m:rPr>
              <m:t>}</m:t>
            </m:r>
          </m:e>
        </m:box>
      </m:oMath>
      <w:r>
        <w:rPr>
          <w:rFonts w:ascii="Times New Roman" w:hAnsi="Times New Roman" w:eastAsia="宋体"/>
          <w:b w:val="0"/>
          <w:sz w:val="24"/>
        </w:rPr>
        <w:t>各有一家代表性企业（可理解为一个同质企业群），生产完全同质的产品。这一设定以光伏组件、动力电池、粗钢等标准化程度高、区域间重复布局严重的资本密集产品为原型。两个地区的产品市场规模相同，地区</w:t>
      </w:r>
      <m:oMath>
        <m:box>
          <m:e>
            <m:r>
              <m:rPr>
                <m:sty m:val="i"/>
              </m:rPr>
              <m:t>i</m:t>
            </m:r>
          </m:e>
        </m:box>
      </m:oMath>
      <w:r>
        <w:rPr>
          <w:rFonts w:ascii="Times New Roman" w:hAnsi="Times New Roman" w:eastAsia="宋体"/>
          <w:b w:val="0"/>
          <w:sz w:val="24"/>
        </w:rPr>
        <w:t>市场的反需求函数为线性形式：</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p</m:t>
                </m:r>
              </m:e>
              <m:sub>
                <m:r>
                  <m:rPr>
                    <m:sty m:val="i"/>
                  </m:rPr>
                  <m:t>i</m:t>
                </m:r>
              </m:sub>
            </m:sSub>
            <m:r>
              <m:rPr>
                <m:sty m:val="p"/>
              </m:rPr>
              <m:t>=</m:t>
            </m:r>
            <m:r>
              <m:rPr>
                <m:sty m:val="i"/>
              </m:rPr>
              <m:t>a</m:t>
            </m:r>
            <m:r>
              <m:rPr>
                <m:sty m:val="p"/>
              </m:rPr>
              <m:t>−</m:t>
            </m:r>
            <m:r>
              <m:rPr>
                <m:sty m:val="i"/>
              </m:rPr>
              <m:t>b</m:t>
            </m:r>
            <m:r>
              <m:rPr>
                <m:sty m:val="p"/>
              </m:rPr>
              <m:t>(</m:t>
            </m:r>
            <m:sSub>
              <m:e>
                <m:r>
                  <m:rPr>
                    <m:sty m:val="i"/>
                  </m:rPr>
                  <m:t>q</m:t>
                </m:r>
              </m:e>
              <m:sub>
                <m:box>
                  <m:e>
                    <m:r>
                      <m:rPr>
                        <m:sty m:val="i"/>
                      </m:rPr>
                      <m:t>i</m:t>
                    </m:r>
                    <m:r>
                      <m:rPr>
                        <m:sty m:val="i"/>
                      </m:rPr>
                      <m:t>i</m:t>
                    </m:r>
                  </m:e>
                </m:box>
              </m:sub>
            </m:sSub>
            <m:r>
              <m:rPr>
                <m:sty m:val="p"/>
              </m:rPr>
              <m:t>+</m:t>
            </m:r>
            <m:sSub>
              <m:e>
                <m:r>
                  <m:rPr>
                    <m:sty m:val="i"/>
                  </m:rPr>
                  <m:t>q</m:t>
                </m:r>
              </m:e>
              <m:sub>
                <m:box>
                  <m:e>
                    <m:r>
                      <m:rPr>
                        <m:sty m:val="i"/>
                      </m:rPr>
                      <m:t>j</m:t>
                    </m:r>
                    <m:r>
                      <m:rPr>
                        <m:sty m:val="i"/>
                      </m:rPr>
                      <m:t>i</m:t>
                    </m:r>
                  </m:e>
                </m:box>
              </m:sub>
            </m:sSub>
            <m:r>
              <m:rPr>
                <m:sty m:val="p"/>
              </m:rPr>
              <m:t>)</m:t>
            </m:r>
          </m:e>
        </m:box>
      </m:oMath>
      <w:r>
        <w:rPr>
          <w:rFonts w:ascii="Times New Roman" w:hAnsi="Times New Roman" w:eastAsia="宋体"/>
          <w:b w:val="0"/>
          <w:sz w:val="24"/>
        </w:rPr>
        <w:tab/>
        <w:t>(4-1)</w:t>
      </w:r>
    </w:p>
    <w:p>
      <w:pPr>
        <w:spacing w:before="0" w:after="0" w:line="360" w:lineRule="auto"/>
        <w:ind w:firstLineChars="200" w:firstLine="480"/>
      </w:pPr>
      <w:r>
        <w:rPr>
          <w:rFonts w:ascii="Times New Roman" w:hAnsi="Times New Roman" w:eastAsia="宋体"/>
          <w:b w:val="0"/>
          <w:sz w:val="24"/>
        </w:rPr>
        <w:t>其中，</w:t>
      </w:r>
      <m:oMath>
        <m:box>
          <m:e>
            <m:sSub>
              <m:e>
                <m:r>
                  <m:rPr>
                    <m:sty m:val="i"/>
                  </m:rPr>
                  <m:t>p</m:t>
                </m:r>
              </m:e>
              <m:sub>
                <m:r>
                  <m:rPr>
                    <m:sty m:val="i"/>
                  </m:rPr>
                  <m:t>i</m:t>
                </m:r>
              </m:sub>
            </m:sSub>
          </m:e>
        </m:box>
      </m:oMath>
      <w:r>
        <w:rPr>
          <w:rFonts w:ascii="Times New Roman" w:hAnsi="Times New Roman" w:eastAsia="宋体"/>
          <w:b w:val="0"/>
          <w:sz w:val="24"/>
        </w:rPr>
        <w:t>为地区</w:t>
      </w:r>
      <m:oMath>
        <m:box>
          <m:e>
            <m:r>
              <m:rPr>
                <m:sty m:val="i"/>
              </m:rPr>
              <m:t>i</m:t>
            </m:r>
          </m:e>
        </m:box>
      </m:oMath>
      <w:r>
        <w:rPr>
          <w:rFonts w:ascii="Times New Roman" w:hAnsi="Times New Roman" w:eastAsia="宋体"/>
          <w:b w:val="0"/>
          <w:sz w:val="24"/>
        </w:rPr>
        <w:t>市场价格，</w:t>
      </w:r>
      <m:oMath>
        <m:box>
          <m:e>
            <m:sSub>
              <m:e>
                <m:r>
                  <m:rPr>
                    <m:sty m:val="i"/>
                  </m:rPr>
                  <m:t>q</m:t>
                </m:r>
              </m:e>
              <m:sub>
                <m:box>
                  <m:e>
                    <m:r>
                      <m:rPr>
                        <m:sty m:val="i"/>
                      </m:rPr>
                      <m:t>i</m:t>
                    </m:r>
                    <m:r>
                      <m:rPr>
                        <m:sty m:val="i"/>
                      </m:rPr>
                      <m:t>i</m:t>
                    </m:r>
                  </m:e>
                </m:box>
              </m:sub>
            </m:sSub>
          </m:e>
        </m:box>
      </m:oMath>
      <w:r>
        <w:rPr>
          <w:rFonts w:ascii="Times New Roman" w:hAnsi="Times New Roman" w:eastAsia="宋体"/>
          <w:b w:val="0"/>
          <w:sz w:val="24"/>
        </w:rPr>
        <w:t>为地区</w:t>
      </w:r>
      <m:oMath>
        <m:box>
          <m:e>
            <m:r>
              <m:rPr>
                <m:sty m:val="i"/>
              </m:rPr>
              <m:t>i</m:t>
            </m:r>
          </m:e>
        </m:box>
      </m:oMath>
      <w:r>
        <w:rPr>
          <w:rFonts w:ascii="Times New Roman" w:hAnsi="Times New Roman" w:eastAsia="宋体"/>
          <w:b w:val="0"/>
          <w:sz w:val="24"/>
        </w:rPr>
        <w:t>企业在本地市场的销量，</w:t>
      </w:r>
      <m:oMath>
        <m:box>
          <m:e>
            <m:sSub>
              <m:e>
                <m:r>
                  <m:rPr>
                    <m:sty m:val="i"/>
                  </m:rPr>
                  <m:t>q</m:t>
                </m:r>
              </m:e>
              <m:sub>
                <m:box>
                  <m:e>
                    <m:r>
                      <m:rPr>
                        <m:sty m:val="i"/>
                      </m:rPr>
                      <m:t>j</m:t>
                    </m:r>
                    <m:r>
                      <m:rPr>
                        <m:sty m:val="i"/>
                      </m:rPr>
                      <m:t>i</m:t>
                    </m:r>
                  </m:e>
                </m:box>
              </m:sub>
            </m:sSub>
          </m:e>
        </m:box>
      </m:oMath>
      <w:r>
        <w:rPr>
          <w:rFonts w:ascii="Times New Roman" w:hAnsi="Times New Roman" w:eastAsia="宋体"/>
          <w:b w:val="0"/>
          <w:sz w:val="24"/>
        </w:rPr>
        <w:t>为地区</w:t>
      </w:r>
      <m:oMath>
        <m:box>
          <m:e>
            <m:r>
              <m:rPr>
                <m:sty m:val="i"/>
              </m:rPr>
              <m:t>j</m:t>
            </m:r>
          </m:e>
        </m:box>
      </m:oMath>
      <w:r>
        <w:rPr>
          <w:rFonts w:ascii="Times New Roman" w:hAnsi="Times New Roman" w:eastAsia="宋体"/>
          <w:b w:val="0"/>
          <w:sz w:val="24"/>
        </w:rPr>
        <w:t>企业跨区销往地区</w:t>
      </w:r>
      <m:oMath>
        <m:box>
          <m:e>
            <m:r>
              <m:rPr>
                <m:sty m:val="i"/>
              </m:rPr>
              <m:t>i</m:t>
            </m:r>
          </m:e>
        </m:box>
      </m:oMath>
      <w:r>
        <w:rPr>
          <w:rFonts w:ascii="Times New Roman" w:hAnsi="Times New Roman" w:eastAsia="宋体"/>
          <w:b w:val="0"/>
          <w:sz w:val="24"/>
        </w:rPr>
        <w:t>的销量，</w:t>
      </w:r>
      <m:oMath>
        <m:box>
          <m:e>
            <m:r>
              <m:rPr>
                <m:sty m:val="i"/>
              </m:rPr>
              <m:t>a</m:t>
            </m:r>
            <m:r>
              <m:rPr>
                <m:sty m:val="p"/>
              </m:rPr>
              <m:t>&gt;</m:t>
            </m:r>
            <m:r>
              <m:rPr>
                <m:sty m:val="p"/>
              </m:rPr>
              <m:t>0</m:t>
            </m:r>
          </m:e>
        </m:box>
      </m:oMath>
      <w:r>
        <w:rPr>
          <w:rFonts w:ascii="Times New Roman" w:hAnsi="Times New Roman" w:eastAsia="宋体"/>
          <w:b w:val="0"/>
          <w:sz w:val="24"/>
        </w:rPr>
        <w:t>为需求截距，</w:t>
      </w:r>
      <m:oMath>
        <m:box>
          <m:e>
            <m:r>
              <m:rPr>
                <m:sty m:val="i"/>
              </m:rPr>
              <m:t>b</m:t>
            </m:r>
            <m:r>
              <m:rPr>
                <m:sty m:val="p"/>
              </m:rPr>
              <m:t>&gt;</m:t>
            </m:r>
            <m:r>
              <m:rPr>
                <m:sty m:val="p"/>
              </m:rPr>
              <m:t>0</m:t>
            </m:r>
          </m:e>
        </m:box>
      </m:oMath>
      <w:r>
        <w:rPr>
          <w:rFonts w:ascii="Times New Roman" w:hAnsi="Times New Roman" w:eastAsia="宋体"/>
          <w:b w:val="0"/>
          <w:sz w:val="24"/>
        </w:rPr>
        <w:t>为需求斜率，且</w:t>
      </w:r>
      <m:oMath>
        <m:box>
          <m:e>
            <m:r>
              <m:rPr>
                <m:sty m:val="i"/>
              </m:rPr>
              <m:t>a</m:t>
            </m:r>
            <m:r>
              <m:rPr>
                <m:sty m:val="p"/>
              </m:rPr>
              <m:t>&gt;</m:t>
            </m:r>
            <m:r>
              <m:rPr>
                <m:sty m:val="i"/>
              </m:rPr>
              <m:t>c</m:t>
            </m:r>
          </m:e>
        </m:box>
      </m:oMath>
      <w:r>
        <w:rPr>
          <w:rFonts w:ascii="Times New Roman" w:hAnsi="Times New Roman" w:eastAsia="宋体"/>
          <w:b w:val="0"/>
          <w:sz w:val="24"/>
        </w:rPr>
        <w:t>（</w:t>
      </w:r>
      <m:oMath>
        <m:box>
          <m:e>
            <m:r>
              <m:rPr>
                <m:sty m:val="i"/>
              </m:rPr>
              <m:t>c</m:t>
            </m:r>
          </m:e>
        </m:box>
      </m:oMath>
      <w:r>
        <w:rPr>
          <w:rFonts w:ascii="Times New Roman" w:hAnsi="Times New Roman" w:eastAsia="宋体"/>
          <w:b w:val="0"/>
          <w:sz w:val="24"/>
        </w:rPr>
        <w:t>为企业不变边际成本），以保证市场可行。</w:t>
      </w:r>
    </w:p>
    <w:p>
      <w:pPr>
        <w:spacing w:before="0" w:after="0" w:line="360" w:lineRule="auto"/>
        <w:ind w:firstLineChars="200" w:firstLine="480"/>
      </w:pPr>
      <w:r>
        <w:rPr>
          <w:rFonts w:ascii="Times New Roman" w:hAnsi="Times New Roman" w:eastAsia="宋体"/>
          <w:b w:val="0"/>
          <w:sz w:val="24"/>
        </w:rPr>
        <w:t>市场分割用冰山型交易成本刻画：企业向本地销售不承担额外成本，而跨区销售一单位产品需承担冰山系数</w:t>
      </w:r>
      <m:oMath>
        <m:box>
          <m:e>
            <m:r>
              <m:rPr>
                <m:sty m:val="i"/>
              </m:rPr>
              <m:t>τ</m:t>
            </m:r>
            <m:r>
              <m:rPr>
                <m:sty m:val="p"/>
              </m:rPr>
              <m:t>≥</m:t>
            </m:r>
            <m:r>
              <m:rPr>
                <m:sty m:val="p"/>
              </m:rPr>
              <m:t>1</m:t>
            </m:r>
          </m:e>
        </m:box>
      </m:oMath>
      <w:r>
        <w:rPr>
          <w:rFonts w:ascii="Times New Roman" w:hAnsi="Times New Roman" w:eastAsia="宋体"/>
          <w:b w:val="0"/>
          <w:sz w:val="24"/>
        </w:rPr>
        <w:t>所对应的额外损耗。为保持线性需求下的可解性，本章将冰山成本作等价线性化处理，把跨区交付一单位产品的额外实际资源耗费记为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t</m:t>
            </m:r>
            <m:r>
              <m:rPr>
                <m:sty m:val="p"/>
              </m:rPr>
              <m:t>≡</m:t>
            </m:r>
            <m:r>
              <m:rPr>
                <m:sty m:val="p"/>
              </m:rPr>
              <m:t>(</m:t>
            </m:r>
            <m:r>
              <m:rPr>
                <m:sty m:val="i"/>
              </m:rPr>
              <m:t>τ</m:t>
            </m:r>
            <m:r>
              <m:rPr>
                <m:sty m:val="p"/>
              </m:rPr>
              <m:t>−</m:t>
            </m:r>
            <m:r>
              <m:rPr>
                <m:sty m:val="p"/>
              </m:rPr>
              <m:t>1</m:t>
            </m:r>
            <m:r>
              <m:rPr>
                <m:sty m:val="p"/>
              </m:rPr>
              <m:t>)</m:t>
            </m:r>
            <m:r>
              <m:rPr>
                <m:sty m:val="i"/>
              </m:rPr>
              <m:t>c</m:t>
            </m:r>
            <m:r>
              <m:rPr>
                <m:sty m:val="p"/>
              </m:rPr>
              <m:t>≥</m:t>
            </m:r>
            <m:r>
              <m:rPr>
                <m:sty m:val="p"/>
              </m:rPr>
              <m:t>0</m:t>
            </m:r>
          </m:e>
        </m:box>
      </m:oMath>
      <w:r>
        <w:rPr>
          <w:rFonts w:ascii="Times New Roman" w:hAnsi="Times New Roman" w:eastAsia="宋体"/>
          <w:b w:val="0"/>
          <w:sz w:val="24"/>
        </w:rPr>
        <w:tab/>
        <w:t>(4-2)</w:t>
      </w:r>
    </w:p>
    <w:p>
      <w:pPr>
        <w:spacing w:before="0" w:after="0" w:line="360" w:lineRule="auto"/>
        <w:ind w:firstLineChars="200" w:firstLine="480"/>
      </w:pPr>
      <w:r>
        <w:rPr>
          <w:rFonts w:ascii="Times New Roman" w:hAnsi="Times New Roman" w:eastAsia="宋体"/>
          <w:b w:val="0"/>
          <w:sz w:val="24"/>
        </w:rPr>
        <w:t>即跨区销售的送达边际成本为</w:t>
      </w:r>
      <m:oMath>
        <m:box>
          <m:e>
            <m:r>
              <m:rPr>
                <m:sty m:val="i"/>
              </m:rPr>
              <m:t>c</m:t>
            </m:r>
            <m:r>
              <m:rPr>
                <m:sty m:val="p"/>
              </m:rPr>
              <m:t>+</m:t>
            </m:r>
            <m:r>
              <m:rPr>
                <m:sty m:val="i"/>
              </m:rPr>
              <m:t>t</m:t>
            </m:r>
          </m:e>
        </m:box>
      </m:oMath>
      <w:r>
        <w:rPr>
          <w:rFonts w:ascii="Times New Roman" w:hAnsi="Times New Roman" w:eastAsia="宋体"/>
          <w:b w:val="0"/>
          <w:sz w:val="24"/>
        </w:rPr>
        <w:t>。</w:t>
      </w:r>
      <m:oMath>
        <m:box>
          <m:e>
            <m:r>
              <m:rPr>
                <m:sty m:val="i"/>
              </m:rPr>
              <m:t>t</m:t>
            </m:r>
          </m:e>
        </m:box>
      </m:oMath>
      <w:r>
        <w:rPr>
          <w:rFonts w:ascii="Times New Roman" w:hAnsi="Times New Roman" w:eastAsia="宋体"/>
          <w:b w:val="0"/>
          <w:sz w:val="24"/>
        </w:rPr>
        <w:t>（或等价地</w:t>
      </w:r>
      <m:oMath>
        <m:box>
          <m:e>
            <m:r>
              <m:rPr>
                <m:sty m:val="i"/>
              </m:rPr>
              <m:t>τ</m:t>
            </m:r>
          </m:e>
        </m:box>
      </m:oMath>
      <w:r>
        <w:rPr>
          <w:rFonts w:ascii="Times New Roman" w:hAnsi="Times New Roman" w:eastAsia="宋体"/>
          <w:b w:val="0"/>
          <w:sz w:val="24"/>
        </w:rPr>
        <w:t>）综合折算了运输与物流成本、重复检测认证、地方目录与准入限制、招标投标中的隐性歧视等显性与隐性壁垒，对应本书第三章所界定的商品市场分割与监管分割；</w:t>
      </w:r>
      <m:oMath>
        <m:box>
          <m:e>
            <m:r>
              <m:rPr>
                <m:sty m:val="i"/>
              </m:rPr>
              <m:t>τ</m:t>
            </m:r>
            <m:r>
              <m:rPr>
                <m:sty m:val="p"/>
              </m:rPr>
              <m:t>=</m:t>
            </m:r>
            <m:r>
              <m:rPr>
                <m:sty m:val="p"/>
              </m:rPr>
              <m:t>1</m:t>
            </m:r>
          </m:e>
        </m:box>
      </m:oMath>
      <w:r>
        <w:rPr>
          <w:rFonts w:ascii="Times New Roman" w:hAnsi="Times New Roman" w:eastAsia="宋体"/>
          <w:b w:val="0"/>
          <w:sz w:val="24"/>
        </w:rPr>
        <w:t>（</w:t>
      </w:r>
      <m:oMath>
        <m:box>
          <m:e>
            <m:r>
              <m:rPr>
                <m:sty m:val="i"/>
              </m:rPr>
              <m:t>t</m:t>
            </m:r>
            <m:r>
              <m:rPr>
                <m:sty m:val="p"/>
              </m:rPr>
              <m:t>=</m:t>
            </m:r>
            <m:r>
              <m:rPr>
                <m:sty m:val="p"/>
              </m:rPr>
              <m:t>0</m:t>
            </m:r>
          </m:e>
        </m:box>
      </m:oMath>
      <w:r>
        <w:rPr>
          <w:rFonts w:ascii="Times New Roman" w:hAnsi="Times New Roman" w:eastAsia="宋体"/>
          <w:b w:val="0"/>
          <w:sz w:val="24"/>
        </w:rPr>
        <w:t>）为完全统一市场，</w:t>
      </w:r>
      <m:oMath>
        <m:box>
          <m:e>
            <m:r>
              <m:rPr>
                <m:sty m:val="i"/>
              </m:rPr>
              <m:t>τ</m:t>
            </m:r>
          </m:e>
        </m:box>
      </m:oMath>
      <w:r>
        <w:rPr>
          <w:rFonts w:ascii="Times New Roman" w:hAnsi="Times New Roman" w:eastAsia="宋体"/>
          <w:b w:val="0"/>
          <w:sz w:val="24"/>
        </w:rPr>
        <w:t>越高分割越深。</w:t>
      </w:r>
    </w:p>
    <w:p>
      <w:pPr>
        <w:spacing w:before="0" w:after="0" w:line="360" w:lineRule="auto"/>
        <w:ind w:firstLineChars="200" w:firstLine="480"/>
      </w:pPr>
      <w:r>
        <w:rPr>
          <w:rFonts w:ascii="Times New Roman" w:hAnsi="Times New Roman" w:eastAsia="宋体"/>
          <w:b w:val="0"/>
          <w:sz w:val="24"/>
        </w:rPr>
        <w:t>地方政府向本地企业提供单位产出补贴</w:t>
      </w:r>
      <m:oMath>
        <m:box>
          <m:e>
            <m:sSub>
              <m:e>
                <m:r>
                  <m:rPr>
                    <m:sty m:val="i"/>
                  </m:rPr>
                  <m:t>s</m:t>
                </m:r>
              </m:e>
              <m:sub>
                <m:r>
                  <m:rPr>
                    <m:sty m:val="i"/>
                  </m:rPr>
                  <m:t>i</m:t>
                </m:r>
              </m:sub>
            </m:sSub>
            <m:r>
              <m:rPr>
                <m:sty m:val="p"/>
              </m:rPr>
              <m:t>≥</m:t>
            </m:r>
            <m:r>
              <m:rPr>
                <m:sty m:val="p"/>
              </m:rPr>
              <m:t>0</m:t>
            </m:r>
          </m:e>
        </m:box>
      </m:oMath>
      <w:r>
        <w:rPr>
          <w:rFonts w:ascii="Times New Roman" w:hAnsi="Times New Roman" w:eastAsia="宋体"/>
          <w:b w:val="0"/>
          <w:sz w:val="24"/>
        </w:rPr>
        <w:t>。现实中的补贴工具多种多样——低价供地或“零地价”供地、税收返还与财政奖补、优惠电价与要素价格折让、贴息贷款等——本章将其统一折算为每单位产出</w:t>
      </w:r>
      <m:oMath>
        <m:box>
          <m:e>
            <m:sSub>
              <m:e>
                <m:r>
                  <m:rPr>
                    <m:sty m:val="i"/>
                  </m:rPr>
                  <m:t>s</m:t>
                </m:r>
              </m:e>
              <m:sub>
                <m:r>
                  <m:rPr>
                    <m:sty m:val="i"/>
                  </m:rPr>
                  <m:t>i</m:t>
                </m:r>
              </m:sub>
            </m:sSub>
          </m:e>
        </m:box>
      </m:oMath>
      <w:r>
        <w:rPr>
          <w:rFonts w:ascii="Times New Roman" w:hAnsi="Times New Roman" w:eastAsia="宋体"/>
          <w:b w:val="0"/>
          <w:sz w:val="24"/>
        </w:rPr>
        <w:t>的等价补贴，这一处理与关于中国产能过剩“体制性成因”的经验概括一致（江飞涛、曹建海，2009）。于是，地区</w:t>
      </w:r>
      <m:oMath>
        <m:box>
          <m:e>
            <m:r>
              <m:rPr>
                <m:sty m:val="i"/>
              </m:rPr>
              <m:t>i</m:t>
            </m:r>
          </m:e>
        </m:box>
      </m:oMath>
      <w:r>
        <w:rPr>
          <w:rFonts w:ascii="Times New Roman" w:hAnsi="Times New Roman" w:eastAsia="宋体"/>
          <w:b w:val="0"/>
          <w:sz w:val="24"/>
        </w:rPr>
        <w:t>企业的利润为：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π</m:t>
                </m:r>
              </m:e>
              <m:sub>
                <m:r>
                  <m:rPr>
                    <m:sty m:val="i"/>
                  </m:rPr>
                  <m:t>i</m:t>
                </m:r>
              </m:sub>
            </m:sSub>
            <m:r>
              <m:rPr>
                <m:sty m:val="p"/>
              </m:rPr>
              <m:t>=</m:t>
            </m:r>
            <m:r>
              <m:rPr>
                <m:sty m:val="p"/>
              </m:rPr>
              <m:t>(</m:t>
            </m:r>
            <m:sSub>
              <m:e>
                <m:r>
                  <m:rPr>
                    <m:sty m:val="i"/>
                  </m:rPr>
                  <m:t>p</m:t>
                </m:r>
              </m:e>
              <m:sub>
                <m:r>
                  <m:rPr>
                    <m:sty m:val="i"/>
                  </m:rPr>
                  <m:t>i</m:t>
                </m:r>
              </m:sub>
            </m:sSub>
            <m:r>
              <m:rPr>
                <m:sty m:val="p"/>
              </m:rPr>
              <m:t>−</m:t>
            </m:r>
            <m:r>
              <m:rPr>
                <m:sty m:val="i"/>
              </m:rPr>
              <m:t>c</m:t>
            </m:r>
            <m:r>
              <m:rPr>
                <m:sty m:val="p"/>
              </m:rPr>
              <m:t>+</m:t>
            </m:r>
            <m:sSub>
              <m:e>
                <m:r>
                  <m:rPr>
                    <m:sty m:val="i"/>
                  </m:rPr>
                  <m:t>s</m:t>
                </m:r>
              </m:e>
              <m:sub>
                <m:r>
                  <m:rPr>
                    <m:sty m:val="i"/>
                  </m:rPr>
                  <m:t>i</m:t>
                </m:r>
              </m:sub>
            </m:sSub>
            <m:r>
              <m:rPr>
                <m:sty m:val="p"/>
              </m:rPr>
              <m:t>)</m:t>
            </m:r>
            <m:sSub>
              <m:e>
                <m:r>
                  <m:rPr>
                    <m:sty m:val="i"/>
                  </m:rPr>
                  <m:t>q</m:t>
                </m:r>
              </m:e>
              <m:sub>
                <m:box>
                  <m:e>
                    <m:r>
                      <m:rPr>
                        <m:sty m:val="i"/>
                      </m:rPr>
                      <m:t>i</m:t>
                    </m:r>
                    <m:r>
                      <m:rPr>
                        <m:sty m:val="i"/>
                      </m:rPr>
                      <m:t>i</m:t>
                    </m:r>
                  </m:e>
                </m:box>
              </m:sub>
            </m:sSub>
            <m:r>
              <m:rPr>
                <m:sty m:val="p"/>
              </m:rPr>
              <m:t>+</m:t>
            </m:r>
            <m:r>
              <m:rPr>
                <m:sty m:val="p"/>
              </m:rPr>
              <m:t>(</m:t>
            </m:r>
            <m:sSub>
              <m:e>
                <m:r>
                  <m:rPr>
                    <m:sty m:val="i"/>
                  </m:rPr>
                  <m:t>p</m:t>
                </m:r>
              </m:e>
              <m:sub>
                <m:r>
                  <m:rPr>
                    <m:sty m:val="i"/>
                  </m:rPr>
                  <m:t>j</m:t>
                </m:r>
              </m:sub>
            </m:sSub>
            <m:r>
              <m:rPr>
                <m:sty m:val="p"/>
              </m:rPr>
              <m:t>−</m:t>
            </m:r>
            <m:r>
              <m:rPr>
                <m:sty m:val="i"/>
              </m:rPr>
              <m:t>c</m:t>
            </m:r>
            <m:r>
              <m:rPr>
                <m:sty m:val="p"/>
              </m:rPr>
              <m:t>−</m:t>
            </m:r>
            <m:r>
              <m:rPr>
                <m:sty m:val="i"/>
              </m:rPr>
              <m:t>t</m:t>
            </m:r>
            <m:r>
              <m:rPr>
                <m:sty m:val="p"/>
              </m:rPr>
              <m:t>+</m:t>
            </m:r>
            <m:sSub>
              <m:e>
                <m:r>
                  <m:rPr>
                    <m:sty m:val="i"/>
                  </m:rPr>
                  <m:t>s</m:t>
                </m:r>
              </m:e>
              <m:sub>
                <m:r>
                  <m:rPr>
                    <m:sty m:val="i"/>
                  </m:rPr>
                  <m:t>i</m:t>
                </m:r>
              </m:sub>
            </m:sSub>
            <m:r>
              <m:rPr>
                <m:sty m:val="p"/>
              </m:rPr>
              <m:t>)</m:t>
            </m:r>
            <m:sSub>
              <m:e>
                <m:r>
                  <m:rPr>
                    <m:sty m:val="i"/>
                  </m:rPr>
                  <m:t>q</m:t>
                </m:r>
              </m:e>
              <m:sub>
                <m:box>
                  <m:e>
                    <m:r>
                      <m:rPr>
                        <m:sty m:val="i"/>
                      </m:rPr>
                      <m:t>i</m:t>
                    </m:r>
                    <m:r>
                      <m:rPr>
                        <m:sty m:val="i"/>
                      </m:rPr>
                      <m:t>j</m:t>
                    </m:r>
                  </m:e>
                </m:box>
              </m:sub>
            </m:sSub>
          </m:e>
        </m:box>
      </m:oMath>
      <w:r>
        <w:rPr>
          <w:rFonts w:ascii="Times New Roman" w:hAnsi="Times New Roman" w:eastAsia="宋体"/>
          <w:b w:val="0"/>
          <w:sz w:val="24"/>
        </w:rPr>
        <w:tab/>
        <w:t>(4-3)</w:t>
      </w:r>
    </w:p>
    <w:p>
      <w:pPr>
        <w:spacing w:before="0" w:after="0" w:line="360" w:lineRule="auto"/>
        <w:ind w:firstLineChars="200" w:firstLine="480"/>
      </w:pPr>
      <w:r>
        <w:rPr>
          <w:rFonts w:ascii="Times New Roman" w:hAnsi="Times New Roman" w:eastAsia="宋体"/>
          <w:b w:val="0"/>
          <w:sz w:val="24"/>
        </w:rPr>
        <w:t>即企业在本地市场按有效边际成本</w:t>
      </w:r>
      <m:oMath>
        <m:box>
          <m:e>
            <m:r>
              <m:rPr>
                <m:sty m:val="i"/>
              </m:rPr>
              <m:t>c</m:t>
            </m:r>
            <m:r>
              <m:rPr>
                <m:sty m:val="p"/>
              </m:rPr>
              <m:t>−</m:t>
            </m:r>
            <m:sSub>
              <m:e>
                <m:r>
                  <m:rPr>
                    <m:sty m:val="i"/>
                  </m:rPr>
                  <m:t>s</m:t>
                </m:r>
              </m:e>
              <m:sub>
                <m:r>
                  <m:rPr>
                    <m:sty m:val="i"/>
                  </m:rPr>
                  <m:t>i</m:t>
                </m:r>
              </m:sub>
            </m:sSub>
          </m:e>
        </m:box>
      </m:oMath>
      <w:r>
        <w:rPr>
          <w:rFonts w:ascii="Times New Roman" w:hAnsi="Times New Roman" w:eastAsia="宋体"/>
          <w:b w:val="0"/>
          <w:sz w:val="24"/>
        </w:rPr>
        <w:t>、在外地市场按有效边际成本</w:t>
      </w:r>
      <m:oMath>
        <m:box>
          <m:e>
            <m:r>
              <m:rPr>
                <m:sty m:val="i"/>
              </m:rPr>
              <m:t>c</m:t>
            </m:r>
            <m:r>
              <m:rPr>
                <m:sty m:val="p"/>
              </m:rPr>
              <m:t>+</m:t>
            </m:r>
            <m:r>
              <m:rPr>
                <m:sty m:val="i"/>
              </m:rPr>
              <m:t>t</m:t>
            </m:r>
            <m:r>
              <m:rPr>
                <m:sty m:val="p"/>
              </m:rPr>
              <m:t>−</m:t>
            </m:r>
            <m:sSub>
              <m:e>
                <m:r>
                  <m:rPr>
                    <m:sty m:val="i"/>
                  </m:rPr>
                  <m:t>s</m:t>
                </m:r>
              </m:e>
              <m:sub>
                <m:r>
                  <m:rPr>
                    <m:sty m:val="i"/>
                  </m:rPr>
                  <m:t>i</m:t>
                </m:r>
              </m:sub>
            </m:sSub>
          </m:e>
        </m:box>
      </m:oMath>
      <w:r>
        <w:rPr>
          <w:rFonts w:ascii="Times New Roman" w:hAnsi="Times New Roman" w:eastAsia="宋体"/>
          <w:b w:val="0"/>
          <w:sz w:val="24"/>
        </w:rPr>
        <w:t>开展古诺竞争。</w:t>
      </w:r>
    </w:p>
    <w:p>
      <w:pPr>
        <w:spacing w:before="0" w:after="0" w:line="360" w:lineRule="auto"/>
        <w:ind w:firstLineChars="200" w:firstLine="480"/>
      </w:pPr>
      <w:r>
        <w:rPr>
          <w:rFonts w:ascii="Times New Roman" w:hAnsi="Times New Roman" w:eastAsia="宋体"/>
          <w:b w:val="0"/>
          <w:sz w:val="24"/>
        </w:rPr>
        <w:t>地方政府的目标函数是本模型的关键。设地区</w:t>
      </w:r>
      <m:oMath>
        <m:box>
          <m:e>
            <m:r>
              <m:rPr>
                <m:sty m:val="i"/>
              </m:rPr>
              <m:t>i</m:t>
            </m:r>
          </m:e>
        </m:box>
      </m:oMath>
      <w:r>
        <w:rPr>
          <w:rFonts w:ascii="Times New Roman" w:hAnsi="Times New Roman" w:eastAsia="宋体"/>
          <w:b w:val="0"/>
          <w:sz w:val="24"/>
        </w:rPr>
        <w:t>政府最大化如下政治经济学目标：</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W</m:t>
                </m:r>
              </m:e>
              <m:sub>
                <m:r>
                  <m:rPr>
                    <m:sty m:val="i"/>
                  </m:rPr>
                  <m:t>i</m:t>
                </m:r>
              </m:sub>
            </m:sSub>
            <m:r>
              <m:rPr>
                <m:sty m:val="p"/>
              </m:rPr>
              <m:t>=</m:t>
            </m:r>
            <m:r>
              <m:rPr>
                <m:sty m:val="i"/>
              </m:rPr>
              <m:t>α</m:t>
            </m:r>
            <m:r>
              <m:rPr>
                <m:sty m:val="i"/>
              </m:rPr>
              <m:t>C</m:t>
            </m:r>
            <m:sSub>
              <m:e>
                <m:r>
                  <m:rPr>
                    <m:sty m:val="i"/>
                  </m:rPr>
                  <m:t>S</m:t>
                </m:r>
              </m:e>
              <m:sub>
                <m:r>
                  <m:rPr>
                    <m:sty m:val="i"/>
                  </m:rPr>
                  <m:t>i</m:t>
                </m:r>
              </m:sub>
            </m:sSub>
            <m:r>
              <m:rPr>
                <m:sty m:val="p"/>
              </m:rPr>
              <m:t>+</m:t>
            </m:r>
            <m:r>
              <m:rPr>
                <m:sty m:val="i"/>
              </m:rPr>
              <m:t>β</m:t>
            </m:r>
            <m:sSub>
              <m:e>
                <m:r>
                  <m:rPr>
                    <m:sty m:val="i"/>
                  </m:rPr>
                  <m:t>π</m:t>
                </m:r>
              </m:e>
              <m:sub>
                <m:r>
                  <m:rPr>
                    <m:sty m:val="i"/>
                  </m:rPr>
                  <m:t>i</m:t>
                </m:r>
              </m:sub>
            </m:sSub>
            <m:r>
              <m:rPr>
                <m:sty m:val="p"/>
              </m:rPr>
              <m:t>+</m:t>
            </m:r>
            <m:r>
              <m:rPr>
                <m:sty m:val="i"/>
              </m:rPr>
              <m:t>θ</m:t>
            </m:r>
            <m:sSub>
              <m:e>
                <m:r>
                  <m:rPr>
                    <m:sty m:val="i"/>
                  </m:rPr>
                  <m:t>X</m:t>
                </m:r>
              </m:e>
              <m:sub>
                <m:r>
                  <m:rPr>
                    <m:sty m:val="i"/>
                  </m:rPr>
                  <m:t>i</m:t>
                </m:r>
              </m:sub>
            </m:sSub>
            <m:r>
              <m:rPr>
                <m:sty m:val="p"/>
              </m:rPr>
              <m:t>−</m:t>
            </m:r>
            <m:sSub>
              <m:e>
                <m:r>
                  <m:rPr>
                    <m:sty m:val="i"/>
                  </m:rPr>
                  <m:t>s</m:t>
                </m:r>
              </m:e>
              <m:sub>
                <m:r>
                  <m:rPr>
                    <m:sty m:val="i"/>
                  </m:rPr>
                  <m:t>i</m:t>
                </m:r>
              </m:sub>
            </m:sSub>
            <m:sSub>
              <m:e>
                <m:r>
                  <m:rPr>
                    <m:sty m:val="i"/>
                  </m:rPr>
                  <m:t>X</m:t>
                </m:r>
              </m:e>
              <m:sub>
                <m:r>
                  <m:rPr>
                    <m:sty m:val="i"/>
                  </m:rPr>
                  <m:t>i</m:t>
                </m:r>
              </m:sub>
            </m:sSub>
          </m:e>
        </m:box>
      </m:oMath>
      <w:r>
        <w:rPr>
          <w:rFonts w:ascii="Times New Roman" w:hAnsi="Times New Roman" w:eastAsia="宋体"/>
          <w:b w:val="0"/>
          <w:sz w:val="24"/>
        </w:rPr>
        <w:tab/>
        <w:t>(4-4)</w:t>
      </w:r>
    </w:p>
    <w:p>
      <w:pPr>
        <w:spacing w:before="0" w:after="0" w:line="360" w:lineRule="auto"/>
        <w:ind w:firstLineChars="200" w:firstLine="480"/>
      </w:pPr>
      <w:r>
        <w:rPr>
          <w:rFonts w:ascii="Times New Roman" w:hAnsi="Times New Roman" w:eastAsia="宋体"/>
          <w:b w:val="0"/>
          <w:sz w:val="24"/>
        </w:rPr>
        <w:t>其中，</w:t>
      </w:r>
      <m:oMath>
        <m:box>
          <m:e>
            <m:sSub>
              <m:e>
                <m:r>
                  <m:rPr>
                    <m:sty m:val="i"/>
                  </m:rPr>
                  <m:t>X</m:t>
                </m:r>
              </m:e>
              <m:sub>
                <m:r>
                  <m:rPr>
                    <m:sty m:val="i"/>
                  </m:rPr>
                  <m:t>i</m:t>
                </m:r>
              </m:sub>
            </m:sSub>
            <m:r>
              <m:rPr>
                <m:sty m:val="p"/>
              </m:rPr>
              <m:t>=</m:t>
            </m:r>
            <m:sSub>
              <m:e>
                <m:r>
                  <m:rPr>
                    <m:sty m:val="i"/>
                  </m:rPr>
                  <m:t>q</m:t>
                </m:r>
              </m:e>
              <m:sub>
                <m:box>
                  <m:e>
                    <m:r>
                      <m:rPr>
                        <m:sty m:val="i"/>
                      </m:rPr>
                      <m:t>i</m:t>
                    </m:r>
                    <m:r>
                      <m:rPr>
                        <m:sty m:val="i"/>
                      </m:rPr>
                      <m:t>i</m:t>
                    </m:r>
                  </m:e>
                </m:box>
              </m:sub>
            </m:sSub>
            <m:r>
              <m:rPr>
                <m:sty m:val="p"/>
              </m:rPr>
              <m:t>+</m:t>
            </m:r>
            <m:sSub>
              <m:e>
                <m:r>
                  <m:rPr>
                    <m:sty m:val="i"/>
                  </m:rPr>
                  <m:t>q</m:t>
                </m:r>
              </m:e>
              <m:sub>
                <m:box>
                  <m:e>
                    <m:r>
                      <m:rPr>
                        <m:sty m:val="i"/>
                      </m:rPr>
                      <m:t>i</m:t>
                    </m:r>
                    <m:r>
                      <m:rPr>
                        <m:sty m:val="i"/>
                      </m:rPr>
                      <m:t>j</m:t>
                    </m:r>
                  </m:e>
                </m:box>
              </m:sub>
            </m:sSub>
          </m:e>
        </m:box>
      </m:oMath>
      <w:r>
        <w:rPr>
          <w:rFonts w:ascii="Times New Roman" w:hAnsi="Times New Roman" w:eastAsia="宋体"/>
          <w:b w:val="0"/>
          <w:sz w:val="24"/>
        </w:rPr>
        <w:t>为本地企业总产出（即本地工业产值的实物量），</w:t>
      </w:r>
      <m:oMath>
        <m:box>
          <m:e>
            <m:r>
              <m:rPr>
                <m:sty m:val="i"/>
              </m:rPr>
              <m:t>C</m:t>
            </m:r>
            <m:sSub>
              <m:e>
                <m:r>
                  <m:rPr>
                    <m:sty m:val="i"/>
                  </m:rPr>
                  <m:t>S</m:t>
                </m:r>
              </m:e>
              <m:sub>
                <m:r>
                  <m:rPr>
                    <m:sty m:val="i"/>
                  </m:rPr>
                  <m:t>i</m:t>
                </m:r>
              </m:sub>
            </m:sSub>
          </m:e>
        </m:box>
      </m:oMath>
      <w:r>
        <w:rPr>
          <w:rFonts w:ascii="Times New Roman" w:hAnsi="Times New Roman" w:eastAsia="宋体"/>
          <w:b w:val="0"/>
          <w:sz w:val="24"/>
        </w:rPr>
        <w:t>为本地消费者剩余，</w:t>
      </w:r>
      <m:oMath>
        <m:box>
          <m:e>
            <m:sSub>
              <m:e>
                <m:r>
                  <m:rPr>
                    <m:sty m:val="i"/>
                  </m:rPr>
                  <m:t>s</m:t>
                </m:r>
              </m:e>
              <m:sub>
                <m:r>
                  <m:rPr>
                    <m:sty m:val="i"/>
                  </m:rPr>
                  <m:t>i</m:t>
                </m:r>
              </m:sub>
            </m:sSub>
            <m:sSub>
              <m:e>
                <m:r>
                  <m:rPr>
                    <m:sty m:val="i"/>
                  </m:rPr>
                  <m:t>X</m:t>
                </m:r>
              </m:e>
              <m:sub>
                <m:r>
                  <m:rPr>
                    <m:sty m:val="i"/>
                  </m:rPr>
                  <m:t>i</m:t>
                </m:r>
              </m:sub>
            </m:sSub>
          </m:e>
        </m:box>
      </m:oMath>
      <w:r>
        <w:rPr>
          <w:rFonts w:ascii="Times New Roman" w:hAnsi="Times New Roman" w:eastAsia="宋体"/>
          <w:b w:val="0"/>
          <w:sz w:val="24"/>
        </w:rPr>
        <w:t>为财政补贴支出；</w:t>
      </w:r>
      <m:oMath>
        <m:box>
          <m:e>
            <m:r>
              <m:rPr>
                <m:sty m:val="i"/>
              </m:rPr>
              <m:t>α</m:t>
            </m:r>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w:t>
      </w:r>
      <m:oMath>
        <m:box>
          <m:e>
            <m:r>
              <m:rPr>
                <m:sty m:val="i"/>
              </m:rPr>
              <m:t>β</m:t>
            </m:r>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分别为政府赋予消费者剩余与企业利润的权重；</w:t>
      </w:r>
      <m:oMath>
        <m:box>
          <m:e>
            <m:r>
              <m:rPr>
                <m:sty m:val="i"/>
              </m:rPr>
              <m:t>θ</m:t>
            </m:r>
            <m:r>
              <m:rPr>
                <m:sty m:val="p"/>
              </m:rPr>
              <m:t>=</m:t>
            </m:r>
            <m:r>
              <m:rPr>
                <m:sty m:val="i"/>
              </m:rPr>
              <m:t>λ</m:t>
            </m:r>
            <m:r>
              <m:rPr>
                <m:sty m:val="p"/>
              </m:rPr>
              <m:t>+</m:t>
            </m:r>
            <m:sSub>
              <m:e>
                <m:r>
                  <m:rPr>
                    <m:sty m:val="i"/>
                  </m:rPr>
                  <m:t>t</m:t>
                </m:r>
              </m:e>
              <m:sub>
                <m:r>
                  <m:rPr>
                    <m:sty m:val="i"/>
                  </m:rPr>
                  <m:t>v</m:t>
                </m:r>
              </m:sub>
            </m:sSub>
            <m:r>
              <m:rPr>
                <m:sty m:val="p"/>
              </m:rPr>
              <m:t>&gt;</m:t>
            </m:r>
            <m:r>
              <m:rPr>
                <m:sty m:val="p"/>
              </m:rPr>
              <m:t>0</m:t>
            </m:r>
          </m:e>
        </m:box>
      </m:oMath>
      <w:r>
        <w:rPr>
          <w:rFonts w:ascii="Times New Roman" w:hAnsi="Times New Roman" w:eastAsia="宋体"/>
          <w:b w:val="0"/>
          <w:sz w:val="24"/>
        </w:rPr>
        <w:t>为单位产出的“政治溢价”，由两部分构成：</w:t>
      </w:r>
      <m:oMath>
        <m:box>
          <m:e>
            <m:r>
              <m:rPr>
                <m:sty m:val="i"/>
              </m:rPr>
              <m:t>λ</m:t>
            </m:r>
          </m:e>
        </m:box>
      </m:oMath>
      <w:r>
        <w:rPr>
          <w:rFonts w:ascii="Times New Roman" w:hAnsi="Times New Roman" w:eastAsia="宋体"/>
          <w:b w:val="0"/>
          <w:sz w:val="24"/>
        </w:rPr>
        <w:t>刻画晋升锦标赛下官员对GDP及其排名的考核权重（周黎安，2007），</w:t>
      </w:r>
      <m:oMath>
        <m:box>
          <m:e>
            <m:sSub>
              <m:e>
                <m:r>
                  <m:rPr>
                    <m:sty m:val="i"/>
                  </m:rPr>
                  <m:t>t</m:t>
                </m:r>
              </m:e>
              <m:sub>
                <m:r>
                  <m:rPr>
                    <m:sty m:val="i"/>
                  </m:rPr>
                  <m:t>v</m:t>
                </m:r>
              </m:sub>
            </m:sSub>
          </m:e>
        </m:box>
      </m:oMath>
      <w:r>
        <w:rPr>
          <w:rFonts w:ascii="Times New Roman" w:hAnsi="Times New Roman" w:eastAsia="宋体"/>
          <w:b w:val="0"/>
          <w:sz w:val="24"/>
        </w:rPr>
        <w:t>刻画生产地原则下每单位产出带来的增值税等税收留成。中国场景下的典型权重结构是：消费者高度分散且不具有跨区“用脚投票”的政治影响，故</w:t>
      </w:r>
      <m:oMath>
        <m:box>
          <m:e>
            <m:r>
              <m:rPr>
                <m:sty m:val="i"/>
              </m:rPr>
              <m:t>α</m:t>
            </m:r>
          </m:e>
        </m:box>
      </m:oMath>
      <w:r>
        <w:rPr>
          <w:rFonts w:ascii="Times New Roman" w:hAnsi="Times New Roman" w:eastAsia="宋体"/>
          <w:b w:val="0"/>
          <w:sz w:val="24"/>
        </w:rPr>
        <w:t>较低；企业利润归属股东（且往往包含外地资本），在官员目标中的权重</w:t>
      </w:r>
      <m:oMath>
        <m:box>
          <m:e>
            <m:r>
              <m:rPr>
                <m:sty m:val="i"/>
              </m:rPr>
              <m:t>β</m:t>
            </m:r>
          </m:e>
        </m:box>
      </m:oMath>
      <w:r>
        <w:rPr>
          <w:rFonts w:ascii="Times New Roman" w:hAnsi="Times New Roman" w:eastAsia="宋体"/>
          <w:b w:val="0"/>
          <w:sz w:val="24"/>
        </w:rPr>
        <w:t>明显低于产值；而</w:t>
      </w:r>
      <m:oMath>
        <m:box>
          <m:e>
            <m:r>
              <m:rPr>
                <m:sty m:val="i"/>
              </m:rPr>
              <m:t>θ</m:t>
            </m:r>
          </m:e>
        </m:box>
      </m:oMath>
      <w:r>
        <w:rPr>
          <w:rFonts w:ascii="Times New Roman" w:hAnsi="Times New Roman" w:eastAsia="宋体"/>
          <w:b w:val="0"/>
          <w:sz w:val="24"/>
        </w:rPr>
        <w:t>在“以GDP论英雄”的考核体系与生产型税制下显著为正。后文将看到，权重结构</w:t>
      </w:r>
      <m:oMath>
        <m:box>
          <m:e>
            <m:r>
              <m:rPr>
                <m:sty m:val="p"/>
              </m:rPr>
              <m:t>(</m:t>
            </m:r>
            <m:r>
              <m:rPr>
                <m:sty m:val="i"/>
              </m:rPr>
              <m:t>α</m:t>
            </m:r>
            <m:r>
              <m:rPr>
                <m:sty m:val="p"/>
              </m:rPr>
              <m:t>,</m:t>
            </m:r>
            <m:r>
              <m:rPr>
                <m:sty m:val="i"/>
              </m:rPr>
              <m:t>β</m:t>
            </m:r>
            <m:r>
              <m:rPr>
                <m:sty m:val="p"/>
              </m:rPr>
              <m:t>,</m:t>
            </m:r>
            <m:r>
              <m:rPr>
                <m:sty m:val="i"/>
              </m:rPr>
              <m:t>θ</m:t>
            </m:r>
            <m:r>
              <m:rPr>
                <m:sty m:val="p"/>
              </m:rPr>
              <m:t>)</m:t>
            </m:r>
          </m:e>
        </m:box>
      </m:oMath>
      <w:r>
        <w:rPr>
          <w:rFonts w:ascii="Times New Roman" w:hAnsi="Times New Roman" w:eastAsia="宋体"/>
          <w:b w:val="0"/>
          <w:sz w:val="24"/>
        </w:rPr>
        <w:t>决定了补贴竞争的性质与市场分割比较静态的方向。</w:t>
      </w:r>
    </w:p>
    <w:p>
      <w:pPr>
        <w:spacing w:before="0" w:after="0" w:line="360" w:lineRule="auto"/>
        <w:ind w:firstLineChars="200" w:firstLine="480"/>
      </w:pPr>
      <w:r>
        <w:rPr>
          <w:rFonts w:ascii="Times New Roman" w:hAnsi="Times New Roman" w:eastAsia="宋体"/>
          <w:b w:val="0"/>
          <w:sz w:val="24"/>
        </w:rPr>
        <w:t>博弈时序为两阶段：第一阶段，两地政府同时选择补贴</w:t>
      </w:r>
      <m:oMath>
        <m:box>
          <m:e>
            <m:sSub>
              <m:e>
                <m:r>
                  <m:rPr>
                    <m:sty m:val="i"/>
                  </m:rPr>
                  <m:t>s</m:t>
                </m:r>
              </m:e>
              <m:sub>
                <m:r>
                  <m:rPr>
                    <m:sty m:val="p"/>
                  </m:rPr>
                  <m:t>1</m:t>
                </m:r>
              </m:sub>
            </m:sSub>
          </m:e>
        </m:box>
      </m:oMath>
      <w:r>
        <w:rPr>
          <w:rFonts w:ascii="Times New Roman" w:hAnsi="Times New Roman" w:eastAsia="宋体"/>
          <w:b w:val="0"/>
          <w:sz w:val="24"/>
        </w:rPr>
        <w:t>、</w:t>
      </w:r>
      <m:oMath>
        <m:box>
          <m:e>
            <m:sSub>
              <m:e>
                <m:r>
                  <m:rPr>
                    <m:sty m:val="i"/>
                  </m:rPr>
                  <m:t>s</m:t>
                </m:r>
              </m:e>
              <m:sub>
                <m:r>
                  <m:rPr>
                    <m:sty m:val="p"/>
                  </m:rPr>
                  <m:t>2</m:t>
                </m:r>
              </m:sub>
            </m:sSub>
          </m:e>
        </m:box>
      </m:oMath>
      <w:r>
        <w:rPr>
          <w:rFonts w:ascii="Times New Roman" w:hAnsi="Times New Roman" w:eastAsia="宋体"/>
          <w:b w:val="0"/>
          <w:sz w:val="24"/>
        </w:rPr>
        <w:t>；第二阶段，两家企业在两个分割的区域市场上同时选择销量，市场出清。求解概念为子博弈完美纳什均衡，采用逆向归纳法。为保证内点解，假设参数满足：（假设4-1）</w:t>
      </w:r>
      <m:oMath>
        <m:box>
          <m:e>
            <m:r>
              <m:rPr>
                <m:sty m:val="i"/>
              </m:rPr>
              <m:t>a</m:t>
            </m:r>
            <m:r>
              <m:rPr>
                <m:sty m:val="p"/>
              </m:rPr>
              <m:t>−</m:t>
            </m:r>
            <m:r>
              <m:rPr>
                <m:sty m:val="i"/>
              </m:rPr>
              <m:t>c</m:t>
            </m:r>
            <m:r>
              <m:rPr>
                <m:sty m:val="p"/>
              </m:rPr>
              <m:t>&gt;</m:t>
            </m:r>
            <m:r>
              <m:rPr>
                <m:sty m:val="p"/>
              </m:rPr>
              <m:t>2</m:t>
            </m:r>
            <m:r>
              <m:rPr>
                <m:sty m:val="i"/>
              </m:rPr>
              <m:t>t</m:t>
            </m:r>
          </m:e>
        </m:box>
      </m:oMath>
      <w:r>
        <w:rPr>
          <w:rFonts w:ascii="Times New Roman" w:hAnsi="Times New Roman" w:eastAsia="宋体"/>
          <w:b w:val="0"/>
          <w:sz w:val="24"/>
        </w:rPr>
        <w:t>，即分割成本不至于高到完全阻断跨区销售；（假设4-2）</w:t>
      </w:r>
      <m:oMath>
        <m:box>
          <m:e>
            <m:r>
              <m:rPr>
                <m:sty m:val="i"/>
              </m:rPr>
              <m:t>θ</m:t>
            </m:r>
            <m:r>
              <m:rPr>
                <m:sty m:val="p"/>
              </m:rPr>
              <m:t>&gt;</m:t>
            </m:r>
            <m:sSub>
              <m:e>
                <m:r>
                  <m:rPr>
                    <m:sty m:val="i"/>
                  </m:rPr>
                  <m:t>θ</m:t>
                </m:r>
              </m:e>
              <m:sub>
                <m:r>
                  <m:rPr>
                    <m:sty m:val="p"/>
                  </m:rPr>
                  <m:t>0</m:t>
                </m:r>
              </m:sub>
            </m:sSub>
            <m:r>
              <m:rPr>
                <m:sty m:val="p"/>
              </m:rPr>
              <m:t>≡</m:t>
            </m:r>
            <m:r>
              <m:rPr>
                <m:sty m:val="p"/>
              </m:rPr>
              <m:t>(</m:t>
            </m:r>
            <m:r>
              <m:rPr>
                <m:sty m:val="i"/>
              </m:rPr>
              <m:t>a</m:t>
            </m:r>
            <m:r>
              <m:rPr>
                <m:sty m:val="p"/>
              </m:rPr>
              <m:t>−</m:t>
            </m:r>
            <m:r>
              <m:rPr>
                <m:sty m:val="i"/>
              </m:rPr>
              <m:t>c</m:t>
            </m:r>
            <m:r>
              <m:rPr>
                <m:sty m:val="p"/>
              </m:rPr>
              <m:t>)</m:t>
            </m:r>
            <m:r>
              <m:rPr>
                <m:sty m:val="p"/>
              </m:rPr>
              <m:t>/</m:t>
            </m:r>
            <m:r>
              <m:rPr>
                <m:sty m:val="p"/>
              </m:rPr>
              <m:t>2</m:t>
            </m:r>
            <m:r>
              <m:rPr>
                <m:sty m:val="p"/>
              </m:rPr>
              <m:t>−</m:t>
            </m:r>
            <m:r>
              <m:rPr>
                <m:sty m:val="i"/>
              </m:rPr>
              <m:t>t</m:t>
            </m:r>
            <m:r>
              <m:rPr>
                <m:sty m:val="p"/>
              </m:rPr>
              <m:t>/</m:t>
            </m:r>
            <m:r>
              <m:rPr>
                <m:sty m:val="p"/>
              </m:rPr>
              <m:t>4</m:t>
            </m:r>
          </m:e>
        </m:box>
      </m:oMath>
      <w:r>
        <w:rPr>
          <w:rFonts w:ascii="Times New Roman" w:hAnsi="Times New Roman" w:eastAsia="宋体"/>
          <w:b w:val="0"/>
          <w:sz w:val="24"/>
        </w:rPr>
        <w:t>，即产值政治溢价足够大，保证锦标赛情形下均衡补贴为正——这与现实中地方补贴普遍存在的事实相符。本章各模型涉及符号较多，为便于查考，表4.1集中列示了全章符号的含义（见表4.1）。</w:t>
      </w:r>
    </w:p>
    <w:p>
      <w:pPr>
        <w:spacing w:before="160" w:after="80" w:line="312" w:lineRule="auto"/>
        <w:jc w:val="center"/>
      </w:pPr>
      <w:r>
        <w:rPr>
          <w:rFonts w:ascii="Times New Roman" w:hAnsi="Times New Roman" w:eastAsia="黑体"/>
          <w:b w:val="0"/>
          <w:sz w:val="21"/>
        </w:rPr>
        <w:t>表4.1　模型符号说明</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c>
          <w:tcPr>
            <w:tcW w:type="dxa" w:w="283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符号</w:t>
            </w:r>
          </w:p>
        </w:tc>
        <w:tc>
          <w:tcPr>
            <w:tcW w:type="dxa" w:w="283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含义</w:t>
            </w:r>
          </w:p>
        </w:tc>
        <w:tc>
          <w:tcPr>
            <w:tcW w:type="dxa" w:w="283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所属模型</w:t>
            </w:r>
          </w:p>
        </w:tc>
      </w:tr>
      <w:tr>
        <w:tc>
          <w:tcPr>
            <w:tcW w:type="dxa" w:w="2835"/>
          </w:tcPr>
          <w:p>
            <w:pPr>
              <w:spacing w:before="20" w:after="20" w:line="276" w:lineRule="auto"/>
              <w:jc w:val="left"/>
            </w:pPr>
            <w:r/>
            <m:oMath>
              <m:box>
                <m:e>
                  <m:r>
                    <m:rPr>
                      <m:sty m:val="i"/>
                    </m:rPr>
                    <m:t>a</m:t>
                  </m:r>
                  <m:r>
                    <m:rPr>
                      <m:sty m:val="p"/>
                    </m:rPr>
                    <m:t>,</m:t>
                  </m:r>
                  <m:r>
                    <m:rPr>
                      <m:nor/>
                    </m:rPr>
                    <m:t> </m:t>
                  </m:r>
                  <m:r>
                    <m:rPr>
                      <m:sty m:val="i"/>
                    </m:rPr>
                    <m:t>b</m:t>
                  </m:r>
                </m:e>
              </m:box>
            </m:oMath>
          </w:p>
        </w:tc>
        <w:tc>
          <w:tcPr>
            <w:tcW w:type="dxa" w:w="2835"/>
          </w:tcPr>
          <w:p>
            <w:pPr>
              <w:spacing w:before="20" w:after="20" w:line="276" w:lineRule="auto"/>
              <w:jc w:val="left"/>
            </w:pPr>
            <w:r/>
            <w:r>
              <w:rPr>
                <w:rFonts w:ascii="Times New Roman" w:hAnsi="Times New Roman" w:eastAsia="宋体"/>
                <w:b w:val="0"/>
                <w:sz w:val="21"/>
              </w:rPr>
              <w:t>区域市场反需求函数的截距与斜率</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r>
                    <m:rPr>
                      <m:sty m:val="i"/>
                    </m:rPr>
                    <m:t>c</m:t>
                  </m:r>
                </m:e>
              </m:box>
            </m:oMath>
          </w:p>
        </w:tc>
        <w:tc>
          <w:tcPr>
            <w:tcW w:type="dxa" w:w="2835"/>
          </w:tcPr>
          <w:p>
            <w:pPr>
              <w:spacing w:before="20" w:after="20" w:line="276" w:lineRule="auto"/>
              <w:jc w:val="left"/>
            </w:pPr>
            <w:r/>
            <w:r>
              <w:rPr>
                <w:rFonts w:ascii="Times New Roman" w:hAnsi="Times New Roman" w:eastAsia="宋体"/>
                <w:b w:val="0"/>
                <w:sz w:val="21"/>
              </w:rPr>
              <w:t>企业真实边际成本</w:t>
            </w:r>
          </w:p>
        </w:tc>
        <w:tc>
          <w:tcPr>
            <w:tcW w:type="dxa" w:w="2835"/>
          </w:tcPr>
          <w:p>
            <w:pPr>
              <w:spacing w:before="20" w:after="20" w:line="276" w:lineRule="auto"/>
              <w:jc w:val="left"/>
            </w:pPr>
            <w:r/>
            <w:r>
              <w:rPr>
                <w:rFonts w:ascii="Times New Roman" w:hAnsi="Times New Roman" w:eastAsia="宋体"/>
                <w:b w:val="0"/>
                <w:sz w:val="21"/>
              </w:rPr>
              <w:t>基准模型、扩展模型Ⅰ</w:t>
            </w:r>
          </w:p>
        </w:tc>
      </w:tr>
      <w:tr>
        <w:tc>
          <w:tcPr>
            <w:tcW w:type="dxa" w:w="2835"/>
          </w:tcPr>
          <w:p>
            <w:pPr>
              <w:spacing w:before="20" w:after="20" w:line="276" w:lineRule="auto"/>
              <w:jc w:val="left"/>
            </w:pPr>
            <w:r/>
            <m:oMath>
              <m:box>
                <m:e>
                  <m:r>
                    <m:rPr>
                      <m:sty m:val="i"/>
                    </m:rPr>
                    <m:t>τ</m:t>
                  </m:r>
                  <m:r>
                    <m:rPr>
                      <m:sty m:val="p"/>
                    </m:rPr>
                    <m:t>,</m:t>
                  </m:r>
                  <m:r>
                    <m:rPr>
                      <m:nor/>
                    </m:rPr>
                    <m:t> </m:t>
                  </m:r>
                  <m:r>
                    <m:rPr>
                      <m:sty m:val="i"/>
                    </m:rPr>
                    <m:t>t</m:t>
                  </m:r>
                </m:e>
              </m:box>
            </m:oMath>
          </w:p>
        </w:tc>
        <w:tc>
          <w:tcPr>
            <w:tcW w:type="dxa" w:w="2835"/>
          </w:tcPr>
          <w:p>
            <w:pPr>
              <w:spacing w:before="20" w:after="20" w:line="276" w:lineRule="auto"/>
              <w:jc w:val="left"/>
            </w:pPr>
            <w:r/>
            <w:r>
              <w:rPr>
                <w:rFonts w:ascii="Times New Roman" w:hAnsi="Times New Roman" w:eastAsia="宋体"/>
                <w:b w:val="0"/>
                <w:sz w:val="21"/>
              </w:rPr>
              <w:t>冰山型跨区交易成本系数及其线性化折算</w:t>
            </w:r>
            <m:oMath>
              <m:box>
                <m:e>
                  <m:r>
                    <m:rPr>
                      <m:sty m:val="i"/>
                    </m:rPr>
                    <m:t>t</m:t>
                  </m:r>
                  <m:r>
                    <m:rPr>
                      <m:sty m:val="p"/>
                    </m:rPr>
                    <m:t>=</m:t>
                  </m:r>
                  <m:r>
                    <m:rPr>
                      <m:sty m:val="p"/>
                    </m:rPr>
                    <m:t>(</m:t>
                  </m:r>
                  <m:r>
                    <m:rPr>
                      <m:sty m:val="i"/>
                    </m:rPr>
                    <m:t>τ</m:t>
                  </m:r>
                  <m:r>
                    <m:rPr>
                      <m:sty m:val="p"/>
                    </m:rPr>
                    <m:t>−</m:t>
                  </m:r>
                  <m:r>
                    <m:rPr>
                      <m:sty m:val="p"/>
                    </m:rPr>
                    <m:t>1</m:t>
                  </m:r>
                  <m:r>
                    <m:rPr>
                      <m:sty m:val="p"/>
                    </m:rPr>
                    <m:t>)</m:t>
                  </m:r>
                  <m:r>
                    <m:rPr>
                      <m:sty m:val="i"/>
                    </m:rPr>
                    <m:t>c</m:t>
                  </m:r>
                </m:e>
              </m:box>
            </m:oMath>
          </w:p>
        </w:tc>
        <w:tc>
          <w:tcPr>
            <w:tcW w:type="dxa" w:w="2835"/>
          </w:tcPr>
          <w:p>
            <w:pPr>
              <w:spacing w:before="20" w:after="20" w:line="276" w:lineRule="auto"/>
              <w:jc w:val="left"/>
            </w:pPr>
            <w:r/>
            <w:r>
              <w:rPr>
                <w:rFonts w:ascii="Times New Roman" w:hAnsi="Times New Roman" w:eastAsia="宋体"/>
                <w:b w:val="0"/>
                <w:sz w:val="21"/>
              </w:rPr>
              <w:t>全章</w:t>
            </w:r>
          </w:p>
        </w:tc>
      </w:tr>
      <w:tr>
        <w:tc>
          <w:tcPr>
            <w:tcW w:type="dxa" w:w="2835"/>
          </w:tcPr>
          <w:p>
            <w:pPr>
              <w:spacing w:before="20" w:after="20" w:line="276" w:lineRule="auto"/>
              <w:jc w:val="left"/>
            </w:pPr>
            <w:r/>
            <m:oMath>
              <m:box>
                <m:e>
                  <m:sSub>
                    <m:e>
                      <m:r>
                        <m:rPr>
                          <m:sty m:val="i"/>
                        </m:rPr>
                        <m:t>s</m:t>
                      </m:r>
                    </m:e>
                    <m:sub>
                      <m:r>
                        <m:rPr>
                          <m:sty m:val="i"/>
                        </m:rPr>
                        <m:t>i</m:t>
                      </m:r>
                    </m:sub>
                  </m:sSub>
                </m:e>
              </m:box>
            </m:oMath>
          </w:p>
        </w:tc>
        <w:tc>
          <w:tcPr>
            <w:tcW w:type="dxa" w:w="2835"/>
          </w:tcPr>
          <w:p>
            <w:pPr>
              <w:spacing w:before="20" w:after="20" w:line="276" w:lineRule="auto"/>
              <w:jc w:val="left"/>
            </w:pPr>
            <w:r/>
            <w:r>
              <w:rPr>
                <w:rFonts w:ascii="Times New Roman" w:hAnsi="Times New Roman" w:eastAsia="宋体"/>
                <w:b w:val="0"/>
                <w:sz w:val="21"/>
              </w:rPr>
              <w:t>地区</w:t>
            </w:r>
            <m:oMath>
              <m:box>
                <m:e>
                  <m:r>
                    <m:rPr>
                      <m:sty m:val="i"/>
                    </m:rPr>
                    <m:t>i</m:t>
                  </m:r>
                </m:e>
              </m:box>
            </m:oMath>
            <w:r>
              <w:rPr>
                <w:rFonts w:ascii="Times New Roman" w:hAnsi="Times New Roman" w:eastAsia="宋体"/>
                <w:b w:val="0"/>
                <w:sz w:val="21"/>
              </w:rPr>
              <w:t>政府的单位产出补贴（供地、税返、电价优惠折算）</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sSub>
                    <m:e>
                      <m:r>
                        <m:rPr>
                          <m:sty m:val="i"/>
                        </m:rPr>
                        <m:t>q</m:t>
                      </m:r>
                    </m:e>
                    <m:sub>
                      <m:box>
                        <m:e>
                          <m:r>
                            <m:rPr>
                              <m:sty m:val="i"/>
                            </m:rPr>
                            <m:t>i</m:t>
                          </m:r>
                          <m:r>
                            <m:rPr>
                              <m:sty m:val="i"/>
                            </m:rPr>
                            <m:t>i</m:t>
                          </m:r>
                        </m:e>
                      </m:box>
                    </m:sub>
                  </m:sSub>
                  <m:r>
                    <m:rPr>
                      <m:sty m:val="p"/>
                    </m:rPr>
                    <m:t>,</m:t>
                  </m:r>
                  <m:r>
                    <m:rPr>
                      <m:nor/>
                    </m:rPr>
                    <m:t> </m:t>
                  </m:r>
                  <m:sSub>
                    <m:e>
                      <m:r>
                        <m:rPr>
                          <m:sty m:val="i"/>
                        </m:rPr>
                        <m:t>q</m:t>
                      </m:r>
                    </m:e>
                    <m:sub>
                      <m:box>
                        <m:e>
                          <m:r>
                            <m:rPr>
                              <m:sty m:val="i"/>
                            </m:rPr>
                            <m:t>i</m:t>
                          </m:r>
                          <m:r>
                            <m:rPr>
                              <m:sty m:val="i"/>
                            </m:rPr>
                            <m:t>j</m:t>
                          </m:r>
                        </m:e>
                      </m:box>
                    </m:sub>
                  </m:sSub>
                </m:e>
              </m:box>
            </m:oMath>
          </w:p>
        </w:tc>
        <w:tc>
          <w:tcPr>
            <w:tcW w:type="dxa" w:w="2835"/>
          </w:tcPr>
          <w:p>
            <w:pPr>
              <w:spacing w:before="20" w:after="20" w:line="276" w:lineRule="auto"/>
              <w:jc w:val="left"/>
            </w:pPr>
            <w:r/>
            <w:r>
              <w:rPr>
                <w:rFonts w:ascii="Times New Roman" w:hAnsi="Times New Roman" w:eastAsia="宋体"/>
                <w:b w:val="0"/>
                <w:sz w:val="21"/>
              </w:rPr>
              <w:t>地区</w:t>
            </w:r>
            <m:oMath>
              <m:box>
                <m:e>
                  <m:r>
                    <m:rPr>
                      <m:sty m:val="i"/>
                    </m:rPr>
                    <m:t>i</m:t>
                  </m:r>
                </m:e>
              </m:box>
            </m:oMath>
            <w:r>
              <w:rPr>
                <w:rFonts w:ascii="Times New Roman" w:hAnsi="Times New Roman" w:eastAsia="宋体"/>
                <w:b w:val="0"/>
                <w:sz w:val="21"/>
              </w:rPr>
              <w:t>企业的本地销量与跨区销量</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sSub>
                    <m:e>
                      <m:r>
                        <m:rPr>
                          <m:sty m:val="i"/>
                        </m:rPr>
                        <m:t>p</m:t>
                      </m:r>
                    </m:e>
                    <m:sub>
                      <m:r>
                        <m:rPr>
                          <m:sty m:val="i"/>
                        </m:rPr>
                        <m:t>i</m:t>
                      </m:r>
                    </m:sub>
                  </m:sSub>
                  <m:r>
                    <m:rPr>
                      <m:sty m:val="p"/>
                    </m:rPr>
                    <m:t>,</m:t>
                  </m:r>
                  <m:r>
                    <m:rPr>
                      <m:nor/>
                    </m:rPr>
                    <m:t> </m:t>
                  </m:r>
                  <m:sSub>
                    <m:e>
                      <m:r>
                        <m:rPr>
                          <m:sty m:val="i"/>
                        </m:rPr>
                        <m:t>X</m:t>
                      </m:r>
                    </m:e>
                    <m:sub>
                      <m:r>
                        <m:rPr>
                          <m:sty m:val="i"/>
                        </m:rPr>
                        <m:t>i</m:t>
                      </m:r>
                    </m:sub>
                  </m:sSub>
                  <m:r>
                    <m:rPr>
                      <m:sty m:val="p"/>
                    </m:rPr>
                    <m:t>,</m:t>
                  </m:r>
                  <m:r>
                    <m:rPr>
                      <m:nor/>
                    </m:rPr>
                    <m:t> </m:t>
                  </m:r>
                  <m:r>
                    <m:rPr>
                      <m:sty m:val="i"/>
                    </m:rPr>
                    <m:t>C</m:t>
                  </m:r>
                  <m:sSub>
                    <m:e>
                      <m:r>
                        <m:rPr>
                          <m:sty m:val="i"/>
                        </m:rPr>
                        <m:t>S</m:t>
                      </m:r>
                    </m:e>
                    <m:sub>
                      <m:r>
                        <m:rPr>
                          <m:sty m:val="i"/>
                        </m:rPr>
                        <m:t>i</m:t>
                      </m:r>
                    </m:sub>
                  </m:sSub>
                </m:e>
              </m:box>
            </m:oMath>
          </w:p>
        </w:tc>
        <w:tc>
          <w:tcPr>
            <w:tcW w:type="dxa" w:w="2835"/>
          </w:tcPr>
          <w:p>
            <w:pPr>
              <w:spacing w:before="20" w:after="20" w:line="276" w:lineRule="auto"/>
              <w:jc w:val="left"/>
            </w:pPr>
            <w:r/>
            <w:r>
              <w:rPr>
                <w:rFonts w:ascii="Times New Roman" w:hAnsi="Times New Roman" w:eastAsia="宋体"/>
                <w:b w:val="0"/>
                <w:sz w:val="21"/>
              </w:rPr>
              <w:t>地区</w:t>
            </w:r>
            <m:oMath>
              <m:box>
                <m:e>
                  <m:r>
                    <m:rPr>
                      <m:sty m:val="i"/>
                    </m:rPr>
                    <m:t>i</m:t>
                  </m:r>
                </m:e>
              </m:box>
            </m:oMath>
            <w:r>
              <w:rPr>
                <w:rFonts w:ascii="Times New Roman" w:hAnsi="Times New Roman" w:eastAsia="宋体"/>
                <w:b w:val="0"/>
                <w:sz w:val="21"/>
              </w:rPr>
              <w:t>的市场价格、本地企业总产出、消费者剩余</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sSub>
                    <m:e>
                      <m:r>
                        <m:rPr>
                          <m:sty m:val="i"/>
                        </m:rPr>
                        <m:t>W</m:t>
                      </m:r>
                    </m:e>
                    <m:sub>
                      <m:r>
                        <m:rPr>
                          <m:sty m:val="i"/>
                        </m:rPr>
                        <m:t>i</m:t>
                      </m:r>
                    </m:sub>
                  </m:sSub>
                </m:e>
              </m:box>
            </m:oMath>
          </w:p>
        </w:tc>
        <w:tc>
          <w:tcPr>
            <w:tcW w:type="dxa" w:w="2835"/>
          </w:tcPr>
          <w:p>
            <w:pPr>
              <w:spacing w:before="20" w:after="20" w:line="276" w:lineRule="auto"/>
              <w:jc w:val="left"/>
            </w:pPr>
            <w:r/>
            <w:r>
              <w:rPr>
                <w:rFonts w:ascii="Times New Roman" w:hAnsi="Times New Roman" w:eastAsia="宋体"/>
                <w:b w:val="0"/>
                <w:sz w:val="21"/>
              </w:rPr>
              <w:t>地区</w:t>
            </w:r>
            <m:oMath>
              <m:box>
                <m:e>
                  <m:r>
                    <m:rPr>
                      <m:sty m:val="i"/>
                    </m:rPr>
                    <m:t>i</m:t>
                  </m:r>
                </m:e>
              </m:box>
            </m:oMath>
            <w:r>
              <w:rPr>
                <w:rFonts w:ascii="Times New Roman" w:hAnsi="Times New Roman" w:eastAsia="宋体"/>
                <w:b w:val="0"/>
                <w:sz w:val="21"/>
              </w:rPr>
              <w:t>政府的政治经济学目标函数</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r>
                    <m:rPr>
                      <m:sty m:val="i"/>
                    </m:rPr>
                    <m:t>α</m:t>
                  </m:r>
                  <m:r>
                    <m:rPr>
                      <m:sty m:val="p"/>
                    </m:rPr>
                    <m:t>,</m:t>
                  </m:r>
                  <m:r>
                    <m:rPr>
                      <m:nor/>
                    </m:rPr>
                    <m:t> </m:t>
                  </m:r>
                  <m:r>
                    <m:rPr>
                      <m:sty m:val="i"/>
                    </m:rPr>
                    <m:t>β</m:t>
                  </m:r>
                </m:e>
              </m:box>
            </m:oMath>
          </w:p>
        </w:tc>
        <w:tc>
          <w:tcPr>
            <w:tcW w:type="dxa" w:w="2835"/>
          </w:tcPr>
          <w:p>
            <w:pPr>
              <w:spacing w:before="20" w:after="20" w:line="276" w:lineRule="auto"/>
              <w:jc w:val="left"/>
            </w:pPr>
            <w:r/>
            <w:r>
              <w:rPr>
                <w:rFonts w:ascii="Times New Roman" w:hAnsi="Times New Roman" w:eastAsia="宋体"/>
                <w:b w:val="0"/>
                <w:sz w:val="21"/>
              </w:rPr>
              <w:t>政府对消费者剩余、企业利润的权重</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r>
                    <m:rPr>
                      <m:sty m:val="i"/>
                    </m:rPr>
                    <m:t>λ</m:t>
                  </m:r>
                  <m:r>
                    <m:rPr>
                      <m:sty m:val="p"/>
                    </m:rPr>
                    <m:t>,</m:t>
                  </m:r>
                  <m:r>
                    <m:rPr>
                      <m:nor/>
                    </m:rPr>
                    <m:t> </m:t>
                  </m:r>
                  <m:sSub>
                    <m:e>
                      <m:r>
                        <m:rPr>
                          <m:sty m:val="i"/>
                        </m:rPr>
                        <m:t>t</m:t>
                      </m:r>
                    </m:e>
                    <m:sub>
                      <m:r>
                        <m:rPr>
                          <m:sty m:val="i"/>
                        </m:rPr>
                        <m:t>v</m:t>
                      </m:r>
                    </m:sub>
                  </m:sSub>
                  <m:r>
                    <m:rPr>
                      <m:sty m:val="p"/>
                    </m:rPr>
                    <m:t>,</m:t>
                  </m:r>
                  <m:r>
                    <m:rPr>
                      <m:nor/>
                    </m:rPr>
                    <m:t> </m:t>
                  </m:r>
                  <m:r>
                    <m:rPr>
                      <m:sty m:val="i"/>
                    </m:rPr>
                    <m:t>θ</m:t>
                  </m:r>
                </m:e>
              </m:box>
            </m:oMath>
          </w:p>
        </w:tc>
        <w:tc>
          <w:tcPr>
            <w:tcW w:type="dxa" w:w="2835"/>
          </w:tcPr>
          <w:p>
            <w:pPr>
              <w:spacing w:before="20" w:after="20" w:line="276" w:lineRule="auto"/>
              <w:jc w:val="left"/>
            </w:pPr>
            <w:r/>
            <w:r>
              <w:rPr>
                <w:rFonts w:ascii="Times New Roman" w:hAnsi="Times New Roman" w:eastAsia="宋体"/>
                <w:b w:val="0"/>
                <w:sz w:val="21"/>
              </w:rPr>
              <w:t>GDP考核权重、单位产出税收留成、政治溢价</w:t>
            </w:r>
            <m:oMath>
              <m:box>
                <m:e>
                  <m:r>
                    <m:rPr>
                      <m:sty m:val="i"/>
                    </m:rPr>
                    <m:t>θ</m:t>
                  </m:r>
                  <m:r>
                    <m:rPr>
                      <m:sty m:val="p"/>
                    </m:rPr>
                    <m:t>=</m:t>
                  </m:r>
                  <m:r>
                    <m:rPr>
                      <m:sty m:val="i"/>
                    </m:rPr>
                    <m:t>λ</m:t>
                  </m:r>
                  <m:r>
                    <m:rPr>
                      <m:sty m:val="p"/>
                    </m:rPr>
                    <m:t>+</m:t>
                  </m:r>
                  <m:sSub>
                    <m:e>
                      <m:r>
                        <m:rPr>
                          <m:sty m:val="i"/>
                        </m:rPr>
                        <m:t>t</m:t>
                      </m:r>
                    </m:e>
                    <m:sub>
                      <m:r>
                        <m:rPr>
                          <m:sty m:val="i"/>
                        </m:rPr>
                        <m:t>v</m:t>
                      </m:r>
                    </m:sub>
                  </m:sSub>
                </m:e>
              </m:box>
            </m:oMath>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r>
                    <m:rPr>
                      <m:sty m:val="i"/>
                    </m:rPr>
                    <m:t>m</m:t>
                  </m:r>
                </m:e>
              </m:box>
            </m:oMath>
          </w:p>
        </w:tc>
        <w:tc>
          <w:tcPr>
            <w:tcW w:type="dxa" w:w="2835"/>
          </w:tcPr>
          <w:p>
            <w:pPr>
              <w:spacing w:before="20" w:after="20" w:line="276" w:lineRule="auto"/>
              <w:jc w:val="left"/>
            </w:pPr>
            <w:r/>
            <w:r>
              <w:rPr>
                <w:rFonts w:ascii="Times New Roman" w:hAnsi="Times New Roman" w:eastAsia="宋体"/>
                <w:b w:val="0"/>
                <w:sz w:val="21"/>
              </w:rPr>
              <w:t>权重结构复合参数</w:t>
            </w:r>
            <m:oMath>
              <m:box>
                <m:e>
                  <m:r>
                    <m:rPr>
                      <m:sty m:val="i"/>
                    </m:rPr>
                    <m:t>m</m:t>
                  </m:r>
                  <m:r>
                    <m:rPr>
                      <m:sty m:val="p"/>
                    </m:rPr>
                    <m:t>≡</m:t>
                  </m:r>
                  <m:r>
                    <m:rPr>
                      <m:sty m:val="i"/>
                    </m:rPr>
                    <m:t>α</m:t>
                  </m:r>
                  <m:r>
                    <m:rPr>
                      <m:sty m:val="p"/>
                    </m:rPr>
                    <m:t>+</m:t>
                  </m:r>
                  <m:r>
                    <m:rPr>
                      <m:sty m:val="p"/>
                    </m:rPr>
                    <m:t>4</m:t>
                  </m:r>
                  <m:r>
                    <m:rPr>
                      <m:sty m:val="i"/>
                    </m:rPr>
                    <m:t>β</m:t>
                  </m:r>
                  <m:r>
                    <m:rPr>
                      <m:sty m:val="p"/>
                    </m:rPr>
                    <m:t>−</m:t>
                  </m:r>
                  <m:r>
                    <m:rPr>
                      <m:sty m:val="p"/>
                    </m:rPr>
                    <m:t>3</m:t>
                  </m:r>
                </m:e>
              </m:box>
            </m:oMath>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sSup>
                    <m:e>
                      <m:r>
                        <m:rPr>
                          <m:sty m:val="i"/>
                        </m:rPr>
                        <m:t>s</m:t>
                      </m:r>
                    </m:e>
                    <m:sup>
                      <m:r>
                        <m:rPr>
                          <m:sty m:val="p"/>
                        </m:rPr>
                        <m:t>*</m:t>
                      </m:r>
                    </m:sup>
                  </m:sSup>
                  <m:r>
                    <m:rPr>
                      <m:sty m:val="p"/>
                    </m:rPr>
                    <m:t>,</m:t>
                  </m:r>
                  <m:r>
                    <m:rPr>
                      <m:nor/>
                    </m:rPr>
                    <m:t> </m:t>
                  </m:r>
                  <m:sSup>
                    <m:e>
                      <m:r>
                        <m:rPr>
                          <m:sty m:val="i"/>
                        </m:rPr>
                        <m:t>s</m:t>
                      </m:r>
                    </m:e>
                    <m:sup>
                      <m:r>
                        <m:rPr>
                          <m:sty m:val="i"/>
                        </m:rPr>
                        <m:t>C</m:t>
                      </m:r>
                    </m:sup>
                  </m:sSup>
                  <m:r>
                    <m:rPr>
                      <m:sty m:val="p"/>
                    </m:rPr>
                    <m:t>,</m:t>
                  </m:r>
                  <m:r>
                    <m:rPr>
                      <m:nor/>
                    </m:rPr>
                    <m:t> </m:t>
                  </m:r>
                  <m:sSup>
                    <m:e>
                      <m:r>
                        <m:rPr>
                          <m:sty m:val="i"/>
                        </m:rPr>
                        <m:t>s</m:t>
                      </m:r>
                    </m:e>
                    <m:sup>
                      <m:r>
                        <m:rPr>
                          <m:sty m:val="i"/>
                        </m:rPr>
                        <m:t>o</m:t>
                      </m:r>
                    </m:sup>
                  </m:sSup>
                </m:e>
              </m:box>
            </m:oMath>
          </w:p>
        </w:tc>
        <w:tc>
          <w:tcPr>
            <w:tcW w:type="dxa" w:w="2835"/>
          </w:tcPr>
          <w:p>
            <w:pPr>
              <w:spacing w:before="20" w:after="20" w:line="276" w:lineRule="auto"/>
              <w:jc w:val="left"/>
            </w:pPr>
            <w:r/>
            <w:r>
              <w:rPr>
                <w:rFonts w:ascii="Times New Roman" w:hAnsi="Times New Roman" w:eastAsia="宋体"/>
                <w:b w:val="0"/>
                <w:sz w:val="21"/>
              </w:rPr>
              <w:t>纳什均衡补贴、合作最优补贴、（受约束）社会最优补贴</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r>
                    <m:rPr>
                      <m:sty m:val="i"/>
                    </m:rPr>
                    <m:t>Q</m:t>
                  </m:r>
                  <m:r>
                    <m:rPr>
                      <m:sty m:val="p"/>
                    </m:rPr>
                    <m:t>,</m:t>
                  </m:r>
                  <m:r>
                    <m:rPr>
                      <m:nor/>
                    </m:rPr>
                    <m:t> </m:t>
                  </m:r>
                  <m:sSup>
                    <m:e>
                      <m:r>
                        <m:rPr>
                          <m:sty m:val="i"/>
                        </m:rPr>
                        <m:t>Q</m:t>
                      </m:r>
                    </m:e>
                    <m:sup>
                      <m:r>
                        <m:rPr>
                          <m:sty m:val="i"/>
                        </m:rPr>
                        <m:t>o</m:t>
                      </m:r>
                    </m:sup>
                  </m:sSup>
                </m:e>
              </m:box>
            </m:oMath>
          </w:p>
        </w:tc>
        <w:tc>
          <w:tcPr>
            <w:tcW w:type="dxa" w:w="2835"/>
          </w:tcPr>
          <w:p>
            <w:pPr>
              <w:spacing w:before="20" w:after="20" w:line="276" w:lineRule="auto"/>
              <w:jc w:val="left"/>
            </w:pPr>
            <w:r/>
            <w:r>
              <w:rPr>
                <w:rFonts w:ascii="Times New Roman" w:hAnsi="Times New Roman" w:eastAsia="宋体"/>
                <w:b w:val="0"/>
                <w:sz w:val="21"/>
              </w:rPr>
              <w:t>区域市场总销量及其社会最优水平</w:t>
            </w:r>
          </w:p>
        </w:tc>
        <w:tc>
          <w:tcPr>
            <w:tcW w:type="dxa" w:w="2835"/>
          </w:tcPr>
          <w:p>
            <w:pPr>
              <w:spacing w:before="20" w:after="20" w:line="276" w:lineRule="auto"/>
              <w:jc w:val="left"/>
            </w:pPr>
            <w:r/>
            <w:r>
              <w:rPr>
                <w:rFonts w:ascii="Times New Roman" w:hAnsi="Times New Roman" w:eastAsia="宋体"/>
                <w:b w:val="0"/>
                <w:sz w:val="21"/>
              </w:rPr>
              <w:t>基准模型</w:t>
            </w:r>
          </w:p>
        </w:tc>
      </w:tr>
      <w:tr>
        <w:tc>
          <w:tcPr>
            <w:tcW w:type="dxa" w:w="2835"/>
          </w:tcPr>
          <w:p>
            <w:pPr>
              <w:spacing w:before="20" w:after="20" w:line="276" w:lineRule="auto"/>
              <w:jc w:val="left"/>
            </w:pPr>
            <w:r/>
            <m:oMath>
              <m:box>
                <m:e>
                  <m:r>
                    <m:rPr>
                      <m:sty m:val="i"/>
                    </m:rPr>
                    <m:t>S</m:t>
                  </m:r>
                  <m:r>
                    <m:rPr>
                      <m:sty m:val="p"/>
                    </m:rPr>
                    <m:t>,</m:t>
                  </m:r>
                  <m:r>
                    <m:rPr>
                      <m:nor/>
                    </m:rPr>
                    <m:t> </m:t>
                  </m:r>
                  <m:r>
                    <m:rPr>
                      <m:sty m:val="i"/>
                    </m:rPr>
                    <m:t>N</m:t>
                  </m:r>
                  <m:r>
                    <m:rPr>
                      <m:sty m:val="p"/>
                    </m:rPr>
                    <m:t>,</m:t>
                  </m:r>
                  <m:r>
                    <m:rPr>
                      <m:nor/>
                    </m:rPr>
                    <m:t> </m:t>
                  </m:r>
                  <m:r>
                    <m:rPr>
                      <m:sty m:val="i"/>
                    </m:rPr>
                    <m:t>L</m:t>
                  </m:r>
                </m:e>
              </m:box>
            </m:oMath>
          </w:p>
        </w:tc>
        <w:tc>
          <w:tcPr>
            <w:tcW w:type="dxa" w:w="2835"/>
          </w:tcPr>
          <w:p>
            <w:pPr>
              <w:spacing w:before="20" w:after="20" w:line="276" w:lineRule="auto"/>
              <w:jc w:val="left"/>
            </w:pPr>
            <w:r/>
            <w:r>
              <w:rPr>
                <w:rFonts w:ascii="Times New Roman" w:hAnsi="Times New Roman" w:eastAsia="宋体"/>
                <w:b w:val="0"/>
                <w:sz w:val="21"/>
              </w:rPr>
              <w:t>全国市场规模、被分割的子市场数、单个子市场规模</w:t>
            </w:r>
            <m:oMath>
              <m:box>
                <m:e>
                  <m:r>
                    <m:rPr>
                      <m:sty m:val="i"/>
                    </m:rPr>
                    <m:t>L</m:t>
                  </m:r>
                  <m:r>
                    <m:rPr>
                      <m:sty m:val="p"/>
                    </m:rPr>
                    <m:t>=</m:t>
                  </m:r>
                  <m:r>
                    <m:rPr>
                      <m:sty m:val="i"/>
                    </m:rPr>
                    <m:t>S</m:t>
                  </m:r>
                  <m:r>
                    <m:rPr>
                      <m:sty m:val="p"/>
                    </m:rPr>
                    <m:t>/</m:t>
                  </m:r>
                  <m:r>
                    <m:rPr>
                      <m:sty m:val="i"/>
                    </m:rPr>
                    <m:t>N</m:t>
                  </m:r>
                </m:e>
              </m:box>
            </m:oMath>
          </w:p>
        </w:tc>
        <w:tc>
          <w:tcPr>
            <w:tcW w:type="dxa" w:w="2835"/>
          </w:tcPr>
          <w:p>
            <w:pPr>
              <w:spacing w:before="20" w:after="20" w:line="276" w:lineRule="auto"/>
              <w:jc w:val="left"/>
            </w:pPr>
            <w:r/>
            <w:r>
              <w:rPr>
                <w:rFonts w:ascii="Times New Roman" w:hAnsi="Times New Roman" w:eastAsia="宋体"/>
                <w:b w:val="0"/>
                <w:sz w:val="21"/>
              </w:rPr>
              <w:t>扩展模型Ⅰ</w:t>
            </w:r>
          </w:p>
        </w:tc>
      </w:tr>
      <w:tr>
        <w:tc>
          <w:tcPr>
            <w:tcW w:type="dxa" w:w="2835"/>
          </w:tcPr>
          <w:p>
            <w:pPr>
              <w:spacing w:before="20" w:after="20" w:line="276" w:lineRule="auto"/>
              <w:jc w:val="left"/>
            </w:pPr>
            <w:r/>
            <m:oMath>
              <m:box>
                <m:e>
                  <m:sSub>
                    <m:e>
                      <m:r>
                        <m:rPr>
                          <m:sty m:val="i"/>
                        </m:rPr>
                        <m:t>t</m:t>
                      </m:r>
                    </m:e>
                    <m:sub>
                      <m:r>
                        <m:rPr>
                          <m:sty m:val="i"/>
                        </m:rPr>
                        <m:t>d</m:t>
                      </m:r>
                    </m:sub>
                  </m:sSub>
                </m:e>
              </m:box>
            </m:oMath>
          </w:p>
        </w:tc>
        <w:tc>
          <w:tcPr>
            <w:tcW w:type="dxa" w:w="2835"/>
          </w:tcPr>
          <w:p>
            <w:pPr>
              <w:spacing w:before="20" w:after="20" w:line="276" w:lineRule="auto"/>
              <w:jc w:val="left"/>
            </w:pPr>
            <w:r/>
            <w:r>
              <w:rPr>
                <w:rFonts w:ascii="Times New Roman" w:hAnsi="Times New Roman" w:eastAsia="宋体"/>
                <w:b w:val="0"/>
                <w:sz w:val="21"/>
              </w:rPr>
              <w:t>Salop圆周上的单位错配（运输）成本，度量产品差异化空间</w:t>
            </w:r>
          </w:p>
        </w:tc>
        <w:tc>
          <w:tcPr>
            <w:tcW w:type="dxa" w:w="2835"/>
          </w:tcPr>
          <w:p>
            <w:pPr>
              <w:spacing w:before="20" w:after="20" w:line="276" w:lineRule="auto"/>
              <w:jc w:val="left"/>
            </w:pPr>
            <w:r/>
            <w:r>
              <w:rPr>
                <w:rFonts w:ascii="Times New Roman" w:hAnsi="Times New Roman" w:eastAsia="宋体"/>
                <w:b w:val="0"/>
                <w:sz w:val="21"/>
              </w:rPr>
              <w:t>扩展模型Ⅰ</w:t>
            </w:r>
          </w:p>
        </w:tc>
      </w:tr>
      <w:tr>
        <w:tc>
          <w:tcPr>
            <w:tcW w:type="dxa" w:w="2835"/>
          </w:tcPr>
          <w:p>
            <w:pPr>
              <w:spacing w:before="20" w:after="20" w:line="276" w:lineRule="auto"/>
              <w:jc w:val="left"/>
            </w:pPr>
            <w:r/>
            <m:oMath>
              <m:box>
                <m:e>
                  <m:r>
                    <m:rPr>
                      <m:sty m:val="i"/>
                    </m:rPr>
                    <m:t>F</m:t>
                  </m:r>
                  <m:r>
                    <m:rPr>
                      <m:sty m:val="p"/>
                    </m:rPr>
                    <m:t>,</m:t>
                  </m:r>
                  <m:r>
                    <m:rPr>
                      <m:nor/>
                    </m:rPr>
                    <m:t> </m:t>
                  </m:r>
                  <m:sSub>
                    <m:e>
                      <m:r>
                        <m:rPr>
                          <m:sty m:val="i"/>
                        </m:rPr>
                        <m:t>f</m:t>
                      </m:r>
                    </m:e>
                    <m:sub>
                      <m:r>
                        <m:rPr>
                          <m:sty m:val="i"/>
                        </m:rPr>
                        <m:t>s</m:t>
                      </m:r>
                    </m:sub>
                  </m:sSub>
                </m:e>
              </m:box>
            </m:oMath>
          </w:p>
        </w:tc>
        <w:tc>
          <w:tcPr>
            <w:tcW w:type="dxa" w:w="2835"/>
          </w:tcPr>
          <w:p>
            <w:pPr>
              <w:spacing w:before="20" w:after="20" w:line="276" w:lineRule="auto"/>
              <w:jc w:val="left"/>
            </w:pPr>
            <w:r/>
            <w:r>
              <w:rPr>
                <w:rFonts w:ascii="Times New Roman" w:hAnsi="Times New Roman" w:eastAsia="宋体"/>
                <w:b w:val="0"/>
                <w:sz w:val="21"/>
              </w:rPr>
              <w:t>进入固定成本、地方政府的进入（固定成本）补贴</w:t>
            </w:r>
          </w:p>
        </w:tc>
        <w:tc>
          <w:tcPr>
            <w:tcW w:type="dxa" w:w="2835"/>
          </w:tcPr>
          <w:p>
            <w:pPr>
              <w:spacing w:before="20" w:after="20" w:line="276" w:lineRule="auto"/>
              <w:jc w:val="left"/>
            </w:pPr>
            <w:r/>
            <w:r>
              <w:rPr>
                <w:rFonts w:ascii="Times New Roman" w:hAnsi="Times New Roman" w:eastAsia="宋体"/>
                <w:b w:val="0"/>
                <w:sz w:val="21"/>
              </w:rPr>
              <w:t>扩展模型Ⅰ</w:t>
            </w:r>
          </w:p>
        </w:tc>
      </w:tr>
      <w:tr>
        <w:tc>
          <w:tcPr>
            <w:tcW w:type="dxa" w:w="2835"/>
          </w:tcPr>
          <w:p>
            <w:pPr>
              <w:spacing w:before="20" w:after="20" w:line="276" w:lineRule="auto"/>
              <w:jc w:val="left"/>
            </w:pPr>
            <w:r/>
            <m:oMath>
              <m:box>
                <m:e>
                  <m:r>
                    <m:rPr>
                      <m:sty m:val="i"/>
                    </m:rPr>
                    <m:t>n</m:t>
                  </m:r>
                  <m:r>
                    <m:rPr>
                      <m:sty m:val="p"/>
                    </m:rPr>
                    <m:t>,</m:t>
                  </m:r>
                  <m:r>
                    <m:rPr>
                      <m:nor/>
                    </m:rPr>
                    <m:t> </m:t>
                  </m:r>
                  <m:sSup>
                    <m:e>
                      <m:r>
                        <m:rPr>
                          <m:sty m:val="i"/>
                        </m:rPr>
                        <m:t>n</m:t>
                      </m:r>
                    </m:e>
                    <m:sup>
                      <m:r>
                        <m:rPr>
                          <m:sty m:val="i"/>
                        </m:rPr>
                        <m:t>e</m:t>
                      </m:r>
                    </m:sup>
                  </m:sSup>
                  <m:r>
                    <m:rPr>
                      <m:sty m:val="p"/>
                    </m:rPr>
                    <m:t>,</m:t>
                  </m:r>
                  <m:r>
                    <m:rPr>
                      <m:nor/>
                    </m:rPr>
                    <m:t> </m:t>
                  </m:r>
                  <m:sSup>
                    <m:e>
                      <m:r>
                        <m:rPr>
                          <m:sty m:val="i"/>
                        </m:rPr>
                        <m:t>n</m:t>
                      </m:r>
                    </m:e>
                    <m:sup>
                      <m:r>
                        <m:rPr>
                          <m:sty m:val="i"/>
                        </m:rPr>
                        <m:t>o</m:t>
                      </m:r>
                    </m:sup>
                  </m:sSup>
                </m:e>
              </m:box>
            </m:oMath>
          </w:p>
        </w:tc>
        <w:tc>
          <w:tcPr>
            <w:tcW w:type="dxa" w:w="2835"/>
          </w:tcPr>
          <w:p>
            <w:pPr>
              <w:spacing w:before="20" w:after="20" w:line="276" w:lineRule="auto"/>
              <w:jc w:val="left"/>
            </w:pPr>
            <w:r/>
            <w:r>
              <w:rPr>
                <w:rFonts w:ascii="Times New Roman" w:hAnsi="Times New Roman" w:eastAsia="宋体"/>
                <w:b w:val="0"/>
                <w:sz w:val="21"/>
              </w:rPr>
              <w:t>企业数量、自由进入均衡企业数、社会最优企业数</w:t>
            </w:r>
          </w:p>
        </w:tc>
        <w:tc>
          <w:tcPr>
            <w:tcW w:type="dxa" w:w="2835"/>
          </w:tcPr>
          <w:p>
            <w:pPr>
              <w:spacing w:before="20" w:after="20" w:line="276" w:lineRule="auto"/>
              <w:jc w:val="left"/>
            </w:pPr>
            <w:r/>
            <w:r>
              <w:rPr>
                <w:rFonts w:ascii="Times New Roman" w:hAnsi="Times New Roman" w:eastAsia="宋体"/>
                <w:b w:val="0"/>
                <w:sz w:val="21"/>
              </w:rPr>
              <w:t>扩展模型Ⅰ</w:t>
            </w:r>
          </w:p>
        </w:tc>
      </w:tr>
      <w:tr>
        <w:tc>
          <w:tcPr>
            <w:tcW w:type="dxa" w:w="2835"/>
          </w:tcPr>
          <w:p>
            <w:pPr>
              <w:spacing w:before="20" w:after="20" w:line="276" w:lineRule="auto"/>
              <w:jc w:val="left"/>
            </w:pPr>
            <w:r/>
            <m:oMath>
              <m:box>
                <m:e>
                  <m:r>
                    <m:rPr>
                      <m:sty m:val="i"/>
                    </m:rPr>
                    <m:t>ε</m:t>
                  </m:r>
                </m:e>
              </m:box>
            </m:oMath>
          </w:p>
        </w:tc>
        <w:tc>
          <w:tcPr>
            <w:tcW w:type="dxa" w:w="2835"/>
          </w:tcPr>
          <w:p>
            <w:pPr>
              <w:spacing w:before="20" w:after="20" w:line="276" w:lineRule="auto"/>
              <w:jc w:val="left"/>
            </w:pPr>
            <w:r/>
            <w:r>
              <w:rPr>
                <w:rFonts w:ascii="Times New Roman" w:hAnsi="Times New Roman" w:eastAsia="宋体"/>
                <w:b w:val="0"/>
                <w:sz w:val="21"/>
              </w:rPr>
              <w:t>需求收缩冲击幅度</w:t>
            </w:r>
          </w:p>
        </w:tc>
        <w:tc>
          <w:tcPr>
            <w:tcW w:type="dxa" w:w="2835"/>
          </w:tcPr>
          <w:p>
            <w:pPr>
              <w:spacing w:before="20" w:after="20" w:line="276" w:lineRule="auto"/>
              <w:jc w:val="left"/>
            </w:pPr>
            <w:r/>
            <w:r>
              <w:rPr>
                <w:rFonts w:ascii="Times New Roman" w:hAnsi="Times New Roman" w:eastAsia="宋体"/>
                <w:b w:val="0"/>
                <w:sz w:val="21"/>
              </w:rPr>
              <w:t>扩展模型Ⅰ</w:t>
            </w:r>
          </w:p>
        </w:tc>
      </w:tr>
      <w:tr>
        <w:tc>
          <w:tcPr>
            <w:tcW w:type="dxa" w:w="2835"/>
          </w:tcPr>
          <w:p>
            <w:pPr>
              <w:spacing w:before="20" w:after="20" w:line="276" w:lineRule="auto"/>
              <w:jc w:val="left"/>
            </w:pPr>
            <w:r/>
            <m:oMath>
              <m:box>
                <m:e>
                  <m:r>
                    <m:rPr>
                      <m:sty m:val="i"/>
                    </m:rPr>
                    <m:t>δ</m:t>
                  </m:r>
                </m:e>
              </m:box>
            </m:oMath>
          </w:p>
        </w:tc>
        <w:tc>
          <w:tcPr>
            <w:tcW w:type="dxa" w:w="2835"/>
          </w:tcPr>
          <w:p>
            <w:pPr>
              <w:spacing w:before="20" w:after="20" w:line="276" w:lineRule="auto"/>
              <w:jc w:val="left"/>
            </w:pPr>
            <w:r/>
            <w:r>
              <w:rPr>
                <w:rFonts w:ascii="Times New Roman" w:hAnsi="Times New Roman" w:eastAsia="宋体"/>
                <w:b w:val="0"/>
                <w:sz w:val="21"/>
              </w:rPr>
              <w:t>退出摩擦（“僵尸企业”庇护强度），企业可承受亏损上限为</w:t>
            </w:r>
            <m:oMath>
              <m:box>
                <m:e>
                  <m:r>
                    <m:rPr>
                      <m:sty m:val="i"/>
                    </m:rPr>
                    <m:t>δ</m:t>
                  </m:r>
                  <m:r>
                    <m:rPr>
                      <m:sty m:val="i"/>
                    </m:rPr>
                    <m:t>F</m:t>
                  </m:r>
                </m:e>
              </m:box>
            </m:oMath>
          </w:p>
        </w:tc>
        <w:tc>
          <w:tcPr>
            <w:tcW w:type="dxa" w:w="2835"/>
          </w:tcPr>
          <w:p>
            <w:pPr>
              <w:spacing w:before="20" w:after="20" w:line="276" w:lineRule="auto"/>
              <w:jc w:val="left"/>
            </w:pPr>
            <w:r/>
            <w:r>
              <w:rPr>
                <w:rFonts w:ascii="Times New Roman" w:hAnsi="Times New Roman" w:eastAsia="宋体"/>
                <w:b w:val="0"/>
                <w:sz w:val="21"/>
              </w:rPr>
              <w:t>扩展模型Ⅰ</w:t>
            </w:r>
          </w:p>
        </w:tc>
      </w:tr>
      <w:tr>
        <w:tc>
          <w:tcPr>
            <w:tcW w:type="dxa" w:w="2835"/>
          </w:tcPr>
          <w:p>
            <w:pPr>
              <w:spacing w:before="20" w:after="20" w:line="276" w:lineRule="auto"/>
              <w:jc w:val="left"/>
            </w:pPr>
            <w:r/>
            <m:oMath>
              <m:box>
                <m:e>
                  <m:r>
                    <m:rPr>
                      <m:sty m:val="i"/>
                    </m:rPr>
                    <m:t>φ</m:t>
                  </m:r>
                  <m:r>
                    <m:rPr>
                      <m:sty m:val="p"/>
                    </m:rPr>
                    <m:t>,</m:t>
                  </m:r>
                  <m:r>
                    <m:rPr>
                      <m:nor/>
                    </m:rPr>
                    <m:t> </m:t>
                  </m:r>
                  <m:sSub>
                    <m:e>
                      <m:r>
                        <m:rPr>
                          <m:sty m:val="i"/>
                        </m:rPr>
                        <m:t>φ</m:t>
                      </m:r>
                    </m:e>
                    <m:sub>
                      <m:box>
                        <m:e>
                          <m:r>
                            <m:rPr>
                              <m:sty m:val="p"/>
                            </m:rPr>
                            <m:t>min</m:t>
                          </m:r>
                        </m:e>
                      </m:box>
                    </m:sub>
                  </m:sSub>
                  <m:r>
                    <m:rPr>
                      <m:sty m:val="p"/>
                    </m:rPr>
                    <m:t>,</m:t>
                  </m:r>
                  <m:r>
                    <m:rPr>
                      <m:nor/>
                    </m:rPr>
                    <m:t> </m:t>
                  </m:r>
                  <m:r>
                    <m:rPr>
                      <m:sty m:val="i"/>
                    </m:rPr>
                    <m:t>k</m:t>
                  </m:r>
                </m:e>
              </m:box>
            </m:oMath>
          </w:p>
        </w:tc>
        <w:tc>
          <w:tcPr>
            <w:tcW w:type="dxa" w:w="2835"/>
          </w:tcPr>
          <w:p>
            <w:pPr>
              <w:spacing w:before="20" w:after="20" w:line="276" w:lineRule="auto"/>
              <w:jc w:val="left"/>
            </w:pPr>
            <w:r/>
            <w:r>
              <w:rPr>
                <w:rFonts w:ascii="Times New Roman" w:hAnsi="Times New Roman" w:eastAsia="宋体"/>
                <w:b w:val="0"/>
                <w:sz w:val="21"/>
              </w:rPr>
              <w:t>企业生产率、Pareto分布下限与形状参数</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r>
                    <m:rPr>
                      <m:sty m:val="i"/>
                    </m:rPr>
                    <m:t>σ</m:t>
                  </m:r>
                </m:e>
              </m:box>
            </m:oMath>
          </w:p>
        </w:tc>
        <w:tc>
          <w:tcPr>
            <w:tcW w:type="dxa" w:w="2835"/>
          </w:tcPr>
          <w:p>
            <w:pPr>
              <w:spacing w:before="20" w:after="20" w:line="276" w:lineRule="auto"/>
              <w:jc w:val="left"/>
            </w:pPr>
            <w:r/>
            <w:r>
              <w:rPr>
                <w:rFonts w:ascii="Times New Roman" w:hAnsi="Times New Roman" w:eastAsia="宋体"/>
                <w:b w:val="0"/>
                <w:sz w:val="21"/>
              </w:rPr>
              <w:t>产品间替代弹性（</w:t>
            </w:r>
            <m:oMath>
              <m:box>
                <m:e>
                  <m:r>
                    <m:rPr>
                      <m:sty m:val="i"/>
                    </m:rPr>
                    <m:t>σ</m:t>
                  </m:r>
                  <m:r>
                    <m:rPr>
                      <m:sty m:val="p"/>
                    </m:rPr>
                    <m:t>&gt;</m:t>
                  </m:r>
                  <m:r>
                    <m:rPr>
                      <m:sty m:val="p"/>
                    </m:rPr>
                    <m:t>1</m:t>
                  </m:r>
                </m:e>
              </m:box>
            </m:oMath>
            <w:r>
              <w:rPr>
                <w:rFonts w:ascii="Times New Roman" w:hAnsi="Times New Roman" w:eastAsia="宋体"/>
                <w:b w:val="0"/>
                <w:sz w:val="21"/>
              </w:rPr>
              <w:t>，且</w:t>
            </w:r>
            <m:oMath>
              <m:box>
                <m:e>
                  <m:r>
                    <m:rPr>
                      <m:sty m:val="i"/>
                    </m:rPr>
                    <m:t>k</m:t>
                  </m:r>
                  <m:r>
                    <m:rPr>
                      <m:sty m:val="p"/>
                    </m:rPr>
                    <m:t>&gt;</m:t>
                  </m:r>
                  <m:r>
                    <m:rPr>
                      <m:sty m:val="i"/>
                    </m:rPr>
                    <m:t>σ</m:t>
                  </m:r>
                  <m:r>
                    <m:rPr>
                      <m:sty m:val="p"/>
                    </m:rPr>
                    <m:t>−</m:t>
                  </m:r>
                  <m:r>
                    <m:rPr>
                      <m:sty m:val="p"/>
                    </m:rPr>
                    <m:t>1</m:t>
                  </m:r>
                </m:e>
              </m:box>
            </m:oMath>
            <w:r>
              <w:rPr>
                <w:rFonts w:ascii="Times New Roman" w:hAnsi="Times New Roman" w:eastAsia="宋体"/>
                <w:b w:val="0"/>
                <w:sz w:val="21"/>
              </w:rPr>
              <w:t>）</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r>
                    <m:rPr>
                      <m:sty m:val="i"/>
                    </m:rPr>
                    <m:t>A</m:t>
                  </m:r>
                  <m:r>
                    <m:rPr>
                      <m:sty m:val="p"/>
                    </m:rPr>
                    <m:t>,</m:t>
                  </m:r>
                  <m:r>
                    <m:rPr>
                      <m:nor/>
                    </m:rPr>
                    <m:t> </m:t>
                  </m:r>
                  <m:r>
                    <m:rPr>
                      <m:sty m:val="i"/>
                    </m:rPr>
                    <m:t>B</m:t>
                  </m:r>
                </m:e>
              </m:box>
            </m:oMath>
          </w:p>
        </w:tc>
        <w:tc>
          <w:tcPr>
            <w:tcW w:type="dxa" w:w="2835"/>
          </w:tcPr>
          <w:p>
            <w:pPr>
              <w:spacing w:before="20" w:after="20" w:line="276" w:lineRule="auto"/>
              <w:jc w:val="left"/>
            </w:pPr>
            <w:r/>
            <w:r>
              <w:rPr>
                <w:rFonts w:ascii="Times New Roman" w:hAnsi="Times New Roman" w:eastAsia="宋体"/>
                <w:b w:val="0"/>
                <w:sz w:val="21"/>
              </w:rPr>
              <w:t>市场需求位移项及利润函数复合系数</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r>
                    <m:rPr>
                      <m:sty m:val="i"/>
                    </m:rPr>
                    <m:t>f</m:t>
                  </m:r>
                  <m:r>
                    <m:rPr>
                      <m:sty m:val="p"/>
                    </m:rPr>
                    <m:t>,</m:t>
                  </m:r>
                  <m:r>
                    <m:rPr>
                      <m:nor/>
                    </m:rPr>
                    <m:t> </m:t>
                  </m:r>
                  <m:sSub>
                    <m:e>
                      <m:r>
                        <m:rPr>
                          <m:sty m:val="i"/>
                        </m:rPr>
                        <m:t>f</m:t>
                      </m:r>
                    </m:e>
                    <m:sub>
                      <m:r>
                        <m:rPr>
                          <m:sty m:val="i"/>
                        </m:rPr>
                        <m:t>e</m:t>
                      </m:r>
                    </m:sub>
                  </m:sSub>
                  <m:r>
                    <m:rPr>
                      <m:sty m:val="p"/>
                    </m:rPr>
                    <m:t>,</m:t>
                  </m:r>
                  <m:r>
                    <m:rPr>
                      <m:nor/>
                    </m:rPr>
                    <m:t> </m:t>
                  </m:r>
                  <m:sSub>
                    <m:e>
                      <m:r>
                        <m:rPr>
                          <m:sty m:val="i"/>
                        </m:rPr>
                        <m:t>f</m:t>
                      </m:r>
                    </m:e>
                    <m:sub>
                      <m:r>
                        <m:rPr>
                          <m:sty m:val="i"/>
                        </m:rPr>
                        <m:t>x</m:t>
                      </m:r>
                    </m:sub>
                  </m:sSub>
                </m:e>
              </m:box>
            </m:oMath>
          </w:p>
        </w:tc>
        <w:tc>
          <w:tcPr>
            <w:tcW w:type="dxa" w:w="2835"/>
          </w:tcPr>
          <w:p>
            <w:pPr>
              <w:spacing w:before="20" w:after="20" w:line="276" w:lineRule="auto"/>
              <w:jc w:val="left"/>
            </w:pPr>
            <w:r/>
            <w:r>
              <w:rPr>
                <w:rFonts w:ascii="Times New Roman" w:hAnsi="Times New Roman" w:eastAsia="宋体"/>
                <w:b w:val="0"/>
                <w:sz w:val="21"/>
              </w:rPr>
              <w:t>期间固定成本、进入沉没成本、跨区销售固定成本</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sSup>
                    <m:e>
                      <m:r>
                        <m:rPr>
                          <m:sty m:val="i"/>
                        </m:rPr>
                        <m:t>φ</m:t>
                      </m:r>
                    </m:e>
                    <m:sup>
                      <m:r>
                        <m:rPr>
                          <m:sty m:val="p"/>
                        </m:rPr>
                        <m:t>*</m:t>
                      </m:r>
                    </m:sup>
                  </m:sSup>
                  <m:r>
                    <m:rPr>
                      <m:sty m:val="p"/>
                    </m:rPr>
                    <m:t>,</m:t>
                  </m:r>
                  <m:r>
                    <m:rPr>
                      <m:nor/>
                    </m:rPr>
                    <m:t> </m:t>
                  </m:r>
                  <m:sSubSup>
                    <m:e>
                      <m:r>
                        <m:rPr>
                          <m:sty m:val="i"/>
                        </m:rPr>
                        <m:t>φ</m:t>
                      </m:r>
                    </m:e>
                    <m:sub>
                      <m:r>
                        <m:rPr>
                          <m:sty m:val="i"/>
                        </m:rPr>
                        <m:t>x</m:t>
                      </m:r>
                    </m:sub>
                    <m:sup>
                      <m:r>
                        <m:rPr>
                          <m:sty m:val="p"/>
                        </m:rPr>
                        <m:t>*</m:t>
                      </m:r>
                    </m:sup>
                  </m:sSubSup>
                  <m:r>
                    <m:rPr>
                      <m:sty m:val="p"/>
                    </m:rPr>
                    <m:t>,</m:t>
                  </m:r>
                  <m:r>
                    <m:rPr>
                      <m:nor/>
                    </m:rPr>
                    <m:t> </m:t>
                  </m:r>
                  <m:sSub>
                    <m:e>
                      <m:r>
                        <m:rPr>
                          <m:sty m:val="i"/>
                        </m:rPr>
                        <m:t>φ</m:t>
                      </m:r>
                    </m:e>
                    <m:sub>
                      <m:r>
                        <m:rPr>
                          <m:sty m:val="i"/>
                        </m:rPr>
                        <m:t>R</m:t>
                      </m:r>
                    </m:sub>
                  </m:sSub>
                </m:e>
              </m:box>
            </m:oMath>
          </w:p>
        </w:tc>
        <w:tc>
          <w:tcPr>
            <w:tcW w:type="dxa" w:w="2835"/>
          </w:tcPr>
          <w:p>
            <w:pPr>
              <w:spacing w:before="20" w:after="20" w:line="276" w:lineRule="auto"/>
              <w:jc w:val="left"/>
            </w:pPr>
            <w:r/>
            <w:r>
              <w:rPr>
                <w:rFonts w:ascii="Times New Roman" w:hAnsi="Times New Roman" w:eastAsia="宋体"/>
                <w:b w:val="0"/>
                <w:sz w:val="21"/>
              </w:rPr>
              <w:t>生存门槛、跨区销售门槛、创新采纳门槛</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limUpp>
                    <m:e>
                      <m:box>
                        <m:e>
                          <m:r>
                            <m:rPr>
                              <m:sty m:val="i"/>
                            </m:rPr>
                            <m:t>δ</m:t>
                          </m:r>
                        </m:e>
                      </m:box>
                    </m:e>
                    <m:lim>
                      <m:r>
                        <m:rPr>
                          <m:sty m:val="p"/>
                        </m:rPr>
                        <m:t>~</m:t>
                      </m:r>
                    </m:lim>
                  </m:limUpp>
                </m:e>
              </m:box>
            </m:oMath>
          </w:p>
        </w:tc>
        <w:tc>
          <w:tcPr>
            <w:tcW w:type="dxa" w:w="2835"/>
          </w:tcPr>
          <w:p>
            <w:pPr>
              <w:spacing w:before="20" w:after="20" w:line="276" w:lineRule="auto"/>
              <w:jc w:val="left"/>
            </w:pPr>
            <w:r/>
            <w:r>
              <w:rPr>
                <w:rFonts w:ascii="Times New Roman" w:hAnsi="Times New Roman" w:eastAsia="宋体"/>
                <w:b w:val="0"/>
                <w:sz w:val="21"/>
              </w:rPr>
              <w:t>退出庇护率（企业可承受的亏损占期间固定成本之比）</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r>
                    <m:rPr>
                      <m:sty m:val="i"/>
                    </m:rPr>
                    <m:t>γ</m:t>
                  </m:r>
                  <m:r>
                    <m:rPr>
                      <m:sty m:val="p"/>
                    </m:rPr>
                    <m:t>,</m:t>
                  </m:r>
                  <m:r>
                    <m:rPr>
                      <m:nor/>
                    </m:rPr>
                    <m:t> </m:t>
                  </m:r>
                  <m:sSub>
                    <m:e>
                      <m:r>
                        <m:rPr>
                          <m:sty m:val="i"/>
                        </m:rPr>
                        <m:t>F</m:t>
                      </m:r>
                    </m:e>
                    <m:sub>
                      <m:r>
                        <m:rPr>
                          <m:sty m:val="i"/>
                        </m:rPr>
                        <m:t>R</m:t>
                      </m:r>
                    </m:sub>
                  </m:sSub>
                </m:e>
              </m:box>
            </m:oMath>
          </w:p>
        </w:tc>
        <w:tc>
          <w:tcPr>
            <w:tcW w:type="dxa" w:w="2835"/>
          </w:tcPr>
          <w:p>
            <w:pPr>
              <w:spacing w:before="20" w:after="20" w:line="276" w:lineRule="auto"/>
              <w:jc w:val="left"/>
            </w:pPr>
            <w:r/>
            <w:r>
              <w:rPr>
                <w:rFonts w:ascii="Times New Roman" w:hAnsi="Times New Roman" w:eastAsia="宋体"/>
                <w:b w:val="0"/>
                <w:sz w:val="21"/>
              </w:rPr>
              <w:t>创新的生产率提升倍数、研发固定成本</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r>
                    <m:rPr>
                      <m:sty m:val="i"/>
                    </m:rPr>
                    <m:t>M</m:t>
                  </m:r>
                  <m:r>
                    <m:rPr>
                      <m:sty m:val="p"/>
                    </m:rPr>
                    <m:t>(</m:t>
                  </m:r>
                  <m:r>
                    <m:rPr>
                      <m:sty m:val="i"/>
                    </m:rPr>
                    <m:t>τ</m:t>
                  </m:r>
                  <m:r>
                    <m:rPr>
                      <m:sty m:val="p"/>
                    </m:rPr>
                    <m:t>)</m:t>
                  </m:r>
                  <m:r>
                    <m:rPr>
                      <m:sty m:val="p"/>
                    </m:rPr>
                    <m:t>,</m:t>
                  </m:r>
                  <m:r>
                    <m:rPr>
                      <m:nor/>
                    </m:rPr>
                    <m:t> </m:t>
                  </m:r>
                  <m:r>
                    <m:rPr>
                      <m:sty m:val="i"/>
                    </m:rPr>
                    <m:t>ρ</m:t>
                  </m:r>
                  <m:r>
                    <m:rPr>
                      <m:sty m:val="p"/>
                    </m:rPr>
                    <m:t>(</m:t>
                  </m:r>
                  <m:r>
                    <m:rPr>
                      <m:sty m:val="i"/>
                    </m:rPr>
                    <m:t>τ</m:t>
                  </m:r>
                  <m:r>
                    <m:rPr>
                      <m:sty m:val="p"/>
                    </m:rPr>
                    <m:t>)</m:t>
                  </m:r>
                  <m:r>
                    <m:rPr>
                      <m:sty m:val="p"/>
                    </m:rPr>
                    <m:t>,</m:t>
                  </m:r>
                  <m:r>
                    <m:rPr>
                      <m:nor/>
                    </m:rPr>
                    <m:t> </m:t>
                  </m:r>
                  <m:r>
                    <m:rPr>
                      <m:sty m:val="i"/>
                    </m:rPr>
                    <m:t>ζ</m:t>
                  </m:r>
                </m:e>
              </m:box>
            </m:oMath>
          </w:p>
        </w:tc>
        <w:tc>
          <w:tcPr>
            <w:tcW w:type="dxa" w:w="2835"/>
          </w:tcPr>
          <w:p>
            <w:pPr>
              <w:spacing w:before="20" w:after="20" w:line="276" w:lineRule="auto"/>
              <w:jc w:val="left"/>
            </w:pPr>
            <w:r/>
            <w:r>
              <w:rPr>
                <w:rFonts w:ascii="Times New Roman" w:hAnsi="Times New Roman" w:eastAsia="宋体"/>
                <w:b w:val="0"/>
                <w:sz w:val="21"/>
              </w:rPr>
              <w:t>市场规模可达项、跨区利润修正项、Pareto复合常数</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sSub>
                    <m:e>
                      <m:r>
                        <m:rPr>
                          <m:sty m:val="i"/>
                        </m:rPr>
                        <m:t>χ</m:t>
                      </m:r>
                    </m:e>
                    <m:sub>
                      <m:r>
                        <m:rPr>
                          <m:sty m:val="i"/>
                        </m:rPr>
                        <m:t>R</m:t>
                      </m:r>
                    </m:sub>
                  </m:sSub>
                  <m:r>
                    <m:rPr>
                      <m:sty m:val="p"/>
                    </m:rPr>
                    <m:t>,</m:t>
                  </m:r>
                  <m:r>
                    <m:rPr>
                      <m:nor/>
                    </m:rPr>
                    <m:t> </m:t>
                  </m:r>
                  <m:groupChr>
                    <m:groupChrPr>
                      <m:chr m:val="¯"/>
                      <m:pos m:val="top"/>
                    </m:groupChrPr>
                    <m:e>
                      <m:box>
                        <m:e>
                          <m:r>
                            <m:rPr>
                              <m:sty m:val="i"/>
                            </m:rPr>
                            <m:t>φ</m:t>
                          </m:r>
                        </m:e>
                      </m:box>
                    </m:e>
                  </m:groupChr>
                </m:e>
              </m:box>
            </m:oMath>
          </w:p>
        </w:tc>
        <w:tc>
          <w:tcPr>
            <w:tcW w:type="dxa" w:w="2835"/>
          </w:tcPr>
          <w:p>
            <w:pPr>
              <w:spacing w:before="20" w:after="20" w:line="276" w:lineRule="auto"/>
              <w:jc w:val="left"/>
            </w:pPr>
            <w:r/>
            <w:r>
              <w:rPr>
                <w:rFonts w:ascii="Times New Roman" w:hAnsi="Times New Roman" w:eastAsia="宋体"/>
                <w:b w:val="0"/>
                <w:sz w:val="21"/>
              </w:rPr>
              <w:t>存活企业中创新企业占比、加总（平均）生产率</w:t>
            </w:r>
          </w:p>
        </w:tc>
        <w:tc>
          <w:tcPr>
            <w:tcW w:type="dxa" w:w="2835"/>
          </w:tcPr>
          <w:p>
            <w:pPr>
              <w:spacing w:before="20" w:after="20" w:line="276" w:lineRule="auto"/>
              <w:jc w:val="left"/>
            </w:pPr>
            <w:r/>
            <w:r>
              <w:rPr>
                <w:rFonts w:ascii="Times New Roman" w:hAnsi="Times New Roman" w:eastAsia="宋体"/>
                <w:b w:val="0"/>
                <w:sz w:val="21"/>
              </w:rPr>
              <w:t>扩展模型Ⅱ</w:t>
            </w:r>
          </w:p>
        </w:tc>
      </w:tr>
      <w:tr>
        <w:tc>
          <w:tcPr>
            <w:tcW w:type="dxa" w:w="2835"/>
          </w:tcPr>
          <w:p>
            <w:pPr>
              <w:spacing w:before="20" w:after="20" w:line="276" w:lineRule="auto"/>
              <w:jc w:val="left"/>
            </w:pPr>
            <w:r/>
            <m:oMath>
              <m:box>
                <m:e>
                  <m:r>
                    <m:rPr>
                      <m:sty m:val="i"/>
                    </m:rPr>
                    <m:t>r</m:t>
                  </m:r>
                </m:e>
              </m:box>
            </m:oMath>
          </w:p>
        </w:tc>
        <w:tc>
          <w:tcPr>
            <w:tcW w:type="dxa" w:w="2835"/>
          </w:tcPr>
          <w:p>
            <w:pPr>
              <w:spacing w:before="20" w:after="20" w:line="276" w:lineRule="auto"/>
              <w:jc w:val="left"/>
            </w:pPr>
            <w:r/>
            <w:r>
              <w:rPr>
                <w:rFonts w:ascii="Times New Roman" w:hAnsi="Times New Roman" w:eastAsia="宋体"/>
                <w:b w:val="0"/>
                <w:sz w:val="21"/>
              </w:rPr>
              <w:t>社会贴现率</w:t>
            </w:r>
          </w:p>
        </w:tc>
        <w:tc>
          <w:tcPr>
            <w:tcW w:type="dxa" w:w="2835"/>
          </w:tcPr>
          <w:p>
            <w:pPr>
              <w:spacing w:before="20" w:after="20" w:line="276" w:lineRule="auto"/>
              <w:jc w:val="left"/>
            </w:pPr>
            <w:r/>
            <w:r>
              <w:rPr>
                <w:rFonts w:ascii="Times New Roman" w:hAnsi="Times New Roman" w:eastAsia="宋体"/>
                <w:b w:val="0"/>
                <w:sz w:val="21"/>
              </w:rPr>
              <w:t>福利分析</w:t>
            </w:r>
          </w:p>
        </w:tc>
      </w:tr>
      <w:tr>
        <w:tc>
          <w:tcPr>
            <w:tcW w:type="dxa" w:w="2835"/>
          </w:tcPr>
          <w:p>
            <w:pPr>
              <w:spacing w:before="20" w:after="20" w:line="276" w:lineRule="auto"/>
              <w:jc w:val="left"/>
            </w:pPr>
            <w:r/>
            <m:oMath>
              <m:box>
                <m:e>
                  <m:sSub>
                    <m:e>
                      <m:r>
                        <m:rPr>
                          <m:sty m:val="i"/>
                        </m:rPr>
                        <m:t>Δ</m:t>
                      </m:r>
                    </m:e>
                    <m:sub>
                      <m:box>
                        <m:e>
                          <m:r>
                            <m:rPr>
                              <m:sty m:val="i"/>
                            </m:rPr>
                            <m:t>S</m:t>
                          </m:r>
                          <m:r>
                            <m:rPr>
                              <m:sty m:val="i"/>
                            </m:rPr>
                            <m:t>C</m:t>
                          </m:r>
                        </m:e>
                      </m:box>
                    </m:sub>
                  </m:sSub>
                  <m:r>
                    <m:rPr>
                      <m:sty m:val="p"/>
                    </m:rPr>
                    <m:t>,</m:t>
                  </m:r>
                  <m:r>
                    <m:rPr>
                      <m:nor/>
                    </m:rPr>
                    <m:t> </m:t>
                  </m:r>
                  <m:sSub>
                    <m:e>
                      <m:r>
                        <m:rPr>
                          <m:sty m:val="i"/>
                        </m:rPr>
                        <m:t>Δ</m:t>
                      </m:r>
                    </m:e>
                    <m:sub>
                      <m:box>
                        <m:e>
                          <m:r>
                            <m:rPr>
                              <m:sty m:val="i"/>
                            </m:rPr>
                            <m:t>S</m:t>
                          </m:r>
                          <m:r>
                            <m:rPr>
                              <m:sty m:val="i"/>
                            </m:rPr>
                            <m:t>E</m:t>
                          </m:r>
                          <m:r>
                            <m:rPr>
                              <m:sty m:val="i"/>
                            </m:rPr>
                            <m:t>L</m:t>
                          </m:r>
                        </m:e>
                      </m:box>
                    </m:sub>
                  </m:sSub>
                  <m:r>
                    <m:rPr>
                      <m:sty m:val="p"/>
                    </m:rPr>
                    <m:t>,</m:t>
                  </m:r>
                  <m:r>
                    <m:rPr>
                      <m:nor/>
                    </m:rPr>
                    <m:t> </m:t>
                  </m:r>
                  <m:sSub>
                    <m:e>
                      <m:r>
                        <m:rPr>
                          <m:sty m:val="i"/>
                        </m:rPr>
                        <m:t>Δ</m:t>
                      </m:r>
                    </m:e>
                    <m:sub>
                      <m:box>
                        <m:e>
                          <m:r>
                            <m:rPr>
                              <m:sty m:val="i"/>
                            </m:rPr>
                            <m:t>I</m:t>
                          </m:r>
                          <m:r>
                            <m:rPr>
                              <m:sty m:val="i"/>
                            </m:rPr>
                            <m:t>N</m:t>
                          </m:r>
                          <m:r>
                            <m:rPr>
                              <m:sty m:val="i"/>
                            </m:rPr>
                            <m:t>N</m:t>
                          </m:r>
                        </m:e>
                      </m:box>
                    </m:sub>
                  </m:sSub>
                  <m:r>
                    <m:rPr>
                      <m:sty m:val="p"/>
                    </m:rPr>
                    <m:t>,</m:t>
                  </m:r>
                  <m:r>
                    <m:rPr>
                      <m:nor/>
                    </m:rPr>
                    <m:t> </m:t>
                  </m:r>
                  <m:sSub>
                    <m:e>
                      <m:r>
                        <m:rPr>
                          <m:sty m:val="i"/>
                        </m:rPr>
                        <m:t>Δ</m:t>
                      </m:r>
                    </m:e>
                    <m:sub>
                      <m:box>
                        <m:e>
                          <m:r>
                            <m:rPr>
                              <m:sty m:val="i"/>
                            </m:rPr>
                            <m:t>O</m:t>
                          </m:r>
                          <m:r>
                            <m:rPr>
                              <m:sty m:val="i"/>
                            </m:rPr>
                            <m:t>R</m:t>
                          </m:r>
                          <m:r>
                            <m:rPr>
                              <m:sty m:val="i"/>
                            </m:rPr>
                            <m:t>D</m:t>
                          </m:r>
                        </m:e>
                      </m:box>
                    </m:sub>
                  </m:sSub>
                </m:e>
              </m:box>
            </m:oMath>
          </w:p>
        </w:tc>
        <w:tc>
          <w:tcPr>
            <w:tcW w:type="dxa" w:w="2835"/>
          </w:tcPr>
          <w:p>
            <w:pPr>
              <w:spacing w:before="20" w:after="20" w:line="276" w:lineRule="auto"/>
              <w:jc w:val="left"/>
            </w:pPr>
            <w:r/>
            <w:r>
              <w:rPr>
                <w:rFonts w:ascii="Times New Roman" w:hAnsi="Times New Roman" w:eastAsia="宋体"/>
                <w:b w:val="0"/>
                <w:sz w:val="21"/>
              </w:rPr>
              <w:t>统一红利的规模项、选择项、创新项、预期秩序项（流量）</w:t>
            </w:r>
          </w:p>
        </w:tc>
        <w:tc>
          <w:tcPr>
            <w:tcW w:type="dxa" w:w="2835"/>
          </w:tcPr>
          <w:p>
            <w:pPr>
              <w:spacing w:before="20" w:after="20" w:line="276" w:lineRule="auto"/>
              <w:jc w:val="left"/>
            </w:pPr>
            <w:r/>
            <w:r>
              <w:rPr>
                <w:rFonts w:ascii="Times New Roman" w:hAnsi="Times New Roman" w:eastAsia="宋体"/>
                <w:b w:val="0"/>
                <w:sz w:val="21"/>
              </w:rPr>
              <w:t>福利分析</w:t>
            </w:r>
          </w:p>
        </w:tc>
      </w:tr>
      <w:tr>
        <w:tc>
          <w:tcPr>
            <w:tcW w:type="dxa" w:w="2835"/>
          </w:tcPr>
          <w:p>
            <w:pPr>
              <w:spacing w:before="20" w:after="20" w:line="276" w:lineRule="auto"/>
              <w:jc w:val="left"/>
            </w:pPr>
            <w:r/>
            <m:oMath>
              <m:box>
                <m:e>
                  <m:sSub>
                    <m:e>
                      <m:r>
                        <m:rPr>
                          <m:sty m:val="i"/>
                        </m:rPr>
                        <m:t>C</m:t>
                      </m:r>
                    </m:e>
                    <m:sub>
                      <m:box>
                        <m:e>
                          <m:r>
                            <m:rPr>
                              <m:sty m:val="i"/>
                            </m:rPr>
                            <m:t>A</m:t>
                          </m:r>
                          <m:r>
                            <m:rPr>
                              <m:sty m:val="i"/>
                            </m:rPr>
                            <m:t>D</m:t>
                          </m:r>
                          <m:r>
                            <m:rPr>
                              <m:sty m:val="i"/>
                            </m:rPr>
                            <m:t>J</m:t>
                          </m:r>
                        </m:e>
                      </m:box>
                    </m:sub>
                  </m:sSub>
                  <m:r>
                    <m:rPr>
                      <m:sty m:val="p"/>
                    </m:rPr>
                    <m:t>,</m:t>
                  </m:r>
                  <m:r>
                    <m:rPr>
                      <m:nor/>
                    </m:rPr>
                    <m:t> </m:t>
                  </m:r>
                  <m:r>
                    <m:rPr>
                      <m:sty m:val="i"/>
                    </m:rPr>
                    <m:t>ψ</m:t>
                  </m:r>
                  <m:r>
                    <m:rPr>
                      <m:sty m:val="p"/>
                    </m:rPr>
                    <m:t>,</m:t>
                  </m:r>
                  <m:r>
                    <m:rPr>
                      <m:nor/>
                    </m:rPr>
                    <m:t> </m:t>
                  </m:r>
                  <m:r>
                    <m:rPr>
                      <m:sty m:val="i"/>
                    </m:rPr>
                    <m:t>κ</m:t>
                  </m:r>
                  <m:r>
                    <m:rPr>
                      <m:sty m:val="p"/>
                    </m:rPr>
                    <m:t>,</m:t>
                  </m:r>
                  <m:r>
                    <m:rPr>
                      <m:nor/>
                    </m:rPr>
                    <m:t> </m:t>
                  </m:r>
                  <m:r>
                    <m:rPr>
                      <m:sty m:val="i"/>
                    </m:rPr>
                    <m:t>ω</m:t>
                  </m:r>
                </m:e>
              </m:box>
            </m:oMath>
          </w:p>
        </w:tc>
        <w:tc>
          <w:tcPr>
            <w:tcW w:type="dxa" w:w="2835"/>
          </w:tcPr>
          <w:p>
            <w:pPr>
              <w:spacing w:before="20" w:after="20" w:line="276" w:lineRule="auto"/>
              <w:jc w:val="left"/>
            </w:pPr>
            <w:r/>
            <w:r>
              <w:rPr>
                <w:rFonts w:ascii="Times New Roman" w:hAnsi="Times New Roman" w:eastAsia="宋体"/>
                <w:b w:val="0"/>
                <w:sz w:val="21"/>
              </w:rPr>
              <w:t>一次性调整成本及其强度、资本沉没、劳动转岗参数</w:t>
            </w:r>
          </w:p>
        </w:tc>
        <w:tc>
          <w:tcPr>
            <w:tcW w:type="dxa" w:w="2835"/>
          </w:tcPr>
          <w:p>
            <w:pPr>
              <w:spacing w:before="20" w:after="20" w:line="276" w:lineRule="auto"/>
              <w:jc w:val="left"/>
            </w:pPr>
            <w:r/>
            <w:r>
              <w:rPr>
                <w:rFonts w:ascii="Times New Roman" w:hAnsi="Times New Roman" w:eastAsia="宋体"/>
                <w:b w:val="0"/>
                <w:sz w:val="21"/>
              </w:rPr>
              <w:t>福利分析</w:t>
            </w:r>
          </w:p>
        </w:tc>
      </w:tr>
      <w:tr>
        <w:tc>
          <w:tcPr>
            <w:tcW w:type="dxa" w:w="2835"/>
            <w:tcBorders>
              <w:bottom w:val="single" w:sz="12" w:color="000000"/>
            </w:tcBorders>
          </w:tcPr>
          <w:p>
            <w:pPr>
              <w:spacing w:before="20" w:after="20" w:line="276" w:lineRule="auto"/>
              <w:jc w:val="left"/>
            </w:pPr>
            <w:r/>
            <m:oMath>
              <m:box>
                <m:e>
                  <m:sSub>
                    <m:e>
                      <m:r>
                        <m:rPr>
                          <m:sty m:val="i"/>
                        </m:rPr>
                        <m:t>E</m:t>
                      </m:r>
                    </m:e>
                    <m:sub>
                      <m:r>
                        <m:rPr>
                          <m:sty m:val="i"/>
                        </m:rPr>
                        <m:t>x</m:t>
                      </m:r>
                    </m:sub>
                  </m:sSub>
                  <m:r>
                    <m:rPr>
                      <m:sty m:val="p"/>
                    </m:rPr>
                    <m:t>,</m:t>
                  </m:r>
                  <m:r>
                    <m:rPr>
                      <m:nor/>
                    </m:rPr>
                    <m:t> </m:t>
                  </m:r>
                  <m:sSub>
                    <m:e>
                      <m:r>
                        <m:rPr>
                          <m:sty m:val="i"/>
                        </m:rPr>
                        <m:t>M</m:t>
                      </m:r>
                    </m:e>
                    <m:sub>
                      <m:r>
                        <m:rPr>
                          <m:sty m:val="i"/>
                        </m:rPr>
                        <m:t>e</m:t>
                      </m:r>
                    </m:sub>
                  </m:sSub>
                </m:e>
              </m:box>
            </m:oMath>
          </w:p>
        </w:tc>
        <w:tc>
          <w:tcPr>
            <w:tcW w:type="dxa" w:w="2835"/>
            <w:tcBorders>
              <w:bottom w:val="single" w:sz="12" w:color="000000"/>
            </w:tcBorders>
          </w:tcPr>
          <w:p>
            <w:pPr>
              <w:spacing w:before="20" w:after="20" w:line="276" w:lineRule="auto"/>
              <w:jc w:val="left"/>
            </w:pPr>
            <w:r/>
            <w:r>
              <w:rPr>
                <w:rFonts w:ascii="Times New Roman" w:hAnsi="Times New Roman" w:eastAsia="宋体"/>
                <w:b w:val="0"/>
                <w:sz w:val="21"/>
              </w:rPr>
              <w:t>统一后退出企业测度、在位企业总测度</w:t>
            </w:r>
          </w:p>
        </w:tc>
        <w:tc>
          <w:tcPr>
            <w:tcW w:type="dxa" w:w="2835"/>
            <w:tcBorders>
              <w:bottom w:val="single" w:sz="12" w:color="000000"/>
            </w:tcBorders>
          </w:tcPr>
          <w:p>
            <w:pPr>
              <w:spacing w:before="20" w:after="20" w:line="276" w:lineRule="auto"/>
              <w:jc w:val="left"/>
            </w:pPr>
            <w:r/>
            <w:r>
              <w:rPr>
                <w:rFonts w:ascii="Times New Roman" w:hAnsi="Times New Roman" w:eastAsia="宋体"/>
                <w:b w:val="0"/>
                <w:sz w:val="21"/>
              </w:rPr>
              <w:t>福利分析</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表4.1按三个模型与福利分析分组列示符号。需要说明的是，三个模型共用分割参数</w:t>
      </w:r>
      <m:oMath>
        <m:box>
          <m:e>
            <m:r>
              <m:rPr>
                <m:sty m:val="i"/>
              </m:rPr>
              <m:t>τ</m:t>
            </m:r>
          </m:e>
        </m:box>
      </m:oMath>
      <w:r>
        <w:rPr>
          <w:rFonts w:ascii="Times New Roman" w:hAnsi="Times New Roman" w:eastAsia="宋体"/>
          <w:b w:val="0"/>
          <w:sz w:val="24"/>
        </w:rPr>
        <w:t>（或</w:t>
      </w:r>
      <m:oMath>
        <m:box>
          <m:e>
            <m:r>
              <m:rPr>
                <m:sty m:val="i"/>
              </m:rPr>
              <m:t>t</m:t>
            </m:r>
          </m:e>
        </m:box>
      </m:oMath>
      <w:r>
        <w:rPr>
          <w:rFonts w:ascii="Times New Roman" w:hAnsi="Times New Roman" w:eastAsia="宋体"/>
          <w:b w:val="0"/>
          <w:sz w:val="24"/>
        </w:rPr>
        <w:t>），但各自侧重不同的边际：基准模型固定企业数量、聚焦补贴与价格边际；扩展模型Ⅰ放开进入边际；扩展模型Ⅱ进一步放开生产率异质性与创新边际。这种“同一参数、递进边际”的结构，保证了三个模型的结论可以在第四节的福利分解中加总而不重复计算。</w:t>
      </w:r>
    </w:p>
    <w:p>
      <w:pPr>
        <w:spacing w:before="160" w:after="120" w:line="360" w:lineRule="auto"/>
        <w:outlineLvl w:val="2"/>
      </w:pPr>
      <w:r>
        <w:rPr>
          <w:rFonts w:ascii="Times New Roman" w:hAnsi="Times New Roman" w:eastAsia="黑体"/>
          <w:b w:val="0"/>
          <w:sz w:val="24"/>
        </w:rPr>
        <w:t>2．第二阶段：产量竞争均衡</w:t>
      </w:r>
    </w:p>
    <w:p>
      <w:pPr>
        <w:spacing w:before="0" w:after="0" w:line="360" w:lineRule="auto"/>
        <w:ind w:firstLineChars="200" w:firstLine="480"/>
      </w:pPr>
      <w:r>
        <w:rPr>
          <w:rFonts w:ascii="Times New Roman" w:hAnsi="Times New Roman" w:eastAsia="宋体"/>
          <w:b w:val="0"/>
          <w:sz w:val="24"/>
        </w:rPr>
        <w:t>采用逆向归纳，先求第二阶段的产量博弈。由于两个区域市场在需求端相互独立，古诺竞争可以逐市场求解。在地区</w:t>
      </w:r>
      <m:oMath>
        <m:box>
          <m:e>
            <m:r>
              <m:rPr>
                <m:sty m:val="i"/>
              </m:rPr>
              <m:t>i</m:t>
            </m:r>
          </m:e>
        </m:box>
      </m:oMath>
      <w:r>
        <w:rPr>
          <w:rFonts w:ascii="Times New Roman" w:hAnsi="Times New Roman" w:eastAsia="宋体"/>
          <w:b w:val="0"/>
          <w:sz w:val="24"/>
        </w:rPr>
        <w:t>市场上，地区</w:t>
      </w:r>
      <m:oMath>
        <m:box>
          <m:e>
            <m:r>
              <m:rPr>
                <m:sty m:val="i"/>
              </m:rPr>
              <m:t>i</m:t>
            </m:r>
          </m:e>
        </m:box>
      </m:oMath>
      <w:r>
        <w:rPr>
          <w:rFonts w:ascii="Times New Roman" w:hAnsi="Times New Roman" w:eastAsia="宋体"/>
          <w:b w:val="0"/>
          <w:sz w:val="24"/>
        </w:rPr>
        <w:t>企业选择</w:t>
      </w:r>
      <m:oMath>
        <m:box>
          <m:e>
            <m:sSub>
              <m:e>
                <m:r>
                  <m:rPr>
                    <m:sty m:val="i"/>
                  </m:rPr>
                  <m:t>q</m:t>
                </m:r>
              </m:e>
              <m:sub>
                <m:box>
                  <m:e>
                    <m:r>
                      <m:rPr>
                        <m:sty m:val="i"/>
                      </m:rPr>
                      <m:t>i</m:t>
                    </m:r>
                    <m:r>
                      <m:rPr>
                        <m:sty m:val="i"/>
                      </m:rPr>
                      <m:t>i</m:t>
                    </m:r>
                  </m:e>
                </m:box>
              </m:sub>
            </m:sSub>
          </m:e>
        </m:box>
      </m:oMath>
      <w:r>
        <w:rPr>
          <w:rFonts w:ascii="Times New Roman" w:hAnsi="Times New Roman" w:eastAsia="宋体"/>
          <w:b w:val="0"/>
          <w:sz w:val="24"/>
        </w:rPr>
        <w:t>最大化</w:t>
      </w:r>
      <m:oMath>
        <m:box>
          <m:e>
            <m:sSub>
              <m:e>
                <m:r>
                  <m:rPr>
                    <m:sty m:val="i"/>
                  </m:rPr>
                  <m:t>π</m:t>
                </m:r>
              </m:e>
              <m:sub>
                <m:r>
                  <m:rPr>
                    <m:sty m:val="i"/>
                  </m:rPr>
                  <m:t>i</m:t>
                </m:r>
              </m:sub>
            </m:sSub>
          </m:e>
        </m:box>
      </m:oMath>
      <w:r>
        <w:rPr>
          <w:rFonts w:ascii="Times New Roman" w:hAnsi="Times New Roman" w:eastAsia="宋体"/>
          <w:b w:val="0"/>
          <w:sz w:val="24"/>
        </w:rPr>
        <w:t>，其一阶条件为：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a</m:t>
            </m:r>
            <m:r>
              <m:rPr>
                <m:sty m:val="p"/>
              </m:rPr>
              <m:t>−</m:t>
            </m:r>
            <m:r>
              <m:rPr>
                <m:sty m:val="i"/>
              </m:rPr>
              <m:t>b</m:t>
            </m:r>
            <m:r>
              <m:rPr>
                <m:sty m:val="p"/>
              </m:rPr>
              <m:t>(</m:t>
            </m:r>
            <m:r>
              <m:rPr>
                <m:sty m:val="p"/>
              </m:rPr>
              <m:t>2</m:t>
            </m:r>
            <m:sSub>
              <m:e>
                <m:r>
                  <m:rPr>
                    <m:sty m:val="i"/>
                  </m:rPr>
                  <m:t>q</m:t>
                </m:r>
              </m:e>
              <m:sub>
                <m:box>
                  <m:e>
                    <m:r>
                      <m:rPr>
                        <m:sty m:val="i"/>
                      </m:rPr>
                      <m:t>i</m:t>
                    </m:r>
                    <m:r>
                      <m:rPr>
                        <m:sty m:val="i"/>
                      </m:rPr>
                      <m:t>i</m:t>
                    </m:r>
                  </m:e>
                </m:box>
              </m:sub>
            </m:sSub>
            <m:r>
              <m:rPr>
                <m:sty m:val="p"/>
              </m:rPr>
              <m:t>+</m:t>
            </m:r>
            <m:sSub>
              <m:e>
                <m:r>
                  <m:rPr>
                    <m:sty m:val="i"/>
                  </m:rPr>
                  <m:t>q</m:t>
                </m:r>
              </m:e>
              <m:sub>
                <m:box>
                  <m:e>
                    <m:r>
                      <m:rPr>
                        <m:sty m:val="i"/>
                      </m:rPr>
                      <m:t>j</m:t>
                    </m:r>
                    <m:r>
                      <m:rPr>
                        <m:sty m:val="i"/>
                      </m:rPr>
                      <m:t>i</m:t>
                    </m:r>
                  </m:e>
                </m:box>
              </m:sub>
            </m:sSub>
            <m:r>
              <m:rPr>
                <m:sty m:val="p"/>
              </m:rPr>
              <m:t>)</m:t>
            </m:r>
            <m:r>
              <m:rPr>
                <m:sty m:val="p"/>
              </m:rPr>
              <m:t>−</m:t>
            </m:r>
            <m:r>
              <m:rPr>
                <m:sty m:val="i"/>
              </m:rPr>
              <m:t>c</m:t>
            </m:r>
            <m:r>
              <m:rPr>
                <m:sty m:val="p"/>
              </m:rPr>
              <m:t>+</m:t>
            </m:r>
            <m:sSub>
              <m:e>
                <m:r>
                  <m:rPr>
                    <m:sty m:val="i"/>
                  </m:rPr>
                  <m:t>s</m:t>
                </m:r>
              </m:e>
              <m:sub>
                <m:r>
                  <m:rPr>
                    <m:sty m:val="i"/>
                  </m:rPr>
                  <m:t>i</m:t>
                </m:r>
              </m:sub>
            </m:sSub>
            <m:r>
              <m:rPr>
                <m:sty m:val="p"/>
              </m:rPr>
              <m:t>=</m:t>
            </m:r>
            <m:r>
              <m:rPr>
                <m:sty m:val="p"/>
              </m:rPr>
              <m:t>0</m:t>
            </m:r>
          </m:e>
        </m:box>
      </m:oMath>
      <w:r>
        <w:rPr>
          <w:rFonts w:ascii="Times New Roman" w:hAnsi="Times New Roman" w:eastAsia="宋体"/>
          <w:b w:val="0"/>
          <w:sz w:val="24"/>
        </w:rPr>
        <w:tab/>
        <w:t>(4-5)</w:t>
      </w:r>
    </w:p>
    <w:p>
      <w:pPr>
        <w:spacing w:before="0" w:after="0" w:line="360" w:lineRule="auto"/>
        <w:ind w:firstLineChars="200" w:firstLine="480"/>
      </w:pPr>
      <w:r>
        <w:rPr>
          <w:rFonts w:ascii="Times New Roman" w:hAnsi="Times New Roman" w:eastAsia="宋体"/>
          <w:b w:val="0"/>
          <w:sz w:val="24"/>
        </w:rPr>
        <w:t>地区</w:t>
      </w:r>
      <m:oMath>
        <m:box>
          <m:e>
            <m:r>
              <m:rPr>
                <m:sty m:val="i"/>
              </m:rPr>
              <m:t>j</m:t>
            </m:r>
          </m:e>
        </m:box>
      </m:oMath>
      <w:r>
        <w:rPr>
          <w:rFonts w:ascii="Times New Roman" w:hAnsi="Times New Roman" w:eastAsia="宋体"/>
          <w:b w:val="0"/>
          <w:sz w:val="24"/>
        </w:rPr>
        <w:t>企业选择</w:t>
      </w:r>
      <m:oMath>
        <m:box>
          <m:e>
            <m:sSub>
              <m:e>
                <m:r>
                  <m:rPr>
                    <m:sty m:val="i"/>
                  </m:rPr>
                  <m:t>q</m:t>
                </m:r>
              </m:e>
              <m:sub>
                <m:box>
                  <m:e>
                    <m:r>
                      <m:rPr>
                        <m:sty m:val="i"/>
                      </m:rPr>
                      <m:t>j</m:t>
                    </m:r>
                    <m:r>
                      <m:rPr>
                        <m:sty m:val="i"/>
                      </m:rPr>
                      <m:t>i</m:t>
                    </m:r>
                  </m:e>
                </m:box>
              </m:sub>
            </m:sSub>
          </m:e>
        </m:box>
      </m:oMath>
      <w:r>
        <w:rPr>
          <w:rFonts w:ascii="Times New Roman" w:hAnsi="Times New Roman" w:eastAsia="宋体"/>
          <w:b w:val="0"/>
          <w:sz w:val="24"/>
        </w:rPr>
        <w:t>的一阶条件对称地为</w:t>
      </w:r>
      <m:oMath>
        <m:box>
          <m:e>
            <m:r>
              <m:rPr>
                <m:sty m:val="i"/>
              </m:rPr>
              <m:t>a</m:t>
            </m:r>
            <m:r>
              <m:rPr>
                <m:sty m:val="p"/>
              </m:rPr>
              <m:t>−</m:t>
            </m:r>
            <m:r>
              <m:rPr>
                <m:sty m:val="i"/>
              </m:rPr>
              <m:t>b</m:t>
            </m:r>
            <m:r>
              <m:rPr>
                <m:sty m:val="p"/>
              </m:rPr>
              <m:t>(</m:t>
            </m:r>
            <m:sSub>
              <m:e>
                <m:r>
                  <m:rPr>
                    <m:sty m:val="i"/>
                  </m:rPr>
                  <m:t>q</m:t>
                </m:r>
              </m:e>
              <m:sub>
                <m:box>
                  <m:e>
                    <m:r>
                      <m:rPr>
                        <m:sty m:val="i"/>
                      </m:rPr>
                      <m:t>i</m:t>
                    </m:r>
                    <m:r>
                      <m:rPr>
                        <m:sty m:val="i"/>
                      </m:rPr>
                      <m:t>i</m:t>
                    </m:r>
                  </m:e>
                </m:box>
              </m:sub>
            </m:sSub>
            <m:r>
              <m:rPr>
                <m:sty m:val="p"/>
              </m:rPr>
              <m:t>+</m:t>
            </m:r>
            <m:r>
              <m:rPr>
                <m:sty m:val="p"/>
              </m:rPr>
              <m:t>2</m:t>
            </m:r>
            <m:sSub>
              <m:e>
                <m:r>
                  <m:rPr>
                    <m:sty m:val="i"/>
                  </m:rPr>
                  <m:t>q</m:t>
                </m:r>
              </m:e>
              <m:sub>
                <m:box>
                  <m:e>
                    <m:r>
                      <m:rPr>
                        <m:sty m:val="i"/>
                      </m:rPr>
                      <m:t>j</m:t>
                    </m:r>
                    <m:r>
                      <m:rPr>
                        <m:sty m:val="i"/>
                      </m:rPr>
                      <m:t>i</m:t>
                    </m:r>
                  </m:e>
                </m:box>
              </m:sub>
            </m:sSub>
            <m:r>
              <m:rPr>
                <m:sty m:val="p"/>
              </m:rPr>
              <m:t>)</m:t>
            </m:r>
            <m:r>
              <m:rPr>
                <m:sty m:val="p"/>
              </m:rPr>
              <m:t>−</m:t>
            </m:r>
            <m:r>
              <m:rPr>
                <m:sty m:val="i"/>
              </m:rPr>
              <m:t>c</m:t>
            </m:r>
            <m:r>
              <m:rPr>
                <m:sty m:val="p"/>
              </m:rPr>
              <m:t>−</m:t>
            </m:r>
            <m:r>
              <m:rPr>
                <m:sty m:val="i"/>
              </m:rPr>
              <m:t>t</m:t>
            </m:r>
            <m:r>
              <m:rPr>
                <m:sty m:val="p"/>
              </m:rPr>
              <m:t>+</m:t>
            </m:r>
            <m:sSub>
              <m:e>
                <m:r>
                  <m:rPr>
                    <m:sty m:val="i"/>
                  </m:rPr>
                  <m:t>s</m:t>
                </m:r>
              </m:e>
              <m:sub>
                <m:r>
                  <m:rPr>
                    <m:sty m:val="i"/>
                  </m:rPr>
                  <m:t>j</m:t>
                </m:r>
              </m:sub>
            </m:sSub>
            <m:r>
              <m:rPr>
                <m:sty m:val="p"/>
              </m:rPr>
              <m:t>=</m:t>
            </m:r>
            <m:r>
              <m:rPr>
                <m:sty m:val="p"/>
              </m:rPr>
              <m:t>0</m:t>
            </m:r>
          </m:e>
        </m:box>
      </m:oMath>
      <w:r>
        <w:rPr>
          <w:rFonts w:ascii="Times New Roman" w:hAnsi="Times New Roman" w:eastAsia="宋体"/>
          <w:b w:val="0"/>
          <w:sz w:val="24"/>
        </w:rPr>
        <w:t>。两式联立（二阶条件</w:t>
      </w:r>
      <m:oMath>
        <m:box>
          <m:e>
            <m:r>
              <m:rPr>
                <m:sty m:val="p"/>
              </m:rPr>
              <m:t>−</m:t>
            </m:r>
            <m:r>
              <m:rPr>
                <m:sty m:val="p"/>
              </m:rPr>
              <m:t>2</m:t>
            </m:r>
            <m:r>
              <m:rPr>
                <m:sty m:val="i"/>
              </m:rPr>
              <m:t>b</m:t>
            </m:r>
            <m:r>
              <m:rPr>
                <m:sty m:val="p"/>
              </m:rPr>
              <m:t>&lt;</m:t>
            </m:r>
            <m:r>
              <m:rPr>
                <m:sty m:val="p"/>
              </m:rPr>
              <m:t>0</m:t>
            </m:r>
          </m:e>
        </m:box>
      </m:oMath>
      <w:r>
        <w:rPr>
          <w:rFonts w:ascii="Times New Roman" w:hAnsi="Times New Roman" w:eastAsia="宋体"/>
          <w:b w:val="0"/>
          <w:sz w:val="24"/>
        </w:rPr>
        <w:t>显然满足），解得地区</w:t>
      </w:r>
      <m:oMath>
        <m:box>
          <m:e>
            <m:r>
              <m:rPr>
                <m:sty m:val="i"/>
              </m:rPr>
              <m:t>i</m:t>
            </m:r>
          </m:e>
        </m:box>
      </m:oMath>
      <w:r>
        <w:rPr>
          <w:rFonts w:ascii="Times New Roman" w:hAnsi="Times New Roman" w:eastAsia="宋体"/>
          <w:b w:val="0"/>
          <w:sz w:val="24"/>
        </w:rPr>
        <w:t>市场上的均衡销量：</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q</m:t>
                </m:r>
              </m:e>
              <m:sub>
                <m:box>
                  <m:e>
                    <m:r>
                      <m:rPr>
                        <m:sty m:val="i"/>
                      </m:rPr>
                      <m:t>i</m:t>
                    </m:r>
                    <m:r>
                      <m:rPr>
                        <m:sty m:val="i"/>
                      </m:rPr>
                      <m:t>i</m:t>
                    </m:r>
                  </m:e>
                </m:box>
              </m:sub>
            </m:sSub>
            <m:r>
              <m:rPr>
                <m:sty m:val="p"/>
              </m:rPr>
              <m:t>=</m:t>
            </m:r>
            <m:f>
              <m:num>
                <m:box>
                  <m:e>
                    <m:r>
                      <m:rPr>
                        <m:sty m:val="i"/>
                      </m:rPr>
                      <m:t>a</m:t>
                    </m:r>
                    <m:r>
                      <m:rPr>
                        <m:sty m:val="p"/>
                      </m:rPr>
                      <m:t>−</m:t>
                    </m:r>
                    <m:r>
                      <m:rPr>
                        <m:sty m:val="i"/>
                      </m:rPr>
                      <m:t>c</m:t>
                    </m:r>
                    <m:r>
                      <m:rPr>
                        <m:sty m:val="p"/>
                      </m:rPr>
                      <m:t>+</m:t>
                    </m:r>
                    <m:r>
                      <m:rPr>
                        <m:sty m:val="p"/>
                      </m:rPr>
                      <m:t>2</m:t>
                    </m:r>
                    <m:sSub>
                      <m:e>
                        <m:r>
                          <m:rPr>
                            <m:sty m:val="i"/>
                          </m:rPr>
                          <m:t>s</m:t>
                        </m:r>
                      </m:e>
                      <m:sub>
                        <m:r>
                          <m:rPr>
                            <m:sty m:val="i"/>
                          </m:rPr>
                          <m:t>i</m:t>
                        </m:r>
                      </m:sub>
                    </m:sSub>
                    <m:r>
                      <m:rPr>
                        <m:sty m:val="p"/>
                      </m:rPr>
                      <m:t>−</m:t>
                    </m:r>
                    <m:sSub>
                      <m:e>
                        <m:r>
                          <m:rPr>
                            <m:sty m:val="i"/>
                          </m:rPr>
                          <m:t>s</m:t>
                        </m:r>
                      </m:e>
                      <m:sub>
                        <m:r>
                          <m:rPr>
                            <m:sty m:val="i"/>
                          </m:rPr>
                          <m:t>j</m:t>
                        </m:r>
                      </m:sub>
                    </m:sSub>
                    <m:r>
                      <m:rPr>
                        <m:sty m:val="p"/>
                      </m:rPr>
                      <m:t>+</m:t>
                    </m:r>
                    <m:r>
                      <m:rPr>
                        <m:sty m:val="i"/>
                      </m:rPr>
                      <m:t>t</m:t>
                    </m:r>
                  </m:e>
                </m:box>
              </m:num>
              <m:den>
                <m:box>
                  <m:e>
                    <m:r>
                      <m:rPr>
                        <m:sty m:val="p"/>
                      </m:rPr>
                      <m:t>3</m:t>
                    </m:r>
                    <m:r>
                      <m:rPr>
                        <m:sty m:val="i"/>
                      </m:rPr>
                      <m:t>b</m:t>
                    </m:r>
                  </m:e>
                </m:box>
              </m:den>
            </m:f>
          </m:e>
        </m:box>
      </m:oMath>
      <w:r>
        <w:rPr>
          <w:rFonts w:ascii="Times New Roman" w:hAnsi="Times New Roman" w:eastAsia="宋体"/>
          <w:b w:val="0"/>
          <w:sz w:val="24"/>
        </w:rPr>
        <w:tab/>
        <w:t>(4-6)</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q</m:t>
                </m:r>
              </m:e>
              <m:sub>
                <m:box>
                  <m:e>
                    <m:r>
                      <m:rPr>
                        <m:sty m:val="i"/>
                      </m:rPr>
                      <m:t>i</m:t>
                    </m:r>
                    <m:r>
                      <m:rPr>
                        <m:sty m:val="i"/>
                      </m:rPr>
                      <m:t>j</m:t>
                    </m:r>
                  </m:e>
                </m:box>
              </m:sub>
            </m:sSub>
            <m:r>
              <m:rPr>
                <m:sty m:val="p"/>
              </m:rPr>
              <m:t>=</m:t>
            </m:r>
            <m:f>
              <m:num>
                <m:box>
                  <m:e>
                    <m:r>
                      <m:rPr>
                        <m:sty m:val="i"/>
                      </m:rPr>
                      <m:t>a</m:t>
                    </m:r>
                    <m:r>
                      <m:rPr>
                        <m:sty m:val="p"/>
                      </m:rPr>
                      <m:t>−</m:t>
                    </m:r>
                    <m:r>
                      <m:rPr>
                        <m:sty m:val="i"/>
                      </m:rPr>
                      <m:t>c</m:t>
                    </m:r>
                    <m:r>
                      <m:rPr>
                        <m:sty m:val="p"/>
                      </m:rPr>
                      <m:t>+</m:t>
                    </m:r>
                    <m:r>
                      <m:rPr>
                        <m:sty m:val="p"/>
                      </m:rPr>
                      <m:t>2</m:t>
                    </m:r>
                    <m:sSub>
                      <m:e>
                        <m:r>
                          <m:rPr>
                            <m:sty m:val="i"/>
                          </m:rPr>
                          <m:t>s</m:t>
                        </m:r>
                      </m:e>
                      <m:sub>
                        <m:r>
                          <m:rPr>
                            <m:sty m:val="i"/>
                          </m:rPr>
                          <m:t>i</m:t>
                        </m:r>
                      </m:sub>
                    </m:sSub>
                    <m:r>
                      <m:rPr>
                        <m:sty m:val="p"/>
                      </m:rPr>
                      <m:t>−</m:t>
                    </m:r>
                    <m:sSub>
                      <m:e>
                        <m:r>
                          <m:rPr>
                            <m:sty m:val="i"/>
                          </m:rPr>
                          <m:t>s</m:t>
                        </m:r>
                      </m:e>
                      <m:sub>
                        <m:r>
                          <m:rPr>
                            <m:sty m:val="i"/>
                          </m:rPr>
                          <m:t>j</m:t>
                        </m:r>
                      </m:sub>
                    </m:sSub>
                    <m:r>
                      <m:rPr>
                        <m:sty m:val="p"/>
                      </m:rPr>
                      <m:t>−</m:t>
                    </m:r>
                    <m:r>
                      <m:rPr>
                        <m:sty m:val="p"/>
                      </m:rPr>
                      <m:t>2</m:t>
                    </m:r>
                    <m:r>
                      <m:rPr>
                        <m:sty m:val="i"/>
                      </m:rPr>
                      <m:t>t</m:t>
                    </m:r>
                  </m:e>
                </m:box>
              </m:num>
              <m:den>
                <m:box>
                  <m:e>
                    <m:r>
                      <m:rPr>
                        <m:sty m:val="p"/>
                      </m:rPr>
                      <m:t>3</m:t>
                    </m:r>
                    <m:r>
                      <m:rPr>
                        <m:sty m:val="i"/>
                      </m:rPr>
                      <m:t>b</m:t>
                    </m:r>
                  </m:e>
                </m:box>
              </m:den>
            </m:f>
          </m:e>
        </m:box>
      </m:oMath>
      <w:r>
        <w:rPr>
          <w:rFonts w:ascii="Times New Roman" w:hAnsi="Times New Roman" w:eastAsia="宋体"/>
          <w:b w:val="0"/>
          <w:sz w:val="24"/>
        </w:rPr>
        <w:tab/>
        <w:t>(4-7)</w:t>
      </w:r>
    </w:p>
    <w:p>
      <w:pPr>
        <w:spacing w:before="0" w:after="0" w:line="360" w:lineRule="auto"/>
        <w:ind w:firstLineChars="200" w:firstLine="480"/>
      </w:pPr>
      <w:r>
        <w:rPr>
          <w:rFonts w:ascii="Times New Roman" w:hAnsi="Times New Roman" w:eastAsia="宋体"/>
          <w:b w:val="0"/>
          <w:sz w:val="24"/>
        </w:rPr>
        <w:t>其中式(4-7)由地区</w:t>
      </w:r>
      <m:oMath>
        <m:box>
          <m:e>
            <m:r>
              <m:rPr>
                <m:sty m:val="i"/>
              </m:rPr>
              <m:t>j</m:t>
            </m:r>
          </m:e>
        </m:box>
      </m:oMath>
      <w:r>
        <w:rPr>
          <w:rFonts w:ascii="Times New Roman" w:hAnsi="Times New Roman" w:eastAsia="宋体"/>
          <w:b w:val="0"/>
          <w:sz w:val="24"/>
        </w:rPr>
        <w:t>市场的对称求解得到，为地区</w:t>
      </w:r>
      <m:oMath>
        <m:box>
          <m:e>
            <m:r>
              <m:rPr>
                <m:sty m:val="i"/>
              </m:rPr>
              <m:t>i</m:t>
            </m:r>
          </m:e>
        </m:box>
      </m:oMath>
      <w:r>
        <w:rPr>
          <w:rFonts w:ascii="Times New Roman" w:hAnsi="Times New Roman" w:eastAsia="宋体"/>
          <w:b w:val="0"/>
          <w:sz w:val="24"/>
        </w:rPr>
        <w:t>企业的跨区销量。相应地，地区</w:t>
      </w:r>
      <m:oMath>
        <m:box>
          <m:e>
            <m:r>
              <m:rPr>
                <m:sty m:val="i"/>
              </m:rPr>
              <m:t>i</m:t>
            </m:r>
          </m:e>
        </m:box>
      </m:oMath>
      <w:r>
        <w:rPr>
          <w:rFonts w:ascii="Times New Roman" w:hAnsi="Times New Roman" w:eastAsia="宋体"/>
          <w:b w:val="0"/>
          <w:sz w:val="24"/>
        </w:rPr>
        <w:t>的市场价格为：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p</m:t>
                </m:r>
              </m:e>
              <m:sub>
                <m:r>
                  <m:rPr>
                    <m:sty m:val="i"/>
                  </m:rPr>
                  <m:t>i</m:t>
                </m:r>
              </m:sub>
            </m:sSub>
            <m:r>
              <m:rPr>
                <m:sty m:val="p"/>
              </m:rPr>
              <m:t>=</m:t>
            </m:r>
            <m:f>
              <m:num>
                <m:box>
                  <m:e>
                    <m:r>
                      <m:rPr>
                        <m:sty m:val="i"/>
                      </m:rPr>
                      <m:t>a</m:t>
                    </m:r>
                    <m:r>
                      <m:rPr>
                        <m:sty m:val="p"/>
                      </m:rPr>
                      <m:t>+</m:t>
                    </m:r>
                    <m:r>
                      <m:rPr>
                        <m:sty m:val="p"/>
                      </m:rPr>
                      <m:t>2</m:t>
                    </m:r>
                    <m:r>
                      <m:rPr>
                        <m:sty m:val="i"/>
                      </m:rPr>
                      <m:t>c</m:t>
                    </m:r>
                    <m:r>
                      <m:rPr>
                        <m:sty m:val="p"/>
                      </m:rPr>
                      <m:t>+</m:t>
                    </m:r>
                    <m:r>
                      <m:rPr>
                        <m:sty m:val="i"/>
                      </m:rPr>
                      <m:t>t</m:t>
                    </m:r>
                    <m:r>
                      <m:rPr>
                        <m:sty m:val="p"/>
                      </m:rPr>
                      <m:t>−</m:t>
                    </m:r>
                    <m:sSub>
                      <m:e>
                        <m:r>
                          <m:rPr>
                            <m:sty m:val="i"/>
                          </m:rPr>
                          <m:t>s</m:t>
                        </m:r>
                      </m:e>
                      <m:sub>
                        <m:r>
                          <m:rPr>
                            <m:sty m:val="i"/>
                          </m:rPr>
                          <m:t>i</m:t>
                        </m:r>
                      </m:sub>
                    </m:sSub>
                    <m:r>
                      <m:rPr>
                        <m:sty m:val="p"/>
                      </m:rPr>
                      <m:t>−</m:t>
                    </m:r>
                    <m:sSub>
                      <m:e>
                        <m:r>
                          <m:rPr>
                            <m:sty m:val="i"/>
                          </m:rPr>
                          <m:t>s</m:t>
                        </m:r>
                      </m:e>
                      <m:sub>
                        <m:r>
                          <m:rPr>
                            <m:sty m:val="i"/>
                          </m:rPr>
                          <m:t>j</m:t>
                        </m:r>
                      </m:sub>
                    </m:sSub>
                  </m:e>
                </m:box>
              </m:num>
              <m:den>
                <m:box>
                  <m:e>
                    <m:r>
                      <m:rPr>
                        <m:sty m:val="p"/>
                      </m:rPr>
                      <m:t>3</m:t>
                    </m:r>
                  </m:e>
                </m:box>
              </m:den>
            </m:f>
          </m:e>
        </m:box>
      </m:oMath>
      <w:r>
        <w:rPr>
          <w:rFonts w:ascii="Times New Roman" w:hAnsi="Times New Roman" w:eastAsia="宋体"/>
          <w:b w:val="0"/>
          <w:sz w:val="24"/>
        </w:rPr>
        <w:tab/>
        <w:t>(4-8)</w:t>
      </w:r>
    </w:p>
    <w:p>
      <w:pPr>
        <w:spacing w:before="0" w:after="0" w:line="360" w:lineRule="auto"/>
        <w:ind w:firstLineChars="200" w:firstLine="480"/>
      </w:pPr>
      <w:r>
        <w:rPr>
          <w:rFonts w:ascii="Times New Roman" w:hAnsi="Times New Roman" w:eastAsia="宋体"/>
          <w:b w:val="0"/>
          <w:sz w:val="24"/>
        </w:rPr>
        <w:t>式(4-6)—(4-8)给出了丰富的结构信息。其一，</w:t>
      </w:r>
      <m:oMath>
        <m:box>
          <m:e>
            <m:r>
              <m:rPr>
                <m:sty m:val="p"/>
              </m:rPr>
              <m:t>∂</m:t>
            </m:r>
            <m:sSub>
              <m:e>
                <m:r>
                  <m:rPr>
                    <m:sty m:val="i"/>
                  </m:rPr>
                  <m:t>q</m:t>
                </m:r>
              </m:e>
              <m:sub>
                <m:box>
                  <m:e>
                    <m:r>
                      <m:rPr>
                        <m:sty m:val="i"/>
                      </m:rPr>
                      <m:t>i</m:t>
                    </m:r>
                    <m:r>
                      <m:rPr>
                        <m:sty m:val="i"/>
                      </m:rPr>
                      <m:t>i</m:t>
                    </m:r>
                  </m:e>
                </m:box>
              </m:sub>
            </m:sSub>
            <m:r>
              <m:rPr>
                <m:sty m:val="p"/>
              </m:rPr>
              <m:t>/</m:t>
            </m:r>
            <m:r>
              <m:rPr>
                <m:sty m:val="p"/>
              </m:rPr>
              <m:t>∂</m:t>
            </m:r>
            <m:sSub>
              <m:e>
                <m:r>
                  <m:rPr>
                    <m:sty m:val="i"/>
                  </m:rPr>
                  <m:t>s</m:t>
                </m:r>
              </m:e>
              <m:sub>
                <m:r>
                  <m:rPr>
                    <m:sty m:val="i"/>
                  </m:rPr>
                  <m:t>i</m:t>
                </m:r>
              </m:sub>
            </m:sSub>
            <m:r>
              <m:rPr>
                <m:sty m:val="p"/>
              </m:rPr>
              <m:t>=</m:t>
            </m:r>
            <m:r>
              <m:rPr>
                <m:sty m:val="p"/>
              </m:rPr>
              <m:t>2</m:t>
            </m:r>
            <m:r>
              <m:rPr>
                <m:sty m:val="p"/>
              </m:rPr>
              <m:t>/</m:t>
            </m:r>
            <m:r>
              <m:rPr>
                <m:sty m:val="p"/>
              </m:rPr>
              <m:t>(</m:t>
            </m:r>
            <m:r>
              <m:rPr>
                <m:sty m:val="p"/>
              </m:rPr>
              <m:t>3</m:t>
            </m:r>
            <m:r>
              <m:rPr>
                <m:sty m:val="i"/>
              </m:rPr>
              <m:t>b</m:t>
            </m:r>
            <m:r>
              <m:rPr>
                <m:sty m:val="p"/>
              </m:rPr>
              <m:t>)</m:t>
            </m:r>
            <m:r>
              <m:rPr>
                <m:sty m:val="p"/>
              </m:rPr>
              <m:t>&gt;</m:t>
            </m:r>
            <m:r>
              <m:rPr>
                <m:sty m:val="p"/>
              </m:rPr>
              <m:t>0</m:t>
            </m:r>
          </m:e>
        </m:box>
      </m:oMath>
      <w:r>
        <w:rPr>
          <w:rFonts w:ascii="Times New Roman" w:hAnsi="Times New Roman" w:eastAsia="宋体"/>
          <w:b w:val="0"/>
          <w:sz w:val="24"/>
        </w:rPr>
        <w:t>而</w:t>
      </w:r>
      <m:oMath>
        <m:box>
          <m:e>
            <m:r>
              <m:rPr>
                <m:sty m:val="p"/>
              </m:rPr>
              <m:t>∂</m:t>
            </m:r>
            <m:sSub>
              <m:e>
                <m:r>
                  <m:rPr>
                    <m:sty m:val="i"/>
                  </m:rPr>
                  <m:t>q</m:t>
                </m:r>
              </m:e>
              <m:sub>
                <m:box>
                  <m:e>
                    <m:r>
                      <m:rPr>
                        <m:sty m:val="i"/>
                      </m:rPr>
                      <m:t>j</m:t>
                    </m:r>
                    <m:r>
                      <m:rPr>
                        <m:sty m:val="i"/>
                      </m:rPr>
                      <m:t>i</m:t>
                    </m:r>
                  </m:e>
                </m:box>
              </m:sub>
            </m:sSub>
            <m:r>
              <m:rPr>
                <m:sty m:val="p"/>
              </m:rPr>
              <m:t>/</m:t>
            </m:r>
            <m:r>
              <m:rPr>
                <m:sty m:val="p"/>
              </m:rPr>
              <m:t>∂</m:t>
            </m:r>
            <m:sSub>
              <m:e>
                <m:r>
                  <m:rPr>
                    <m:sty m:val="i"/>
                  </m:rPr>
                  <m:t>s</m:t>
                </m:r>
              </m:e>
              <m:sub>
                <m:r>
                  <m:rPr>
                    <m:sty m:val="i"/>
                  </m:rPr>
                  <m:t>i</m:t>
                </m:r>
              </m:sub>
            </m:sSub>
            <m:r>
              <m:rPr>
                <m:sty m:val="p"/>
              </m:rPr>
              <m:t>=</m:t>
            </m:r>
            <m:r>
              <m:rPr>
                <m:sty m:val="p"/>
              </m:rPr>
              <m:t>−</m:t>
            </m:r>
            <m:r>
              <m:rPr>
                <m:sty m:val="p"/>
              </m:rPr>
              <m:t>1</m:t>
            </m:r>
            <m:r>
              <m:rPr>
                <m:sty m:val="p"/>
              </m:rPr>
              <m:t>/</m:t>
            </m:r>
            <m:r>
              <m:rPr>
                <m:sty m:val="p"/>
              </m:rPr>
              <m:t>(</m:t>
            </m:r>
            <m:r>
              <m:rPr>
                <m:sty m:val="p"/>
              </m:rPr>
              <m:t>3</m:t>
            </m:r>
            <m:r>
              <m:rPr>
                <m:sty m:val="i"/>
              </m:rPr>
              <m:t>b</m:t>
            </m:r>
            <m:r>
              <m:rPr>
                <m:sty m:val="p"/>
              </m:rPr>
              <m:t>)</m:t>
            </m:r>
            <m:r>
              <m:rPr>
                <m:sty m:val="p"/>
              </m:rPr>
              <m:t>&lt;</m:t>
            </m:r>
            <m:r>
              <m:rPr>
                <m:sty m:val="p"/>
              </m:rPr>
              <m:t>0</m:t>
            </m:r>
          </m:e>
        </m:box>
      </m:oMath>
      <w:r>
        <w:rPr>
          <w:rFonts w:ascii="Times New Roman" w:hAnsi="Times New Roman" w:eastAsia="宋体"/>
          <w:b w:val="0"/>
          <w:sz w:val="24"/>
        </w:rPr>
        <w:t>：本地补贴不仅扩张本企业销量，还按二比一的比例挤出对手在本地的销量，补贴天然具有“损人利己”的策略性质。其二，</w:t>
      </w:r>
      <m:oMath>
        <m:box>
          <m:e>
            <m:r>
              <m:rPr>
                <m:sty m:val="p"/>
              </m:rPr>
              <m:t>∂</m:t>
            </m:r>
            <m:sSub>
              <m:e>
                <m:r>
                  <m:rPr>
                    <m:sty m:val="i"/>
                  </m:rPr>
                  <m:t>q</m:t>
                </m:r>
              </m:e>
              <m:sub>
                <m:box>
                  <m:e>
                    <m:r>
                      <m:rPr>
                        <m:sty m:val="i"/>
                      </m:rPr>
                      <m:t>i</m:t>
                    </m:r>
                    <m:r>
                      <m:rPr>
                        <m:sty m:val="i"/>
                      </m:rPr>
                      <m:t>i</m:t>
                    </m:r>
                  </m:e>
                </m:box>
              </m:sub>
            </m:sSub>
            <m:r>
              <m:rPr>
                <m:sty m:val="p"/>
              </m:rPr>
              <m:t>/</m:t>
            </m:r>
            <m:r>
              <m:rPr>
                <m:sty m:val="p"/>
              </m:rPr>
              <m:t>∂</m:t>
            </m:r>
            <m:r>
              <m:rPr>
                <m:sty m:val="i"/>
              </m:rPr>
              <m:t>t</m:t>
            </m:r>
            <m:r>
              <m:rPr>
                <m:sty m:val="p"/>
              </m:rPr>
              <m:t>&gt;</m:t>
            </m:r>
            <m:r>
              <m:rPr>
                <m:sty m:val="p"/>
              </m:rPr>
              <m:t>0</m:t>
            </m:r>
          </m:e>
        </m:box>
      </m:oMath>
      <w:r>
        <w:rPr>
          <w:rFonts w:ascii="Times New Roman" w:hAnsi="Times New Roman" w:eastAsia="宋体"/>
          <w:b w:val="0"/>
          <w:sz w:val="24"/>
        </w:rPr>
        <w:t>而</w:t>
      </w:r>
      <m:oMath>
        <m:box>
          <m:e>
            <m:r>
              <m:rPr>
                <m:sty m:val="p"/>
              </m:rPr>
              <m:t>∂</m:t>
            </m:r>
            <m:sSub>
              <m:e>
                <m:r>
                  <m:rPr>
                    <m:sty m:val="i"/>
                  </m:rPr>
                  <m:t>q</m:t>
                </m:r>
              </m:e>
              <m:sub>
                <m:box>
                  <m:e>
                    <m:r>
                      <m:rPr>
                        <m:sty m:val="i"/>
                      </m:rPr>
                      <m:t>i</m:t>
                    </m:r>
                    <m:r>
                      <m:rPr>
                        <m:sty m:val="i"/>
                      </m:rPr>
                      <m:t>j</m:t>
                    </m:r>
                  </m:e>
                </m:box>
              </m:sub>
            </m:sSub>
            <m:r>
              <m:rPr>
                <m:sty m:val="p"/>
              </m:rPr>
              <m:t>/</m:t>
            </m:r>
            <m:r>
              <m:rPr>
                <m:sty m:val="p"/>
              </m:rPr>
              <m:t>∂</m:t>
            </m:r>
            <m:r>
              <m:rPr>
                <m:sty m:val="i"/>
              </m:rPr>
              <m:t>t</m:t>
            </m:r>
            <m:r>
              <m:rPr>
                <m:sty m:val="p"/>
              </m:rPr>
              <m:t>&lt;</m:t>
            </m:r>
            <m:r>
              <m:rPr>
                <m:sty m:val="p"/>
              </m:rPr>
              <m:t>0</m:t>
            </m:r>
          </m:e>
        </m:box>
      </m:oMath>
      <w:r>
        <w:rPr>
          <w:rFonts w:ascii="Times New Roman" w:hAnsi="Times New Roman" w:eastAsia="宋体"/>
          <w:b w:val="0"/>
          <w:sz w:val="24"/>
        </w:rPr>
        <w:t>：分割成本每上升一单位，本地企业在本地市场的销量增加</w:t>
      </w:r>
      <m:oMath>
        <m:box>
          <m:e>
            <m:r>
              <m:rPr>
                <m:sty m:val="p"/>
              </m:rPr>
              <m:t>1</m:t>
            </m:r>
            <m:r>
              <m:rPr>
                <m:sty m:val="p"/>
              </m:rPr>
              <m:t>/</m:t>
            </m:r>
            <m:r>
              <m:rPr>
                <m:sty m:val="p"/>
              </m:rPr>
              <m:t>(</m:t>
            </m:r>
            <m:r>
              <m:rPr>
                <m:sty m:val="p"/>
              </m:rPr>
              <m:t>3</m:t>
            </m:r>
            <m:r>
              <m:rPr>
                <m:sty m:val="i"/>
              </m:rPr>
              <m:t>b</m:t>
            </m:r>
            <m:r>
              <m:rPr>
                <m:sty m:val="p"/>
              </m:rPr>
              <m:t>)</m:t>
            </m:r>
          </m:e>
        </m:box>
      </m:oMath>
      <w:r>
        <w:rPr>
          <w:rFonts w:ascii="Times New Roman" w:hAnsi="Times New Roman" w:eastAsia="宋体"/>
          <w:b w:val="0"/>
          <w:sz w:val="24"/>
        </w:rPr>
        <w:t>、跨区销量减少</w:t>
      </w:r>
      <m:oMath>
        <m:box>
          <m:e>
            <m:r>
              <m:rPr>
                <m:sty m:val="p"/>
              </m:rPr>
              <m:t>2</m:t>
            </m:r>
            <m:r>
              <m:rPr>
                <m:sty m:val="p"/>
              </m:rPr>
              <m:t>/</m:t>
            </m:r>
            <m:r>
              <m:rPr>
                <m:sty m:val="p"/>
              </m:rPr>
              <m:t>(</m:t>
            </m:r>
            <m:r>
              <m:rPr>
                <m:sty m:val="p"/>
              </m:rPr>
              <m:t>3</m:t>
            </m:r>
            <m:r>
              <m:rPr>
                <m:sty m:val="i"/>
              </m:rPr>
              <m:t>b</m:t>
            </m:r>
            <m:r>
              <m:rPr>
                <m:sty m:val="p"/>
              </m:rPr>
              <m:t>)</m:t>
            </m:r>
          </m:e>
        </m:box>
      </m:oMath>
      <w:r>
        <w:rPr>
          <w:rFonts w:ascii="Times New Roman" w:hAnsi="Times New Roman" w:eastAsia="宋体"/>
          <w:b w:val="0"/>
          <w:sz w:val="24"/>
        </w:rPr>
        <w:t>——分割强化本地市场势力、把竞争“锁”在区域内，这正是地方保护的微观激励所在。其三，价格</w:t>
      </w:r>
      <m:oMath>
        <m:box>
          <m:e>
            <m:sSub>
              <m:e>
                <m:r>
                  <m:rPr>
                    <m:sty m:val="i"/>
                  </m:rPr>
                  <m:t>p</m:t>
                </m:r>
              </m:e>
              <m:sub>
                <m:r>
                  <m:rPr>
                    <m:sty m:val="i"/>
                  </m:rPr>
                  <m:t>i</m:t>
                </m:r>
              </m:sub>
            </m:sSub>
          </m:e>
        </m:box>
      </m:oMath>
      <w:r>
        <w:rPr>
          <w:rFonts w:ascii="Times New Roman" w:hAnsi="Times New Roman" w:eastAsia="宋体"/>
          <w:b w:val="0"/>
          <w:sz w:val="24"/>
        </w:rPr>
        <w:t>随两地补贴之和下降：补贴竞争的价格效应由两个市场共同承担，任何一方都无法独享低价的“好处”或独担其“代价”，这为第一阶段的策略互动埋下伏笔。在假设4-1下，</w:t>
      </w:r>
      <m:oMath>
        <m:box>
          <m:e>
            <m:sSub>
              <m:e>
                <m:r>
                  <m:rPr>
                    <m:sty m:val="i"/>
                  </m:rPr>
                  <m:t>q</m:t>
                </m:r>
              </m:e>
              <m:sub>
                <m:box>
                  <m:e>
                    <m:r>
                      <m:rPr>
                        <m:sty m:val="i"/>
                      </m:rPr>
                      <m:t>i</m:t>
                    </m:r>
                    <m:r>
                      <m:rPr>
                        <m:sty m:val="i"/>
                      </m:rPr>
                      <m:t>j</m:t>
                    </m:r>
                  </m:e>
                </m:box>
              </m:sub>
            </m:sSub>
            <m:r>
              <m:rPr>
                <m:sty m:val="p"/>
              </m:rPr>
              <m:t>&gt;</m:t>
            </m:r>
            <m:r>
              <m:rPr>
                <m:sty m:val="p"/>
              </m:rPr>
              <m:t>0</m:t>
            </m:r>
          </m:e>
        </m:box>
      </m:oMath>
      <w:r>
        <w:rPr>
          <w:rFonts w:ascii="Times New Roman" w:hAnsi="Times New Roman" w:eastAsia="宋体"/>
          <w:b w:val="0"/>
          <w:sz w:val="24"/>
        </w:rPr>
        <w:t>，两市场均存在双向交叉销售的内点均衡。</w:t>
      </w:r>
    </w:p>
    <w:p>
      <w:pPr>
        <w:spacing w:before="160" w:after="120" w:line="360" w:lineRule="auto"/>
        <w:outlineLvl w:val="2"/>
      </w:pPr>
      <w:r>
        <w:rPr>
          <w:rFonts w:ascii="Times New Roman" w:hAnsi="Times New Roman" w:eastAsia="黑体"/>
          <w:b w:val="0"/>
          <w:sz w:val="24"/>
        </w:rPr>
        <w:t>3．第一阶段：补贴竞争均衡与囚徒困境</w:t>
      </w:r>
    </w:p>
    <w:p>
      <w:pPr>
        <w:spacing w:before="0" w:after="0" w:line="360" w:lineRule="auto"/>
        <w:ind w:firstLineChars="200" w:firstLine="480"/>
      </w:pPr>
      <w:r>
        <w:rPr>
          <w:rFonts w:ascii="Times New Roman" w:hAnsi="Times New Roman" w:eastAsia="宋体"/>
          <w:b w:val="0"/>
          <w:sz w:val="24"/>
        </w:rPr>
        <w:t>回到第一阶段，地区</w:t>
      </w:r>
      <m:oMath>
        <m:box>
          <m:e>
            <m:r>
              <m:rPr>
                <m:sty m:val="i"/>
              </m:rPr>
              <m:t>i</m:t>
            </m:r>
          </m:e>
        </m:box>
      </m:oMath>
      <w:r>
        <w:rPr>
          <w:rFonts w:ascii="Times New Roman" w:hAnsi="Times New Roman" w:eastAsia="宋体"/>
          <w:b w:val="0"/>
          <w:sz w:val="24"/>
        </w:rPr>
        <w:t>政府预见到第二阶段的均衡反应，选择</w:t>
      </w:r>
      <m:oMath>
        <m:box>
          <m:e>
            <m:sSub>
              <m:e>
                <m:r>
                  <m:rPr>
                    <m:sty m:val="i"/>
                  </m:rPr>
                  <m:t>s</m:t>
                </m:r>
              </m:e>
              <m:sub>
                <m:r>
                  <m:rPr>
                    <m:sty m:val="i"/>
                  </m:rPr>
                  <m:t>i</m:t>
                </m:r>
              </m:sub>
            </m:sSub>
          </m:e>
        </m:box>
      </m:oMath>
      <w:r>
        <w:rPr>
          <w:rFonts w:ascii="Times New Roman" w:hAnsi="Times New Roman" w:eastAsia="宋体"/>
          <w:b w:val="0"/>
          <w:sz w:val="24"/>
        </w:rPr>
        <w:t>最大化式(4-4)。对</w:t>
      </w:r>
      <m:oMath>
        <m:box>
          <m:e>
            <m:sSub>
              <m:e>
                <m:r>
                  <m:rPr>
                    <m:sty m:val="i"/>
                  </m:rPr>
                  <m:t>W</m:t>
                </m:r>
              </m:e>
              <m:sub>
                <m:r>
                  <m:rPr>
                    <m:sty m:val="i"/>
                  </m:rPr>
                  <m:t>i</m:t>
                </m:r>
              </m:sub>
            </m:sSub>
          </m:e>
        </m:box>
      </m:oMath>
      <w:r>
        <w:rPr>
          <w:rFonts w:ascii="Times New Roman" w:hAnsi="Times New Roman" w:eastAsia="宋体"/>
          <w:b w:val="0"/>
          <w:sz w:val="24"/>
        </w:rPr>
        <w:t>的各构成项分别求全导数。首先看企业利润项。利用包络定理，企业对自身销量的选择已达最优，故</w:t>
      </w:r>
      <m:oMath>
        <m:box>
          <m:e>
            <m:sSub>
              <m:e>
                <m:r>
                  <m:rPr>
                    <m:sty m:val="i"/>
                  </m:rPr>
                  <m:t>s</m:t>
                </m:r>
              </m:e>
              <m:sub>
                <m:r>
                  <m:rPr>
                    <m:sty m:val="i"/>
                  </m:rPr>
                  <m:t>i</m:t>
                </m:r>
              </m:sub>
            </m:sSub>
          </m:e>
        </m:box>
      </m:oMath>
      <w:r>
        <w:rPr>
          <w:rFonts w:ascii="Times New Roman" w:hAnsi="Times New Roman" w:eastAsia="宋体"/>
          <w:b w:val="0"/>
          <w:sz w:val="24"/>
        </w:rPr>
        <w:t>对</w:t>
      </w:r>
      <m:oMath>
        <m:box>
          <m:e>
            <m:sSub>
              <m:e>
                <m:r>
                  <m:rPr>
                    <m:sty m:val="i"/>
                  </m:rPr>
                  <m:t>π</m:t>
                </m:r>
              </m:e>
              <m:sub>
                <m:r>
                  <m:rPr>
                    <m:sty m:val="i"/>
                  </m:rPr>
                  <m:t>i</m:t>
                </m:r>
              </m:sub>
            </m:sSub>
          </m:e>
        </m:box>
      </m:oMath>
      <w:r>
        <w:rPr>
          <w:rFonts w:ascii="Times New Roman" w:hAnsi="Times New Roman" w:eastAsia="宋体"/>
          <w:b w:val="0"/>
          <w:sz w:val="24"/>
        </w:rPr>
        <w:t>的影响只包含直接效应与经由对手销量的策略效应两部分：直接效应为</w:t>
      </w:r>
      <m:oMath>
        <m:box>
          <m:e>
            <m:r>
              <m:rPr>
                <m:sty m:val="p"/>
              </m:rPr>
              <m:t>∂</m:t>
            </m:r>
            <m:sSub>
              <m:e>
                <m:r>
                  <m:rPr>
                    <m:sty m:val="i"/>
                  </m:rPr>
                  <m:t>π</m:t>
                </m:r>
              </m:e>
              <m:sub>
                <m:r>
                  <m:rPr>
                    <m:sty m:val="i"/>
                  </m:rPr>
                  <m:t>i</m:t>
                </m:r>
              </m:sub>
            </m:sSub>
            <m:r>
              <m:rPr>
                <m:sty m:val="p"/>
              </m:rPr>
              <m:t>/</m:t>
            </m:r>
            <m:r>
              <m:rPr>
                <m:sty m:val="p"/>
              </m:rPr>
              <m:t>∂</m:t>
            </m:r>
            <m:sSub>
              <m:e>
                <m:r>
                  <m:rPr>
                    <m:sty m:val="i"/>
                  </m:rPr>
                  <m:t>s</m:t>
                </m:r>
              </m:e>
              <m:sub>
                <m:r>
                  <m:rPr>
                    <m:sty m:val="i"/>
                  </m:rPr>
                  <m:t>i</m:t>
                </m:r>
              </m:sub>
            </m:sSub>
            <m:r>
              <m:rPr>
                <m:sty m:val="p"/>
              </m:rPr>
              <m:t>=</m:t>
            </m:r>
            <m:sSub>
              <m:e>
                <m:r>
                  <m:rPr>
                    <m:sty m:val="i"/>
                  </m:rPr>
                  <m:t>q</m:t>
                </m:r>
              </m:e>
              <m:sub>
                <m:box>
                  <m:e>
                    <m:r>
                      <m:rPr>
                        <m:sty m:val="i"/>
                      </m:rPr>
                      <m:t>i</m:t>
                    </m:r>
                    <m:r>
                      <m:rPr>
                        <m:sty m:val="i"/>
                      </m:rPr>
                      <m:t>i</m:t>
                    </m:r>
                  </m:e>
                </m:box>
              </m:sub>
            </m:sSub>
            <m:r>
              <m:rPr>
                <m:sty m:val="p"/>
              </m:rPr>
              <m:t>+</m:t>
            </m:r>
            <m:sSub>
              <m:e>
                <m:r>
                  <m:rPr>
                    <m:sty m:val="i"/>
                  </m:rPr>
                  <m:t>q</m:t>
                </m:r>
              </m:e>
              <m:sub>
                <m:box>
                  <m:e>
                    <m:r>
                      <m:rPr>
                        <m:sty m:val="i"/>
                      </m:rPr>
                      <m:t>i</m:t>
                    </m:r>
                    <m:r>
                      <m:rPr>
                        <m:sty m:val="i"/>
                      </m:rPr>
                      <m:t>j</m:t>
                    </m:r>
                  </m:e>
                </m:box>
              </m:sub>
            </m:sSub>
            <m:r>
              <m:rPr>
                <m:sty m:val="p"/>
              </m:rPr>
              <m:t>=</m:t>
            </m:r>
            <m:sSub>
              <m:e>
                <m:r>
                  <m:rPr>
                    <m:sty m:val="i"/>
                  </m:rPr>
                  <m:t>X</m:t>
                </m:r>
              </m:e>
              <m:sub>
                <m:r>
                  <m:rPr>
                    <m:sty m:val="i"/>
                  </m:rPr>
                  <m:t>i</m:t>
                </m:r>
              </m:sub>
            </m:sSub>
          </m:e>
        </m:box>
      </m:oMath>
      <w:r>
        <w:rPr>
          <w:rFonts w:ascii="Times New Roman" w:hAnsi="Times New Roman" w:eastAsia="宋体"/>
          <w:b w:val="0"/>
          <w:sz w:val="24"/>
        </w:rPr>
        <w:t>；策略效应为</w:t>
      </w:r>
      <m:oMath>
        <m:box>
          <m:e>
            <m:r>
              <m:rPr>
                <m:sty m:val="p"/>
              </m:rPr>
              <m:t>(</m:t>
            </m:r>
            <m:r>
              <m:rPr>
                <m:sty m:val="p"/>
              </m:rPr>
              <m:t>∂</m:t>
            </m:r>
            <m:sSub>
              <m:e>
                <m:r>
                  <m:rPr>
                    <m:sty m:val="i"/>
                  </m:rPr>
                  <m:t>π</m:t>
                </m:r>
              </m:e>
              <m:sub>
                <m:r>
                  <m:rPr>
                    <m:sty m:val="i"/>
                  </m:rPr>
                  <m:t>i</m:t>
                </m:r>
              </m:sub>
            </m:sSub>
            <m:r>
              <m:rPr>
                <m:sty m:val="p"/>
              </m:rPr>
              <m:t>/</m:t>
            </m:r>
            <m:r>
              <m:rPr>
                <m:sty m:val="p"/>
              </m:rPr>
              <m:t>∂</m:t>
            </m:r>
            <m:sSub>
              <m:e>
                <m:r>
                  <m:rPr>
                    <m:sty m:val="i"/>
                  </m:rPr>
                  <m:t>q</m:t>
                </m:r>
              </m:e>
              <m:sub>
                <m:box>
                  <m:e>
                    <m:r>
                      <m:rPr>
                        <m:sty m:val="i"/>
                      </m:rPr>
                      <m:t>j</m:t>
                    </m:r>
                    <m:r>
                      <m:rPr>
                        <m:sty m:val="i"/>
                      </m:rPr>
                      <m:t>i</m:t>
                    </m:r>
                  </m:e>
                </m:box>
              </m:sub>
            </m:sSub>
            <m:r>
              <m:rPr>
                <m:sty m:val="p"/>
              </m:rPr>
              <m:t>)</m:t>
            </m:r>
            <m:r>
              <m:rPr>
                <m:sty m:val="p"/>
              </m:rPr>
              <m:t>(</m:t>
            </m:r>
            <m:r>
              <m:rPr>
                <m:sty m:val="i"/>
              </m:rPr>
              <m:t>d</m:t>
            </m:r>
            <m:sSub>
              <m:e>
                <m:r>
                  <m:rPr>
                    <m:sty m:val="i"/>
                  </m:rPr>
                  <m:t>q</m:t>
                </m:r>
              </m:e>
              <m:sub>
                <m:box>
                  <m:e>
                    <m:r>
                      <m:rPr>
                        <m:sty m:val="i"/>
                      </m:rPr>
                      <m:t>j</m:t>
                    </m:r>
                    <m:r>
                      <m:rPr>
                        <m:sty m:val="i"/>
                      </m:rPr>
                      <m:t>i</m:t>
                    </m:r>
                  </m:e>
                </m:box>
              </m:sub>
            </m:sSub>
            <m:r>
              <m:rPr>
                <m:sty m:val="p"/>
              </m:rPr>
              <m:t>/</m:t>
            </m:r>
            <m:r>
              <m:rPr>
                <m:sty m:val="i"/>
              </m:rPr>
              <m:t>d</m:t>
            </m:r>
            <m:sSub>
              <m:e>
                <m:r>
                  <m:rPr>
                    <m:sty m:val="i"/>
                  </m:rPr>
                  <m:t>s</m:t>
                </m:r>
              </m:e>
              <m:sub>
                <m:r>
                  <m:rPr>
                    <m:sty m:val="i"/>
                  </m:rPr>
                  <m:t>i</m:t>
                </m:r>
              </m:sub>
            </m:sSub>
            <m:r>
              <m:rPr>
                <m:sty m:val="p"/>
              </m:rPr>
              <m:t>)</m:t>
            </m:r>
            <m:r>
              <m:rPr>
                <m:sty m:val="p"/>
              </m:rPr>
              <m:t>+</m:t>
            </m:r>
            <m:r>
              <m:rPr>
                <m:sty m:val="p"/>
              </m:rPr>
              <m:t>(</m:t>
            </m:r>
            <m:r>
              <m:rPr>
                <m:sty m:val="p"/>
              </m:rPr>
              <m:t>∂</m:t>
            </m:r>
            <m:sSub>
              <m:e>
                <m:r>
                  <m:rPr>
                    <m:sty m:val="i"/>
                  </m:rPr>
                  <m:t>π</m:t>
                </m:r>
              </m:e>
              <m:sub>
                <m:r>
                  <m:rPr>
                    <m:sty m:val="i"/>
                  </m:rPr>
                  <m:t>i</m:t>
                </m:r>
              </m:sub>
            </m:sSub>
            <m:r>
              <m:rPr>
                <m:sty m:val="p"/>
              </m:rPr>
              <m:t>/</m:t>
            </m:r>
            <m:r>
              <m:rPr>
                <m:sty m:val="p"/>
              </m:rPr>
              <m:t>∂</m:t>
            </m:r>
            <m:sSub>
              <m:e>
                <m:r>
                  <m:rPr>
                    <m:sty m:val="i"/>
                  </m:rPr>
                  <m:t>q</m:t>
                </m:r>
              </m:e>
              <m:sub>
                <m:box>
                  <m:e>
                    <m:r>
                      <m:rPr>
                        <m:sty m:val="i"/>
                      </m:rPr>
                      <m:t>j</m:t>
                    </m:r>
                    <m:r>
                      <m:rPr>
                        <m:sty m:val="i"/>
                      </m:rPr>
                      <m:t>j</m:t>
                    </m:r>
                  </m:e>
                </m:box>
              </m:sub>
            </m:sSub>
            <m:r>
              <m:rPr>
                <m:sty m:val="p"/>
              </m:rPr>
              <m:t>)</m:t>
            </m:r>
            <m:r>
              <m:rPr>
                <m:sty m:val="p"/>
              </m:rPr>
              <m:t>(</m:t>
            </m:r>
            <m:r>
              <m:rPr>
                <m:sty m:val="i"/>
              </m:rPr>
              <m:t>d</m:t>
            </m:r>
            <m:sSub>
              <m:e>
                <m:r>
                  <m:rPr>
                    <m:sty m:val="i"/>
                  </m:rPr>
                  <m:t>q</m:t>
                </m:r>
              </m:e>
              <m:sub>
                <m:box>
                  <m:e>
                    <m:r>
                      <m:rPr>
                        <m:sty m:val="i"/>
                      </m:rPr>
                      <m:t>j</m:t>
                    </m:r>
                    <m:r>
                      <m:rPr>
                        <m:sty m:val="i"/>
                      </m:rPr>
                      <m:t>j</m:t>
                    </m:r>
                  </m:e>
                </m:box>
              </m:sub>
            </m:sSub>
            <m:r>
              <m:rPr>
                <m:sty m:val="p"/>
              </m:rPr>
              <m:t>/</m:t>
            </m:r>
            <m:r>
              <m:rPr>
                <m:sty m:val="i"/>
              </m:rPr>
              <m:t>d</m:t>
            </m:r>
            <m:sSub>
              <m:e>
                <m:r>
                  <m:rPr>
                    <m:sty m:val="i"/>
                  </m:rPr>
                  <m:t>s</m:t>
                </m:r>
              </m:e>
              <m:sub>
                <m:r>
                  <m:rPr>
                    <m:sty m:val="i"/>
                  </m:rPr>
                  <m:t>i</m:t>
                </m:r>
              </m:sub>
            </m:sSub>
            <m:r>
              <m:rPr>
                <m:sty m:val="p"/>
              </m:rPr>
              <m:t>)</m:t>
            </m:r>
            <m:r>
              <m:rPr>
                <m:sty m:val="p"/>
              </m:rPr>
              <m:t>=</m:t>
            </m:r>
            <m:r>
              <m:rPr>
                <m:sty m:val="p"/>
              </m:rPr>
              <m:t>(</m:t>
            </m:r>
            <m:r>
              <m:rPr>
                <m:sty m:val="p"/>
              </m:rPr>
              <m:t>−</m:t>
            </m:r>
            <m:r>
              <m:rPr>
                <m:sty m:val="i"/>
              </m:rPr>
              <m:t>b</m:t>
            </m:r>
            <m:sSub>
              <m:e>
                <m:r>
                  <m:rPr>
                    <m:sty m:val="i"/>
                  </m:rPr>
                  <m:t>q</m:t>
                </m:r>
              </m:e>
              <m:sub>
                <m:box>
                  <m:e>
                    <m:r>
                      <m:rPr>
                        <m:sty m:val="i"/>
                      </m:rPr>
                      <m:t>i</m:t>
                    </m:r>
                    <m:r>
                      <m:rPr>
                        <m:sty m:val="i"/>
                      </m:rPr>
                      <m:t>i</m:t>
                    </m:r>
                  </m:e>
                </m:box>
              </m:sub>
            </m:sSub>
            <m:r>
              <m:rPr>
                <m:sty m:val="p"/>
              </m:rPr>
              <m:t>)</m:t>
            </m:r>
            <m:r>
              <m:rPr>
                <m:sty m:val="p"/>
              </m:rPr>
              <m:t>(</m:t>
            </m:r>
            <m:r>
              <m:rPr>
                <m:sty m:val="p"/>
              </m:rPr>
              <m:t>−</m:t>
            </m:r>
            <m:r>
              <m:rPr>
                <m:sty m:val="p"/>
              </m:rPr>
              <m:t>1</m:t>
            </m:r>
            <m:r>
              <m:rPr>
                <m:sty m:val="p"/>
              </m:rPr>
              <m:t>/</m:t>
            </m:r>
            <m:r>
              <m:rPr>
                <m:sty m:val="p"/>
              </m:rPr>
              <m:t>(</m:t>
            </m:r>
            <m:r>
              <m:rPr>
                <m:sty m:val="p"/>
              </m:rPr>
              <m:t>3</m:t>
            </m:r>
            <m:r>
              <m:rPr>
                <m:sty m:val="i"/>
              </m:rPr>
              <m:t>b</m:t>
            </m:r>
            <m:r>
              <m:rPr>
                <m:sty m:val="p"/>
              </m:rPr>
              <m:t>)</m:t>
            </m:r>
            <m:r>
              <m:rPr>
                <m:sty m:val="p"/>
              </m:rPr>
              <m:t>)</m:t>
            </m:r>
            <m:r>
              <m:rPr>
                <m:sty m:val="p"/>
              </m:rPr>
              <m:t>+</m:t>
            </m:r>
            <m:r>
              <m:rPr>
                <m:sty m:val="p"/>
              </m:rPr>
              <m:t>(</m:t>
            </m:r>
            <m:r>
              <m:rPr>
                <m:sty m:val="p"/>
              </m:rPr>
              <m:t>−</m:t>
            </m:r>
            <m:r>
              <m:rPr>
                <m:sty m:val="i"/>
              </m:rPr>
              <m:t>b</m:t>
            </m:r>
            <m:sSub>
              <m:e>
                <m:r>
                  <m:rPr>
                    <m:sty m:val="i"/>
                  </m:rPr>
                  <m:t>q</m:t>
                </m:r>
              </m:e>
              <m:sub>
                <m:box>
                  <m:e>
                    <m:r>
                      <m:rPr>
                        <m:sty m:val="i"/>
                      </m:rPr>
                      <m:t>i</m:t>
                    </m:r>
                    <m:r>
                      <m:rPr>
                        <m:sty m:val="i"/>
                      </m:rPr>
                      <m:t>j</m:t>
                    </m:r>
                  </m:e>
                </m:box>
              </m:sub>
            </m:sSub>
            <m:r>
              <m:rPr>
                <m:sty m:val="p"/>
              </m:rPr>
              <m:t>)</m:t>
            </m:r>
            <m:r>
              <m:rPr>
                <m:sty m:val="p"/>
              </m:rPr>
              <m:t>(</m:t>
            </m:r>
            <m:r>
              <m:rPr>
                <m:sty m:val="p"/>
              </m:rPr>
              <m:t>−</m:t>
            </m:r>
            <m:r>
              <m:rPr>
                <m:sty m:val="p"/>
              </m:rPr>
              <m:t>1</m:t>
            </m:r>
            <m:r>
              <m:rPr>
                <m:sty m:val="p"/>
              </m:rPr>
              <m:t>/</m:t>
            </m:r>
            <m:r>
              <m:rPr>
                <m:sty m:val="p"/>
              </m:rPr>
              <m:t>(</m:t>
            </m:r>
            <m:r>
              <m:rPr>
                <m:sty m:val="p"/>
              </m:rPr>
              <m:t>3</m:t>
            </m:r>
            <m:r>
              <m:rPr>
                <m:sty m:val="i"/>
              </m:rPr>
              <m:t>b</m:t>
            </m:r>
            <m:r>
              <m:rPr>
                <m:sty m:val="p"/>
              </m:rPr>
              <m:t>)</m:t>
            </m:r>
            <m:r>
              <m:rPr>
                <m:sty m:val="p"/>
              </m:rPr>
              <m:t>)</m:t>
            </m:r>
            <m:r>
              <m:rPr>
                <m:sty m:val="p"/>
              </m:rPr>
              <m:t>=</m:t>
            </m:r>
            <m:sSub>
              <m:e>
                <m:r>
                  <m:rPr>
                    <m:sty m:val="i"/>
                  </m:rPr>
                  <m:t>X</m:t>
                </m:r>
              </m:e>
              <m:sub>
                <m:r>
                  <m:rPr>
                    <m:sty m:val="i"/>
                  </m:rPr>
                  <m:t>i</m:t>
                </m:r>
              </m:sub>
            </m:sSub>
            <m:r>
              <m:rPr>
                <m:sty m:val="p"/>
              </m:rPr>
              <m:t>/</m:t>
            </m:r>
            <m:r>
              <m:rPr>
                <m:sty m:val="p"/>
              </m:rPr>
              <m:t>3</m:t>
            </m:r>
          </m:e>
        </m:box>
      </m:oMath>
      <w:r>
        <w:rPr>
          <w:rFonts w:ascii="Times New Roman" w:hAnsi="Times New Roman" w:eastAsia="宋体"/>
          <w:b w:val="0"/>
          <w:sz w:val="24"/>
        </w:rPr>
        <w:t>。两项加总得：</w:t>
      </w:r>
    </w:p>
    <w:p>
      <w:pPr>
        <w:spacing w:before="120" w:after="120" w:line="360" w:lineRule="auto"/>
        <w:tabs>
          <w:tab w:val="center" w:pos="4252"/>
          <w:tab w:val="right" w:pos="8505"/>
        </w:tabs>
      </w:pPr>
      <w:r>
        <w:rPr>
          <w:rFonts w:ascii="Times New Roman" w:hAnsi="Times New Roman" w:eastAsia="宋体"/>
          <w:b w:val="0"/>
          <w:sz w:val="24"/>
        </w:rPr>
        <w:tab/>
      </w:r>
      <m:oMath>
        <m:box>
          <m:e>
            <m:f>
              <m:num>
                <m:box>
                  <m:e>
                    <m:r>
                      <m:rPr>
                        <m:sty m:val="i"/>
                      </m:rPr>
                      <m:t>d</m:t>
                    </m:r>
                    <m:sSub>
                      <m:e>
                        <m:r>
                          <m:rPr>
                            <m:sty m:val="i"/>
                          </m:rPr>
                          <m:t>π</m:t>
                        </m:r>
                      </m:e>
                      <m:sub>
                        <m:r>
                          <m:rPr>
                            <m:sty m:val="i"/>
                          </m:rPr>
                          <m:t>i</m:t>
                        </m:r>
                      </m:sub>
                    </m:sSub>
                  </m:e>
                </m:box>
              </m:num>
              <m:den>
                <m:box>
                  <m:e>
                    <m:r>
                      <m:rPr>
                        <m:sty m:val="i"/>
                      </m:rPr>
                      <m:t>d</m:t>
                    </m:r>
                    <m:sSub>
                      <m:e>
                        <m:r>
                          <m:rPr>
                            <m:sty m:val="i"/>
                          </m:rPr>
                          <m:t>s</m:t>
                        </m:r>
                      </m:e>
                      <m:sub>
                        <m:r>
                          <m:rPr>
                            <m:sty m:val="i"/>
                          </m:rPr>
                          <m:t>i</m:t>
                        </m:r>
                      </m:sub>
                    </m:sSub>
                  </m:e>
                </m:box>
              </m:den>
            </m:f>
            <m:r>
              <m:rPr>
                <m:sty m:val="p"/>
              </m:rPr>
              <m:t>=</m:t>
            </m:r>
            <m:sSub>
              <m:e>
                <m:r>
                  <m:rPr>
                    <m:sty m:val="i"/>
                  </m:rPr>
                  <m:t>X</m:t>
                </m:r>
              </m:e>
              <m:sub>
                <m:r>
                  <m:rPr>
                    <m:sty m:val="i"/>
                  </m:rPr>
                  <m:t>i</m:t>
                </m:r>
              </m:sub>
            </m:sSub>
            <m:r>
              <m:rPr>
                <m:sty m:val="p"/>
              </m:rPr>
              <m:t>+</m:t>
            </m:r>
            <m:f>
              <m:num>
                <m:box>
                  <m:e>
                    <m:sSub>
                      <m:e>
                        <m:r>
                          <m:rPr>
                            <m:sty m:val="i"/>
                          </m:rPr>
                          <m:t>X</m:t>
                        </m:r>
                      </m:e>
                      <m:sub>
                        <m:r>
                          <m:rPr>
                            <m:sty m:val="i"/>
                          </m:rPr>
                          <m:t>i</m:t>
                        </m:r>
                      </m:sub>
                    </m:sSub>
                  </m:e>
                </m:box>
              </m:num>
              <m:den>
                <m:box>
                  <m:e>
                    <m:r>
                      <m:rPr>
                        <m:sty m:val="p"/>
                      </m:rPr>
                      <m:t>3</m:t>
                    </m:r>
                  </m:e>
                </m:box>
              </m:den>
            </m:f>
            <m:r>
              <m:rPr>
                <m:sty m:val="p"/>
              </m:rPr>
              <m:t>=</m:t>
            </m:r>
            <m:f>
              <m:num>
                <m:box>
                  <m:e>
                    <m:r>
                      <m:rPr>
                        <m:sty m:val="p"/>
                      </m:rPr>
                      <m:t>4</m:t>
                    </m:r>
                    <m:sSub>
                      <m:e>
                        <m:r>
                          <m:rPr>
                            <m:sty m:val="i"/>
                          </m:rPr>
                          <m:t>X</m:t>
                        </m:r>
                      </m:e>
                      <m:sub>
                        <m:r>
                          <m:rPr>
                            <m:sty m:val="i"/>
                          </m:rPr>
                          <m:t>i</m:t>
                        </m:r>
                      </m:sub>
                    </m:sSub>
                  </m:e>
                </m:box>
              </m:num>
              <m:den>
                <m:box>
                  <m:e>
                    <m:r>
                      <m:rPr>
                        <m:sty m:val="p"/>
                      </m:rPr>
                      <m:t>3</m:t>
                    </m:r>
                  </m:e>
                </m:box>
              </m:den>
            </m:f>
          </m:e>
        </m:box>
      </m:oMath>
      <w:r>
        <w:rPr>
          <w:rFonts w:ascii="Times New Roman" w:hAnsi="Times New Roman" w:eastAsia="宋体"/>
          <w:b w:val="0"/>
          <w:sz w:val="24"/>
        </w:rPr>
        <w:tab/>
        <w:t>(4-9)</w:t>
      </w:r>
    </w:p>
    <w:p>
      <w:pPr>
        <w:spacing w:before="0" w:after="0" w:line="360" w:lineRule="auto"/>
        <w:ind w:firstLineChars="200" w:firstLine="480"/>
      </w:pPr>
      <w:r>
        <w:rPr>
          <w:rFonts w:ascii="Times New Roman" w:hAnsi="Times New Roman" w:eastAsia="宋体"/>
          <w:b w:val="0"/>
          <w:sz w:val="24"/>
        </w:rPr>
        <w:t>即补贴每提高一单位，本地企业利润按其产出的三分之四倍增加，其中超出产出基数的三分之一正是从对手企业转移而来的策略性租金。其次，消费者剩余</w:t>
      </w:r>
      <m:oMath>
        <m:box>
          <m:e>
            <m:r>
              <m:rPr>
                <m:sty m:val="i"/>
              </m:rPr>
              <m:t>C</m:t>
            </m:r>
            <m:sSub>
              <m:e>
                <m:r>
                  <m:rPr>
                    <m:sty m:val="i"/>
                  </m:rPr>
                  <m:t>S</m:t>
                </m:r>
              </m:e>
              <m:sub>
                <m:r>
                  <m:rPr>
                    <m:sty m:val="i"/>
                  </m:rPr>
                  <m:t>i</m:t>
                </m:r>
              </m:sub>
            </m:sSub>
            <m:r>
              <m:rPr>
                <m:sty m:val="p"/>
              </m:rPr>
              <m:t>=</m:t>
            </m:r>
            <m:r>
              <m:rPr>
                <m:sty m:val="p"/>
              </m:rPr>
              <m:t>(</m:t>
            </m:r>
            <m:r>
              <m:rPr>
                <m:sty m:val="i"/>
              </m:rPr>
              <m:t>a</m:t>
            </m:r>
            <m:r>
              <m:rPr>
                <m:sty m:val="p"/>
              </m:rPr>
              <m:t>−</m:t>
            </m:r>
            <m:sSub>
              <m:e>
                <m:r>
                  <m:rPr>
                    <m:sty m:val="i"/>
                  </m:rPr>
                  <m:t>p</m:t>
                </m:r>
              </m:e>
              <m:sub>
                <m:r>
                  <m:rPr>
                    <m:sty m:val="i"/>
                  </m:rPr>
                  <m:t>i</m:t>
                </m:r>
              </m:sub>
            </m:sSub>
            <m:sSup>
              <m:e>
                <m:r>
                  <m:rPr>
                    <m:sty m:val="p"/>
                  </m:rPr>
                  <m:t>)</m:t>
                </m:r>
              </m:e>
              <m:sup>
                <m:r>
                  <m:rPr>
                    <m:sty m:val="p"/>
                  </m:rPr>
                  <m:t>2</m:t>
                </m:r>
              </m:sup>
            </m:sSup>
            <m:r>
              <m:rPr>
                <m:sty m:val="p"/>
              </m:rPr>
              <m:t>/</m:t>
            </m:r>
            <m:r>
              <m:rPr>
                <m:sty m:val="p"/>
              </m:rPr>
              <m:t>(</m:t>
            </m:r>
            <m:r>
              <m:rPr>
                <m:sty m:val="p"/>
              </m:rPr>
              <m:t>2</m:t>
            </m:r>
            <m:r>
              <m:rPr>
                <m:sty m:val="i"/>
              </m:rPr>
              <m:t>b</m:t>
            </m:r>
            <m:r>
              <m:rPr>
                <m:sty m:val="p"/>
              </m:rPr>
              <m:t>)</m:t>
            </m:r>
          </m:e>
        </m:box>
      </m:oMath>
      <w:r>
        <w:rPr>
          <w:rFonts w:ascii="Times New Roman" w:hAnsi="Times New Roman" w:eastAsia="宋体"/>
          <w:b w:val="0"/>
          <w:sz w:val="24"/>
        </w:rPr>
        <w:t>，由</w:t>
      </w:r>
      <m:oMath>
        <m:box>
          <m:e>
            <m:r>
              <m:rPr>
                <m:sty m:val="i"/>
              </m:rPr>
              <m:t>d</m:t>
            </m:r>
            <m:sSub>
              <m:e>
                <m:r>
                  <m:rPr>
                    <m:sty m:val="i"/>
                  </m:rPr>
                  <m:t>p</m:t>
                </m:r>
              </m:e>
              <m:sub>
                <m:r>
                  <m:rPr>
                    <m:sty m:val="i"/>
                  </m:rPr>
                  <m:t>i</m:t>
                </m:r>
              </m:sub>
            </m:sSub>
            <m:r>
              <m:rPr>
                <m:sty m:val="p"/>
              </m:rPr>
              <m:t>/</m:t>
            </m:r>
            <m:r>
              <m:rPr>
                <m:sty m:val="i"/>
              </m:rPr>
              <m:t>d</m:t>
            </m:r>
            <m:sSub>
              <m:e>
                <m:r>
                  <m:rPr>
                    <m:sty m:val="i"/>
                  </m:rPr>
                  <m:t>s</m:t>
                </m:r>
              </m:e>
              <m:sub>
                <m:r>
                  <m:rPr>
                    <m:sty m:val="i"/>
                  </m:rPr>
                  <m:t>i</m:t>
                </m:r>
              </m:sub>
            </m:sSub>
            <m:r>
              <m:rPr>
                <m:sty m:val="p"/>
              </m:rPr>
              <m:t>=</m:t>
            </m:r>
            <m:r>
              <m:rPr>
                <m:sty m:val="p"/>
              </m:rPr>
              <m:t>−</m:t>
            </m:r>
            <m:r>
              <m:rPr>
                <m:sty m:val="p"/>
              </m:rPr>
              <m:t>1</m:t>
            </m:r>
            <m:r>
              <m:rPr>
                <m:sty m:val="p"/>
              </m:rPr>
              <m:t>/</m:t>
            </m:r>
            <m:r>
              <m:rPr>
                <m:sty m:val="p"/>
              </m:rPr>
              <m:t>3</m:t>
            </m:r>
          </m:e>
        </m:box>
      </m:oMath>
      <w:r>
        <w:rPr>
          <w:rFonts w:ascii="Times New Roman" w:hAnsi="Times New Roman" w:eastAsia="宋体"/>
          <w:b w:val="0"/>
          <w:sz w:val="24"/>
        </w:rPr>
        <w:t>得：</w:t>
      </w:r>
    </w:p>
    <w:p>
      <w:pPr>
        <w:spacing w:before="120" w:after="120" w:line="360" w:lineRule="auto"/>
        <w:tabs>
          <w:tab w:val="center" w:pos="4252"/>
          <w:tab w:val="right" w:pos="8505"/>
        </w:tabs>
      </w:pPr>
      <w:r>
        <w:rPr>
          <w:rFonts w:ascii="Times New Roman" w:hAnsi="Times New Roman" w:eastAsia="宋体"/>
          <w:b w:val="0"/>
          <w:sz w:val="24"/>
        </w:rPr>
        <w:tab/>
      </w:r>
      <m:oMath>
        <m:box>
          <m:e>
            <m:f>
              <m:num>
                <m:box>
                  <m:e>
                    <m:r>
                      <m:rPr>
                        <m:sty m:val="i"/>
                      </m:rPr>
                      <m:t>d</m:t>
                    </m:r>
                    <m:r>
                      <m:rPr>
                        <m:sty m:val="i"/>
                      </m:rPr>
                      <m:t>C</m:t>
                    </m:r>
                    <m:sSub>
                      <m:e>
                        <m:r>
                          <m:rPr>
                            <m:sty m:val="i"/>
                          </m:rPr>
                          <m:t>S</m:t>
                        </m:r>
                      </m:e>
                      <m:sub>
                        <m:r>
                          <m:rPr>
                            <m:sty m:val="i"/>
                          </m:rPr>
                          <m:t>i</m:t>
                        </m:r>
                      </m:sub>
                    </m:sSub>
                  </m:e>
                </m:box>
              </m:num>
              <m:den>
                <m:box>
                  <m:e>
                    <m:r>
                      <m:rPr>
                        <m:sty m:val="i"/>
                      </m:rPr>
                      <m:t>d</m:t>
                    </m:r>
                    <m:sSub>
                      <m:e>
                        <m:r>
                          <m:rPr>
                            <m:sty m:val="i"/>
                          </m:rPr>
                          <m:t>s</m:t>
                        </m:r>
                      </m:e>
                      <m:sub>
                        <m:r>
                          <m:rPr>
                            <m:sty m:val="i"/>
                          </m:rPr>
                          <m:t>i</m:t>
                        </m:r>
                      </m:sub>
                    </m:sSub>
                  </m:e>
                </m:box>
              </m:den>
            </m:f>
            <m:r>
              <m:rPr>
                <m:sty m:val="p"/>
              </m:rPr>
              <m:t>=</m:t>
            </m:r>
            <m:f>
              <m:num>
                <m:box>
                  <m:e>
                    <m:r>
                      <m:rPr>
                        <m:sty m:val="i"/>
                      </m:rPr>
                      <m:t>a</m:t>
                    </m:r>
                    <m:r>
                      <m:rPr>
                        <m:sty m:val="p"/>
                      </m:rPr>
                      <m:t>−</m:t>
                    </m:r>
                    <m:sSub>
                      <m:e>
                        <m:r>
                          <m:rPr>
                            <m:sty m:val="i"/>
                          </m:rPr>
                          <m:t>p</m:t>
                        </m:r>
                      </m:e>
                      <m:sub>
                        <m:r>
                          <m:rPr>
                            <m:sty m:val="i"/>
                          </m:rPr>
                          <m:t>i</m:t>
                        </m:r>
                      </m:sub>
                    </m:sSub>
                  </m:e>
                </m:box>
              </m:num>
              <m:den>
                <m:box>
                  <m:e>
                    <m:r>
                      <m:rPr>
                        <m:sty m:val="p"/>
                      </m:rPr>
                      <m:t>3</m:t>
                    </m:r>
                    <m:r>
                      <m:rPr>
                        <m:sty m:val="i"/>
                      </m:rPr>
                      <m:t>b</m:t>
                    </m:r>
                  </m:e>
                </m:box>
              </m:den>
            </m:f>
          </m:e>
        </m:box>
      </m:oMath>
      <w:r>
        <w:rPr>
          <w:rFonts w:ascii="Times New Roman" w:hAnsi="Times New Roman" w:eastAsia="宋体"/>
          <w:b w:val="0"/>
          <w:sz w:val="24"/>
        </w:rPr>
        <w:tab/>
        <w:t>(4-10)</w:t>
      </w:r>
    </w:p>
    <w:p>
      <w:pPr>
        <w:spacing w:before="0" w:after="0" w:line="360" w:lineRule="auto"/>
        <w:ind w:firstLineChars="200" w:firstLine="480"/>
      </w:pPr>
      <w:r>
        <w:rPr>
          <w:rFonts w:ascii="Times New Roman" w:hAnsi="Times New Roman" w:eastAsia="宋体"/>
          <w:b w:val="0"/>
          <w:sz w:val="24"/>
        </w:rPr>
        <w:t>最后，由式(4-6)、(4-7)可得</w:t>
      </w:r>
      <m:oMath>
        <m:box>
          <m:e>
            <m:r>
              <m:rPr>
                <m:sty m:val="i"/>
              </m:rPr>
              <m:t>d</m:t>
            </m:r>
            <m:sSub>
              <m:e>
                <m:r>
                  <m:rPr>
                    <m:sty m:val="i"/>
                  </m:rPr>
                  <m:t>X</m:t>
                </m:r>
              </m:e>
              <m:sub>
                <m:r>
                  <m:rPr>
                    <m:sty m:val="i"/>
                  </m:rPr>
                  <m:t>i</m:t>
                </m:r>
              </m:sub>
            </m:sSub>
            <m:r>
              <m:rPr>
                <m:sty m:val="p"/>
              </m:rPr>
              <m:t>/</m:t>
            </m:r>
            <m:r>
              <m:rPr>
                <m:sty m:val="i"/>
              </m:rPr>
              <m:t>d</m:t>
            </m:r>
            <m:sSub>
              <m:e>
                <m:r>
                  <m:rPr>
                    <m:sty m:val="i"/>
                  </m:rPr>
                  <m:t>s</m:t>
                </m:r>
              </m:e>
              <m:sub>
                <m:r>
                  <m:rPr>
                    <m:sty m:val="i"/>
                  </m:rPr>
                  <m:t>i</m:t>
                </m:r>
              </m:sub>
            </m:sSub>
            <m:r>
              <m:rPr>
                <m:sty m:val="p"/>
              </m:rPr>
              <m:t>=</m:t>
            </m:r>
            <m:r>
              <m:rPr>
                <m:sty m:val="p"/>
              </m:rPr>
              <m:t>4</m:t>
            </m:r>
            <m:r>
              <m:rPr>
                <m:sty m:val="p"/>
              </m:rPr>
              <m:t>/</m:t>
            </m:r>
            <m:r>
              <m:rPr>
                <m:sty m:val="p"/>
              </m:rPr>
              <m:t>(</m:t>
            </m:r>
            <m:r>
              <m:rPr>
                <m:sty m:val="p"/>
              </m:rPr>
              <m:t>3</m:t>
            </m:r>
            <m:r>
              <m:rPr>
                <m:sty m:val="i"/>
              </m:rPr>
              <m:t>b</m:t>
            </m:r>
            <m:r>
              <m:rPr>
                <m:sty m:val="p"/>
              </m:rPr>
              <m:t>)</m:t>
            </m:r>
          </m:e>
        </m:box>
      </m:oMath>
      <w:r>
        <w:rPr>
          <w:rFonts w:ascii="Times New Roman" w:hAnsi="Times New Roman" w:eastAsia="宋体"/>
          <w:b w:val="0"/>
          <w:sz w:val="24"/>
        </w:rPr>
        <w:t>。将上述三式代入</w:t>
      </w:r>
      <m:oMath>
        <m:box>
          <m:e>
            <m:r>
              <m:rPr>
                <m:sty m:val="i"/>
              </m:rPr>
              <m:t>d</m:t>
            </m:r>
            <m:sSub>
              <m:e>
                <m:r>
                  <m:rPr>
                    <m:sty m:val="i"/>
                  </m:rPr>
                  <m:t>W</m:t>
                </m:r>
              </m:e>
              <m:sub>
                <m:r>
                  <m:rPr>
                    <m:sty m:val="i"/>
                  </m:rPr>
                  <m:t>i</m:t>
                </m:r>
              </m:sub>
            </m:sSub>
            <m:r>
              <m:rPr>
                <m:sty m:val="p"/>
              </m:rPr>
              <m:t>/</m:t>
            </m:r>
            <m:r>
              <m:rPr>
                <m:sty m:val="i"/>
              </m:rPr>
              <m:t>d</m:t>
            </m:r>
            <m:sSub>
              <m:e>
                <m:r>
                  <m:rPr>
                    <m:sty m:val="i"/>
                  </m:rPr>
                  <m:t>s</m:t>
                </m:r>
              </m:e>
              <m:sub>
                <m:r>
                  <m:rPr>
                    <m:sty m:val="i"/>
                  </m:rPr>
                  <m:t>i</m:t>
                </m:r>
              </m:sub>
            </m:sSub>
            <m:r>
              <m:rPr>
                <m:sty m:val="p"/>
              </m:rPr>
              <m:t>=</m:t>
            </m:r>
            <m:r>
              <m:rPr>
                <m:sty m:val="p"/>
              </m:rPr>
              <m:t>0</m:t>
            </m:r>
          </m:e>
        </m:box>
      </m:oMath>
      <w:r>
        <w:rPr>
          <w:rFonts w:ascii="Times New Roman" w:hAnsi="Times New Roman" w:eastAsia="宋体"/>
          <w:b w:val="0"/>
          <w:sz w:val="24"/>
        </w:rPr>
        <w:t>并整理（乘以</w:t>
      </w:r>
      <m:oMath>
        <m:box>
          <m:e>
            <m:r>
              <m:rPr>
                <m:sty m:val="p"/>
              </m:rPr>
              <m:t>3</m:t>
            </m:r>
            <m:r>
              <m:rPr>
                <m:sty m:val="i"/>
              </m:rPr>
              <m:t>b</m:t>
            </m:r>
          </m:e>
        </m:box>
      </m:oMath>
      <w:r>
        <w:rPr>
          <w:rFonts w:ascii="Times New Roman" w:hAnsi="Times New Roman" w:eastAsia="宋体"/>
          <w:b w:val="0"/>
          <w:sz w:val="24"/>
        </w:rPr>
        <w:t>），得到地区</w:t>
      </w:r>
      <m:oMath>
        <m:box>
          <m:e>
            <m:r>
              <m:rPr>
                <m:sty m:val="i"/>
              </m:rPr>
              <m:t>i</m:t>
            </m:r>
          </m:e>
        </m:box>
      </m:oMath>
      <w:r>
        <w:rPr>
          <w:rFonts w:ascii="Times New Roman" w:hAnsi="Times New Roman" w:eastAsia="宋体"/>
          <w:b w:val="0"/>
          <w:sz w:val="24"/>
        </w:rPr>
        <w:t>政府的一阶条件：</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α</m:t>
            </m:r>
            <m:r>
              <m:rPr>
                <m:sty m:val="p"/>
              </m:rPr>
              <m:t>(</m:t>
            </m:r>
            <m:r>
              <m:rPr>
                <m:sty m:val="i"/>
              </m:rPr>
              <m:t>a</m:t>
            </m:r>
            <m:r>
              <m:rPr>
                <m:sty m:val="p"/>
              </m:rPr>
              <m:t>−</m:t>
            </m:r>
            <m:sSub>
              <m:e>
                <m:r>
                  <m:rPr>
                    <m:sty m:val="i"/>
                  </m:rPr>
                  <m:t>p</m:t>
                </m:r>
              </m:e>
              <m:sub>
                <m:r>
                  <m:rPr>
                    <m:sty m:val="i"/>
                  </m:rPr>
                  <m:t>i</m:t>
                </m:r>
              </m:sub>
            </m:sSub>
            <m:r>
              <m:rPr>
                <m:sty m:val="p"/>
              </m:rPr>
              <m:t>)</m:t>
            </m:r>
            <m:r>
              <m:rPr>
                <m:sty m:val="p"/>
              </m:rPr>
              <m:t>+</m:t>
            </m:r>
            <m:r>
              <m:rPr>
                <m:sty m:val="p"/>
              </m:rPr>
              <m:t>(</m:t>
            </m:r>
            <m:r>
              <m:rPr>
                <m:sty m:val="p"/>
              </m:rPr>
              <m:t>4</m:t>
            </m:r>
            <m:r>
              <m:rPr>
                <m:sty m:val="i"/>
              </m:rPr>
              <m:t>β</m:t>
            </m:r>
            <m:r>
              <m:rPr>
                <m:sty m:val="p"/>
              </m:rPr>
              <m:t>−</m:t>
            </m:r>
            <m:r>
              <m:rPr>
                <m:sty m:val="p"/>
              </m:rPr>
              <m:t>3</m:t>
            </m:r>
            <m:r>
              <m:rPr>
                <m:sty m:val="p"/>
              </m:rPr>
              <m:t>)</m:t>
            </m:r>
            <m:r>
              <m:rPr>
                <m:sty m:val="i"/>
              </m:rPr>
              <m:t>b</m:t>
            </m:r>
            <m:sSub>
              <m:e>
                <m:r>
                  <m:rPr>
                    <m:sty m:val="i"/>
                  </m:rPr>
                  <m:t>X</m:t>
                </m:r>
              </m:e>
              <m:sub>
                <m:r>
                  <m:rPr>
                    <m:sty m:val="i"/>
                  </m:rPr>
                  <m:t>i</m:t>
                </m:r>
              </m:sub>
            </m:sSub>
            <m:r>
              <m:rPr>
                <m:sty m:val="p"/>
              </m:rPr>
              <m:t>+</m:t>
            </m:r>
            <m:r>
              <m:rPr>
                <m:sty m:val="p"/>
              </m:rPr>
              <m:t>4</m:t>
            </m:r>
            <m:r>
              <m:rPr>
                <m:sty m:val="p"/>
              </m:rPr>
              <m:t>(</m:t>
            </m:r>
            <m:r>
              <m:rPr>
                <m:sty m:val="i"/>
              </m:rPr>
              <m:t>θ</m:t>
            </m:r>
            <m:r>
              <m:rPr>
                <m:sty m:val="p"/>
              </m:rPr>
              <m:t>−</m:t>
            </m:r>
            <m:sSub>
              <m:e>
                <m:r>
                  <m:rPr>
                    <m:sty m:val="i"/>
                  </m:rPr>
                  <m:t>s</m:t>
                </m:r>
              </m:e>
              <m:sub>
                <m:r>
                  <m:rPr>
                    <m:sty m:val="i"/>
                  </m:rPr>
                  <m:t>i</m:t>
                </m:r>
              </m:sub>
            </m:sSub>
            <m:r>
              <m:rPr>
                <m:sty m:val="p"/>
              </m:rPr>
              <m:t>)</m:t>
            </m:r>
            <m:r>
              <m:rPr>
                <m:sty m:val="p"/>
              </m:rPr>
              <m:t>=</m:t>
            </m:r>
            <m:r>
              <m:rPr>
                <m:sty m:val="p"/>
              </m:rPr>
              <m:t>0</m:t>
            </m:r>
          </m:e>
        </m:box>
      </m:oMath>
      <w:r>
        <w:rPr>
          <w:rFonts w:ascii="Times New Roman" w:hAnsi="Times New Roman" w:eastAsia="宋体"/>
          <w:b w:val="0"/>
          <w:sz w:val="24"/>
        </w:rPr>
        <w:tab/>
        <w:t>(4-11)</w:t>
      </w:r>
    </w:p>
    <w:p>
      <w:pPr>
        <w:spacing w:before="0" w:after="0" w:line="360" w:lineRule="auto"/>
        <w:ind w:firstLineChars="200" w:firstLine="480"/>
      </w:pPr>
      <w:r>
        <w:rPr>
          <w:rFonts w:ascii="Times New Roman" w:hAnsi="Times New Roman" w:eastAsia="宋体"/>
          <w:b w:val="0"/>
          <w:sz w:val="24"/>
        </w:rPr>
        <w:t>式(4-11)具有清晰的边际含义：第一项为补贴降价带来的本地消费者边际收益；第二项为企业利润边际收益（系数</w:t>
      </w:r>
      <m:oMath>
        <m:box>
          <m:e>
            <m:r>
              <m:rPr>
                <m:sty m:val="p"/>
              </m:rPr>
              <m:t>4</m:t>
            </m:r>
            <m:r>
              <m:rPr>
                <m:sty m:val="i"/>
              </m:rPr>
              <m:t>β</m:t>
            </m:r>
          </m:e>
        </m:box>
      </m:oMath>
      <w:r>
        <w:rPr>
          <w:rFonts w:ascii="Times New Roman" w:hAnsi="Times New Roman" w:eastAsia="宋体"/>
          <w:b w:val="0"/>
          <w:sz w:val="24"/>
        </w:rPr>
        <w:t>）与补贴支出基数扩张的边际成本（系数</w:t>
      </w:r>
      <m:oMath>
        <m:box>
          <m:e>
            <m:r>
              <m:rPr>
                <m:sty m:val="p"/>
              </m:rPr>
              <m:t>−</m:t>
            </m:r>
            <m:r>
              <m:rPr>
                <m:sty m:val="p"/>
              </m:rPr>
              <m:t>3</m:t>
            </m:r>
          </m:e>
        </m:box>
      </m:oMath>
      <w:r>
        <w:rPr>
          <w:rFonts w:ascii="Times New Roman" w:hAnsi="Times New Roman" w:eastAsia="宋体"/>
          <w:b w:val="0"/>
          <w:sz w:val="24"/>
        </w:rPr>
        <w:t>，其中包含策略性转移的对冲）之净额；第三项为产值政治溢价的边际收益</w:t>
      </w:r>
      <m:oMath>
        <m:box>
          <m:e>
            <m:r>
              <m:rPr>
                <m:sty m:val="p"/>
              </m:rPr>
              <m:t>4</m:t>
            </m:r>
            <m:r>
              <m:rPr>
                <m:sty m:val="i"/>
              </m:rPr>
              <m:t>θ</m:t>
            </m:r>
          </m:e>
        </m:box>
      </m:oMath>
      <w:r>
        <w:rPr>
          <w:rFonts w:ascii="Times New Roman" w:hAnsi="Times New Roman" w:eastAsia="宋体"/>
          <w:b w:val="0"/>
          <w:sz w:val="24"/>
        </w:rPr>
        <w:t>与既有产出上补贴单价上调的边际财政成本</w:t>
      </w:r>
      <m:oMath>
        <m:box>
          <m:e>
            <m:r>
              <m:rPr>
                <m:sty m:val="p"/>
              </m:rPr>
              <m:t>4</m:t>
            </m:r>
            <m:sSub>
              <m:e>
                <m:r>
                  <m:rPr>
                    <m:sty m:val="i"/>
                  </m:rPr>
                  <m:t>s</m:t>
                </m:r>
              </m:e>
              <m:sub>
                <m:r>
                  <m:rPr>
                    <m:sty m:val="i"/>
                  </m:rPr>
                  <m:t>i</m:t>
                </m:r>
              </m:sub>
            </m:sSub>
          </m:e>
        </m:box>
      </m:oMath>
      <w:r>
        <w:rPr>
          <w:rFonts w:ascii="Times New Roman" w:hAnsi="Times New Roman" w:eastAsia="宋体"/>
          <w:b w:val="0"/>
          <w:sz w:val="24"/>
        </w:rPr>
        <w:t>之差。二阶条件为</w:t>
      </w:r>
      <m:oMath>
        <m:box>
          <m:e>
            <m:sSup>
              <m:e>
                <m:r>
                  <m:rPr>
                    <m:sty m:val="i"/>
                  </m:rPr>
                  <m:t>d</m:t>
                </m:r>
              </m:e>
              <m:sup>
                <m:r>
                  <m:rPr>
                    <m:sty m:val="p"/>
                  </m:rPr>
                  <m:t>2</m:t>
                </m:r>
              </m:sup>
            </m:sSup>
            <m:sSub>
              <m:e>
                <m:r>
                  <m:rPr>
                    <m:sty m:val="i"/>
                  </m:rPr>
                  <m:t>W</m:t>
                </m:r>
              </m:e>
              <m:sub>
                <m:r>
                  <m:rPr>
                    <m:sty m:val="i"/>
                  </m:rPr>
                  <m:t>i</m:t>
                </m:r>
              </m:sub>
            </m:sSub>
            <m:r>
              <m:rPr>
                <m:sty m:val="p"/>
              </m:rPr>
              <m:t>/</m:t>
            </m:r>
            <m:r>
              <m:rPr>
                <m:sty m:val="i"/>
              </m:rPr>
              <m:t>d</m:t>
            </m:r>
            <m:sSubSup>
              <m:e>
                <m:r>
                  <m:rPr>
                    <m:sty m:val="i"/>
                  </m:rPr>
                  <m:t>s</m:t>
                </m:r>
              </m:e>
              <m:sub>
                <m:r>
                  <m:rPr>
                    <m:sty m:val="i"/>
                  </m:rPr>
                  <m:t>i</m:t>
                </m:r>
              </m:sub>
              <m:sup>
                <m:r>
                  <m:rPr>
                    <m:sty m:val="p"/>
                  </m:rPr>
                  <m:t>2</m:t>
                </m:r>
              </m:sup>
            </m:sSubSup>
            <m:r>
              <m:rPr>
                <m:sty m:val="p"/>
              </m:rPr>
              <m:t>=</m:t>
            </m:r>
            <m:r>
              <m:rPr>
                <m:sty m:val="p"/>
              </m:rPr>
              <m:t>(</m:t>
            </m:r>
            <m:r>
              <m:rPr>
                <m:sty m:val="i"/>
              </m:rPr>
              <m:t>α</m:t>
            </m:r>
            <m:r>
              <m:rPr>
                <m:sty m:val="p"/>
              </m:rPr>
              <m:t>+</m:t>
            </m:r>
            <m:r>
              <m:rPr>
                <m:sty m:val="p"/>
              </m:rPr>
              <m:t>16</m:t>
            </m:r>
            <m:r>
              <m:rPr>
                <m:sty m:val="i"/>
              </m:rPr>
              <m:t>β</m:t>
            </m:r>
            <m:r>
              <m:rPr>
                <m:sty m:val="p"/>
              </m:rPr>
              <m:t>−</m:t>
            </m:r>
            <m:r>
              <m:rPr>
                <m:sty m:val="p"/>
              </m:rPr>
              <m:t>24</m:t>
            </m:r>
            <m:r>
              <m:rPr>
                <m:sty m:val="p"/>
              </m:rPr>
              <m:t>)</m:t>
            </m:r>
            <m:r>
              <m:rPr>
                <m:sty m:val="p"/>
              </m:rPr>
              <m:t>/</m:t>
            </m:r>
            <m:r>
              <m:rPr>
                <m:sty m:val="p"/>
              </m:rPr>
              <m:t>(</m:t>
            </m:r>
            <m:r>
              <m:rPr>
                <m:sty m:val="p"/>
              </m:rPr>
              <m:t>9</m:t>
            </m:r>
            <m:r>
              <m:rPr>
                <m:sty m:val="i"/>
              </m:rPr>
              <m:t>b</m:t>
            </m:r>
            <m:r>
              <m:rPr>
                <m:sty m:val="p"/>
              </m:rPr>
              <m:t>)</m:t>
            </m:r>
            <m:r>
              <m:rPr>
                <m:sty m:val="p"/>
              </m:rPr>
              <m:t>&lt;</m:t>
            </m:r>
            <m:r>
              <m:rPr>
                <m:sty m:val="p"/>
              </m:rPr>
              <m:t>0</m:t>
            </m:r>
          </m:e>
        </m:box>
      </m:oMath>
      <w:r>
        <w:rPr>
          <w:rFonts w:ascii="Times New Roman" w:hAnsi="Times New Roman" w:eastAsia="宋体"/>
          <w:b w:val="0"/>
          <w:sz w:val="24"/>
        </w:rPr>
        <w:t>，对任意</w:t>
      </w:r>
      <m:oMath>
        <m:box>
          <m:e>
            <m:r>
              <m:rPr>
                <m:sty m:val="i"/>
              </m:rPr>
              <m:t>α</m:t>
            </m:r>
            <m:r>
              <m:rPr>
                <m:sty m:val="p"/>
              </m:rPr>
              <m:t>,</m:t>
            </m:r>
            <m:r>
              <m:rPr>
                <m:sty m:val="i"/>
              </m:rPr>
              <m:t>β</m:t>
            </m:r>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恒成立，故一阶条件刻画唯一最优反应。将式(4-6)—(4-8)代入式(4-11)，记权重复合参数</w:t>
      </w:r>
      <m:oMath>
        <m:box>
          <m:e>
            <m:r>
              <m:rPr>
                <m:sty m:val="i"/>
              </m:rPr>
              <m:t>m</m:t>
            </m:r>
            <m:r>
              <m:rPr>
                <m:sty m:val="p"/>
              </m:rPr>
              <m:t>≡</m:t>
            </m:r>
            <m:r>
              <m:rPr>
                <m:sty m:val="i"/>
              </m:rPr>
              <m:t>α</m:t>
            </m:r>
            <m:r>
              <m:rPr>
                <m:sty m:val="p"/>
              </m:rPr>
              <m:t>+</m:t>
            </m:r>
            <m:r>
              <m:rPr>
                <m:sty m:val="p"/>
              </m:rPr>
              <m:t>4</m:t>
            </m:r>
            <m:r>
              <m:rPr>
                <m:sty m:val="i"/>
              </m:rPr>
              <m:t>β</m:t>
            </m:r>
            <m:r>
              <m:rPr>
                <m:sty m:val="p"/>
              </m:rPr>
              <m:t>−</m:t>
            </m:r>
            <m:r>
              <m:rPr>
                <m:sty m:val="p"/>
              </m:rPr>
              <m:t>3</m:t>
            </m:r>
            <m:r>
              <m:rPr>
                <m:sty m:val="p"/>
              </m:rPr>
              <m:t>∈</m:t>
            </m:r>
            <m:r>
              <m:rPr>
                <m:sty m:val="p"/>
              </m:rPr>
              <m:t>[</m:t>
            </m:r>
            <m:r>
              <m:rPr>
                <m:sty m:val="p"/>
              </m:rPr>
              <m:t>−</m:t>
            </m:r>
            <m:r>
              <m:rPr>
                <m:sty m:val="p"/>
              </m:rPr>
              <m:t>3</m:t>
            </m:r>
            <m:r>
              <m:rPr>
                <m:sty m:val="p"/>
              </m:rPr>
              <m:t>,</m:t>
            </m:r>
            <m:r>
              <m:rPr>
                <m:sty m:val="p"/>
              </m:rPr>
              <m:t>2</m:t>
            </m:r>
            <m:r>
              <m:rPr>
                <m:sty m:val="p"/>
              </m:rPr>
              <m:t>]</m:t>
            </m:r>
          </m:e>
        </m:box>
      </m:oMath>
      <w:r>
        <w:rPr>
          <w:rFonts w:ascii="Times New Roman" w:hAnsi="Times New Roman" w:eastAsia="宋体"/>
          <w:b w:val="0"/>
          <w:sz w:val="24"/>
        </w:rPr>
        <w:t>，整理得地区</w:t>
      </w:r>
      <m:oMath>
        <m:box>
          <m:e>
            <m:r>
              <m:rPr>
                <m:sty m:val="i"/>
              </m:rPr>
              <m:t>i</m:t>
            </m:r>
          </m:e>
        </m:box>
      </m:oMath>
      <w:r>
        <w:rPr>
          <w:rFonts w:ascii="Times New Roman" w:hAnsi="Times New Roman" w:eastAsia="宋体"/>
          <w:b w:val="0"/>
          <w:sz w:val="24"/>
        </w:rPr>
        <w:t>的补贴反应函数：</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s</m:t>
                </m:r>
              </m:e>
              <m:sub>
                <m:r>
                  <m:rPr>
                    <m:sty m:val="i"/>
                  </m:rPr>
                  <m:t>i</m:t>
                </m:r>
              </m:sub>
            </m:sSub>
            <m:r>
              <m:rPr>
                <m:sty m:val="p"/>
              </m:rPr>
              <m:t>=</m:t>
            </m:r>
            <m:sSub>
              <m:e>
                <m:r>
                  <m:rPr>
                    <m:sty m:val="i"/>
                  </m:rPr>
                  <m:t>R</m:t>
                </m:r>
              </m:e>
              <m:sub>
                <m:r>
                  <m:rPr>
                    <m:sty m:val="i"/>
                  </m:rPr>
                  <m:t>i</m:t>
                </m:r>
              </m:sub>
            </m:sSub>
            <m:r>
              <m:rPr>
                <m:sty m:val="p"/>
              </m:rPr>
              <m:t>(</m:t>
            </m:r>
            <m:sSub>
              <m:e>
                <m:r>
                  <m:rPr>
                    <m:sty m:val="i"/>
                  </m:rPr>
                  <m:t>s</m:t>
                </m:r>
              </m:e>
              <m:sub>
                <m:r>
                  <m:rPr>
                    <m:sty m:val="i"/>
                  </m:rPr>
                  <m:t>j</m:t>
                </m:r>
              </m:sub>
            </m:sSub>
            <m:r>
              <m:rPr>
                <m:sty m:val="p"/>
              </m:rPr>
              <m:t>)</m:t>
            </m:r>
            <m:r>
              <m:rPr>
                <m:sty m:val="p"/>
              </m:rPr>
              <m:t>=</m:t>
            </m:r>
            <m:f>
              <m:num>
                <m:box>
                  <m:e>
                    <m:r>
                      <m:rPr>
                        <m:sty m:val="p"/>
                      </m:rPr>
                      <m:t>(</m:t>
                    </m:r>
                    <m:r>
                      <m:rPr>
                        <m:sty m:val="i"/>
                      </m:rPr>
                      <m:t>α</m:t>
                    </m:r>
                    <m:r>
                      <m:rPr>
                        <m:sty m:val="p"/>
                      </m:rPr>
                      <m:t>−</m:t>
                    </m:r>
                    <m:r>
                      <m:rPr>
                        <m:sty m:val="p"/>
                      </m:rPr>
                      <m:t>8</m:t>
                    </m:r>
                    <m:r>
                      <m:rPr>
                        <m:sty m:val="i"/>
                      </m:rPr>
                      <m:t>β</m:t>
                    </m:r>
                    <m:r>
                      <m:rPr>
                        <m:sty m:val="p"/>
                      </m:rPr>
                      <m:t>+</m:t>
                    </m:r>
                    <m:r>
                      <m:rPr>
                        <m:sty m:val="p"/>
                      </m:rPr>
                      <m:t>6</m:t>
                    </m:r>
                    <m:r>
                      <m:rPr>
                        <m:sty m:val="p"/>
                      </m:rPr>
                      <m:t>)</m:t>
                    </m:r>
                    <m:sSub>
                      <m:e>
                        <m:r>
                          <m:rPr>
                            <m:sty m:val="i"/>
                          </m:rPr>
                          <m:t>s</m:t>
                        </m:r>
                      </m:e>
                      <m:sub>
                        <m:r>
                          <m:rPr>
                            <m:sty m:val="i"/>
                          </m:rPr>
                          <m:t>j</m:t>
                        </m:r>
                      </m:sub>
                    </m:sSub>
                    <m:r>
                      <m:rPr>
                        <m:sty m:val="p"/>
                      </m:rPr>
                      <m:t>+</m:t>
                    </m:r>
                    <m:r>
                      <m:rPr>
                        <m:sty m:val="p"/>
                      </m:rPr>
                      <m:t>2</m:t>
                    </m:r>
                    <m:r>
                      <m:rPr>
                        <m:sty m:val="i"/>
                      </m:rPr>
                      <m:t>m</m:t>
                    </m:r>
                    <m:r>
                      <m:rPr>
                        <m:sty m:val="p"/>
                      </m:rPr>
                      <m:t>(</m:t>
                    </m:r>
                    <m:r>
                      <m:rPr>
                        <m:sty m:val="i"/>
                      </m:rPr>
                      <m:t>a</m:t>
                    </m:r>
                    <m:r>
                      <m:rPr>
                        <m:sty m:val="p"/>
                      </m:rPr>
                      <m:t>−</m:t>
                    </m:r>
                    <m:r>
                      <m:rPr>
                        <m:sty m:val="i"/>
                      </m:rPr>
                      <m:t>c</m:t>
                    </m:r>
                    <m:r>
                      <m:rPr>
                        <m:sty m:val="p"/>
                      </m:rPr>
                      <m:t>)</m:t>
                    </m:r>
                    <m:r>
                      <m:rPr>
                        <m:sty m:val="p"/>
                      </m:rPr>
                      <m:t>−</m:t>
                    </m:r>
                    <m:r>
                      <m:rPr>
                        <m:sty m:val="i"/>
                      </m:rPr>
                      <m:t>m</m:t>
                    </m:r>
                    <m:r>
                      <m:rPr>
                        <m:sty m:val="i"/>
                      </m:rPr>
                      <m:t>t</m:t>
                    </m:r>
                    <m:r>
                      <m:rPr>
                        <m:sty m:val="p"/>
                      </m:rPr>
                      <m:t>+</m:t>
                    </m:r>
                    <m:r>
                      <m:rPr>
                        <m:sty m:val="p"/>
                      </m:rPr>
                      <m:t>12</m:t>
                    </m:r>
                    <m:r>
                      <m:rPr>
                        <m:sty m:val="i"/>
                      </m:rPr>
                      <m:t>θ</m:t>
                    </m:r>
                  </m:e>
                </m:box>
              </m:num>
              <m:den>
                <m:box>
                  <m:e>
                    <m:r>
                      <m:rPr>
                        <m:sty m:val="p"/>
                      </m:rPr>
                      <m:t>24</m:t>
                    </m:r>
                    <m:r>
                      <m:rPr>
                        <m:sty m:val="p"/>
                      </m:rPr>
                      <m:t>−</m:t>
                    </m:r>
                    <m:r>
                      <m:rPr>
                        <m:sty m:val="i"/>
                      </m:rPr>
                      <m:t>α</m:t>
                    </m:r>
                    <m:r>
                      <m:rPr>
                        <m:sty m:val="p"/>
                      </m:rPr>
                      <m:t>−</m:t>
                    </m:r>
                    <m:r>
                      <m:rPr>
                        <m:sty m:val="p"/>
                      </m:rPr>
                      <m:t>16</m:t>
                    </m:r>
                    <m:r>
                      <m:rPr>
                        <m:sty m:val="i"/>
                      </m:rPr>
                      <m:t>β</m:t>
                    </m:r>
                  </m:e>
                </m:box>
              </m:den>
            </m:f>
          </m:e>
        </m:box>
      </m:oMath>
      <w:r>
        <w:rPr>
          <w:rFonts w:ascii="Times New Roman" w:hAnsi="Times New Roman" w:eastAsia="宋体"/>
          <w:b w:val="0"/>
          <w:sz w:val="24"/>
        </w:rPr>
        <w:tab/>
        <w:t>(4-12)</w:t>
      </w:r>
    </w:p>
    <w:p>
      <w:pPr>
        <w:spacing w:before="0" w:after="0" w:line="360" w:lineRule="auto"/>
        <w:ind w:firstLineChars="200" w:firstLine="480"/>
      </w:pPr>
      <w:r>
        <w:rPr>
          <w:rFonts w:ascii="Times New Roman" w:hAnsi="Times New Roman" w:eastAsia="宋体"/>
          <w:b w:val="0"/>
          <w:sz w:val="24"/>
        </w:rPr>
        <w:t>反应函数的斜率为</w:t>
      </w:r>
      <m:oMath>
        <m:box>
          <m:e>
            <m:r>
              <m:rPr>
                <m:sty m:val="p"/>
              </m:rPr>
              <m:t>(</m:t>
            </m:r>
            <m:r>
              <m:rPr>
                <m:sty m:val="i"/>
              </m:rPr>
              <m:t>α</m:t>
            </m:r>
            <m:r>
              <m:rPr>
                <m:sty m:val="p"/>
              </m:rPr>
              <m:t>−</m:t>
            </m:r>
            <m:r>
              <m:rPr>
                <m:sty m:val="p"/>
              </m:rPr>
              <m:t>8</m:t>
            </m:r>
            <m:r>
              <m:rPr>
                <m:sty m:val="i"/>
              </m:rPr>
              <m:t>β</m:t>
            </m:r>
            <m:r>
              <m:rPr>
                <m:sty m:val="p"/>
              </m:rPr>
              <m:t>+</m:t>
            </m:r>
            <m:r>
              <m:rPr>
                <m:sty m:val="p"/>
              </m:rPr>
              <m:t>6</m:t>
            </m:r>
            <m:r>
              <m:rPr>
                <m:sty m:val="p"/>
              </m:rPr>
              <m:t>)</m:t>
            </m:r>
            <m:r>
              <m:rPr>
                <m:sty m:val="p"/>
              </m:rPr>
              <m:t>/</m:t>
            </m:r>
            <m:r>
              <m:rPr>
                <m:sty m:val="p"/>
              </m:rPr>
              <m:t>(</m:t>
            </m:r>
            <m:r>
              <m:rPr>
                <m:sty m:val="p"/>
              </m:rPr>
              <m:t>24</m:t>
            </m:r>
            <m:r>
              <m:rPr>
                <m:sty m:val="p"/>
              </m:rPr>
              <m:t>−</m:t>
            </m:r>
            <m:r>
              <m:rPr>
                <m:sty m:val="i"/>
              </m:rPr>
              <m:t>α</m:t>
            </m:r>
            <m:r>
              <m:rPr>
                <m:sty m:val="p"/>
              </m:rPr>
              <m:t>−</m:t>
            </m:r>
            <m:r>
              <m:rPr>
                <m:sty m:val="p"/>
              </m:rPr>
              <m:t>16</m:t>
            </m:r>
            <m:r>
              <m:rPr>
                <m:sty m:val="i"/>
              </m:rPr>
              <m:t>β</m:t>
            </m:r>
            <m:r>
              <m:rPr>
                <m:sty m:val="p"/>
              </m:rPr>
              <m:t>)</m:t>
            </m:r>
          </m:e>
        </m:box>
      </m:oMath>
      <w:r>
        <w:rPr>
          <w:rFonts w:ascii="Times New Roman" w:hAnsi="Times New Roman" w:eastAsia="宋体"/>
          <w:b w:val="0"/>
          <w:sz w:val="24"/>
        </w:rPr>
        <w:t>，其分母恒正，其绝对值恒小于1（这保证了均衡的唯一性与稳定性），而其符号取决于权重结构：当</w:t>
      </w:r>
      <m:oMath>
        <m:box>
          <m:e>
            <m:r>
              <m:rPr>
                <m:sty m:val="i"/>
              </m:rPr>
              <m:t>β</m:t>
            </m:r>
            <m:r>
              <m:rPr>
                <m:sty m:val="p"/>
              </m:rPr>
              <m:t>&gt;</m:t>
            </m:r>
            <m:r>
              <m:rPr>
                <m:sty m:val="p"/>
              </m:rPr>
              <m:t>(</m:t>
            </m:r>
            <m:r>
              <m:rPr>
                <m:sty m:val="p"/>
              </m:rPr>
              <m:t>6</m:t>
            </m:r>
            <m:r>
              <m:rPr>
                <m:sty m:val="p"/>
              </m:rPr>
              <m:t>+</m:t>
            </m:r>
            <m:r>
              <m:rPr>
                <m:sty m:val="i"/>
              </m:rPr>
              <m:t>α</m:t>
            </m:r>
            <m:r>
              <m:rPr>
                <m:sty m:val="p"/>
              </m:rPr>
              <m:t>)</m:t>
            </m:r>
            <m:r>
              <m:rPr>
                <m:sty m:val="p"/>
              </m:rPr>
              <m:t>/</m:t>
            </m:r>
            <m:r>
              <m:rPr>
                <m:sty m:val="p"/>
              </m:rPr>
              <m:t>8</m:t>
            </m:r>
          </m:e>
        </m:box>
      </m:oMath>
      <w:r>
        <w:rPr>
          <w:rFonts w:ascii="Times New Roman" w:hAnsi="Times New Roman" w:eastAsia="宋体"/>
          <w:b w:val="0"/>
          <w:sz w:val="24"/>
        </w:rPr>
        <w:t>时斜率为负，补贴是策略替代品；当</w:t>
      </w:r>
      <m:oMath>
        <m:box>
          <m:e>
            <m:r>
              <m:rPr>
                <m:sty m:val="i"/>
              </m:rPr>
              <m:t>β</m:t>
            </m:r>
            <m:r>
              <m:rPr>
                <m:sty m:val="p"/>
              </m:rPr>
              <m:t>&lt;</m:t>
            </m:r>
            <m:r>
              <m:rPr>
                <m:sty m:val="p"/>
              </m:rPr>
              <m:t>(</m:t>
            </m:r>
            <m:r>
              <m:rPr>
                <m:sty m:val="p"/>
              </m:rPr>
              <m:t>6</m:t>
            </m:r>
            <m:r>
              <m:rPr>
                <m:sty m:val="p"/>
              </m:rPr>
              <m:t>+</m:t>
            </m:r>
            <m:r>
              <m:rPr>
                <m:sty m:val="i"/>
              </m:rPr>
              <m:t>α</m:t>
            </m:r>
            <m:r>
              <m:rPr>
                <m:sty m:val="p"/>
              </m:rPr>
              <m:t>)</m:t>
            </m:r>
            <m:r>
              <m:rPr>
                <m:sty m:val="p"/>
              </m:rPr>
              <m:t>/</m:t>
            </m:r>
            <m:r>
              <m:rPr>
                <m:sty m:val="p"/>
              </m:rPr>
              <m:t>8</m:t>
            </m:r>
          </m:e>
        </m:box>
      </m:oMath>
      <w:r>
        <w:rPr>
          <w:rFonts w:ascii="Times New Roman" w:hAnsi="Times New Roman" w:eastAsia="宋体"/>
          <w:b w:val="0"/>
          <w:sz w:val="24"/>
        </w:rPr>
        <w:t>时斜率为正，补贴是策略互补品——对手加码补贴，本地的最优回应也是加码，形成“你补我也补”的攀比结构。由对称性，令</w:t>
      </w:r>
      <m:oMath>
        <m:box>
          <m:e>
            <m:sSub>
              <m:e>
                <m:r>
                  <m:rPr>
                    <m:sty m:val="i"/>
                  </m:rPr>
                  <m:t>s</m:t>
                </m:r>
              </m:e>
              <m:sub>
                <m:r>
                  <m:rPr>
                    <m:sty m:val="p"/>
                  </m:rPr>
                  <m:t>1</m:t>
                </m:r>
              </m:sub>
            </m:sSub>
            <m:r>
              <m:rPr>
                <m:sty m:val="p"/>
              </m:rPr>
              <m:t>=</m:t>
            </m:r>
            <m:sSub>
              <m:e>
                <m:r>
                  <m:rPr>
                    <m:sty m:val="i"/>
                  </m:rPr>
                  <m:t>s</m:t>
                </m:r>
              </m:e>
              <m:sub>
                <m:r>
                  <m:rPr>
                    <m:sty m:val="p"/>
                  </m:rPr>
                  <m:t>2</m:t>
                </m:r>
              </m:sub>
            </m:sSub>
            <m:r>
              <m:rPr>
                <m:sty m:val="p"/>
              </m:rPr>
              <m:t>=</m:t>
            </m:r>
            <m:sSup>
              <m:e>
                <m:r>
                  <m:rPr>
                    <m:sty m:val="i"/>
                  </m:rPr>
                  <m:t>s</m:t>
                </m:r>
              </m:e>
              <m:sup>
                <m:r>
                  <m:rPr>
                    <m:sty m:val="p"/>
                  </m:rPr>
                  <m:t>*</m:t>
                </m:r>
              </m:sup>
            </m:sSup>
          </m:e>
        </m:box>
      </m:oMath>
      <w:r>
        <w:rPr>
          <w:rFonts w:ascii="Times New Roman" w:hAnsi="Times New Roman" w:eastAsia="宋体"/>
          <w:b w:val="0"/>
          <w:sz w:val="24"/>
        </w:rPr>
        <w:t>，解得对称纳什均衡补贴：</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s</m:t>
                </m:r>
              </m:e>
              <m:sup>
                <m:r>
                  <m:rPr>
                    <m:sty m:val="p"/>
                  </m:rPr>
                  <m:t>*</m:t>
                </m:r>
              </m:sup>
            </m:sSup>
            <m:r>
              <m:rPr>
                <m:sty m:val="p"/>
              </m:rPr>
              <m:t>=</m:t>
            </m:r>
            <m:f>
              <m:num>
                <m:box>
                  <m:e>
                    <m:r>
                      <m:rPr>
                        <m:sty m:val="p"/>
                      </m:rPr>
                      <m:t>6</m:t>
                    </m:r>
                    <m:r>
                      <m:rPr>
                        <m:sty m:val="i"/>
                      </m:rPr>
                      <m:t>θ</m:t>
                    </m:r>
                    <m:r>
                      <m:rPr>
                        <m:sty m:val="p"/>
                      </m:rPr>
                      <m:t>+</m:t>
                    </m:r>
                    <m:r>
                      <m:rPr>
                        <m:sty m:val="i"/>
                      </m:rPr>
                      <m:t>m</m:t>
                    </m:r>
                    <m:r>
                      <m:rPr>
                        <m:sty m:val="p"/>
                      </m:rPr>
                      <m:t>(</m:t>
                    </m:r>
                    <m:r>
                      <m:rPr>
                        <m:sty m:val="i"/>
                      </m:rPr>
                      <m:t>a</m:t>
                    </m:r>
                    <m:r>
                      <m:rPr>
                        <m:sty m:val="p"/>
                      </m:rPr>
                      <m:t>−</m:t>
                    </m:r>
                    <m:r>
                      <m:rPr>
                        <m:sty m:val="i"/>
                      </m:rPr>
                      <m:t>c</m:t>
                    </m:r>
                    <m:r>
                      <m:rPr>
                        <m:sty m:val="p"/>
                      </m:rPr>
                      <m:t>)</m:t>
                    </m:r>
                    <m:r>
                      <m:rPr>
                        <m:sty m:val="p"/>
                      </m:rPr>
                      <m:t>−</m:t>
                    </m:r>
                    <m:r>
                      <m:rPr>
                        <m:sty m:val="i"/>
                      </m:rPr>
                      <m:t>m</m:t>
                    </m:r>
                    <m:r>
                      <m:rPr>
                        <m:sty m:val="i"/>
                      </m:rPr>
                      <m:t>t</m:t>
                    </m:r>
                    <m:r>
                      <m:rPr>
                        <m:sty m:val="p"/>
                      </m:rPr>
                      <m:t>/</m:t>
                    </m:r>
                    <m:r>
                      <m:rPr>
                        <m:sty m:val="p"/>
                      </m:rPr>
                      <m:t>2</m:t>
                    </m:r>
                  </m:e>
                </m:box>
              </m:num>
              <m:den>
                <m:box>
                  <m:e>
                    <m:r>
                      <m:rPr>
                        <m:sty m:val="p"/>
                      </m:rPr>
                      <m:t>9</m:t>
                    </m:r>
                    <m:r>
                      <m:rPr>
                        <m:sty m:val="p"/>
                      </m:rPr>
                      <m:t>−</m:t>
                    </m:r>
                    <m:r>
                      <m:rPr>
                        <m:sty m:val="i"/>
                      </m:rPr>
                      <m:t>α</m:t>
                    </m:r>
                    <m:r>
                      <m:rPr>
                        <m:sty m:val="p"/>
                      </m:rPr>
                      <m:t>−</m:t>
                    </m:r>
                    <m:r>
                      <m:rPr>
                        <m:sty m:val="p"/>
                      </m:rPr>
                      <m:t>4</m:t>
                    </m:r>
                    <m:r>
                      <m:rPr>
                        <m:sty m:val="i"/>
                      </m:rPr>
                      <m:t>β</m:t>
                    </m:r>
                  </m:e>
                </m:box>
              </m:den>
            </m:f>
          </m:e>
        </m:box>
      </m:oMath>
      <w:r>
        <w:rPr>
          <w:rFonts w:ascii="Times New Roman" w:hAnsi="Times New Roman" w:eastAsia="宋体"/>
          <w:b w:val="0"/>
          <w:sz w:val="24"/>
        </w:rPr>
        <w:tab/>
        <w:t>(4-13)</w:t>
      </w:r>
    </w:p>
    <w:p>
      <w:pPr>
        <w:spacing w:before="0" w:after="0" w:line="360" w:lineRule="auto"/>
        <w:ind w:firstLineChars="200" w:firstLine="480"/>
      </w:pPr>
      <w:r>
        <w:rPr>
          <w:rFonts w:ascii="Times New Roman" w:hAnsi="Times New Roman" w:eastAsia="宋体"/>
          <w:b w:val="0"/>
          <w:sz w:val="24"/>
        </w:rPr>
        <w:t>由式(4-13)立即可得</w:t>
      </w:r>
      <m:oMath>
        <m:box>
          <m:e>
            <m:r>
              <m:rPr>
                <m:sty m:val="p"/>
              </m:rPr>
              <m:t>∂</m:t>
            </m:r>
            <m:sSup>
              <m:e>
                <m:r>
                  <m:rPr>
                    <m:sty m:val="i"/>
                  </m:rPr>
                  <m:t>s</m:t>
                </m:r>
              </m:e>
              <m:sup>
                <m:r>
                  <m:rPr>
                    <m:sty m:val="p"/>
                  </m:rPr>
                  <m:t>*</m:t>
                </m:r>
              </m:sup>
            </m:sSup>
            <m:r>
              <m:rPr>
                <m:sty m:val="p"/>
              </m:rPr>
              <m:t>/</m:t>
            </m:r>
            <m:r>
              <m:rPr>
                <m:sty m:val="p"/>
              </m:rPr>
              <m:t>∂</m:t>
            </m:r>
            <m:r>
              <m:rPr>
                <m:sty m:val="i"/>
              </m:rPr>
              <m:t>θ</m:t>
            </m:r>
            <m:r>
              <m:rPr>
                <m:sty m:val="p"/>
              </m:rPr>
              <m:t>=</m:t>
            </m:r>
            <m:r>
              <m:rPr>
                <m:sty m:val="p"/>
              </m:rPr>
              <m:t>6</m:t>
            </m:r>
            <m:r>
              <m:rPr>
                <m:sty m:val="p"/>
              </m:rPr>
              <m:t>/</m:t>
            </m:r>
            <m:r>
              <m:rPr>
                <m:sty m:val="p"/>
              </m:rPr>
              <m:t>(</m:t>
            </m:r>
            <m:r>
              <m:rPr>
                <m:sty m:val="p"/>
              </m:rPr>
              <m:t>9</m:t>
            </m:r>
            <m:r>
              <m:rPr>
                <m:sty m:val="p"/>
              </m:rPr>
              <m:t>−</m:t>
            </m:r>
            <m:r>
              <m:rPr>
                <m:sty m:val="i"/>
              </m:rPr>
              <m:t>α</m:t>
            </m:r>
            <m:r>
              <m:rPr>
                <m:sty m:val="p"/>
              </m:rPr>
              <m:t>−</m:t>
            </m:r>
            <m:r>
              <m:rPr>
                <m:sty m:val="p"/>
              </m:rPr>
              <m:t>4</m:t>
            </m:r>
            <m:r>
              <m:rPr>
                <m:sty m:val="i"/>
              </m:rPr>
              <m:t>β</m:t>
            </m:r>
            <m:r>
              <m:rPr>
                <m:sty m:val="p"/>
              </m:rPr>
              <m:t>)</m:t>
            </m:r>
            <m:r>
              <m:rPr>
                <m:sty m:val="p"/>
              </m:rPr>
              <m:t>&gt;</m:t>
            </m:r>
            <m:r>
              <m:rPr>
                <m:sty m:val="p"/>
              </m:rPr>
              <m:t>0</m:t>
            </m:r>
          </m:e>
        </m:box>
      </m:oMath>
      <w:r>
        <w:rPr>
          <w:rFonts w:ascii="Times New Roman" w:hAnsi="Times New Roman" w:eastAsia="宋体"/>
          <w:b w:val="0"/>
          <w:sz w:val="24"/>
        </w:rPr>
        <w:t>：产值政治溢价越高，均衡补贴越高。下面区分两种典型权重结构展开分析。</w:t>
      </w:r>
    </w:p>
    <w:p>
      <w:pPr>
        <w:spacing w:before="0" w:after="0" w:line="360" w:lineRule="auto"/>
        <w:ind w:firstLineChars="200" w:firstLine="480"/>
      </w:pPr>
      <w:r>
        <w:rPr>
          <w:rFonts w:ascii="Times New Roman" w:hAnsi="Times New Roman" w:eastAsia="宋体"/>
          <w:b w:val="0"/>
          <w:sz w:val="24"/>
        </w:rPr>
        <w:t>第一种是“福利型政府”情形（</w:t>
      </w:r>
      <m:oMath>
        <m:box>
          <m:e>
            <m:r>
              <m:rPr>
                <m:sty m:val="i"/>
              </m:rPr>
              <m:t>α</m:t>
            </m:r>
            <m:r>
              <m:rPr>
                <m:sty m:val="p"/>
              </m:rPr>
              <m:t>=</m:t>
            </m:r>
            <m:r>
              <m:rPr>
                <m:sty m:val="i"/>
              </m:rPr>
              <m:t>β</m:t>
            </m:r>
            <m:r>
              <m:rPr>
                <m:sty m:val="p"/>
              </m:rPr>
              <m:t>=</m:t>
            </m:r>
            <m:r>
              <m:rPr>
                <m:sty m:val="p"/>
              </m:rPr>
              <m:t>1</m:t>
            </m:r>
          </m:e>
        </m:box>
      </m:oMath>
      <w:r>
        <w:rPr>
          <w:rFonts w:ascii="Times New Roman" w:hAnsi="Times New Roman" w:eastAsia="宋体"/>
          <w:b w:val="0"/>
          <w:sz w:val="24"/>
        </w:rPr>
        <w:t>，</w:t>
      </w:r>
      <m:oMath>
        <m:box>
          <m:e>
            <m:r>
              <m:rPr>
                <m:sty m:val="i"/>
              </m:rPr>
              <m:t>m</m:t>
            </m:r>
            <m:r>
              <m:rPr>
                <m:sty m:val="p"/>
              </m:rPr>
              <m:t>=</m:t>
            </m:r>
            <m:r>
              <m:rPr>
                <m:sty m:val="p"/>
              </m:rPr>
              <m:t>2</m:t>
            </m:r>
          </m:e>
        </m:box>
      </m:oMath>
      <w:r>
        <w:rPr>
          <w:rFonts w:ascii="Times New Roman" w:hAnsi="Times New Roman" w:eastAsia="宋体"/>
          <w:b w:val="0"/>
          <w:sz w:val="24"/>
        </w:rPr>
        <w:t>），即政府在辖区福利之外仅附加产值偏好。此时</w:t>
      </w:r>
      <m:oMath>
        <m:box>
          <m:e>
            <m:sSubSup>
              <m:e>
                <m:r>
                  <m:rPr>
                    <m:sty m:val="i"/>
                  </m:rPr>
                  <m:t>s</m:t>
                </m:r>
              </m:e>
              <m:sub>
                <m:r>
                  <m:rPr>
                    <m:sty m:val="i"/>
                  </m:rPr>
                  <m:t>A</m:t>
                </m:r>
              </m:sub>
              <m:sup>
                <m:r>
                  <m:rPr>
                    <m:sty m:val="p"/>
                  </m:rPr>
                  <m:t>*</m:t>
                </m:r>
              </m:sup>
            </m:sSubSup>
            <m:r>
              <m:rPr>
                <m:sty m:val="p"/>
              </m:rPr>
              <m:t>=</m:t>
            </m:r>
            <m:r>
              <m:rPr>
                <m:sty m:val="p"/>
              </m:rPr>
              <m:t>(</m:t>
            </m:r>
            <m:r>
              <m:rPr>
                <m:sty m:val="p"/>
              </m:rPr>
              <m:t>3</m:t>
            </m:r>
            <m:r>
              <m:rPr>
                <m:sty m:val="i"/>
              </m:rPr>
              <m:t>θ</m:t>
            </m:r>
            <m:r>
              <m:rPr>
                <m:sty m:val="p"/>
              </m:rPr>
              <m:t>)</m:t>
            </m:r>
            <m:r>
              <m:rPr>
                <m:sty m:val="p"/>
              </m:rPr>
              <m:t>/</m:t>
            </m:r>
            <m:r>
              <m:rPr>
                <m:sty m:val="p"/>
              </m:rPr>
              <m:t>2</m:t>
            </m:r>
            <m:r>
              <m:rPr>
                <m:sty m:val="p"/>
              </m:rPr>
              <m:t>+</m:t>
            </m:r>
            <m:r>
              <m:rPr>
                <m:sty m:val="p"/>
              </m:rPr>
              <m:t>(</m:t>
            </m:r>
            <m:r>
              <m:rPr>
                <m:sty m:val="i"/>
              </m:rPr>
              <m:t>a</m:t>
            </m:r>
            <m:r>
              <m:rPr>
                <m:sty m:val="p"/>
              </m:rPr>
              <m:t>−</m:t>
            </m:r>
            <m:r>
              <m:rPr>
                <m:sty m:val="i"/>
              </m:rPr>
              <m:t>c</m:t>
            </m:r>
            <m:r>
              <m:rPr>
                <m:sty m:val="p"/>
              </m:rPr>
              <m:t>)</m:t>
            </m:r>
            <m:r>
              <m:rPr>
                <m:sty m:val="p"/>
              </m:rPr>
              <m:t>/</m:t>
            </m:r>
            <m:r>
              <m:rPr>
                <m:sty m:val="p"/>
              </m:rPr>
              <m:t>2</m:t>
            </m:r>
            <m:r>
              <m:rPr>
                <m:sty m:val="p"/>
              </m:rPr>
              <m:t>−</m:t>
            </m:r>
            <m:r>
              <m:rPr>
                <m:sty m:val="i"/>
              </m:rPr>
              <m:t>t</m:t>
            </m:r>
            <m:r>
              <m:rPr>
                <m:sty m:val="p"/>
              </m:rPr>
              <m:t>/</m:t>
            </m:r>
            <m:r>
              <m:rPr>
                <m:sty m:val="p"/>
              </m:rPr>
              <m:t>4</m:t>
            </m:r>
          </m:e>
        </m:box>
      </m:oMath>
      <w:r>
        <w:rPr>
          <w:rFonts w:ascii="Times New Roman" w:hAnsi="Times New Roman" w:eastAsia="宋体"/>
          <w:b w:val="0"/>
          <w:sz w:val="24"/>
        </w:rPr>
        <w:t>。为评价其效率性质，以两地真实福利之和</w:t>
      </w:r>
      <m:oMath>
        <m:box>
          <m:e>
            <m:r>
              <m:rPr>
                <m:sty m:val="i"/>
              </m:rPr>
              <m:t>S</m:t>
            </m:r>
            <m:r>
              <m:rPr>
                <m:sty m:val="i"/>
              </m:rPr>
              <m:t>W</m:t>
            </m:r>
            <m:r>
              <m:rPr>
                <m:sty m:val="p"/>
              </m:rPr>
              <m:t>=</m:t>
            </m:r>
            <m:nary>
              <m:naryPr>
                <m:chr m:val="∑"/>
                <m:limLoc m:val="undOvr"/>
              </m:naryPr>
              <m:sub>
                <m:r>
                  <m:rPr>
                    <m:sty m:val="i"/>
                  </m:rPr>
                  <m:t>i</m:t>
                </m:r>
              </m:sub>
              <m:sup/>
              <m:e>
                <m:r>
                  <m:rPr>
                    <m:sty m:val="p"/>
                  </m:rPr>
                  <m:t>(</m:t>
                </m:r>
                <m:r>
                  <m:rPr>
                    <m:sty m:val="i"/>
                  </m:rPr>
                  <m:t>C</m:t>
                </m:r>
                <m:sSub>
                  <m:e>
                    <m:r>
                      <m:rPr>
                        <m:sty m:val="i"/>
                      </m:rPr>
                      <m:t>S</m:t>
                    </m:r>
                  </m:e>
                  <m:sub>
                    <m:r>
                      <m:rPr>
                        <m:sty m:val="i"/>
                      </m:rPr>
                      <m:t>i</m:t>
                    </m:r>
                  </m:sub>
                </m:sSub>
                <m:r>
                  <m:rPr>
                    <m:sty m:val="p"/>
                  </m:rPr>
                  <m:t>+</m:t>
                </m:r>
                <m:sSub>
                  <m:e>
                    <m:r>
                      <m:rPr>
                        <m:sty m:val="i"/>
                      </m:rPr>
                      <m:t>π</m:t>
                    </m:r>
                  </m:e>
                  <m:sub>
                    <m:r>
                      <m:rPr>
                        <m:sty m:val="i"/>
                      </m:rPr>
                      <m:t>i</m:t>
                    </m:r>
                  </m:sub>
                </m:sSub>
                <m:r>
                  <m:rPr>
                    <m:sty m:val="p"/>
                  </m:rPr>
                  <m:t>−</m:t>
                </m:r>
                <m:sSub>
                  <m:e>
                    <m:r>
                      <m:rPr>
                        <m:sty m:val="i"/>
                      </m:rPr>
                      <m:t>s</m:t>
                    </m:r>
                  </m:e>
                  <m:sub>
                    <m:r>
                      <m:rPr>
                        <m:sty m:val="i"/>
                      </m:rPr>
                      <m:t>i</m:t>
                    </m:r>
                  </m:sub>
                </m:sSub>
                <m:sSub>
                  <m:e>
                    <m:r>
                      <m:rPr>
                        <m:sty m:val="i"/>
                      </m:rPr>
                      <m:t>X</m:t>
                    </m:r>
                  </m:e>
                  <m:sub>
                    <m:r>
                      <m:rPr>
                        <m:sty m:val="i"/>
                      </m:rPr>
                      <m:t>i</m:t>
                    </m:r>
                  </m:sub>
                </m:sSub>
                <m:r>
                  <m:rPr>
                    <m:sty m:val="p"/>
                  </m:rPr>
                  <m:t>)</m:t>
                </m:r>
              </m:e>
            </m:nary>
          </m:e>
        </m:box>
      </m:oMath>
      <w:r>
        <w:rPr>
          <w:rFonts w:ascii="Times New Roman" w:hAnsi="Times New Roman" w:eastAsia="宋体"/>
          <w:b w:val="0"/>
          <w:sz w:val="24"/>
        </w:rPr>
        <w:t>（补贴作为转移支付相互抵销，产值溢价中的政治成分不计入福利）为标尺，可解得使</w:t>
      </w:r>
      <m:oMath>
        <m:box>
          <m:e>
            <m:r>
              <m:rPr>
                <m:sty m:val="i"/>
              </m:rPr>
              <m:t>S</m:t>
            </m:r>
            <m:r>
              <m:rPr>
                <m:sty m:val="i"/>
              </m:rPr>
              <m:t>W</m:t>
            </m:r>
          </m:e>
        </m:box>
      </m:oMath>
      <w:r>
        <w:rPr>
          <w:rFonts w:ascii="Times New Roman" w:hAnsi="Times New Roman" w:eastAsia="宋体"/>
          <w:b w:val="0"/>
          <w:sz w:val="24"/>
        </w:rPr>
        <w:t>最大化的（受约束）社会最优共同补贴为</w:t>
      </w:r>
      <m:oMath>
        <m:box>
          <m:e>
            <m:sSup>
              <m:e>
                <m:r>
                  <m:rPr>
                    <m:sty m:val="i"/>
                  </m:rPr>
                  <m:t>s</m:t>
                </m:r>
              </m:e>
              <m:sup>
                <m:r>
                  <m:rPr>
                    <m:sty m:val="i"/>
                  </m:rPr>
                  <m:t>o</m:t>
                </m:r>
              </m:sup>
            </m:sSup>
            <m:r>
              <m:rPr>
                <m:sty m:val="p"/>
              </m:rPr>
              <m:t>=</m:t>
            </m:r>
            <m:r>
              <m:rPr>
                <m:sty m:val="p"/>
              </m:rPr>
              <m:t>(</m:t>
            </m:r>
            <m:r>
              <m:rPr>
                <m:sty m:val="i"/>
              </m:rPr>
              <m:t>a</m:t>
            </m:r>
            <m:r>
              <m:rPr>
                <m:sty m:val="p"/>
              </m:rPr>
              <m:t>−</m:t>
            </m:r>
            <m:r>
              <m:rPr>
                <m:sty m:val="i"/>
              </m:rPr>
              <m:t>c</m:t>
            </m:r>
            <m:r>
              <m:rPr>
                <m:sty m:val="p"/>
              </m:rPr>
              <m:t>)</m:t>
            </m:r>
            <m:r>
              <m:rPr>
                <m:sty m:val="p"/>
              </m:rPr>
              <m:t>/</m:t>
            </m:r>
            <m:r>
              <m:rPr>
                <m:sty m:val="p"/>
              </m:rPr>
              <m:t>2</m:t>
            </m:r>
            <m:r>
              <m:rPr>
                <m:sty m:val="p"/>
              </m:rPr>
              <m:t>−</m:t>
            </m:r>
            <m:r>
              <m:rPr>
                <m:sty m:val="i"/>
              </m:rPr>
              <m:t>t</m:t>
            </m:r>
            <m:r>
              <m:rPr>
                <m:sty m:val="p"/>
              </m:rPr>
              <m:t>/</m:t>
            </m:r>
            <m:r>
              <m:rPr>
                <m:sty m:val="p"/>
              </m:rPr>
              <m:t>4</m:t>
            </m:r>
          </m:e>
        </m:box>
      </m:oMath>
      <w:r>
        <w:rPr>
          <w:rFonts w:ascii="Times New Roman" w:hAnsi="Times New Roman" w:eastAsia="宋体"/>
          <w:b w:val="0"/>
          <w:sz w:val="24"/>
        </w:rPr>
        <w:t>，对应区域市场总销量</w:t>
      </w:r>
      <m:oMath>
        <m:box>
          <m:e>
            <m:sSup>
              <m:e>
                <m:r>
                  <m:rPr>
                    <m:sty m:val="i"/>
                  </m:rPr>
                  <m:t>Q</m:t>
                </m:r>
              </m:e>
              <m:sup>
                <m:r>
                  <m:rPr>
                    <m:sty m:val="i"/>
                  </m:rPr>
                  <m:t>o</m:t>
                </m:r>
              </m:sup>
            </m:sSup>
            <m:r>
              <m:rPr>
                <m:sty m:val="p"/>
              </m:rPr>
              <m:t>=</m:t>
            </m:r>
            <m:r>
              <m:rPr>
                <m:sty m:val="p"/>
              </m:rPr>
              <m:t>(</m:t>
            </m:r>
            <m:r>
              <m:rPr>
                <m:sty m:val="i"/>
              </m:rPr>
              <m:t>a</m:t>
            </m:r>
            <m:r>
              <m:rPr>
                <m:sty m:val="p"/>
              </m:rPr>
              <m:t>−</m:t>
            </m:r>
            <m:r>
              <m:rPr>
                <m:sty m:val="i"/>
              </m:rPr>
              <m:t>c</m:t>
            </m:r>
            <m:r>
              <m:rPr>
                <m:sty m:val="p"/>
              </m:rPr>
              <m:t>)</m:t>
            </m:r>
            <m:r>
              <m:rPr>
                <m:sty m:val="p"/>
              </m:rPr>
              <m:t>/</m:t>
            </m:r>
            <m:r>
              <m:rPr>
                <m:sty m:val="i"/>
              </m:rPr>
              <m:t>b</m:t>
            </m:r>
            <m:r>
              <m:rPr>
                <m:sty m:val="p"/>
              </m:rPr>
              <m:t>−</m:t>
            </m:r>
            <m:r>
              <m:rPr>
                <m:sty m:val="i"/>
              </m:rPr>
              <m:t>t</m:t>
            </m:r>
            <m:r>
              <m:rPr>
                <m:sty m:val="p"/>
              </m:rPr>
              <m:t>/</m:t>
            </m:r>
            <m:r>
              <m:rPr>
                <m:sty m:val="p"/>
              </m:rPr>
              <m:t>(</m:t>
            </m:r>
            <m:r>
              <m:rPr>
                <m:sty m:val="p"/>
              </m:rPr>
              <m:t>2</m:t>
            </m:r>
            <m:r>
              <m:rPr>
                <m:sty m:val="i"/>
              </m:rPr>
              <m:t>b</m:t>
            </m:r>
            <m:r>
              <m:rPr>
                <m:sty m:val="p"/>
              </m:rPr>
              <m:t>)</m:t>
            </m:r>
          </m:e>
        </m:box>
      </m:oMath>
      <w:r>
        <w:rPr>
          <w:rFonts w:ascii="Times New Roman" w:hAnsi="Times New Roman" w:eastAsia="宋体"/>
          <w:b w:val="0"/>
          <w:sz w:val="24"/>
        </w:rPr>
        <w:t>。比较可知</w:t>
      </w:r>
      <m:oMath>
        <m:box>
          <m:e>
            <m:sSubSup>
              <m:e>
                <m:r>
                  <m:rPr>
                    <m:sty m:val="i"/>
                  </m:rPr>
                  <m:t>s</m:t>
                </m:r>
              </m:e>
              <m:sub>
                <m:r>
                  <m:rPr>
                    <m:sty m:val="i"/>
                  </m:rPr>
                  <m:t>A</m:t>
                </m:r>
              </m:sub>
              <m:sup>
                <m:r>
                  <m:rPr>
                    <m:sty m:val="p"/>
                  </m:rPr>
                  <m:t>*</m:t>
                </m:r>
              </m:sup>
            </m:sSubSup>
            <m:r>
              <m:rPr>
                <m:sty m:val="p"/>
              </m:rPr>
              <m:t>−</m:t>
            </m:r>
            <m:sSup>
              <m:e>
                <m:r>
                  <m:rPr>
                    <m:sty m:val="i"/>
                  </m:rPr>
                  <m:t>s</m:t>
                </m:r>
              </m:e>
              <m:sup>
                <m:r>
                  <m:rPr>
                    <m:sty m:val="i"/>
                  </m:rPr>
                  <m:t>o</m:t>
                </m:r>
              </m:sup>
            </m:sSup>
            <m:r>
              <m:rPr>
                <m:sty m:val="p"/>
              </m:rPr>
              <m:t>=</m:t>
            </m:r>
            <m:r>
              <m:rPr>
                <m:sty m:val="p"/>
              </m:rPr>
              <m:t>(</m:t>
            </m:r>
            <m:r>
              <m:rPr>
                <m:sty m:val="p"/>
              </m:rPr>
              <m:t>3</m:t>
            </m:r>
            <m:r>
              <m:rPr>
                <m:sty m:val="p"/>
              </m:rPr>
              <m:t>/</m:t>
            </m:r>
            <m:r>
              <m:rPr>
                <m:sty m:val="p"/>
              </m:rPr>
              <m:t>2</m:t>
            </m:r>
            <m:r>
              <m:rPr>
                <m:sty m:val="p"/>
              </m:rPr>
              <m:t>)</m:t>
            </m:r>
            <m:r>
              <m:rPr>
                <m:sty m:val="i"/>
              </m:rPr>
              <m:t>θ</m:t>
            </m:r>
          </m:e>
        </m:box>
      </m:oMath>
      <w:r>
        <w:rPr>
          <w:rFonts w:ascii="Times New Roman" w:hAnsi="Times New Roman" w:eastAsia="宋体"/>
          <w:b w:val="0"/>
          <w:sz w:val="24"/>
        </w:rPr>
        <w:t>，且均衡销量超出社会最优的幅度为</w:t>
      </w:r>
      <m:oMath>
        <m:box>
          <m:e>
            <m:sSup>
              <m:e>
                <m:r>
                  <m:rPr>
                    <m:sty m:val="i"/>
                  </m:rPr>
                  <m:t>Q</m:t>
                </m:r>
              </m:e>
              <m:sup>
                <m:r>
                  <m:rPr>
                    <m:sty m:val="p"/>
                  </m:rPr>
                  <m:t>*</m:t>
                </m:r>
              </m:sup>
            </m:sSup>
            <m:r>
              <m:rPr>
                <m:sty m:val="p"/>
              </m:rPr>
              <m:t>−</m:t>
            </m:r>
            <m:sSup>
              <m:e>
                <m:r>
                  <m:rPr>
                    <m:sty m:val="i"/>
                  </m:rPr>
                  <m:t>Q</m:t>
                </m:r>
              </m:e>
              <m:sup>
                <m:r>
                  <m:rPr>
                    <m:sty m:val="i"/>
                  </m:rPr>
                  <m:t>o</m:t>
                </m:r>
              </m:sup>
            </m:sSup>
            <m:r>
              <m:rPr>
                <m:sty m:val="p"/>
              </m:rPr>
              <m:t>=</m:t>
            </m:r>
            <m:r>
              <m:rPr>
                <m:sty m:val="i"/>
              </m:rPr>
              <m:t>θ</m:t>
            </m:r>
            <m:r>
              <m:rPr>
                <m:sty m:val="p"/>
              </m:rPr>
              <m:t>/</m:t>
            </m:r>
            <m:r>
              <m:rPr>
                <m:sty m:val="i"/>
              </m:rPr>
              <m:t>b</m:t>
            </m:r>
          </m:e>
        </m:box>
      </m:oMath>
      <w:r>
        <w:rPr>
          <w:rFonts w:ascii="Times New Roman" w:hAnsi="Times New Roman" w:eastAsia="宋体"/>
          <w:b w:val="0"/>
          <w:sz w:val="24"/>
        </w:rPr>
        <w:t>。进一步地，将</w:t>
      </w:r>
      <m:oMath>
        <m:box>
          <m:e>
            <m:sSubSup>
              <m:e>
                <m:r>
                  <m:rPr>
                    <m:sty m:val="i"/>
                  </m:rPr>
                  <m:t>s</m:t>
                </m:r>
              </m:e>
              <m:sub>
                <m:r>
                  <m:rPr>
                    <m:sty m:val="i"/>
                  </m:rPr>
                  <m:t>A</m:t>
                </m:r>
              </m:sub>
              <m:sup>
                <m:r>
                  <m:rPr>
                    <m:sty m:val="p"/>
                  </m:rPr>
                  <m:t>*</m:t>
                </m:r>
              </m:sup>
            </m:sSubSup>
          </m:e>
        </m:box>
      </m:oMath>
      <w:r>
        <w:rPr>
          <w:rFonts w:ascii="Times New Roman" w:hAnsi="Times New Roman" w:eastAsia="宋体"/>
          <w:b w:val="0"/>
          <w:sz w:val="24"/>
        </w:rPr>
        <w:t>代入式(4-8)，均衡价格与真实边际成本之差有极为简洁的形式：</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p</m:t>
                </m:r>
              </m:e>
              <m:sup>
                <m:r>
                  <m:rPr>
                    <m:sty m:val="p"/>
                  </m:rPr>
                  <m:t>*</m:t>
                </m:r>
              </m:sup>
            </m:sSup>
            <m:r>
              <m:rPr>
                <m:sty m:val="p"/>
              </m:rPr>
              <m:t>−</m:t>
            </m:r>
            <m:r>
              <m:rPr>
                <m:sty m:val="i"/>
              </m:rPr>
              <m:t>c</m:t>
            </m:r>
            <m:r>
              <m:rPr>
                <m:sty m:val="p"/>
              </m:rPr>
              <m:t>=</m:t>
            </m:r>
            <m:f>
              <m:num>
                <m:box>
                  <m:e>
                    <m:r>
                      <m:rPr>
                        <m:sty m:val="i"/>
                      </m:rPr>
                      <m:t>t</m:t>
                    </m:r>
                  </m:e>
                </m:box>
              </m:num>
              <m:den>
                <m:box>
                  <m:e>
                    <m:r>
                      <m:rPr>
                        <m:sty m:val="p"/>
                      </m:rPr>
                      <m:t>2</m:t>
                    </m:r>
                  </m:e>
                </m:box>
              </m:den>
            </m:f>
            <m:r>
              <m:rPr>
                <m:sty m:val="p"/>
              </m:rPr>
              <m:t>−</m:t>
            </m:r>
            <m:r>
              <m:rPr>
                <m:sty m:val="i"/>
              </m:rPr>
              <m:t>θ</m:t>
            </m:r>
          </m:e>
        </m:box>
      </m:oMath>
      <w:r>
        <w:rPr>
          <w:rFonts w:ascii="Times New Roman" w:hAnsi="Times New Roman" w:eastAsia="宋体"/>
          <w:b w:val="0"/>
          <w:sz w:val="24"/>
        </w:rPr>
        <w:tab/>
        <w:t>(4-14)</w:t>
      </w:r>
    </w:p>
    <w:p>
      <w:pPr>
        <w:spacing w:before="0" w:after="0" w:line="360" w:lineRule="auto"/>
        <w:ind w:firstLineChars="200" w:firstLine="480"/>
      </w:pPr>
      <w:r>
        <w:rPr>
          <w:rFonts w:ascii="Times New Roman" w:hAnsi="Times New Roman" w:eastAsia="宋体"/>
          <w:b w:val="0"/>
          <w:sz w:val="24"/>
        </w:rPr>
        <w:t>第二种是“锦标赛型政府”情形（</w:t>
      </w:r>
      <m:oMath>
        <m:box>
          <m:e>
            <m:r>
              <m:rPr>
                <m:sty m:val="i"/>
              </m:rPr>
              <m:t>α</m:t>
            </m:r>
            <m:r>
              <m:rPr>
                <m:sty m:val="p"/>
              </m:rPr>
              <m:t>=</m:t>
            </m:r>
            <m:r>
              <m:rPr>
                <m:sty m:val="i"/>
              </m:rPr>
              <m:t>β</m:t>
            </m:r>
            <m:r>
              <m:rPr>
                <m:sty m:val="p"/>
              </m:rPr>
              <m:t>=</m:t>
            </m:r>
            <m:r>
              <m:rPr>
                <m:sty m:val="p"/>
              </m:rPr>
              <m:t>0</m:t>
            </m:r>
          </m:e>
        </m:box>
      </m:oMath>
      <w:r>
        <w:rPr>
          <w:rFonts w:ascii="Times New Roman" w:hAnsi="Times New Roman" w:eastAsia="宋体"/>
          <w:b w:val="0"/>
          <w:sz w:val="24"/>
        </w:rPr>
        <w:t>，</w:t>
      </w:r>
      <m:oMath>
        <m:box>
          <m:e>
            <m:r>
              <m:rPr>
                <m:sty m:val="i"/>
              </m:rPr>
              <m:t>m</m:t>
            </m:r>
            <m:r>
              <m:rPr>
                <m:sty m:val="p"/>
              </m:rPr>
              <m:t>=</m:t>
            </m:r>
            <m:r>
              <m:rPr>
                <m:sty m:val="p"/>
              </m:rPr>
              <m:t>−</m:t>
            </m:r>
            <m:r>
              <m:rPr>
                <m:sty m:val="p"/>
              </m:rPr>
              <m:t>3</m:t>
            </m:r>
          </m:e>
        </m:box>
      </m:oMath>
      <w:r>
        <w:rPr>
          <w:rFonts w:ascii="Times New Roman" w:hAnsi="Times New Roman" w:eastAsia="宋体"/>
          <w:b w:val="0"/>
          <w:sz w:val="24"/>
        </w:rPr>
        <w:t>），即官员目标近似退化为“产值的政治与税收价值减去补贴支出”</w:t>
      </w:r>
      <m:oMath>
        <m:box>
          <m:e>
            <m:sSub>
              <m:e>
                <m:r>
                  <m:rPr>
                    <m:sty m:val="i"/>
                  </m:rPr>
                  <m:t>W</m:t>
                </m:r>
              </m:e>
              <m:sub>
                <m:r>
                  <m:rPr>
                    <m:sty m:val="i"/>
                  </m:rPr>
                  <m:t>i</m:t>
                </m:r>
              </m:sub>
            </m:sSub>
            <m:r>
              <m:rPr>
                <m:sty m:val="p"/>
              </m:rPr>
              <m:t>=</m:t>
            </m:r>
            <m:r>
              <m:rPr>
                <m:sty m:val="p"/>
              </m:rPr>
              <m:t>(</m:t>
            </m:r>
            <m:r>
              <m:rPr>
                <m:sty m:val="i"/>
              </m:rPr>
              <m:t>θ</m:t>
            </m:r>
            <m:r>
              <m:rPr>
                <m:sty m:val="p"/>
              </m:rPr>
              <m:t>−</m:t>
            </m:r>
            <m:sSub>
              <m:e>
                <m:r>
                  <m:rPr>
                    <m:sty m:val="i"/>
                  </m:rPr>
                  <m:t>s</m:t>
                </m:r>
              </m:e>
              <m:sub>
                <m:r>
                  <m:rPr>
                    <m:sty m:val="i"/>
                  </m:rPr>
                  <m:t>i</m:t>
                </m:r>
              </m:sub>
            </m:sSub>
            <m:r>
              <m:rPr>
                <m:sty m:val="p"/>
              </m:rPr>
              <m:t>)</m:t>
            </m:r>
            <m:sSub>
              <m:e>
                <m:r>
                  <m:rPr>
                    <m:sty m:val="i"/>
                  </m:rPr>
                  <m:t>X</m:t>
                </m:r>
              </m:e>
              <m:sub>
                <m:r>
                  <m:rPr>
                    <m:sty m:val="i"/>
                  </m:rPr>
                  <m:t>i</m:t>
                </m:r>
              </m:sub>
            </m:sSub>
          </m:e>
        </m:box>
      </m:oMath>
      <w:r>
        <w:rPr>
          <w:rFonts w:ascii="Times New Roman" w:hAnsi="Times New Roman" w:eastAsia="宋体"/>
          <w:b w:val="0"/>
          <w:sz w:val="24"/>
        </w:rPr>
        <w:t>。这是对中国式分权下地方官员激励的一个尖锐但贴切的近似（周黎安，2007）。此时均衡补贴与合作最优补贴分别为：</w:t>
      </w:r>
    </w:p>
    <w:p>
      <w:pPr>
        <w:spacing w:before="120" w:after="120" w:line="360" w:lineRule="auto"/>
        <w:tabs>
          <w:tab w:val="center" w:pos="4252"/>
          <w:tab w:val="right" w:pos="8505"/>
        </w:tabs>
      </w:pPr>
      <w:r>
        <w:rPr>
          <w:rFonts w:ascii="Times New Roman" w:hAnsi="Times New Roman" w:eastAsia="宋体"/>
          <w:b w:val="0"/>
          <w:sz w:val="24"/>
        </w:rPr>
        <w:tab/>
      </w:r>
      <m:oMath>
        <m:box>
          <m:e>
            <m:sSubSup>
              <m:e>
                <m:r>
                  <m:rPr>
                    <m:sty m:val="i"/>
                  </m:rPr>
                  <m:t>s</m:t>
                </m:r>
              </m:e>
              <m:sub>
                <m:r>
                  <m:rPr>
                    <m:sty m:val="i"/>
                  </m:rPr>
                  <m:t>B</m:t>
                </m:r>
              </m:sub>
              <m:sup>
                <m:r>
                  <m:rPr>
                    <m:sty m:val="p"/>
                  </m:rPr>
                  <m:t>*</m:t>
                </m:r>
              </m:sup>
            </m:sSubSup>
            <m:r>
              <m:rPr>
                <m:sty m:val="p"/>
              </m:rPr>
              <m:t>=</m:t>
            </m:r>
            <m:f>
              <m:num>
                <m:box>
                  <m:e>
                    <m:r>
                      <m:rPr>
                        <m:sty m:val="p"/>
                      </m:rPr>
                      <m:t>2</m:t>
                    </m:r>
                    <m:r>
                      <m:rPr>
                        <m:sty m:val="i"/>
                      </m:rPr>
                      <m:t>θ</m:t>
                    </m:r>
                  </m:e>
                </m:box>
              </m:num>
              <m:den>
                <m:box>
                  <m:e>
                    <m:r>
                      <m:rPr>
                        <m:sty m:val="p"/>
                      </m:rPr>
                      <m:t>3</m:t>
                    </m:r>
                  </m:e>
                </m:box>
              </m:den>
            </m:f>
            <m:r>
              <m:rPr>
                <m:sty m:val="p"/>
              </m:rPr>
              <m:t>−</m:t>
            </m:r>
            <m:f>
              <m:num>
                <m:box>
                  <m:e>
                    <m:r>
                      <m:rPr>
                        <m:sty m:val="i"/>
                      </m:rPr>
                      <m:t>a</m:t>
                    </m:r>
                    <m:r>
                      <m:rPr>
                        <m:sty m:val="p"/>
                      </m:rPr>
                      <m:t>−</m:t>
                    </m:r>
                    <m:r>
                      <m:rPr>
                        <m:sty m:val="i"/>
                      </m:rPr>
                      <m:t>c</m:t>
                    </m:r>
                  </m:e>
                </m:box>
              </m:num>
              <m:den>
                <m:box>
                  <m:e>
                    <m:r>
                      <m:rPr>
                        <m:sty m:val="p"/>
                      </m:rPr>
                      <m:t>3</m:t>
                    </m:r>
                  </m:e>
                </m:box>
              </m:den>
            </m:f>
            <m:r>
              <m:rPr>
                <m:sty m:val="p"/>
              </m:rPr>
              <m:t>+</m:t>
            </m:r>
            <m:f>
              <m:num>
                <m:box>
                  <m:e>
                    <m:r>
                      <m:rPr>
                        <m:sty m:val="i"/>
                      </m:rPr>
                      <m:t>t</m:t>
                    </m:r>
                  </m:e>
                </m:box>
              </m:num>
              <m:den>
                <m:box>
                  <m:e>
                    <m:r>
                      <m:rPr>
                        <m:sty m:val="p"/>
                      </m:rPr>
                      <m:t>6</m:t>
                    </m:r>
                  </m:e>
                </m:box>
              </m:den>
            </m:f>
          </m:e>
        </m:box>
      </m:oMath>
      <w:r>
        <w:rPr>
          <w:rFonts w:ascii="Times New Roman" w:hAnsi="Times New Roman" w:eastAsia="宋体"/>
          <w:b w:val="0"/>
          <w:sz w:val="24"/>
        </w:rPr>
        <w:tab/>
        <w:t>(4-15)</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s</m:t>
                </m:r>
              </m:e>
              <m:sup>
                <m:r>
                  <m:rPr>
                    <m:sty m:val="i"/>
                  </m:rPr>
                  <m:t>C</m:t>
                </m:r>
              </m:sup>
            </m:sSup>
            <m:r>
              <m:rPr>
                <m:sty m:val="p"/>
              </m:rPr>
              <m:t>=</m:t>
            </m:r>
            <m:f>
              <m:num>
                <m:box>
                  <m:e>
                    <m:r>
                      <m:rPr>
                        <m:sty m:val="i"/>
                      </m:rPr>
                      <m:t>θ</m:t>
                    </m:r>
                  </m:e>
                </m:box>
              </m:num>
              <m:den>
                <m:box>
                  <m:e>
                    <m:r>
                      <m:rPr>
                        <m:sty m:val="p"/>
                      </m:rPr>
                      <m:t>2</m:t>
                    </m:r>
                  </m:e>
                </m:box>
              </m:den>
            </m:f>
            <m:r>
              <m:rPr>
                <m:sty m:val="p"/>
              </m:rPr>
              <m:t>−</m:t>
            </m:r>
            <m:f>
              <m:num>
                <m:box>
                  <m:e>
                    <m:r>
                      <m:rPr>
                        <m:sty m:val="i"/>
                      </m:rPr>
                      <m:t>a</m:t>
                    </m:r>
                    <m:r>
                      <m:rPr>
                        <m:sty m:val="p"/>
                      </m:rPr>
                      <m:t>−</m:t>
                    </m:r>
                    <m:r>
                      <m:rPr>
                        <m:sty m:val="i"/>
                      </m:rPr>
                      <m:t>c</m:t>
                    </m:r>
                  </m:e>
                </m:box>
              </m:num>
              <m:den>
                <m:box>
                  <m:e>
                    <m:r>
                      <m:rPr>
                        <m:sty m:val="p"/>
                      </m:rPr>
                      <m:t>2</m:t>
                    </m:r>
                  </m:e>
                </m:box>
              </m:den>
            </m:f>
            <m:r>
              <m:rPr>
                <m:sty m:val="p"/>
              </m:rPr>
              <m:t>+</m:t>
            </m:r>
            <m:f>
              <m:num>
                <m:box>
                  <m:e>
                    <m:r>
                      <m:rPr>
                        <m:sty m:val="i"/>
                      </m:rPr>
                      <m:t>t</m:t>
                    </m:r>
                  </m:e>
                </m:box>
              </m:num>
              <m:den>
                <m:box>
                  <m:e>
                    <m:r>
                      <m:rPr>
                        <m:sty m:val="p"/>
                      </m:rPr>
                      <m:t>4</m:t>
                    </m:r>
                  </m:e>
                </m:box>
              </m:den>
            </m:f>
          </m:e>
        </m:box>
      </m:oMath>
      <w:r>
        <w:rPr>
          <w:rFonts w:ascii="Times New Roman" w:hAnsi="Times New Roman" w:eastAsia="宋体"/>
          <w:b w:val="0"/>
          <w:sz w:val="24"/>
        </w:rPr>
        <w:tab/>
        <w:t>(4-16)</w:t>
      </w:r>
    </w:p>
    <w:p>
      <w:pPr>
        <w:spacing w:before="0" w:after="0" w:line="360" w:lineRule="auto"/>
        <w:ind w:firstLineChars="200" w:firstLine="480"/>
      </w:pPr>
      <w:r>
        <w:rPr>
          <w:rFonts w:ascii="Times New Roman" w:hAnsi="Times New Roman" w:eastAsia="宋体"/>
          <w:b w:val="0"/>
          <w:sz w:val="24"/>
        </w:rPr>
        <w:t>其中</w:t>
      </w:r>
      <m:oMath>
        <m:box>
          <m:e>
            <m:sSup>
              <m:e>
                <m:r>
                  <m:rPr>
                    <m:sty m:val="i"/>
                  </m:rPr>
                  <m:t>s</m:t>
                </m:r>
              </m:e>
              <m:sup>
                <m:r>
                  <m:rPr>
                    <m:sty m:val="i"/>
                  </m:rPr>
                  <m:t>C</m:t>
                </m:r>
              </m:sup>
            </m:sSup>
          </m:e>
        </m:box>
      </m:oMath>
      <w:r>
        <w:rPr>
          <w:rFonts w:ascii="Times New Roman" w:hAnsi="Times New Roman" w:eastAsia="宋体"/>
          <w:b w:val="0"/>
          <w:sz w:val="24"/>
        </w:rPr>
        <w:t>由两地政府联合最大化</w:t>
      </w:r>
      <m:oMath>
        <m:box>
          <m:e>
            <m:sSub>
              <m:e>
                <m:r>
                  <m:rPr>
                    <m:sty m:val="i"/>
                  </m:rPr>
                  <m:t>W</m:t>
                </m:r>
              </m:e>
              <m:sub>
                <m:r>
                  <m:rPr>
                    <m:sty m:val="p"/>
                  </m:rPr>
                  <m:t>1</m:t>
                </m:r>
              </m:sub>
            </m:sSub>
            <m:r>
              <m:rPr>
                <m:sty m:val="p"/>
              </m:rPr>
              <m:t>+</m:t>
            </m:r>
            <m:sSub>
              <m:e>
                <m:r>
                  <m:rPr>
                    <m:sty m:val="i"/>
                  </m:rPr>
                  <m:t>W</m:t>
                </m:r>
              </m:e>
              <m:sub>
                <m:r>
                  <m:rPr>
                    <m:sty m:val="p"/>
                  </m:rPr>
                  <m:t>2</m:t>
                </m:r>
              </m:sub>
            </m:sSub>
          </m:e>
        </m:box>
      </m:oMath>
      <w:r>
        <w:rPr>
          <w:rFonts w:ascii="Times New Roman" w:hAnsi="Times New Roman" w:eastAsia="宋体"/>
          <w:b w:val="0"/>
          <w:sz w:val="24"/>
        </w:rPr>
        <w:t>（沿对称对角线求解凹二次规划）得到，当</w:t>
      </w:r>
      <m:oMath>
        <m:box>
          <m:e>
            <m:r>
              <m:rPr>
                <m:sty m:val="i"/>
              </m:rPr>
              <m:t>θ</m:t>
            </m:r>
            <m:r>
              <m:rPr>
                <m:sty m:val="p"/>
              </m:rPr>
              <m:t>≤</m:t>
            </m:r>
            <m:sSub>
              <m:e>
                <m:r>
                  <m:rPr>
                    <m:sty m:val="i"/>
                  </m:rPr>
                  <m:t>θ</m:t>
                </m:r>
              </m:e>
              <m:sub>
                <m:r>
                  <m:rPr>
                    <m:sty m:val="p"/>
                  </m:rPr>
                  <m:t>1</m:t>
                </m:r>
              </m:sub>
            </m:sSub>
            <m:r>
              <m:rPr>
                <m:sty m:val="p"/>
              </m:rPr>
              <m:t>≡</m:t>
            </m:r>
            <m:r>
              <m:rPr>
                <m:sty m:val="p"/>
              </m:rPr>
              <m:t>(</m:t>
            </m:r>
            <m:r>
              <m:rPr>
                <m:sty m:val="i"/>
              </m:rPr>
              <m:t>a</m:t>
            </m:r>
            <m:r>
              <m:rPr>
                <m:sty m:val="p"/>
              </m:rPr>
              <m:t>−</m:t>
            </m:r>
            <m:r>
              <m:rPr>
                <m:sty m:val="i"/>
              </m:rPr>
              <m:t>c</m:t>
            </m:r>
            <m:r>
              <m:rPr>
                <m:sty m:val="p"/>
              </m:rPr>
              <m:t>)</m:t>
            </m:r>
            <m:r>
              <m:rPr>
                <m:sty m:val="p"/>
              </m:rPr>
              <m:t>−</m:t>
            </m:r>
            <m:r>
              <m:rPr>
                <m:sty m:val="i"/>
              </m:rPr>
              <m:t>t</m:t>
            </m:r>
            <m:r>
              <m:rPr>
                <m:sty m:val="p"/>
              </m:rPr>
              <m:t>/</m:t>
            </m:r>
            <m:r>
              <m:rPr>
                <m:sty m:val="p"/>
              </m:rPr>
              <m:t>2</m:t>
            </m:r>
          </m:e>
        </m:box>
      </m:oMath>
      <w:r>
        <w:rPr>
          <w:rFonts w:ascii="Times New Roman" w:hAnsi="Times New Roman" w:eastAsia="宋体"/>
          <w:b w:val="0"/>
          <w:sz w:val="24"/>
        </w:rPr>
        <w:t>时</w:t>
      </w:r>
      <m:oMath>
        <m:box>
          <m:e>
            <m:sSup>
              <m:e>
                <m:r>
                  <m:rPr>
                    <m:sty m:val="i"/>
                  </m:rPr>
                  <m:t>s</m:t>
                </m:r>
              </m:e>
              <m:sup>
                <m:r>
                  <m:rPr>
                    <m:sty m:val="i"/>
                  </m:rPr>
                  <m:t>C</m:t>
                </m:r>
              </m:sup>
            </m:sSup>
            <m:r>
              <m:rPr>
                <m:sty m:val="p"/>
              </m:rPr>
              <m:t>≤</m:t>
            </m:r>
            <m:r>
              <m:rPr>
                <m:sty m:val="p"/>
              </m:rPr>
              <m:t>0</m:t>
            </m:r>
          </m:e>
        </m:box>
      </m:oMath>
      <w:r>
        <w:rPr>
          <w:rFonts w:ascii="Times New Roman" w:hAnsi="Times New Roman" w:eastAsia="宋体"/>
          <w:b w:val="0"/>
          <w:sz w:val="24"/>
        </w:rPr>
        <w:t>，合作最优取非负约束下的角点解</w:t>
      </w:r>
      <m:oMath>
        <m:box>
          <m:e>
            <m:sSup>
              <m:e>
                <m:r>
                  <m:rPr>
                    <m:sty m:val="i"/>
                  </m:rPr>
                  <m:t>s</m:t>
                </m:r>
              </m:e>
              <m:sup>
                <m:r>
                  <m:rPr>
                    <m:sty m:val="i"/>
                  </m:rPr>
                  <m:t>C</m:t>
                </m:r>
              </m:sup>
            </m:sSup>
            <m:r>
              <m:rPr>
                <m:sty m:val="p"/>
              </m:rPr>
              <m:t>=</m:t>
            </m:r>
            <m:r>
              <m:rPr>
                <m:sty m:val="p"/>
              </m:rPr>
              <m:t>0</m:t>
            </m:r>
          </m:e>
        </m:box>
      </m:oMath>
      <w:r>
        <w:rPr>
          <w:rFonts w:ascii="Times New Roman" w:hAnsi="Times New Roman" w:eastAsia="宋体"/>
          <w:b w:val="0"/>
          <w:sz w:val="24"/>
        </w:rPr>
        <w:t>，即“合作的最优安排是彻底停止补贴大战”。直接比较可得</w:t>
      </w:r>
      <m:oMath>
        <m:box>
          <m:e>
            <m:sSubSup>
              <m:e>
                <m:r>
                  <m:rPr>
                    <m:sty m:val="i"/>
                  </m:rPr>
                  <m:t>s</m:t>
                </m:r>
              </m:e>
              <m:sub>
                <m:r>
                  <m:rPr>
                    <m:sty m:val="i"/>
                  </m:rPr>
                  <m:t>B</m:t>
                </m:r>
              </m:sub>
              <m:sup>
                <m:r>
                  <m:rPr>
                    <m:sty m:val="p"/>
                  </m:rPr>
                  <m:t>*</m:t>
                </m:r>
              </m:sup>
            </m:sSubSup>
            <m:r>
              <m:rPr>
                <m:sty m:val="p"/>
              </m:rPr>
              <m:t>−</m:t>
            </m:r>
            <m:sSup>
              <m:e>
                <m:r>
                  <m:rPr>
                    <m:sty m:val="i"/>
                  </m:rPr>
                  <m:t>s</m:t>
                </m:r>
              </m:e>
              <m:sup>
                <m:r>
                  <m:rPr>
                    <m:sty m:val="i"/>
                  </m:rPr>
                  <m:t>C</m:t>
                </m:r>
              </m:sup>
            </m:sSup>
            <m:r>
              <m:rPr>
                <m:sty m:val="p"/>
              </m:rPr>
              <m:t>=</m:t>
            </m:r>
            <m:r>
              <m:rPr>
                <m:sty m:val="p"/>
              </m:rPr>
              <m:t>(</m:t>
            </m:r>
            <m:r>
              <m:rPr>
                <m:sty m:val="p"/>
              </m:rPr>
              <m:t>2</m:t>
            </m:r>
            <m:r>
              <m:rPr>
                <m:sty m:val="i"/>
              </m:rPr>
              <m:t>θ</m:t>
            </m:r>
            <m:r>
              <m:rPr>
                <m:sty m:val="p"/>
              </m:rPr>
              <m:t>+</m:t>
            </m:r>
            <m:r>
              <m:rPr>
                <m:sty m:val="p"/>
              </m:rPr>
              <m:t>2</m:t>
            </m:r>
            <m:r>
              <m:rPr>
                <m:sty m:val="p"/>
              </m:rPr>
              <m:t>(</m:t>
            </m:r>
            <m:r>
              <m:rPr>
                <m:sty m:val="i"/>
              </m:rPr>
              <m:t>a</m:t>
            </m:r>
            <m:r>
              <m:rPr>
                <m:sty m:val="p"/>
              </m:rPr>
              <m:t>−</m:t>
            </m:r>
            <m:r>
              <m:rPr>
                <m:sty m:val="i"/>
              </m:rPr>
              <m:t>c</m:t>
            </m:r>
            <m:r>
              <m:rPr>
                <m:sty m:val="p"/>
              </m:rPr>
              <m:t>)</m:t>
            </m:r>
            <m:r>
              <m:rPr>
                <m:sty m:val="p"/>
              </m:rPr>
              <m:t>−</m:t>
            </m:r>
            <m:r>
              <m:rPr>
                <m:sty m:val="i"/>
              </m:rPr>
              <m:t>t</m:t>
            </m:r>
            <m:r>
              <m:rPr>
                <m:sty m:val="p"/>
              </m:rPr>
              <m:t>)</m:t>
            </m:r>
            <m:r>
              <m:rPr>
                <m:sty m:val="p"/>
              </m:rPr>
              <m:t>/</m:t>
            </m:r>
            <m:r>
              <m:rPr>
                <m:sty m:val="p"/>
              </m:rPr>
              <m:t>12</m:t>
            </m:r>
            <m:r>
              <m:rPr>
                <m:sty m:val="p"/>
              </m:rPr>
              <m:t>&gt;</m:t>
            </m:r>
            <m:r>
              <m:rPr>
                <m:sty m:val="p"/>
              </m:rPr>
              <m:t>0</m:t>
            </m:r>
          </m:e>
        </m:box>
      </m:oMath>
      <w:r>
        <w:rPr>
          <w:rFonts w:ascii="Times New Roman" w:hAnsi="Times New Roman" w:eastAsia="宋体"/>
          <w:b w:val="0"/>
          <w:sz w:val="24"/>
        </w:rPr>
        <w:t>：纳什均衡补贴严格高于合作水平。基于以上推导，可以给出本章前两个命题。</w:t>
      </w:r>
    </w:p>
    <w:p>
      <w:pPr>
        <w:spacing w:before="0" w:after="0" w:line="360" w:lineRule="auto"/>
        <w:ind w:firstLineChars="200" w:firstLine="480"/>
      </w:pPr>
      <w:r>
        <w:rPr>
          <w:rFonts w:ascii="Times New Roman" w:hAnsi="Times New Roman" w:eastAsia="宋体"/>
          <w:b/>
          <w:sz w:val="24"/>
        </w:rPr>
        <w:t>命题4-1（补贴竞争均衡与产能过剩）</w:t>
      </w:r>
      <w:r>
        <w:rPr>
          <w:rFonts w:ascii="Times New Roman" w:hAnsi="Times New Roman" w:eastAsia="宋体"/>
          <w:b w:val="0"/>
          <w:sz w:val="24"/>
        </w:rPr>
        <w:t xml:space="preserve">　在假设4-1、4-2下：（i）补贴博弈存在唯一对称纳什均衡</w:t>
      </w:r>
      <m:oMath>
        <m:box>
          <m:e>
            <m:sSup>
              <m:e>
                <m:r>
                  <m:rPr>
                    <m:sty m:val="i"/>
                  </m:rPr>
                  <m:t>s</m:t>
                </m:r>
              </m:e>
              <m:sup>
                <m:r>
                  <m:rPr>
                    <m:sty m:val="p"/>
                  </m:rPr>
                  <m:t>*</m:t>
                </m:r>
              </m:sup>
            </m:sSup>
            <m:r>
              <m:rPr>
                <m:sty m:val="p"/>
              </m:rPr>
              <m:t>&gt;</m:t>
            </m:r>
            <m:r>
              <m:rPr>
                <m:sty m:val="p"/>
              </m:rPr>
              <m:t>0</m:t>
            </m:r>
          </m:e>
        </m:box>
      </m:oMath>
      <w:r>
        <w:rPr>
          <w:rFonts w:ascii="Times New Roman" w:hAnsi="Times New Roman" w:eastAsia="宋体"/>
          <w:b w:val="0"/>
          <w:sz w:val="24"/>
        </w:rPr>
        <w:t>，且</w:t>
      </w:r>
      <m:oMath>
        <m:box>
          <m:e>
            <m:r>
              <m:rPr>
                <m:sty m:val="p"/>
              </m:rPr>
              <m:t>∂</m:t>
            </m:r>
            <m:sSup>
              <m:e>
                <m:r>
                  <m:rPr>
                    <m:sty m:val="i"/>
                  </m:rPr>
                  <m:t>s</m:t>
                </m:r>
              </m:e>
              <m:sup>
                <m:r>
                  <m:rPr>
                    <m:sty m:val="p"/>
                  </m:rPr>
                  <m:t>*</m:t>
                </m:r>
              </m:sup>
            </m:sSup>
            <m:r>
              <m:rPr>
                <m:sty m:val="p"/>
              </m:rPr>
              <m:t>/</m:t>
            </m:r>
            <m:r>
              <m:rPr>
                <m:sty m:val="p"/>
              </m:rPr>
              <m:t>∂</m:t>
            </m:r>
            <m:r>
              <m:rPr>
                <m:sty m:val="i"/>
              </m:rPr>
              <m:t>θ</m:t>
            </m:r>
            <m:r>
              <m:rPr>
                <m:sty m:val="p"/>
              </m:rPr>
              <m:t>&gt;</m:t>
            </m:r>
            <m:r>
              <m:rPr>
                <m:sty m:val="p"/>
              </m:rPr>
              <m:t>0</m:t>
            </m:r>
          </m:e>
        </m:box>
      </m:oMath>
      <w:r>
        <w:rPr>
          <w:rFonts w:ascii="Times New Roman" w:hAnsi="Times New Roman" w:eastAsia="宋体"/>
          <w:b w:val="0"/>
          <w:sz w:val="24"/>
        </w:rPr>
        <w:t>；（ii）在福利型权重下，只要</w:t>
      </w:r>
      <m:oMath>
        <m:box>
          <m:e>
            <m:r>
              <m:rPr>
                <m:sty m:val="i"/>
              </m:rPr>
              <m:t>θ</m:t>
            </m:r>
            <m:r>
              <m:rPr>
                <m:sty m:val="p"/>
              </m:rPr>
              <m:t>&gt;</m:t>
            </m:r>
            <m:r>
              <m:rPr>
                <m:sty m:val="p"/>
              </m:rPr>
              <m:t>0</m:t>
            </m:r>
          </m:e>
        </m:box>
      </m:oMath>
      <w:r>
        <w:rPr>
          <w:rFonts w:ascii="Times New Roman" w:hAnsi="Times New Roman" w:eastAsia="宋体"/>
          <w:b w:val="0"/>
          <w:sz w:val="24"/>
        </w:rPr>
        <w:t>，均衡补贴超出社会最优</w:t>
      </w:r>
      <m:oMath>
        <m:box>
          <m:e>
            <m:r>
              <m:rPr>
                <m:sty m:val="p"/>
              </m:rPr>
              <m:t>(</m:t>
            </m:r>
            <m:r>
              <m:rPr>
                <m:sty m:val="p"/>
              </m:rPr>
              <m:t>3</m:t>
            </m:r>
            <m:r>
              <m:rPr>
                <m:sty m:val="p"/>
              </m:rPr>
              <m:t>/</m:t>
            </m:r>
            <m:r>
              <m:rPr>
                <m:sty m:val="p"/>
              </m:rPr>
              <m:t>2</m:t>
            </m:r>
            <m:r>
              <m:rPr>
                <m:sty m:val="p"/>
              </m:rPr>
              <m:t>)</m:t>
            </m:r>
            <m:r>
              <m:rPr>
                <m:sty m:val="i"/>
              </m:rPr>
              <m:t>θ</m:t>
            </m:r>
          </m:e>
        </m:box>
      </m:oMath>
      <w:r>
        <w:rPr>
          <w:rFonts w:ascii="Times New Roman" w:hAnsi="Times New Roman" w:eastAsia="宋体"/>
          <w:b w:val="0"/>
          <w:sz w:val="24"/>
        </w:rPr>
        <w:t>，区域市场销量超出社会最优</w:t>
      </w:r>
      <m:oMath>
        <m:box>
          <m:e>
            <m:r>
              <m:rPr>
                <m:sty m:val="i"/>
              </m:rPr>
              <m:t>θ</m:t>
            </m:r>
            <m:r>
              <m:rPr>
                <m:sty m:val="p"/>
              </m:rPr>
              <m:t>/</m:t>
            </m:r>
            <m:r>
              <m:rPr>
                <m:sty m:val="i"/>
              </m:rPr>
              <m:t>b</m:t>
            </m:r>
          </m:e>
        </m:box>
      </m:oMath>
      <w:r>
        <w:rPr>
          <w:rFonts w:ascii="Times New Roman" w:hAnsi="Times New Roman" w:eastAsia="宋体"/>
          <w:b w:val="0"/>
          <w:sz w:val="24"/>
        </w:rPr>
        <w:t>，产能过剩规模与产值政治溢价成正比、与需求斜率成反比。</w:t>
      </w:r>
    </w:p>
    <w:p>
      <w:pPr>
        <w:spacing w:before="0" w:after="0" w:line="360" w:lineRule="auto"/>
        <w:ind w:firstLineChars="200" w:firstLine="480"/>
      </w:pPr>
      <w:r>
        <w:rPr>
          <w:rFonts w:ascii="Times New Roman" w:hAnsi="Times New Roman" w:eastAsia="宋体"/>
          <w:b w:val="0"/>
          <w:sz w:val="24"/>
        </w:rPr>
        <w:t>证明思路：存在唯一性由反应函数(4-12)的线性与斜率绝对值小于1直接得到；(ii)由</w:t>
      </w:r>
      <m:oMath>
        <m:box>
          <m:e>
            <m:sSubSup>
              <m:e>
                <m:r>
                  <m:rPr>
                    <m:sty m:val="i"/>
                  </m:rPr>
                  <m:t>s</m:t>
                </m:r>
              </m:e>
              <m:sub>
                <m:r>
                  <m:rPr>
                    <m:sty m:val="i"/>
                  </m:rPr>
                  <m:t>A</m:t>
                </m:r>
              </m:sub>
              <m:sup>
                <m:r>
                  <m:rPr>
                    <m:sty m:val="p"/>
                  </m:rPr>
                  <m:t>*</m:t>
                </m:r>
              </m:sup>
            </m:sSubSup>
          </m:e>
        </m:box>
      </m:oMath>
      <w:r>
        <w:rPr>
          <w:rFonts w:ascii="Times New Roman" w:hAnsi="Times New Roman" w:eastAsia="宋体"/>
          <w:b w:val="0"/>
          <w:sz w:val="24"/>
        </w:rPr>
        <w:t>与</w:t>
      </w:r>
      <m:oMath>
        <m:box>
          <m:e>
            <m:sSup>
              <m:e>
                <m:r>
                  <m:rPr>
                    <m:sty m:val="i"/>
                  </m:rPr>
                  <m:t>s</m:t>
                </m:r>
              </m:e>
              <m:sup>
                <m:r>
                  <m:rPr>
                    <m:sty m:val="i"/>
                  </m:rPr>
                  <m:t>o</m:t>
                </m:r>
              </m:sup>
            </m:sSup>
          </m:e>
        </m:box>
      </m:oMath>
      <w:r>
        <w:rPr>
          <w:rFonts w:ascii="Times New Roman" w:hAnsi="Times New Roman" w:eastAsia="宋体"/>
          <w:b w:val="0"/>
          <w:sz w:val="24"/>
        </w:rPr>
        <w:t>、</w:t>
      </w:r>
      <m:oMath>
        <m:box>
          <m:e>
            <m:sSup>
              <m:e>
                <m:r>
                  <m:rPr>
                    <m:sty m:val="i"/>
                  </m:rPr>
                  <m:t>Q</m:t>
                </m:r>
              </m:e>
              <m:sup>
                <m:r>
                  <m:rPr>
                    <m:sty m:val="p"/>
                  </m:rPr>
                  <m:t>*</m:t>
                </m:r>
              </m:sup>
            </m:sSup>
          </m:e>
        </m:box>
      </m:oMath>
      <w:r>
        <w:rPr>
          <w:rFonts w:ascii="Times New Roman" w:hAnsi="Times New Roman" w:eastAsia="宋体"/>
          <w:b w:val="0"/>
          <w:sz w:val="24"/>
        </w:rPr>
        <w:t>与</w:t>
      </w:r>
      <m:oMath>
        <m:box>
          <m:e>
            <m:sSup>
              <m:e>
                <m:r>
                  <m:rPr>
                    <m:sty m:val="i"/>
                  </m:rPr>
                  <m:t>Q</m:t>
                </m:r>
              </m:e>
              <m:sup>
                <m:r>
                  <m:rPr>
                    <m:sty m:val="i"/>
                  </m:rPr>
                  <m:t>o</m:t>
                </m:r>
              </m:sup>
            </m:sSup>
          </m:e>
        </m:box>
      </m:oMath>
      <w:r>
        <w:rPr>
          <w:rFonts w:ascii="Times New Roman" w:hAnsi="Times New Roman" w:eastAsia="宋体"/>
          <w:b w:val="0"/>
          <w:sz w:val="24"/>
        </w:rPr>
        <w:t>的显式表达式相减即得。证毕。</w:t>
      </w:r>
    </w:p>
    <w:p>
      <w:pPr>
        <w:spacing w:before="0" w:after="0" w:line="360" w:lineRule="auto"/>
        <w:ind w:firstLineChars="200" w:firstLine="480"/>
      </w:pPr>
      <w:r>
        <w:rPr>
          <w:rFonts w:ascii="Times New Roman" w:hAnsi="Times New Roman" w:eastAsia="宋体"/>
          <w:b w:val="0"/>
          <w:sz w:val="24"/>
        </w:rPr>
        <w:t>命题4-1的经济学含义是：产能过剩在本模型中不是企业“非理性”扩张的结果，而是地方政府目标函数系统性偏离辖区福利（</w:t>
      </w:r>
      <m:oMath>
        <m:box>
          <m:e>
            <m:r>
              <m:rPr>
                <m:sty m:val="i"/>
              </m:rPr>
              <m:t>θ</m:t>
            </m:r>
            <m:r>
              <m:rPr>
                <m:sty m:val="p"/>
              </m:rPr>
              <m:t>&gt;</m:t>
            </m:r>
            <m:r>
              <m:rPr>
                <m:sty m:val="p"/>
              </m:rPr>
              <m:t>0</m:t>
            </m:r>
          </m:e>
        </m:box>
      </m:oMath>
      <w:r>
        <w:rPr>
          <w:rFonts w:ascii="Times New Roman" w:hAnsi="Times New Roman" w:eastAsia="宋体"/>
          <w:b w:val="0"/>
          <w:sz w:val="24"/>
        </w:rPr>
        <w:t>）在均衡中的必然投影。尤其值得强调的是</w:t>
      </w:r>
      <m:oMath>
        <m:box>
          <m:e>
            <m:sSup>
              <m:e>
                <m:r>
                  <m:rPr>
                    <m:sty m:val="i"/>
                  </m:rPr>
                  <m:t>Q</m:t>
                </m:r>
              </m:e>
              <m:sup>
                <m:r>
                  <m:rPr>
                    <m:sty m:val="p"/>
                  </m:rPr>
                  <m:t>*</m:t>
                </m:r>
              </m:sup>
            </m:sSup>
            <m:r>
              <m:rPr>
                <m:sty m:val="p"/>
              </m:rPr>
              <m:t>−</m:t>
            </m:r>
            <m:sSup>
              <m:e>
                <m:r>
                  <m:rPr>
                    <m:sty m:val="i"/>
                  </m:rPr>
                  <m:t>Q</m:t>
                </m:r>
              </m:e>
              <m:sup>
                <m:r>
                  <m:rPr>
                    <m:sty m:val="i"/>
                  </m:rPr>
                  <m:t>o</m:t>
                </m:r>
              </m:sup>
            </m:sSup>
            <m:r>
              <m:rPr>
                <m:sty m:val="p"/>
              </m:rPr>
              <m:t>=</m:t>
            </m:r>
            <m:r>
              <m:rPr>
                <m:sty m:val="i"/>
              </m:rPr>
              <m:t>θ</m:t>
            </m:r>
            <m:r>
              <m:rPr>
                <m:sty m:val="p"/>
              </m:rPr>
              <m:t>/</m:t>
            </m:r>
            <m:r>
              <m:rPr>
                <m:sty m:val="i"/>
              </m:rPr>
              <m:t>b</m:t>
            </m:r>
          </m:e>
        </m:box>
      </m:oMath>
      <w:r>
        <w:rPr>
          <w:rFonts w:ascii="Times New Roman" w:hAnsi="Times New Roman" w:eastAsia="宋体"/>
          <w:b w:val="0"/>
          <w:sz w:val="24"/>
        </w:rPr>
        <w:t>这一结构关系——它表明过剩产能规模由“政治溢价”与需求曲线斜率共同决定：考核权重越高、税收分成越向生产地倾斜（</w:t>
      </w:r>
      <m:oMath>
        <m:box>
          <m:e>
            <m:r>
              <m:rPr>
                <m:sty m:val="i"/>
              </m:rPr>
              <m:t>θ</m:t>
            </m:r>
          </m:e>
        </m:box>
      </m:oMath>
      <w:r>
        <w:rPr>
          <w:rFonts w:ascii="Times New Roman" w:hAnsi="Times New Roman" w:eastAsia="宋体"/>
          <w:b w:val="0"/>
          <w:sz w:val="24"/>
        </w:rPr>
        <w:t>越大），过剩越严重；需求越平坦（</w:t>
      </w:r>
      <m:oMath>
        <m:box>
          <m:e>
            <m:r>
              <m:rPr>
                <m:sty m:val="i"/>
              </m:rPr>
              <m:t>b</m:t>
            </m:r>
          </m:e>
        </m:box>
      </m:oMath>
      <w:r>
        <w:rPr>
          <w:rFonts w:ascii="Times New Roman" w:hAnsi="Times New Roman" w:eastAsia="宋体"/>
          <w:b w:val="0"/>
          <w:sz w:val="24"/>
        </w:rPr>
        <w:t>越小、产品越同质），同样的政治溢价撬动的过剩产量越大。这解释了为何“内卷”集中出现于标准化程度高的行业。</w:t>
      </w:r>
    </w:p>
    <w:p>
      <w:pPr>
        <w:spacing w:before="0" w:after="0" w:line="360" w:lineRule="auto"/>
        <w:ind w:firstLineChars="200" w:firstLine="480"/>
      </w:pPr>
      <w:r>
        <w:rPr>
          <w:rFonts w:ascii="Times New Roman" w:hAnsi="Times New Roman" w:eastAsia="宋体"/>
          <w:b/>
          <w:sz w:val="24"/>
        </w:rPr>
        <w:t>命题4-2（囚徒困境与“成本线以下”定价）</w:t>
      </w:r>
      <w:r>
        <w:rPr>
          <w:rFonts w:ascii="Times New Roman" w:hAnsi="Times New Roman" w:eastAsia="宋体"/>
          <w:b w:val="0"/>
          <w:sz w:val="24"/>
        </w:rPr>
        <w:t xml:space="preserve">　（i）在锦标赛型权重下，</w:t>
      </w:r>
      <m:oMath>
        <m:box>
          <m:e>
            <m:sSubSup>
              <m:e>
                <m:r>
                  <m:rPr>
                    <m:sty m:val="i"/>
                  </m:rPr>
                  <m:t>s</m:t>
                </m:r>
              </m:e>
              <m:sub>
                <m:r>
                  <m:rPr>
                    <m:sty m:val="i"/>
                  </m:rPr>
                  <m:t>B</m:t>
                </m:r>
              </m:sub>
              <m:sup>
                <m:r>
                  <m:rPr>
                    <m:sty m:val="p"/>
                  </m:rPr>
                  <m:t>*</m:t>
                </m:r>
              </m:sup>
            </m:sSubSup>
            <m:r>
              <m:rPr>
                <m:sty m:val="p"/>
              </m:rPr>
              <m:t>&gt;</m:t>
            </m:r>
            <m:sSup>
              <m:e>
                <m:r>
                  <m:rPr>
                    <m:sty m:val="i"/>
                  </m:rPr>
                  <m:t>s</m:t>
                </m:r>
              </m:e>
              <m:sup>
                <m:r>
                  <m:rPr>
                    <m:sty m:val="i"/>
                  </m:rPr>
                  <m:t>C</m:t>
                </m:r>
              </m:sup>
            </m:sSup>
          </m:e>
        </m:box>
      </m:oMath>
      <w:r>
        <w:rPr>
          <w:rFonts w:ascii="Times New Roman" w:hAnsi="Times New Roman" w:eastAsia="宋体"/>
          <w:b w:val="0"/>
          <w:sz w:val="24"/>
        </w:rPr>
        <w:t>，且两地政府在</w:t>
      </w:r>
      <m:oMath>
        <m:box>
          <m:e>
            <m:r>
              <m:rPr>
                <m:sty m:val="p"/>
              </m:rPr>
              <m:t>(</m:t>
            </m:r>
            <m:sSup>
              <m:e>
                <m:r>
                  <m:rPr>
                    <m:sty m:val="i"/>
                  </m:rPr>
                  <m:t>s</m:t>
                </m:r>
              </m:e>
              <m:sup>
                <m:r>
                  <m:rPr>
                    <m:sty m:val="i"/>
                  </m:rPr>
                  <m:t>C</m:t>
                </m:r>
              </m:sup>
            </m:sSup>
            <m:r>
              <m:rPr>
                <m:sty m:val="p"/>
              </m:rPr>
              <m:t>,</m:t>
            </m:r>
            <m:sSup>
              <m:e>
                <m:r>
                  <m:rPr>
                    <m:sty m:val="i"/>
                  </m:rPr>
                  <m:t>s</m:t>
                </m:r>
              </m:e>
              <m:sup>
                <m:r>
                  <m:rPr>
                    <m:sty m:val="i"/>
                  </m:rPr>
                  <m:t>C</m:t>
                </m:r>
              </m:sup>
            </m:sSup>
            <m:r>
              <m:rPr>
                <m:sty m:val="p"/>
              </m:rPr>
              <m:t>)</m:t>
            </m:r>
          </m:e>
        </m:box>
      </m:oMath>
      <w:r>
        <w:rPr>
          <w:rFonts w:ascii="Times New Roman" w:hAnsi="Times New Roman" w:eastAsia="宋体"/>
          <w:b w:val="0"/>
          <w:sz w:val="24"/>
        </w:rPr>
        <w:t>下的目标函数值均严格高于纳什均衡</w:t>
      </w:r>
      <m:oMath>
        <m:box>
          <m:e>
            <m:r>
              <m:rPr>
                <m:sty m:val="p"/>
              </m:rPr>
              <m:t>(</m:t>
            </m:r>
            <m:sSubSup>
              <m:e>
                <m:r>
                  <m:rPr>
                    <m:sty m:val="i"/>
                  </m:rPr>
                  <m:t>s</m:t>
                </m:r>
              </m:e>
              <m:sub>
                <m:r>
                  <m:rPr>
                    <m:sty m:val="i"/>
                  </m:rPr>
                  <m:t>B</m:t>
                </m:r>
              </m:sub>
              <m:sup>
                <m:r>
                  <m:rPr>
                    <m:sty m:val="p"/>
                  </m:rPr>
                  <m:t>*</m:t>
                </m:r>
              </m:sup>
            </m:sSubSup>
            <m:r>
              <m:rPr>
                <m:sty m:val="p"/>
              </m:rPr>
              <m:t>,</m:t>
            </m:r>
            <m:sSubSup>
              <m:e>
                <m:r>
                  <m:rPr>
                    <m:sty m:val="i"/>
                  </m:rPr>
                  <m:t>s</m:t>
                </m:r>
              </m:e>
              <m:sub>
                <m:r>
                  <m:rPr>
                    <m:sty m:val="i"/>
                  </m:rPr>
                  <m:t>B</m:t>
                </m:r>
              </m:sub>
              <m:sup>
                <m:r>
                  <m:rPr>
                    <m:sty m:val="p"/>
                  </m:rPr>
                  <m:t>*</m:t>
                </m:r>
              </m:sup>
            </m:sSubSup>
            <m:r>
              <m:rPr>
                <m:sty m:val="p"/>
              </m:rPr>
              <m:t>)</m:t>
            </m:r>
          </m:e>
        </m:box>
      </m:oMath>
      <w:r>
        <w:rPr>
          <w:rFonts w:ascii="Times New Roman" w:hAnsi="Times New Roman" w:eastAsia="宋体"/>
          <w:b w:val="0"/>
          <w:sz w:val="24"/>
        </w:rPr>
        <w:t>，但</w:t>
      </w:r>
      <m:oMath>
        <m:box>
          <m:e>
            <m:r>
              <m:rPr>
                <m:sty m:val="p"/>
              </m:rPr>
              <m:t>(</m:t>
            </m:r>
            <m:sSup>
              <m:e>
                <m:r>
                  <m:rPr>
                    <m:sty m:val="i"/>
                  </m:rPr>
                  <m:t>s</m:t>
                </m:r>
              </m:e>
              <m:sup>
                <m:r>
                  <m:rPr>
                    <m:sty m:val="i"/>
                  </m:rPr>
                  <m:t>C</m:t>
                </m:r>
              </m:sup>
            </m:sSup>
            <m:r>
              <m:rPr>
                <m:sty m:val="p"/>
              </m:rPr>
              <m:t>,</m:t>
            </m:r>
            <m:sSup>
              <m:e>
                <m:r>
                  <m:rPr>
                    <m:sty m:val="i"/>
                  </m:rPr>
                  <m:t>s</m:t>
                </m:r>
              </m:e>
              <m:sup>
                <m:r>
                  <m:rPr>
                    <m:sty m:val="i"/>
                  </m:rPr>
                  <m:t>C</m:t>
                </m:r>
              </m:sup>
            </m:sSup>
            <m:r>
              <m:rPr>
                <m:sty m:val="p"/>
              </m:rPr>
              <m:t>)</m:t>
            </m:r>
          </m:e>
        </m:box>
      </m:oMath>
      <w:r>
        <w:rPr>
          <w:rFonts w:ascii="Times New Roman" w:hAnsi="Times New Roman" w:eastAsia="宋体"/>
          <w:b w:val="0"/>
          <w:sz w:val="24"/>
        </w:rPr>
        <w:t>不可自我维持——给定对方合作，单边加码补贴总是有利的：补贴竞争呈囚徒困境结构；（ii）当</w:t>
      </w:r>
      <m:oMath>
        <m:box>
          <m:e>
            <m:r>
              <m:rPr>
                <m:sty m:val="i"/>
              </m:rPr>
              <m:t>θ</m:t>
            </m:r>
          </m:e>
        </m:box>
      </m:oMath>
      <w:r>
        <w:rPr>
          <w:rFonts w:ascii="Times New Roman" w:hAnsi="Times New Roman" w:eastAsia="宋体"/>
          <w:b w:val="0"/>
          <w:sz w:val="24"/>
        </w:rPr>
        <w:t>超过临界值</w:t>
      </w:r>
      <m:oMath>
        <m:box>
          <m:e>
            <m:groupChr>
              <m:groupChrPr>
                <m:chr m:val="¯"/>
                <m:pos m:val="top"/>
              </m:groupChrPr>
              <m:e>
                <m:box>
                  <m:e>
                    <m:r>
                      <m:rPr>
                        <m:sty m:val="i"/>
                      </m:rPr>
                      <m:t>θ</m:t>
                    </m:r>
                  </m:e>
                </m:box>
              </m:e>
            </m:groupChr>
          </m:e>
        </m:box>
      </m:oMath>
      <w:r>
        <w:rPr>
          <w:rFonts w:ascii="Times New Roman" w:hAnsi="Times New Roman" w:eastAsia="宋体"/>
          <w:b w:val="0"/>
          <w:sz w:val="24"/>
        </w:rPr>
        <w:t>时，均衡价格跌破真实边际成本：福利型权重下</w:t>
      </w:r>
      <m:oMath>
        <m:box>
          <m:e>
            <m:groupChr>
              <m:groupChrPr>
                <m:chr m:val="¯"/>
                <m:pos m:val="top"/>
              </m:groupChrPr>
              <m:e>
                <m:box>
                  <m:e>
                    <m:r>
                      <m:rPr>
                        <m:sty m:val="i"/>
                      </m:rPr>
                      <m:t>θ</m:t>
                    </m:r>
                  </m:e>
                </m:box>
              </m:e>
            </m:groupChr>
            <m:r>
              <m:rPr>
                <m:sty m:val="p"/>
              </m:rPr>
              <m:t>=</m:t>
            </m:r>
            <m:r>
              <m:rPr>
                <m:sty m:val="i"/>
              </m:rPr>
              <m:t>t</m:t>
            </m:r>
            <m:r>
              <m:rPr>
                <m:sty m:val="p"/>
              </m:rPr>
              <m:t>/</m:t>
            </m:r>
            <m:r>
              <m:rPr>
                <m:sty m:val="p"/>
              </m:rPr>
              <m:t>2</m:t>
            </m:r>
          </m:e>
        </m:box>
      </m:oMath>
      <w:r>
        <w:rPr>
          <w:rFonts w:ascii="Times New Roman" w:hAnsi="Times New Roman" w:eastAsia="宋体"/>
          <w:b w:val="0"/>
          <w:sz w:val="24"/>
        </w:rPr>
        <w:t>，由式(4-14)，</w:t>
      </w:r>
      <m:oMath>
        <m:box>
          <m:e>
            <m:sSup>
              <m:e>
                <m:r>
                  <m:rPr>
                    <m:sty m:val="i"/>
                  </m:rPr>
                  <m:t>p</m:t>
                </m:r>
              </m:e>
              <m:sup>
                <m:r>
                  <m:rPr>
                    <m:sty m:val="p"/>
                  </m:rPr>
                  <m:t>*</m:t>
                </m:r>
              </m:sup>
            </m:sSup>
            <m:r>
              <m:rPr>
                <m:sty m:val="p"/>
              </m:rPr>
              <m:t>&lt;</m:t>
            </m:r>
            <m:r>
              <m:rPr>
                <m:sty m:val="i"/>
              </m:rPr>
              <m:t>c</m:t>
            </m:r>
          </m:e>
        </m:box>
      </m:oMath>
      <w:r>
        <w:rPr>
          <w:rFonts w:ascii="Times New Roman" w:hAnsi="Times New Roman" w:eastAsia="宋体"/>
          <w:b w:val="0"/>
          <w:sz w:val="24"/>
        </w:rPr>
        <w:t>当且仅当</w:t>
      </w:r>
      <m:oMath>
        <m:box>
          <m:e>
            <m:r>
              <m:rPr>
                <m:sty m:val="i"/>
              </m:rPr>
              <m:t>θ</m:t>
            </m:r>
            <m:r>
              <m:rPr>
                <m:sty m:val="p"/>
              </m:rPr>
              <m:t>&gt;</m:t>
            </m:r>
            <m:r>
              <m:rPr>
                <m:sty m:val="i"/>
              </m:rPr>
              <m:t>t</m:t>
            </m:r>
            <m:r>
              <m:rPr>
                <m:sty m:val="p"/>
              </m:rPr>
              <m:t>/</m:t>
            </m:r>
            <m:r>
              <m:rPr>
                <m:sty m:val="p"/>
              </m:rPr>
              <m:t>2</m:t>
            </m:r>
          </m:e>
        </m:box>
      </m:oMath>
      <w:r>
        <w:rPr>
          <w:rFonts w:ascii="Times New Roman" w:hAnsi="Times New Roman" w:eastAsia="宋体"/>
          <w:b w:val="0"/>
          <w:sz w:val="24"/>
        </w:rPr>
        <w:t>；锦标赛型权重下</w:t>
      </w:r>
      <m:oMath>
        <m:box>
          <m:e>
            <m:sSup>
              <m:e>
                <m:r>
                  <m:rPr>
                    <m:sty m:val="i"/>
                  </m:rPr>
                  <m:t>p</m:t>
                </m:r>
              </m:e>
              <m:sup>
                <m:r>
                  <m:rPr>
                    <m:sty m:val="p"/>
                  </m:rPr>
                  <m:t>*</m:t>
                </m:r>
              </m:sup>
            </m:sSup>
            <m:r>
              <m:rPr>
                <m:sty m:val="p"/>
              </m:rPr>
              <m:t>−</m:t>
            </m:r>
            <m:r>
              <m:rPr>
                <m:sty m:val="i"/>
              </m:rPr>
              <m:t>c</m:t>
            </m:r>
            <m:r>
              <m:rPr>
                <m:sty m:val="p"/>
              </m:rPr>
              <m:t>=</m:t>
            </m:r>
            <m:r>
              <m:rPr>
                <m:sty m:val="p"/>
              </m:rPr>
              <m:t>(</m:t>
            </m:r>
            <m:r>
              <m:rPr>
                <m:sty m:val="p"/>
              </m:rPr>
              <m:t>5</m:t>
            </m:r>
            <m:r>
              <m:rPr>
                <m:sty m:val="p"/>
              </m:rPr>
              <m:t>(</m:t>
            </m:r>
            <m:r>
              <m:rPr>
                <m:sty m:val="i"/>
              </m:rPr>
              <m:t>a</m:t>
            </m:r>
            <m:r>
              <m:rPr>
                <m:sty m:val="p"/>
              </m:rPr>
              <m:t>−</m:t>
            </m:r>
            <m:r>
              <m:rPr>
                <m:sty m:val="i"/>
              </m:rPr>
              <m:t>c</m:t>
            </m:r>
            <m:r>
              <m:rPr>
                <m:sty m:val="p"/>
              </m:rPr>
              <m:t>)</m:t>
            </m:r>
            <m:r>
              <m:rPr>
                <m:sty m:val="p"/>
              </m:rPr>
              <m:t>+</m:t>
            </m:r>
            <m:r>
              <m:rPr>
                <m:sty m:val="p"/>
              </m:rPr>
              <m:t>2</m:t>
            </m:r>
            <m:r>
              <m:rPr>
                <m:sty m:val="i"/>
              </m:rPr>
              <m:t>t</m:t>
            </m:r>
            <m:r>
              <m:rPr>
                <m:sty m:val="p"/>
              </m:rPr>
              <m:t>−</m:t>
            </m:r>
            <m:r>
              <m:rPr>
                <m:sty m:val="p"/>
              </m:rPr>
              <m:t>4</m:t>
            </m:r>
            <m:r>
              <m:rPr>
                <m:sty m:val="i"/>
              </m:rPr>
              <m:t>θ</m:t>
            </m:r>
            <m:r>
              <m:rPr>
                <m:sty m:val="p"/>
              </m:rPr>
              <m:t>)</m:t>
            </m:r>
            <m:r>
              <m:rPr>
                <m:sty m:val="p"/>
              </m:rPr>
              <m:t>/</m:t>
            </m:r>
            <m:r>
              <m:rPr>
                <m:sty m:val="p"/>
              </m:rPr>
              <m:t>9</m:t>
            </m:r>
          </m:e>
        </m:box>
      </m:oMath>
      <w:r>
        <w:rPr>
          <w:rFonts w:ascii="Times New Roman" w:hAnsi="Times New Roman" w:eastAsia="宋体"/>
          <w:b w:val="0"/>
          <w:sz w:val="24"/>
        </w:rPr>
        <w:t>，相应地</w:t>
      </w:r>
      <m:oMath>
        <m:box>
          <m:e>
            <m:groupChr>
              <m:groupChrPr>
                <m:chr m:val="¯"/>
                <m:pos m:val="top"/>
              </m:groupChrPr>
              <m:e>
                <m:box>
                  <m:e>
                    <m:r>
                      <m:rPr>
                        <m:sty m:val="i"/>
                      </m:rPr>
                      <m:t>θ</m:t>
                    </m:r>
                  </m:e>
                </m:box>
              </m:e>
            </m:groupChr>
            <m:r>
              <m:rPr>
                <m:sty m:val="p"/>
              </m:rPr>
              <m:t>=</m:t>
            </m:r>
            <m:r>
              <m:rPr>
                <m:sty m:val="p"/>
              </m:rPr>
              <m:t>(</m:t>
            </m:r>
            <m:r>
              <m:rPr>
                <m:sty m:val="p"/>
              </m:rPr>
              <m:t>5</m:t>
            </m:r>
            <m:r>
              <m:rPr>
                <m:sty m:val="p"/>
              </m:rPr>
              <m:t>(</m:t>
            </m:r>
            <m:r>
              <m:rPr>
                <m:sty m:val="i"/>
              </m:rPr>
              <m:t>a</m:t>
            </m:r>
            <m:r>
              <m:rPr>
                <m:sty m:val="p"/>
              </m:rPr>
              <m:t>−</m:t>
            </m:r>
            <m:r>
              <m:rPr>
                <m:sty m:val="i"/>
              </m:rPr>
              <m:t>c</m:t>
            </m:r>
            <m:r>
              <m:rPr>
                <m:sty m:val="p"/>
              </m:rPr>
              <m:t>)</m:t>
            </m:r>
            <m:r>
              <m:rPr>
                <m:sty m:val="p"/>
              </m:rPr>
              <m:t>+</m:t>
            </m:r>
            <m:r>
              <m:rPr>
                <m:sty m:val="p"/>
              </m:rPr>
              <m:t>2</m:t>
            </m:r>
            <m:r>
              <m:rPr>
                <m:sty m:val="i"/>
              </m:rPr>
              <m:t>t</m:t>
            </m:r>
            <m:r>
              <m:rPr>
                <m:sty m:val="p"/>
              </m:rPr>
              <m:t>)</m:t>
            </m:r>
            <m:r>
              <m:rPr>
                <m:sty m:val="p"/>
              </m:rPr>
              <m:t>/</m:t>
            </m:r>
            <m:r>
              <m:rPr>
                <m:sty m:val="p"/>
              </m:rPr>
              <m:t>4</m:t>
            </m:r>
          </m:e>
        </m:box>
      </m:oMath>
      <w:r>
        <w:rPr>
          <w:rFonts w:ascii="Times New Roman" w:hAnsi="Times New Roman" w:eastAsia="宋体"/>
          <w:b w:val="0"/>
          <w:sz w:val="24"/>
        </w:rPr>
        <w:t>。</w:t>
      </w:r>
    </w:p>
    <w:p>
      <w:pPr>
        <w:spacing w:before="0" w:after="0" w:line="360" w:lineRule="auto"/>
        <w:ind w:firstLineChars="200" w:firstLine="480"/>
      </w:pPr>
      <w:r>
        <w:rPr>
          <w:rFonts w:ascii="Times New Roman" w:hAnsi="Times New Roman" w:eastAsia="宋体"/>
          <w:b w:val="0"/>
          <w:sz w:val="24"/>
        </w:rPr>
        <w:t>证明思路：（i）沿对角线</w:t>
      </w:r>
      <m:oMath>
        <m:box>
          <m:e>
            <m:sSub>
              <m:e>
                <m:r>
                  <m:rPr>
                    <m:sty m:val="i"/>
                  </m:rPr>
                  <m:t>s</m:t>
                </m:r>
              </m:e>
              <m:sub>
                <m:r>
                  <m:rPr>
                    <m:sty m:val="p"/>
                  </m:rPr>
                  <m:t>1</m:t>
                </m:r>
              </m:sub>
            </m:sSub>
            <m:r>
              <m:rPr>
                <m:sty m:val="p"/>
              </m:rPr>
              <m:t>=</m:t>
            </m:r>
            <m:sSub>
              <m:e>
                <m:r>
                  <m:rPr>
                    <m:sty m:val="i"/>
                  </m:rPr>
                  <m:t>s</m:t>
                </m:r>
              </m:e>
              <m:sub>
                <m:r>
                  <m:rPr>
                    <m:sty m:val="p"/>
                  </m:rPr>
                  <m:t>2</m:t>
                </m:r>
              </m:sub>
            </m:sSub>
            <m:r>
              <m:rPr>
                <m:sty m:val="p"/>
              </m:rPr>
              <m:t>=</m:t>
            </m:r>
            <m:r>
              <m:rPr>
                <m:sty m:val="i"/>
              </m:rPr>
              <m:t>s</m:t>
            </m:r>
          </m:e>
        </m:box>
      </m:oMath>
      <w:r>
        <w:rPr>
          <w:rFonts w:ascii="Times New Roman" w:hAnsi="Times New Roman" w:eastAsia="宋体"/>
          <w:b w:val="0"/>
          <w:sz w:val="24"/>
        </w:rPr>
        <w:t>，</w:t>
      </w:r>
      <m:oMath>
        <m:box>
          <m:e>
            <m:sSub>
              <m:e>
                <m:r>
                  <m:rPr>
                    <m:sty m:val="i"/>
                  </m:rPr>
                  <m:t>W</m:t>
                </m:r>
              </m:e>
              <m:sub>
                <m:r>
                  <m:rPr>
                    <m:sty m:val="i"/>
                  </m:rPr>
                  <m:t>i</m:t>
                </m:r>
              </m:sub>
            </m:sSub>
            <m:r>
              <m:rPr>
                <m:sty m:val="p"/>
              </m:rPr>
              <m:t>(</m:t>
            </m:r>
            <m:r>
              <m:rPr>
                <m:sty m:val="i"/>
              </m:rPr>
              <m:t>s</m:t>
            </m:r>
            <m:r>
              <m:rPr>
                <m:sty m:val="p"/>
              </m:rPr>
              <m:t>,</m:t>
            </m:r>
            <m:r>
              <m:rPr>
                <m:sty m:val="i"/>
              </m:rPr>
              <m:t>s</m:t>
            </m:r>
            <m:r>
              <m:rPr>
                <m:sty m:val="p"/>
              </m:rPr>
              <m:t>)</m:t>
            </m:r>
            <m:r>
              <m:rPr>
                <m:sty m:val="p"/>
              </m:rPr>
              <m:t>=</m:t>
            </m:r>
            <m:r>
              <m:rPr>
                <m:sty m:val="p"/>
              </m:rPr>
              <m:t>(</m:t>
            </m:r>
            <m:r>
              <m:rPr>
                <m:sty m:val="i"/>
              </m:rPr>
              <m:t>θ</m:t>
            </m:r>
            <m:r>
              <m:rPr>
                <m:sty m:val="p"/>
              </m:rPr>
              <m:t>−</m:t>
            </m:r>
            <m:r>
              <m:rPr>
                <m:sty m:val="i"/>
              </m:rPr>
              <m:t>s</m:t>
            </m:r>
            <m:r>
              <m:rPr>
                <m:sty m:val="p"/>
              </m:rPr>
              <m:t>)</m:t>
            </m:r>
            <m:r>
              <m:rPr>
                <m:sty m:val="p"/>
              </m:rPr>
              <m:t>(</m:t>
            </m:r>
            <m:r>
              <m:rPr>
                <m:sty m:val="p"/>
              </m:rPr>
              <m:t>2</m:t>
            </m:r>
            <m:r>
              <m:rPr>
                <m:sty m:val="p"/>
              </m:rPr>
              <m:t>(</m:t>
            </m:r>
            <m:r>
              <m:rPr>
                <m:sty m:val="i"/>
              </m:rPr>
              <m:t>a</m:t>
            </m:r>
            <m:r>
              <m:rPr>
                <m:sty m:val="p"/>
              </m:rPr>
              <m:t>−</m:t>
            </m:r>
            <m:r>
              <m:rPr>
                <m:sty m:val="i"/>
              </m:rPr>
              <m:t>c</m:t>
            </m:r>
            <m:r>
              <m:rPr>
                <m:sty m:val="p"/>
              </m:rPr>
              <m:t>+</m:t>
            </m:r>
            <m:r>
              <m:rPr>
                <m:sty m:val="i"/>
              </m:rPr>
              <m:t>s</m:t>
            </m:r>
            <m:r>
              <m:rPr>
                <m:sty m:val="p"/>
              </m:rPr>
              <m:t>)</m:t>
            </m:r>
            <m:r>
              <m:rPr>
                <m:sty m:val="p"/>
              </m:rPr>
              <m:t>−</m:t>
            </m:r>
            <m:r>
              <m:rPr>
                <m:sty m:val="i"/>
              </m:rPr>
              <m:t>t</m:t>
            </m:r>
            <m:r>
              <m:rPr>
                <m:sty m:val="p"/>
              </m:rPr>
              <m:t>)</m:t>
            </m:r>
            <m:r>
              <m:rPr>
                <m:sty m:val="p"/>
              </m:rPr>
              <m:t>/</m:t>
            </m:r>
            <m:r>
              <m:rPr>
                <m:sty m:val="p"/>
              </m:rPr>
              <m:t>(</m:t>
            </m:r>
            <m:r>
              <m:rPr>
                <m:sty m:val="p"/>
              </m:rPr>
              <m:t>3</m:t>
            </m:r>
            <m:r>
              <m:rPr>
                <m:sty m:val="i"/>
              </m:rPr>
              <m:t>b</m:t>
            </m:r>
            <m:r>
              <m:rPr>
                <m:sty m:val="p"/>
              </m:rPr>
              <m:t>)</m:t>
            </m:r>
          </m:e>
        </m:box>
      </m:oMath>
      <w:r>
        <w:rPr>
          <w:rFonts w:ascii="Times New Roman" w:hAnsi="Times New Roman" w:eastAsia="宋体"/>
          <w:b w:val="0"/>
          <w:sz w:val="24"/>
        </w:rPr>
        <w:t>为</w:t>
      </w:r>
      <m:oMath>
        <m:box>
          <m:e>
            <m:r>
              <m:rPr>
                <m:sty m:val="i"/>
              </m:rPr>
              <m:t>s</m:t>
            </m:r>
          </m:e>
        </m:box>
      </m:oMath>
      <w:r>
        <w:rPr>
          <w:rFonts w:ascii="Times New Roman" w:hAnsi="Times New Roman" w:eastAsia="宋体"/>
          <w:b w:val="0"/>
          <w:sz w:val="24"/>
        </w:rPr>
        <w:t>的凹二次函数，在</w:t>
      </w:r>
      <m:oMath>
        <m:box>
          <m:e>
            <m:sSup>
              <m:e>
                <m:r>
                  <m:rPr>
                    <m:sty m:val="i"/>
                  </m:rPr>
                  <m:t>s</m:t>
                </m:r>
              </m:e>
              <m:sup>
                <m:r>
                  <m:rPr>
                    <m:sty m:val="i"/>
                  </m:rPr>
                  <m:t>C</m:t>
                </m:r>
              </m:sup>
            </m:sSup>
          </m:e>
        </m:box>
      </m:oMath>
      <w:r>
        <w:rPr>
          <w:rFonts w:ascii="Times New Roman" w:hAnsi="Times New Roman" w:eastAsia="宋体"/>
          <w:b w:val="0"/>
          <w:sz w:val="24"/>
        </w:rPr>
        <w:t>处取得最大值，而</w:t>
      </w:r>
      <m:oMath>
        <m:box>
          <m:e>
            <m:sSubSup>
              <m:e>
                <m:r>
                  <m:rPr>
                    <m:sty m:val="i"/>
                  </m:rPr>
                  <m:t>s</m:t>
                </m:r>
              </m:e>
              <m:sub>
                <m:r>
                  <m:rPr>
                    <m:sty m:val="i"/>
                  </m:rPr>
                  <m:t>B</m:t>
                </m:r>
              </m:sub>
              <m:sup>
                <m:r>
                  <m:rPr>
                    <m:sty m:val="p"/>
                  </m:rPr>
                  <m:t>*</m:t>
                </m:r>
              </m:sup>
            </m:sSubSup>
            <m:r>
              <m:rPr>
                <m:sty m:val="p"/>
              </m:rPr>
              <m:t>&gt;</m:t>
            </m:r>
            <m:sSup>
              <m:e>
                <m:r>
                  <m:rPr>
                    <m:sty m:val="i"/>
                  </m:rPr>
                  <m:t>s</m:t>
                </m:r>
              </m:e>
              <m:sup>
                <m:r>
                  <m:rPr>
                    <m:sty m:val="i"/>
                  </m:rPr>
                  <m:t>C</m:t>
                </m:r>
              </m:sup>
            </m:sSup>
          </m:e>
        </m:box>
      </m:oMath>
      <w:r>
        <w:rPr>
          <w:rFonts w:ascii="Times New Roman" w:hAnsi="Times New Roman" w:eastAsia="宋体"/>
          <w:b w:val="0"/>
          <w:sz w:val="24"/>
        </w:rPr>
        <w:t>，故</w:t>
      </w:r>
      <m:oMath>
        <m:box>
          <m:e>
            <m:sSub>
              <m:e>
                <m:r>
                  <m:rPr>
                    <m:sty m:val="i"/>
                  </m:rPr>
                  <m:t>W</m:t>
                </m:r>
              </m:e>
              <m:sub>
                <m:r>
                  <m:rPr>
                    <m:sty m:val="i"/>
                  </m:rPr>
                  <m:t>i</m:t>
                </m:r>
              </m:sub>
            </m:sSub>
            <m:r>
              <m:rPr>
                <m:sty m:val="p"/>
              </m:rPr>
              <m:t>(</m:t>
            </m:r>
            <m:sSubSup>
              <m:e>
                <m:r>
                  <m:rPr>
                    <m:sty m:val="i"/>
                  </m:rPr>
                  <m:t>s</m:t>
                </m:r>
              </m:e>
              <m:sub>
                <m:r>
                  <m:rPr>
                    <m:sty m:val="i"/>
                  </m:rPr>
                  <m:t>B</m:t>
                </m:r>
              </m:sub>
              <m:sup>
                <m:r>
                  <m:rPr>
                    <m:sty m:val="p"/>
                  </m:rPr>
                  <m:t>*</m:t>
                </m:r>
              </m:sup>
            </m:sSubSup>
            <m:r>
              <m:rPr>
                <m:sty m:val="p"/>
              </m:rPr>
              <m:t>,</m:t>
            </m:r>
            <m:sSubSup>
              <m:e>
                <m:r>
                  <m:rPr>
                    <m:sty m:val="i"/>
                  </m:rPr>
                  <m:t>s</m:t>
                </m:r>
              </m:e>
              <m:sub>
                <m:r>
                  <m:rPr>
                    <m:sty m:val="i"/>
                  </m:rPr>
                  <m:t>B</m:t>
                </m:r>
              </m:sub>
              <m:sup>
                <m:r>
                  <m:rPr>
                    <m:sty m:val="p"/>
                  </m:rPr>
                  <m:t>*</m:t>
                </m:r>
              </m:sup>
            </m:sSubSup>
            <m:r>
              <m:rPr>
                <m:sty m:val="p"/>
              </m:rPr>
              <m:t>)</m:t>
            </m:r>
            <m:r>
              <m:rPr>
                <m:sty m:val="p"/>
              </m:rPr>
              <m:t>&lt;</m:t>
            </m:r>
            <m:sSub>
              <m:e>
                <m:r>
                  <m:rPr>
                    <m:sty m:val="i"/>
                  </m:rPr>
                  <m:t>W</m:t>
                </m:r>
              </m:e>
              <m:sub>
                <m:r>
                  <m:rPr>
                    <m:sty m:val="i"/>
                  </m:rPr>
                  <m:t>i</m:t>
                </m:r>
              </m:sub>
            </m:sSub>
            <m:r>
              <m:rPr>
                <m:sty m:val="p"/>
              </m:rPr>
              <m:t>(</m:t>
            </m:r>
            <m:sSup>
              <m:e>
                <m:r>
                  <m:rPr>
                    <m:sty m:val="i"/>
                  </m:rPr>
                  <m:t>s</m:t>
                </m:r>
              </m:e>
              <m:sup>
                <m:r>
                  <m:rPr>
                    <m:sty m:val="i"/>
                  </m:rPr>
                  <m:t>C</m:t>
                </m:r>
              </m:sup>
            </m:sSup>
            <m:r>
              <m:rPr>
                <m:sty m:val="p"/>
              </m:rPr>
              <m:t>,</m:t>
            </m:r>
            <m:sSup>
              <m:e>
                <m:r>
                  <m:rPr>
                    <m:sty m:val="i"/>
                  </m:rPr>
                  <m:t>s</m:t>
                </m:r>
              </m:e>
              <m:sup>
                <m:r>
                  <m:rPr>
                    <m:sty m:val="i"/>
                  </m:rPr>
                  <m:t>C</m:t>
                </m:r>
              </m:sup>
            </m:sSup>
            <m:r>
              <m:rPr>
                <m:sty m:val="p"/>
              </m:rPr>
              <m:t>)</m:t>
            </m:r>
          </m:e>
        </m:box>
      </m:oMath>
      <w:r>
        <w:rPr>
          <w:rFonts w:ascii="Times New Roman" w:hAnsi="Times New Roman" w:eastAsia="宋体"/>
          <w:b w:val="0"/>
          <w:sz w:val="24"/>
        </w:rPr>
        <w:t>；又因反应函数斜率为正且不动点唯一，</w:t>
      </w:r>
      <m:oMath>
        <m:box>
          <m:e>
            <m:sSub>
              <m:e>
                <m:r>
                  <m:rPr>
                    <m:sty m:val="i"/>
                  </m:rPr>
                  <m:t>R</m:t>
                </m:r>
              </m:e>
              <m:sub>
                <m:r>
                  <m:rPr>
                    <m:sty m:val="i"/>
                  </m:rPr>
                  <m:t>i</m:t>
                </m:r>
              </m:sub>
            </m:sSub>
            <m:r>
              <m:rPr>
                <m:sty m:val="p"/>
              </m:rPr>
              <m:t>(</m:t>
            </m:r>
            <m:sSup>
              <m:e>
                <m:r>
                  <m:rPr>
                    <m:sty m:val="i"/>
                  </m:rPr>
                  <m:t>s</m:t>
                </m:r>
              </m:e>
              <m:sup>
                <m:r>
                  <m:rPr>
                    <m:sty m:val="i"/>
                  </m:rPr>
                  <m:t>C</m:t>
                </m:r>
              </m:sup>
            </m:sSup>
            <m:r>
              <m:rPr>
                <m:sty m:val="p"/>
              </m:rPr>
              <m:t>)</m:t>
            </m:r>
            <m:r>
              <m:rPr>
                <m:sty m:val="p"/>
              </m:rPr>
              <m:t>&gt;</m:t>
            </m:r>
            <m:sSup>
              <m:e>
                <m:r>
                  <m:rPr>
                    <m:sty m:val="i"/>
                  </m:rPr>
                  <m:t>s</m:t>
                </m:r>
              </m:e>
              <m:sup>
                <m:r>
                  <m:rPr>
                    <m:sty m:val="i"/>
                  </m:rPr>
                  <m:t>C</m:t>
                </m:r>
              </m:sup>
            </m:sSup>
          </m:e>
        </m:box>
      </m:oMath>
      <w:r>
        <w:rPr>
          <w:rFonts w:ascii="Times New Roman" w:hAnsi="Times New Roman" w:eastAsia="宋体"/>
          <w:b w:val="0"/>
          <w:sz w:val="24"/>
        </w:rPr>
        <w:t>，偏离激励存在。（ii）将均衡补贴代入式(4-8)即得。证毕。</w:t>
      </w:r>
    </w:p>
    <w:p>
      <w:pPr>
        <w:spacing w:before="0" w:after="0" w:line="360" w:lineRule="auto"/>
        <w:ind w:firstLineChars="200" w:firstLine="480"/>
      </w:pPr>
      <w:r>
        <w:rPr>
          <w:rFonts w:ascii="Times New Roman" w:hAnsi="Times New Roman" w:eastAsia="宋体"/>
          <w:b w:val="0"/>
          <w:sz w:val="24"/>
        </w:rPr>
        <w:t>命题4-2刻画了“内卷式”竞争最具辨识度的特征事实——价格向成本线以下收敛——的政策根源：当补贴以政治溢价为动机且超过临界强度时，企业的含补贴有效成本被压到真实成本之下，古诺均衡价格随之跌破</w:t>
      </w:r>
      <m:oMath>
        <m:box>
          <m:e>
            <m:r>
              <m:rPr>
                <m:sty m:val="i"/>
              </m:rPr>
              <m:t>c</m:t>
            </m:r>
          </m:e>
        </m:box>
      </m:oMath>
      <w:r>
        <w:rPr>
          <w:rFonts w:ascii="Times New Roman" w:hAnsi="Times New Roman" w:eastAsia="宋体"/>
          <w:b w:val="0"/>
          <w:sz w:val="24"/>
        </w:rPr>
        <w:t>；企业账面并不亏损（补贴弥补了价差），但从全社会看，每一单位产出都在毁灭价值。两地政府都明白联合停止补贴可以双双改善，却谁也不敢先停——这正是2024年中央经济工作会议以来反复强调“综合整治‘内卷式’竞争，规范地方政府和企业行为”所针对的集体行动困境：破解囚徒困境不能依靠地方自觉，只能依靠中央层面的规则约束。补贴竞争的策略结构可以在反应函数图上直观呈现（见图4.1）。</w:t>
      </w:r>
    </w:p>
    <w:p>
      <w:pPr>
        <w:spacing w:before="120"/>
        <w:jc w:val="center"/>
      </w:pPr>
      <w:r>
        <w:drawing>
          <wp:inline xmlns:a="http://schemas.openxmlformats.org/drawingml/2006/main" xmlns:pic="http://schemas.openxmlformats.org/drawingml/2006/picture">
            <wp:extent cx="5112000" cy="3683296"/>
            <wp:docPr id="7" name="Picture 7"/>
            <wp:cNvGraphicFramePr>
              <a:graphicFrameLocks noChangeAspect="1"/>
            </wp:cNvGraphicFramePr>
            <a:graphic>
              <a:graphicData uri="http://schemas.openxmlformats.org/drawingml/2006/picture">
                <pic:pic>
                  <pic:nvPicPr>
                    <pic:cNvPr id="0" name="fig_4_1.png"/>
                    <pic:cNvPicPr/>
                  </pic:nvPicPr>
                  <pic:blipFill>
                    <a:blip r:embed="rId15"/>
                    <a:stretch>
                      <a:fillRect/>
                    </a:stretch>
                  </pic:blipFill>
                  <pic:spPr>
                    <a:xfrm>
                      <a:off x="0" y="0"/>
                      <a:ext cx="5112000" cy="3683296"/>
                    </a:xfrm>
                    <a:prstGeom prst="rect"/>
                  </pic:spPr>
                </pic:pic>
              </a:graphicData>
            </a:graphic>
          </wp:inline>
        </w:drawing>
      </w:r>
    </w:p>
    <w:p>
      <w:pPr>
        <w:spacing w:before="120" w:after="120" w:line="312" w:lineRule="auto"/>
        <w:jc w:val="center"/>
      </w:pPr>
      <w:r>
        <w:rPr>
          <w:rFonts w:ascii="Times New Roman" w:hAnsi="Times New Roman" w:eastAsia="黑体"/>
          <w:b w:val="0"/>
          <w:sz w:val="21"/>
        </w:rPr>
        <w:t>图4.1　补贴竞争的反应函数与均衡</w:t>
      </w:r>
    </w:p>
    <w:p>
      <w:pPr>
        <w:spacing w:before="0" w:after="0" w:line="360" w:lineRule="auto"/>
        <w:ind w:firstLineChars="200" w:firstLine="480"/>
      </w:pPr>
      <w:r>
        <w:rPr>
          <w:rFonts w:ascii="Times New Roman" w:hAnsi="Times New Roman" w:eastAsia="宋体"/>
          <w:b w:val="0"/>
          <w:sz w:val="24"/>
        </w:rPr>
        <w:t>图4.1绘出了锦标赛型权重下两地政府的补贴反应线：横轴为地区1补贴</w:t>
      </w:r>
      <m:oMath>
        <m:box>
          <m:e>
            <m:sSub>
              <m:e>
                <m:r>
                  <m:rPr>
                    <m:sty m:val="i"/>
                  </m:rPr>
                  <m:t>s</m:t>
                </m:r>
              </m:e>
              <m:sub>
                <m:r>
                  <m:rPr>
                    <m:sty m:val="p"/>
                  </m:rPr>
                  <m:t>1</m:t>
                </m:r>
              </m:sub>
            </m:sSub>
          </m:e>
        </m:box>
      </m:oMath>
      <w:r>
        <w:rPr>
          <w:rFonts w:ascii="Times New Roman" w:hAnsi="Times New Roman" w:eastAsia="宋体"/>
          <w:b w:val="0"/>
          <w:sz w:val="24"/>
        </w:rPr>
        <w:t>，纵轴为地区2补贴</w:t>
      </w:r>
      <m:oMath>
        <m:box>
          <m:e>
            <m:sSub>
              <m:e>
                <m:r>
                  <m:rPr>
                    <m:sty m:val="i"/>
                  </m:rPr>
                  <m:t>s</m:t>
                </m:r>
              </m:e>
              <m:sub>
                <m:r>
                  <m:rPr>
                    <m:sty m:val="p"/>
                  </m:rPr>
                  <m:t>2</m:t>
                </m:r>
              </m:sub>
            </m:sSub>
          </m:e>
        </m:box>
      </m:oMath>
      <w:r>
        <w:rPr>
          <w:rFonts w:ascii="Times New Roman" w:hAnsi="Times New Roman" w:eastAsia="宋体"/>
          <w:b w:val="0"/>
          <w:sz w:val="24"/>
        </w:rPr>
        <w:t>，实线为地区1的反应函数</w:t>
      </w:r>
      <m:oMath>
        <m:box>
          <m:e>
            <m:sSub>
              <m:e>
                <m:r>
                  <m:rPr>
                    <m:sty m:val="i"/>
                  </m:rPr>
                  <m:t>R</m:t>
                </m:r>
              </m:e>
              <m:sub>
                <m:r>
                  <m:rPr>
                    <m:sty m:val="p"/>
                  </m:rPr>
                  <m:t>1</m:t>
                </m:r>
              </m:sub>
            </m:sSub>
            <m:r>
              <m:rPr>
                <m:sty m:val="p"/>
              </m:rPr>
              <m:t>(</m:t>
            </m:r>
            <m:sSub>
              <m:e>
                <m:r>
                  <m:rPr>
                    <m:sty m:val="i"/>
                  </m:rPr>
                  <m:t>s</m:t>
                </m:r>
              </m:e>
              <m:sub>
                <m:r>
                  <m:rPr>
                    <m:sty m:val="p"/>
                  </m:rPr>
                  <m:t>2</m:t>
                </m:r>
              </m:sub>
            </m:sSub>
            <m:r>
              <m:rPr>
                <m:sty m:val="p"/>
              </m:rPr>
              <m:t>)</m:t>
            </m:r>
          </m:e>
        </m:box>
      </m:oMath>
      <w:r>
        <w:rPr>
          <w:rFonts w:ascii="Times New Roman" w:hAnsi="Times New Roman" w:eastAsia="宋体"/>
          <w:b w:val="0"/>
          <w:sz w:val="24"/>
        </w:rPr>
        <w:t>，虚线为地区2的反应函数</w:t>
      </w:r>
      <m:oMath>
        <m:box>
          <m:e>
            <m:sSub>
              <m:e>
                <m:r>
                  <m:rPr>
                    <m:sty m:val="i"/>
                  </m:rPr>
                  <m:t>R</m:t>
                </m:r>
              </m:e>
              <m:sub>
                <m:r>
                  <m:rPr>
                    <m:sty m:val="p"/>
                  </m:rPr>
                  <m:t>2</m:t>
                </m:r>
              </m:sub>
            </m:sSub>
            <m:r>
              <m:rPr>
                <m:sty m:val="p"/>
              </m:rPr>
              <m:t>(</m:t>
            </m:r>
            <m:sSub>
              <m:e>
                <m:r>
                  <m:rPr>
                    <m:sty m:val="i"/>
                  </m:rPr>
                  <m:t>s</m:t>
                </m:r>
              </m:e>
              <m:sub>
                <m:r>
                  <m:rPr>
                    <m:sty m:val="p"/>
                  </m:rPr>
                  <m:t>1</m:t>
                </m:r>
              </m:sub>
            </m:sSub>
            <m:r>
              <m:rPr>
                <m:sty m:val="p"/>
              </m:rPr>
              <m:t>)</m:t>
            </m:r>
          </m:e>
        </m:box>
      </m:oMath>
      <w:r>
        <w:rPr>
          <w:rFonts w:ascii="Times New Roman" w:hAnsi="Times New Roman" w:eastAsia="宋体"/>
          <w:b w:val="0"/>
          <w:sz w:val="24"/>
        </w:rPr>
        <w:t>。两条反应线均向上倾斜，直观呈现了补贴的策略互补性：任何一方加码，另一方的最优回应亦是加码。两线交点</w:t>
      </w:r>
      <m:oMath>
        <m:box>
          <m:e>
            <m:r>
              <m:rPr>
                <m:sty m:val="i"/>
              </m:rPr>
              <m:t>E</m:t>
            </m:r>
          </m:e>
        </m:box>
      </m:oMath>
      <w:r>
        <w:rPr>
          <w:rFonts w:ascii="Times New Roman" w:hAnsi="Times New Roman" w:eastAsia="宋体"/>
          <w:b w:val="0"/>
          <w:sz w:val="24"/>
        </w:rPr>
        <w:t>即纳什均衡</w:t>
      </w:r>
      <m:oMath>
        <m:box>
          <m:e>
            <m:r>
              <m:rPr>
                <m:sty m:val="p"/>
              </m:rPr>
              <m:t>(</m:t>
            </m:r>
            <m:sSup>
              <m:e>
                <m:r>
                  <m:rPr>
                    <m:sty m:val="i"/>
                  </m:rPr>
                  <m:t>s</m:t>
                </m:r>
              </m:e>
              <m:sup>
                <m:r>
                  <m:rPr>
                    <m:sty m:val="p"/>
                  </m:rPr>
                  <m:t>*</m:t>
                </m:r>
              </m:sup>
            </m:sSup>
            <m:r>
              <m:rPr>
                <m:sty m:val="p"/>
              </m:rPr>
              <m:t>,</m:t>
            </m:r>
            <m:sSup>
              <m:e>
                <m:r>
                  <m:rPr>
                    <m:sty m:val="i"/>
                  </m:rPr>
                  <m:t>s</m:t>
                </m:r>
              </m:e>
              <m:sup>
                <m:r>
                  <m:rPr>
                    <m:sty m:val="p"/>
                  </m:rPr>
                  <m:t>*</m:t>
                </m:r>
              </m:sup>
            </m:sSup>
            <m:r>
              <m:rPr>
                <m:sty m:val="p"/>
              </m:rPr>
              <m:t>)</m:t>
            </m:r>
          </m:e>
        </m:box>
      </m:oMath>
      <w:r>
        <w:rPr>
          <w:rFonts w:ascii="Times New Roman" w:hAnsi="Times New Roman" w:eastAsia="宋体"/>
          <w:b w:val="0"/>
          <w:sz w:val="24"/>
        </w:rPr>
        <w:t>，位于图中对角连线的右上端；而合作最优点</w:t>
      </w:r>
      <m:oMath>
        <m:box>
          <m:e>
            <m:r>
              <m:rPr>
                <m:sty m:val="i"/>
              </m:rPr>
              <m:t>O</m:t>
            </m:r>
          </m:e>
        </m:box>
      </m:oMath>
      <w:r>
        <w:rPr>
          <w:rFonts w:ascii="Times New Roman" w:hAnsi="Times New Roman" w:eastAsia="宋体"/>
          <w:b w:val="0"/>
          <w:sz w:val="24"/>
        </w:rPr>
        <w:t>位于原点——在图示参数下（</w:t>
      </w:r>
      <m:oMath>
        <m:box>
          <m:e>
            <m:r>
              <m:rPr>
                <m:sty m:val="i"/>
              </m:rPr>
              <m:t>θ</m:t>
            </m:r>
          </m:e>
        </m:box>
      </m:oMath>
      <w:r>
        <w:rPr>
          <w:rFonts w:ascii="Times New Roman" w:hAnsi="Times New Roman" w:eastAsia="宋体"/>
          <w:b w:val="0"/>
          <w:sz w:val="24"/>
        </w:rPr>
        <w:t>处于</w:t>
      </w:r>
      <m:oMath>
        <m:box>
          <m:e>
            <m:sSub>
              <m:e>
                <m:r>
                  <m:rPr>
                    <m:sty m:val="i"/>
                  </m:rPr>
                  <m:t>θ</m:t>
                </m:r>
              </m:e>
              <m:sub>
                <m:r>
                  <m:rPr>
                    <m:sty m:val="p"/>
                  </m:rPr>
                  <m:t>0</m:t>
                </m:r>
              </m:sub>
            </m:sSub>
          </m:e>
        </m:box>
      </m:oMath>
      <w:r>
        <w:rPr>
          <w:rFonts w:ascii="Times New Roman" w:hAnsi="Times New Roman" w:eastAsia="宋体"/>
          <w:b w:val="0"/>
          <w:sz w:val="24"/>
        </w:rPr>
        <w:t>与</w:t>
      </w:r>
      <m:oMath>
        <m:box>
          <m:e>
            <m:sSub>
              <m:e>
                <m:r>
                  <m:rPr>
                    <m:sty m:val="i"/>
                  </m:rPr>
                  <m:t>θ</m:t>
                </m:r>
              </m:e>
              <m:sub>
                <m:r>
                  <m:rPr>
                    <m:sty m:val="p"/>
                  </m:rPr>
                  <m:t>1</m:t>
                </m:r>
              </m:sub>
            </m:sSub>
          </m:e>
        </m:box>
      </m:oMath>
      <w:r>
        <w:rPr>
          <w:rFonts w:ascii="Times New Roman" w:hAnsi="Times New Roman" w:eastAsia="宋体"/>
          <w:b w:val="0"/>
          <w:sz w:val="24"/>
        </w:rPr>
        <w:t>之间），联合目标最大化要求彻底取消补贴，属于非负约束下的角点解。从</w:t>
      </w:r>
      <m:oMath>
        <m:box>
          <m:e>
            <m:r>
              <m:rPr>
                <m:sty m:val="i"/>
              </m:rPr>
              <m:t>O</m:t>
            </m:r>
          </m:e>
        </m:box>
      </m:oMath>
      <w:r>
        <w:rPr>
          <w:rFonts w:ascii="Times New Roman" w:hAnsi="Times New Roman" w:eastAsia="宋体"/>
          <w:b w:val="0"/>
          <w:sz w:val="24"/>
        </w:rPr>
        <w:t>到</w:t>
      </w:r>
      <m:oMath>
        <m:box>
          <m:e>
            <m:r>
              <m:rPr>
                <m:sty m:val="i"/>
              </m:rPr>
              <m:t>E</m:t>
            </m:r>
          </m:e>
        </m:box>
      </m:oMath>
      <w:r>
        <w:rPr>
          <w:rFonts w:ascii="Times New Roman" w:hAnsi="Times New Roman" w:eastAsia="宋体"/>
          <w:b w:val="0"/>
          <w:sz w:val="24"/>
        </w:rPr>
        <w:t>的距离刻画了补贴竞争的“升级幅度”：从合作点出发，地区1先单边偏离至其反应线，地区2随之跟进，如此沿两条反应线交替攀升、直至收敛于</w:t>
      </w:r>
      <m:oMath>
        <m:box>
          <m:e>
            <m:r>
              <m:rPr>
                <m:sty m:val="i"/>
              </m:rPr>
              <m:t>E</m:t>
            </m:r>
          </m:e>
        </m:box>
      </m:oMath>
      <w:r>
        <w:rPr>
          <w:rFonts w:ascii="Times New Roman" w:hAnsi="Times New Roman" w:eastAsia="宋体"/>
          <w:b w:val="0"/>
          <w:sz w:val="24"/>
        </w:rPr>
        <w:t>点，这一动态调整路径正是现实中招商引资优惠层层加码、比价竞争轮番升级的模型对应物。图形同时表明，任何试图停留在</w:t>
      </w:r>
      <m:oMath>
        <m:box>
          <m:e>
            <m:r>
              <m:rPr>
                <m:sty m:val="i"/>
              </m:rPr>
              <m:t>E</m:t>
            </m:r>
          </m:e>
        </m:box>
      </m:oMath>
      <w:r>
        <w:rPr>
          <w:rFonts w:ascii="Times New Roman" w:hAnsi="Times New Roman" w:eastAsia="宋体"/>
          <w:b w:val="0"/>
          <w:sz w:val="24"/>
        </w:rPr>
        <w:t>点左下方的自律性约定，都会被单边偏离的激励所瓦解，除非存在外生的、可置信的规则强制。</w:t>
      </w:r>
    </w:p>
    <w:p>
      <w:pPr>
        <w:spacing w:before="160" w:after="120" w:line="360" w:lineRule="auto"/>
        <w:outlineLvl w:val="2"/>
      </w:pPr>
      <w:r>
        <w:rPr>
          <w:rFonts w:ascii="Times New Roman" w:hAnsi="Times New Roman" w:eastAsia="黑体"/>
          <w:b w:val="0"/>
          <w:sz w:val="24"/>
        </w:rPr>
        <w:t>4．比较静态：市场分割如何加剧补贴竞争</w:t>
      </w:r>
    </w:p>
    <w:p>
      <w:pPr>
        <w:spacing w:before="0" w:after="0" w:line="360" w:lineRule="auto"/>
        <w:ind w:firstLineChars="200" w:firstLine="480"/>
      </w:pPr>
      <w:r>
        <w:rPr>
          <w:rFonts w:ascii="Times New Roman" w:hAnsi="Times New Roman" w:eastAsia="宋体"/>
          <w:b w:val="0"/>
          <w:sz w:val="24"/>
        </w:rPr>
        <w:t>现在考察本节的核心比较静态：分割参数</w:t>
      </w:r>
      <m:oMath>
        <m:box>
          <m:e>
            <m:r>
              <m:rPr>
                <m:sty m:val="i"/>
              </m:rPr>
              <m:t>τ</m:t>
            </m:r>
          </m:e>
        </m:box>
      </m:oMath>
      <w:r>
        <w:rPr>
          <w:rFonts w:ascii="Times New Roman" w:hAnsi="Times New Roman" w:eastAsia="宋体"/>
          <w:b w:val="0"/>
          <w:sz w:val="24"/>
        </w:rPr>
        <w:t>（等价地</w:t>
      </w:r>
      <m:oMath>
        <m:box>
          <m:e>
            <m:r>
              <m:rPr>
                <m:sty m:val="i"/>
              </m:rPr>
              <m:t>t</m:t>
            </m:r>
          </m:e>
        </m:box>
      </m:oMath>
      <w:r>
        <w:rPr>
          <w:rFonts w:ascii="Times New Roman" w:hAnsi="Times New Roman" w:eastAsia="宋体"/>
          <w:b w:val="0"/>
          <w:sz w:val="24"/>
        </w:rPr>
        <w:t>）如何影响均衡补贴强度。对式(4-13)求偏导，并利用</w:t>
      </w:r>
      <m:oMath>
        <m:box>
          <m:e>
            <m:r>
              <m:rPr>
                <m:sty m:val="i"/>
              </m:rPr>
              <m:t>t</m:t>
            </m:r>
            <m:r>
              <m:rPr>
                <m:sty m:val="p"/>
              </m:rPr>
              <m:t>=</m:t>
            </m:r>
            <m:r>
              <m:rPr>
                <m:sty m:val="p"/>
              </m:rPr>
              <m:t>(</m:t>
            </m:r>
            <m:r>
              <m:rPr>
                <m:sty m:val="i"/>
              </m:rPr>
              <m:t>τ</m:t>
            </m:r>
            <m:r>
              <m:rPr>
                <m:sty m:val="p"/>
              </m:rPr>
              <m:t>−</m:t>
            </m:r>
            <m:r>
              <m:rPr>
                <m:sty m:val="p"/>
              </m:rPr>
              <m:t>1</m:t>
            </m:r>
            <m:r>
              <m:rPr>
                <m:sty m:val="p"/>
              </m:rPr>
              <m:t>)</m:t>
            </m:r>
            <m:r>
              <m:rPr>
                <m:sty m:val="i"/>
              </m:rPr>
              <m:t>c</m:t>
            </m:r>
          </m:e>
        </m:box>
      </m:oMath>
      <w:r>
        <w:rPr>
          <w:rFonts w:ascii="Times New Roman" w:hAnsi="Times New Roman" w:eastAsia="宋体"/>
          <w:b w:val="0"/>
          <w:sz w:val="24"/>
        </w:rPr>
        <w:t>，得</w:t>
      </w:r>
      <m:oMath>
        <m:box>
          <m:e>
            <m:r>
              <m:rPr>
                <m:sty m:val="p"/>
              </m:rPr>
              <m:t>∂</m:t>
            </m:r>
            <m:sSup>
              <m:e>
                <m:r>
                  <m:rPr>
                    <m:sty m:val="i"/>
                  </m:rPr>
                  <m:t>s</m:t>
                </m:r>
              </m:e>
              <m:sup>
                <m:r>
                  <m:rPr>
                    <m:sty m:val="p"/>
                  </m:rPr>
                  <m:t>*</m:t>
                </m:r>
              </m:sup>
            </m:sSup>
            <m:r>
              <m:rPr>
                <m:sty m:val="p"/>
              </m:rPr>
              <m:t>/</m:t>
            </m:r>
            <m:r>
              <m:rPr>
                <m:sty m:val="p"/>
              </m:rPr>
              <m:t>∂</m:t>
            </m:r>
            <m:r>
              <m:rPr>
                <m:sty m:val="i"/>
              </m:rPr>
              <m:t>t</m:t>
            </m:r>
            <m:r>
              <m:rPr>
                <m:sty m:val="p"/>
              </m:rPr>
              <m:t>=</m:t>
            </m:r>
            <m:r>
              <m:rPr>
                <m:sty m:val="p"/>
              </m:rPr>
              <m:t>−</m:t>
            </m:r>
            <m:r>
              <m:rPr>
                <m:sty m:val="i"/>
              </m:rPr>
              <m:t>m</m:t>
            </m:r>
            <m:r>
              <m:rPr>
                <m:sty m:val="p"/>
              </m:rPr>
              <m:t>/</m:t>
            </m:r>
            <m:r>
              <m:rPr>
                <m:sty m:val="p"/>
              </m:rPr>
              <m:t>(</m:t>
            </m:r>
            <m:r>
              <m:rPr>
                <m:sty m:val="p"/>
              </m:rPr>
              <m:t>2</m:t>
            </m:r>
            <m:r>
              <m:rPr>
                <m:sty m:val="p"/>
              </m:rPr>
              <m:t>(</m:t>
            </m:r>
            <m:r>
              <m:rPr>
                <m:sty m:val="p"/>
              </m:rPr>
              <m:t>9</m:t>
            </m:r>
            <m:r>
              <m:rPr>
                <m:sty m:val="p"/>
              </m:rPr>
              <m:t>−</m:t>
            </m:r>
            <m:r>
              <m:rPr>
                <m:sty m:val="i"/>
              </m:rPr>
              <m:t>α</m:t>
            </m:r>
            <m:r>
              <m:rPr>
                <m:sty m:val="p"/>
              </m:rPr>
              <m:t>−</m:t>
            </m:r>
            <m:r>
              <m:rPr>
                <m:sty m:val="p"/>
              </m:rPr>
              <m:t>4</m:t>
            </m:r>
            <m:r>
              <m:rPr>
                <m:sty m:val="i"/>
              </m:rPr>
              <m:t>β</m:t>
            </m:r>
            <m:r>
              <m:rPr>
                <m:sty m:val="p"/>
              </m:rPr>
              <m:t>)</m:t>
            </m:r>
            <m:r>
              <m:rPr>
                <m:sty m:val="p"/>
              </m:rPr>
              <m:t>)</m:t>
            </m:r>
          </m:e>
        </m:box>
      </m:oMath>
      <w:r>
        <w:rPr>
          <w:rFonts w:ascii="Times New Roman" w:hAnsi="Times New Roman" w:eastAsia="宋体"/>
          <w:b w:val="0"/>
          <w:sz w:val="24"/>
        </w:rPr>
        <w:t>，从而</w:t>
      </w:r>
      <m:oMath>
        <m:box>
          <m:e>
            <m:r>
              <m:rPr>
                <m:sty m:val="p"/>
              </m:rPr>
              <m:t>∂</m:t>
            </m:r>
            <m:sSup>
              <m:e>
                <m:r>
                  <m:rPr>
                    <m:sty m:val="i"/>
                  </m:rPr>
                  <m:t>s</m:t>
                </m:r>
              </m:e>
              <m:sup>
                <m:r>
                  <m:rPr>
                    <m:sty m:val="p"/>
                  </m:rPr>
                  <m:t>*</m:t>
                </m:r>
              </m:sup>
            </m:sSup>
            <m:r>
              <m:rPr>
                <m:sty m:val="p"/>
              </m:rPr>
              <m:t>/</m:t>
            </m:r>
            <m:r>
              <m:rPr>
                <m:sty m:val="p"/>
              </m:rPr>
              <m:t>∂</m:t>
            </m:r>
            <m:r>
              <m:rPr>
                <m:sty m:val="i"/>
              </m:rPr>
              <m:t>τ</m:t>
            </m:r>
            <m:r>
              <m:rPr>
                <m:sty m:val="p"/>
              </m:rPr>
              <m:t>=</m:t>
            </m:r>
            <m:r>
              <m:rPr>
                <m:sty m:val="p"/>
              </m:rPr>
              <m:t>−</m:t>
            </m:r>
            <m:r>
              <m:rPr>
                <m:sty m:val="i"/>
              </m:rPr>
              <m:t>m</m:t>
            </m:r>
            <m:r>
              <m:rPr>
                <m:sty m:val="i"/>
              </m:rPr>
              <m:t>c</m:t>
            </m:r>
            <m:r>
              <m:rPr>
                <m:sty m:val="p"/>
              </m:rPr>
              <m:t>/</m:t>
            </m:r>
            <m:r>
              <m:rPr>
                <m:sty m:val="p"/>
              </m:rPr>
              <m:t>(</m:t>
            </m:r>
            <m:r>
              <m:rPr>
                <m:sty m:val="p"/>
              </m:rPr>
              <m:t>2</m:t>
            </m:r>
            <m:r>
              <m:rPr>
                <m:sty m:val="p"/>
              </m:rPr>
              <m:t>(</m:t>
            </m:r>
            <m:r>
              <m:rPr>
                <m:sty m:val="p"/>
              </m:rPr>
              <m:t>9</m:t>
            </m:r>
            <m:r>
              <m:rPr>
                <m:sty m:val="p"/>
              </m:rPr>
              <m:t>−</m:t>
            </m:r>
            <m:r>
              <m:rPr>
                <m:sty m:val="i"/>
              </m:rPr>
              <m:t>α</m:t>
            </m:r>
            <m:r>
              <m:rPr>
                <m:sty m:val="p"/>
              </m:rPr>
              <m:t>−</m:t>
            </m:r>
            <m:r>
              <m:rPr>
                <m:sty m:val="p"/>
              </m:rPr>
              <m:t>4</m:t>
            </m:r>
            <m:r>
              <m:rPr>
                <m:sty m:val="i"/>
              </m:rPr>
              <m:t>β</m:t>
            </m:r>
            <m:r>
              <m:rPr>
                <m:sty m:val="p"/>
              </m:rPr>
              <m:t>)</m:t>
            </m:r>
            <m:r>
              <m:rPr>
                <m:sty m:val="p"/>
              </m:rPr>
              <m:t>)</m:t>
            </m:r>
          </m:e>
        </m:box>
      </m:oMath>
      <w:r>
        <w:rPr>
          <w:rFonts w:ascii="Times New Roman" w:hAnsi="Times New Roman" w:eastAsia="宋体"/>
          <w:b w:val="0"/>
          <w:sz w:val="24"/>
        </w:rPr>
        <w:t>。其符号完全由权重复合参数</w:t>
      </w:r>
      <m:oMath>
        <m:box>
          <m:e>
            <m:r>
              <m:rPr>
                <m:sty m:val="i"/>
              </m:rPr>
              <m:t>m</m:t>
            </m:r>
          </m:e>
        </m:box>
      </m:oMath>
      <w:r>
        <w:rPr>
          <w:rFonts w:ascii="Times New Roman" w:hAnsi="Times New Roman" w:eastAsia="宋体"/>
          <w:b w:val="0"/>
          <w:sz w:val="24"/>
        </w:rPr>
        <w:t>决定，由此得到：</w:t>
      </w:r>
    </w:p>
    <w:p>
      <w:pPr>
        <w:spacing w:before="0" w:after="0" w:line="360" w:lineRule="auto"/>
        <w:ind w:firstLineChars="200" w:firstLine="480"/>
      </w:pPr>
      <w:r>
        <w:rPr>
          <w:rFonts w:ascii="Times New Roman" w:hAnsi="Times New Roman" w:eastAsia="宋体"/>
          <w:b/>
          <w:sz w:val="24"/>
        </w:rPr>
        <w:t>命题4-3（市场分割加剧补贴竞争的条件）</w:t>
      </w:r>
      <w:r>
        <w:rPr>
          <w:rFonts w:ascii="Times New Roman" w:hAnsi="Times New Roman" w:eastAsia="宋体"/>
          <w:b w:val="0"/>
          <w:sz w:val="24"/>
        </w:rPr>
        <w:t xml:space="preserve">　（i）当且仅当</w:t>
      </w:r>
      <m:oMath>
        <m:box>
          <m:e>
            <m:r>
              <m:rPr>
                <m:sty m:val="i"/>
              </m:rPr>
              <m:t>m</m:t>
            </m:r>
            <m:r>
              <m:rPr>
                <m:sty m:val="p"/>
              </m:rPr>
              <m:t>&lt;</m:t>
            </m:r>
            <m:r>
              <m:rPr>
                <m:sty m:val="p"/>
              </m:rPr>
              <m:t>0</m:t>
            </m:r>
          </m:e>
        </m:box>
      </m:oMath>
      <w:r>
        <w:rPr>
          <w:rFonts w:ascii="Times New Roman" w:hAnsi="Times New Roman" w:eastAsia="宋体"/>
          <w:b w:val="0"/>
          <w:sz w:val="24"/>
        </w:rPr>
        <w:t>，即</w:t>
      </w:r>
      <m:oMath>
        <m:box>
          <m:e>
            <m:r>
              <m:rPr>
                <m:sty m:val="i"/>
              </m:rPr>
              <m:t>α</m:t>
            </m:r>
            <m:r>
              <m:rPr>
                <m:sty m:val="p"/>
              </m:rPr>
              <m:t>+</m:t>
            </m:r>
            <m:r>
              <m:rPr>
                <m:sty m:val="p"/>
              </m:rPr>
              <m:t>4</m:t>
            </m:r>
            <m:r>
              <m:rPr>
                <m:sty m:val="i"/>
              </m:rPr>
              <m:t>β</m:t>
            </m:r>
            <m:r>
              <m:rPr>
                <m:sty m:val="p"/>
              </m:rPr>
              <m:t>&lt;</m:t>
            </m:r>
            <m:r>
              <m:rPr>
                <m:sty m:val="p"/>
              </m:rPr>
              <m:t>3</m:t>
            </m:r>
          </m:e>
        </m:box>
      </m:oMath>
      <w:r>
        <w:rPr>
          <w:rFonts w:ascii="Times New Roman" w:hAnsi="Times New Roman" w:eastAsia="宋体"/>
          <w:b w:val="0"/>
          <w:sz w:val="24"/>
        </w:rPr>
        <w:t>时，</w:t>
      </w:r>
      <m:oMath>
        <m:box>
          <m:e>
            <m:r>
              <m:rPr>
                <m:sty m:val="p"/>
              </m:rPr>
              <m:t>∂</m:t>
            </m:r>
            <m:sSup>
              <m:e>
                <m:r>
                  <m:rPr>
                    <m:sty m:val="i"/>
                  </m:rPr>
                  <m:t>s</m:t>
                </m:r>
              </m:e>
              <m:sup>
                <m:r>
                  <m:rPr>
                    <m:sty m:val="p"/>
                  </m:rPr>
                  <m:t>*</m:t>
                </m:r>
              </m:sup>
            </m:sSup>
            <m:r>
              <m:rPr>
                <m:sty m:val="p"/>
              </m:rPr>
              <m:t>/</m:t>
            </m:r>
            <m:r>
              <m:rPr>
                <m:sty m:val="p"/>
              </m:rPr>
              <m:t>∂</m:t>
            </m:r>
            <m:r>
              <m:rPr>
                <m:sty m:val="i"/>
              </m:rPr>
              <m:t>τ</m:t>
            </m:r>
            <m:r>
              <m:rPr>
                <m:sty m:val="p"/>
              </m:rPr>
              <m:t>&gt;</m:t>
            </m:r>
            <m:r>
              <m:rPr>
                <m:sty m:val="p"/>
              </m:rPr>
              <m:t>0</m:t>
            </m:r>
          </m:e>
        </m:box>
      </m:oMath>
      <w:r>
        <w:rPr>
          <w:rFonts w:ascii="Times New Roman" w:hAnsi="Times New Roman" w:eastAsia="宋体"/>
          <w:b w:val="0"/>
          <w:sz w:val="24"/>
        </w:rPr>
        <w:t>：市场分割程度越高，均衡补贴强度越高；在锦标赛型权重下该条件自动满足，且</w:t>
      </w:r>
      <m:oMath>
        <m:box>
          <m:e>
            <m:r>
              <m:rPr>
                <m:sty m:val="p"/>
              </m:rPr>
              <m:t>∂</m:t>
            </m:r>
            <m:sSup>
              <m:e>
                <m:r>
                  <m:rPr>
                    <m:sty m:val="i"/>
                  </m:rPr>
                  <m:t>s</m:t>
                </m:r>
              </m:e>
              <m:sup>
                <m:r>
                  <m:rPr>
                    <m:sty m:val="p"/>
                  </m:rPr>
                  <m:t>*</m:t>
                </m:r>
              </m:sup>
            </m:sSup>
            <m:r>
              <m:rPr>
                <m:sty m:val="p"/>
              </m:rPr>
              <m:t>/</m:t>
            </m:r>
            <m:r>
              <m:rPr>
                <m:sty m:val="p"/>
              </m:rPr>
              <m:t>∂</m:t>
            </m:r>
            <m:r>
              <m:rPr>
                <m:sty m:val="i"/>
              </m:rPr>
              <m:t>τ</m:t>
            </m:r>
            <m:r>
              <m:rPr>
                <m:sty m:val="p"/>
              </m:rPr>
              <m:t>=</m:t>
            </m:r>
            <m:r>
              <m:rPr>
                <m:sty m:val="i"/>
              </m:rPr>
              <m:t>c</m:t>
            </m:r>
            <m:r>
              <m:rPr>
                <m:sty m:val="p"/>
              </m:rPr>
              <m:t>/</m:t>
            </m:r>
            <m:r>
              <m:rPr>
                <m:sty m:val="p"/>
              </m:rPr>
              <m:t>6</m:t>
            </m:r>
            <m:r>
              <m:rPr>
                <m:sty m:val="p"/>
              </m:rPr>
              <m:t>&gt;</m:t>
            </m:r>
            <m:r>
              <m:rPr>
                <m:sty m:val="p"/>
              </m:rPr>
              <m:t>0</m:t>
            </m:r>
          </m:e>
        </m:box>
      </m:oMath>
      <w:r>
        <w:rPr>
          <w:rFonts w:ascii="Times New Roman" w:hAnsi="Times New Roman" w:eastAsia="宋体"/>
          <w:b w:val="0"/>
          <w:sz w:val="24"/>
        </w:rPr>
        <w:t>。（ii）当</w:t>
      </w:r>
      <m:oMath>
        <m:box>
          <m:e>
            <m:r>
              <m:rPr>
                <m:sty m:val="i"/>
              </m:rPr>
              <m:t>β</m:t>
            </m:r>
            <m:r>
              <m:rPr>
                <m:sty m:val="p"/>
              </m:rPr>
              <m:t>&lt;</m:t>
            </m:r>
            <m:r>
              <m:rPr>
                <m:sty m:val="p"/>
              </m:rPr>
              <m:t>(</m:t>
            </m:r>
            <m:r>
              <m:rPr>
                <m:sty m:val="p"/>
              </m:rPr>
              <m:t>6</m:t>
            </m:r>
            <m:r>
              <m:rPr>
                <m:sty m:val="p"/>
              </m:rPr>
              <m:t>+</m:t>
            </m:r>
            <m:r>
              <m:rPr>
                <m:sty m:val="i"/>
              </m:rPr>
              <m:t>α</m:t>
            </m:r>
            <m:r>
              <m:rPr>
                <m:sty m:val="p"/>
              </m:rPr>
              <m:t>)</m:t>
            </m:r>
            <m:r>
              <m:rPr>
                <m:sty m:val="p"/>
              </m:rPr>
              <m:t>/</m:t>
            </m:r>
            <m:r>
              <m:rPr>
                <m:sty m:val="p"/>
              </m:rPr>
              <m:t>8</m:t>
            </m:r>
          </m:e>
        </m:box>
      </m:oMath>
      <w:r>
        <w:rPr>
          <w:rFonts w:ascii="Times New Roman" w:hAnsi="Times New Roman" w:eastAsia="宋体"/>
          <w:b w:val="0"/>
          <w:sz w:val="24"/>
        </w:rPr>
        <w:t>时，补贴反应线向上倾斜，补贴竞争呈策略互补的攀比结构，分割诱发的补贴上调会被对方的跟进反应进一步放大。（iii）反之，在福利型权重下（</w:t>
      </w:r>
      <m:oMath>
        <m:box>
          <m:e>
            <m:r>
              <m:rPr>
                <m:sty m:val="i"/>
              </m:rPr>
              <m:t>m</m:t>
            </m:r>
            <m:r>
              <m:rPr>
                <m:sty m:val="p"/>
              </m:rPr>
              <m:t>=</m:t>
            </m:r>
            <m:r>
              <m:rPr>
                <m:sty m:val="p"/>
              </m:rPr>
              <m:t>2</m:t>
            </m:r>
          </m:e>
        </m:box>
      </m:oMath>
      <w:r>
        <w:rPr>
          <w:rFonts w:ascii="Times New Roman" w:hAnsi="Times New Roman" w:eastAsia="宋体"/>
          <w:b w:val="0"/>
          <w:sz w:val="24"/>
        </w:rPr>
        <w:t>），</w:t>
      </w:r>
      <m:oMath>
        <m:box>
          <m:e>
            <m:r>
              <m:rPr>
                <m:sty m:val="p"/>
              </m:rPr>
              <m:t>∂</m:t>
            </m:r>
            <m:sSup>
              <m:e>
                <m:r>
                  <m:rPr>
                    <m:sty m:val="i"/>
                  </m:rPr>
                  <m:t>s</m:t>
                </m:r>
              </m:e>
              <m:sup>
                <m:r>
                  <m:rPr>
                    <m:sty m:val="p"/>
                  </m:rPr>
                  <m:t>*</m:t>
                </m:r>
              </m:sup>
            </m:sSup>
            <m:r>
              <m:rPr>
                <m:sty m:val="p"/>
              </m:rPr>
              <m:t>/</m:t>
            </m:r>
            <m:r>
              <m:rPr>
                <m:sty m:val="p"/>
              </m:rPr>
              <m:t>∂</m:t>
            </m:r>
            <m:r>
              <m:rPr>
                <m:sty m:val="i"/>
              </m:rPr>
              <m:t>τ</m:t>
            </m:r>
            <m:r>
              <m:rPr>
                <m:sty m:val="p"/>
              </m:rPr>
              <m:t>&lt;</m:t>
            </m:r>
            <m:r>
              <m:rPr>
                <m:sty m:val="p"/>
              </m:rPr>
              <m:t>0</m:t>
            </m:r>
          </m:e>
        </m:box>
      </m:oMath>
      <w:r>
        <w:rPr>
          <w:rFonts w:ascii="Times New Roman" w:hAnsi="Times New Roman" w:eastAsia="宋体"/>
          <w:b w:val="0"/>
          <w:sz w:val="24"/>
        </w:rPr>
        <w:t>，分割反而弱化补贴竞争。</w:t>
      </w:r>
    </w:p>
    <w:p>
      <w:pPr>
        <w:spacing w:before="0" w:after="0" w:line="360" w:lineRule="auto"/>
        <w:ind w:firstLineChars="200" w:firstLine="480"/>
      </w:pPr>
      <w:r>
        <w:rPr>
          <w:rFonts w:ascii="Times New Roman" w:hAnsi="Times New Roman" w:eastAsia="宋体"/>
          <w:b w:val="0"/>
          <w:sz w:val="24"/>
        </w:rPr>
        <w:t>证明思路：对式(4-13)关于</w:t>
      </w:r>
      <m:oMath>
        <m:box>
          <m:e>
            <m:r>
              <m:rPr>
                <m:sty m:val="i"/>
              </m:rPr>
              <m:t>t</m:t>
            </m:r>
          </m:e>
        </m:box>
      </m:oMath>
      <w:r>
        <w:rPr>
          <w:rFonts w:ascii="Times New Roman" w:hAnsi="Times New Roman" w:eastAsia="宋体"/>
          <w:b w:val="0"/>
          <w:sz w:val="24"/>
        </w:rPr>
        <w:t>求导即得(i)；(ii)由式(4-12)斜率的符号条件直接得到；(iii)为(i)的对偶情形。证毕。</w:t>
      </w:r>
    </w:p>
    <w:p>
      <w:pPr>
        <w:spacing w:before="0" w:after="0" w:line="360" w:lineRule="auto"/>
        <w:ind w:firstLineChars="200" w:firstLine="480"/>
      </w:pPr>
      <w:r>
        <w:rPr>
          <w:rFonts w:ascii="Times New Roman" w:hAnsi="Times New Roman" w:eastAsia="宋体"/>
          <w:b w:val="0"/>
          <w:sz w:val="24"/>
        </w:rPr>
        <w:t>命题4-3是本章第一个直接对应实证假说的结果，其直觉可以分三层来理解。第一层是补贴的“基数效应”：由式(4-6)、(4-7)，分割缩小了本地企业的总销量基数</w:t>
      </w:r>
      <m:oMath>
        <m:box>
          <m:e>
            <m:sSub>
              <m:e>
                <m:r>
                  <m:rPr>
                    <m:sty m:val="i"/>
                  </m:rPr>
                  <m:t>X</m:t>
                </m:r>
              </m:e>
              <m:sub>
                <m:r>
                  <m:rPr>
                    <m:sty m:val="i"/>
                  </m:rPr>
                  <m:t>i</m:t>
                </m:r>
              </m:sub>
            </m:sSub>
          </m:e>
        </m:box>
      </m:oMath>
      <w:r>
        <w:rPr>
          <w:rFonts w:ascii="Times New Roman" w:hAnsi="Times New Roman" w:eastAsia="宋体"/>
          <w:b w:val="0"/>
          <w:sz w:val="24"/>
        </w:rPr>
        <w:t>（跨区销量的萎缩超过本地销量的扩张），而补贴支出等于单价乘以基数；对以产值为目标的政府而言，基数越小，把补贴单价再抬高一档的边际财政代价越低，产值扩张的“性价比”越高，故最优补贴更高。第二层是策略互补的放大：在锦标赛权重下，一方因分割而加码，另一方沿向上倾斜的反应线跟进，均衡补贴的最终升幅超过初始冲击。第三层最为关键：命题4-3(i)与(iii)的对照表明，市场分割本身并不必然引发补贴大战——只有当分割与偏向产值的激励扭曲相耦合（</w:t>
      </w:r>
      <m:oMath>
        <m:box>
          <m:e>
            <m:r>
              <m:rPr>
                <m:sty m:val="i"/>
              </m:rPr>
              <m:t>α</m:t>
            </m:r>
            <m:r>
              <m:rPr>
                <m:sty m:val="p"/>
              </m:rPr>
              <m:t>+</m:t>
            </m:r>
            <m:r>
              <m:rPr>
                <m:sty m:val="p"/>
              </m:rPr>
              <m:t>4</m:t>
            </m:r>
            <m:r>
              <m:rPr>
                <m:sty m:val="i"/>
              </m:rPr>
              <m:t>β</m:t>
            </m:r>
            <m:r>
              <m:rPr>
                <m:sty m:val="p"/>
              </m:rPr>
              <m:t>&lt;</m:t>
            </m:r>
            <m:r>
              <m:rPr>
                <m:sty m:val="p"/>
              </m:rPr>
              <m:t>3</m:t>
            </m:r>
          </m:e>
        </m:box>
      </m:oMath>
      <w:r>
        <w:rPr>
          <w:rFonts w:ascii="Times New Roman" w:hAnsi="Times New Roman" w:eastAsia="宋体"/>
          <w:b w:val="0"/>
          <w:sz w:val="24"/>
        </w:rPr>
        <w:t>）时，分割才成为补贴竞争的放大器。这一“耦合论”与本书第三章四重扭曲相互叠加的机理判断在数理上完全一致，也提示治理“内卷”必须制度组合发力：既要拆壁垒（降</w:t>
      </w:r>
      <m:oMath>
        <m:box>
          <m:e>
            <m:r>
              <m:rPr>
                <m:sty m:val="i"/>
              </m:rPr>
              <m:t>τ</m:t>
            </m:r>
          </m:e>
        </m:box>
      </m:oMath>
      <w:r>
        <w:rPr>
          <w:rFonts w:ascii="Times New Roman" w:hAnsi="Times New Roman" w:eastAsia="宋体"/>
          <w:b w:val="0"/>
          <w:sz w:val="24"/>
        </w:rPr>
        <w:t>），也要改考核（降</w:t>
      </w:r>
      <m:oMath>
        <m:box>
          <m:e>
            <m:r>
              <m:rPr>
                <m:sty m:val="i"/>
              </m:rPr>
              <m:t>λ</m:t>
            </m:r>
          </m:e>
        </m:box>
      </m:oMath>
      <w:r>
        <w:rPr>
          <w:rFonts w:ascii="Times New Roman" w:hAnsi="Times New Roman" w:eastAsia="宋体"/>
          <w:b w:val="0"/>
          <w:sz w:val="24"/>
        </w:rPr>
        <w:t>）、调财税（降</w:t>
      </w:r>
      <m:oMath>
        <m:box>
          <m:e>
            <m:sSub>
              <m:e>
                <m:r>
                  <m:rPr>
                    <m:sty m:val="i"/>
                  </m:rPr>
                  <m:t>t</m:t>
                </m:r>
              </m:e>
              <m:sub>
                <m:r>
                  <m:rPr>
                    <m:sty m:val="i"/>
                  </m:rPr>
                  <m:t>v</m:t>
                </m:r>
              </m:sub>
            </m:sSub>
          </m:e>
        </m:box>
      </m:oMath>
      <w:r>
        <w:rPr>
          <w:rFonts w:ascii="Times New Roman" w:hAnsi="Times New Roman" w:eastAsia="宋体"/>
          <w:b w:val="0"/>
          <w:sz w:val="24"/>
        </w:rPr>
        <w:t>），单兵突进难以奏效。</w:t>
      </w:r>
    </w:p>
    <w:p>
      <w:pPr>
        <w:spacing w:before="0" w:after="0" w:line="360" w:lineRule="auto"/>
        <w:ind w:firstLineChars="200" w:firstLine="480"/>
      </w:pPr>
      <w:r>
        <w:rPr>
          <w:rFonts w:ascii="Times New Roman" w:hAnsi="Times New Roman" w:eastAsia="宋体"/>
          <w:b w:val="0"/>
          <w:sz w:val="24"/>
        </w:rPr>
        <w:t>还需说明基准模型的一个诚实的边界：在企业数量固定的双寡头结构下，分割会软化区域内的数量竞争，均衡价格—成本边际随</w:t>
      </w:r>
      <m:oMath>
        <m:box>
          <m:e>
            <m:r>
              <m:rPr>
                <m:sty m:val="i"/>
              </m:rPr>
              <m:t>t</m:t>
            </m:r>
          </m:e>
        </m:box>
      </m:oMath>
      <w:r>
        <w:rPr>
          <w:rFonts w:ascii="Times New Roman" w:hAnsi="Times New Roman" w:eastAsia="宋体"/>
          <w:b w:val="0"/>
          <w:sz w:val="24"/>
        </w:rPr>
        <w:t>上升而扩大（式(4-14)），因而“分割直接压低价格、加剧价格内卷”在本节框架内并不成立。分割对“内卷”的实质性贡献，一是经由命题4-3的补贴强度渠道，二是经由下一节将要刻画的进入边际——分割使同一产业在各区域重复布局、企业数量系统性过多，这才是“内卷式”竞争的主战场。概括本节：基准模型证明了补贴竞争均衡的存在性与囚徒困境性质（命题4-1、4-2），并给出了分割加剧补贴竞争的权重条件（命题4-3），为第八章检验补贴中介渠道（假说H2）提供了结构基础。</w:t>
      </w:r>
    </w:p>
    <w:p>
      <w:pPr>
        <w:spacing w:before="200" w:after="160" w:line="360" w:lineRule="auto"/>
        <w:outlineLvl w:val="1"/>
      </w:pPr>
      <w:r>
        <w:rPr>
          <w:rFonts w:ascii="Times New Roman" w:hAnsi="Times New Roman" w:eastAsia="黑体"/>
          <w:b w:val="0"/>
          <w:sz w:val="28"/>
        </w:rPr>
        <w:t>（二）扩展模型Ⅰ：分割市场中的过度进入与“内卷均衡”</w:t>
      </w:r>
    </w:p>
    <w:p>
      <w:pPr>
        <w:spacing w:before="160" w:after="120" w:line="360" w:lineRule="auto"/>
        <w:outlineLvl w:val="2"/>
      </w:pPr>
      <w:r>
        <w:rPr>
          <w:rFonts w:ascii="Times New Roman" w:hAnsi="Times New Roman" w:eastAsia="黑体"/>
          <w:b w:val="0"/>
          <w:sz w:val="24"/>
        </w:rPr>
        <w:t>1．区域分割市场中的Salop竞争</w:t>
      </w:r>
    </w:p>
    <w:p>
      <w:pPr>
        <w:spacing w:before="0" w:after="0" w:line="360" w:lineRule="auto"/>
        <w:ind w:firstLineChars="200" w:firstLine="480"/>
      </w:pPr>
      <w:r>
        <w:rPr>
          <w:rFonts w:ascii="Times New Roman" w:hAnsi="Times New Roman" w:eastAsia="宋体"/>
          <w:b w:val="0"/>
          <w:sz w:val="24"/>
        </w:rPr>
        <w:t>基准模型固定了企业数量，而中国重点行业“内卷”的突出表现恰恰是进入边际上的失控：一个产业前景形成社会共识后，各地企业在地方政府助推下成批涌入，事前谁也不掌握全国在建产能的总量信息，事后则集体陷入过剩——这正是“潮涌现象”所刻画的发展中国家产业升级的典型情境（林毅夫，2007）。潮涌理论进一步指出，在企业对行业前景有共识而对进入者总数缺乏信息的条件下，分散决策会系统性地导致事后产能过剩（林毅夫等，2010）。本节将这一洞见与市场分割相连接：分割不仅本身缩小了单个市场的规模，还使“信息缺失”问题按区域数倍增——每个区域都以本地市场为盘子测算可容纳的企业数，全国加总便系统性过多。为刻画进入边际，本节采用空间差异化的Salop圆周模型（Salop，1979），它比同质品古诺框架更贴近“同质化竞争但存在少量横向差异”的现实行业形态，且能给出社会最优企业数的明确基准（Mankiw和Whinston，1986）。</w:t>
      </w:r>
    </w:p>
    <w:p>
      <w:pPr>
        <w:spacing w:before="0" w:after="0" w:line="360" w:lineRule="auto"/>
        <w:ind w:firstLineChars="200" w:firstLine="480"/>
      </w:pPr>
      <w:r>
        <w:rPr>
          <w:rFonts w:ascii="Times New Roman" w:hAnsi="Times New Roman" w:eastAsia="宋体"/>
          <w:b w:val="0"/>
          <w:sz w:val="24"/>
        </w:rPr>
        <w:t>设定如下：全国市场由测度为</w:t>
      </w:r>
      <m:oMath>
        <m:box>
          <m:e>
            <m:r>
              <m:rPr>
                <m:sty m:val="i"/>
              </m:rPr>
              <m:t>S</m:t>
            </m:r>
          </m:e>
        </m:box>
      </m:oMath>
      <w:r>
        <w:rPr>
          <w:rFonts w:ascii="Times New Roman" w:hAnsi="Times New Roman" w:eastAsia="宋体"/>
          <w:b w:val="0"/>
          <w:sz w:val="24"/>
        </w:rPr>
        <w:t>的消费者构成，因行政边界与地方保护被分割为</w:t>
      </w:r>
      <m:oMath>
        <m:box>
          <m:e>
            <m:r>
              <m:rPr>
                <m:sty m:val="i"/>
              </m:rPr>
              <m:t>N</m:t>
            </m:r>
          </m:e>
        </m:box>
      </m:oMath>
      <w:r>
        <w:rPr>
          <w:rFonts w:ascii="Times New Roman" w:hAnsi="Times New Roman" w:eastAsia="宋体"/>
          <w:b w:val="0"/>
          <w:sz w:val="24"/>
        </w:rPr>
        <w:t>个相互封闭的子市场（</w:t>
      </w:r>
      <m:oMath>
        <m:box>
          <m:e>
            <m:r>
              <m:rPr>
                <m:sty m:val="i"/>
              </m:rPr>
              <m:t>τ</m:t>
            </m:r>
          </m:e>
        </m:box>
      </m:oMath>
      <w:r>
        <w:rPr>
          <w:rFonts w:ascii="Times New Roman" w:hAnsi="Times New Roman" w:eastAsia="宋体"/>
          <w:b w:val="0"/>
          <w:sz w:val="24"/>
        </w:rPr>
        <w:t>足够高以致跨区销售无利可图的极端情形，便于聚焦进入边际），每个子市场的消费者测度为</w:t>
      </w:r>
      <m:oMath>
        <m:box>
          <m:e>
            <m:r>
              <m:rPr>
                <m:sty m:val="i"/>
              </m:rPr>
              <m:t>L</m:t>
            </m:r>
            <m:r>
              <m:rPr>
                <m:sty m:val="p"/>
              </m:rPr>
              <m:t>=</m:t>
            </m:r>
            <m:r>
              <m:rPr>
                <m:sty m:val="i"/>
              </m:rPr>
              <m:t>S</m:t>
            </m:r>
            <m:r>
              <m:rPr>
                <m:sty m:val="p"/>
              </m:rPr>
              <m:t>/</m:t>
            </m:r>
            <m:r>
              <m:rPr>
                <m:sty m:val="i"/>
              </m:rPr>
              <m:t>N</m:t>
            </m:r>
          </m:e>
        </m:box>
      </m:oMath>
      <w:r>
        <w:rPr>
          <w:rFonts w:ascii="Times New Roman" w:hAnsi="Times New Roman" w:eastAsia="宋体"/>
          <w:b w:val="0"/>
          <w:sz w:val="24"/>
        </w:rPr>
        <w:t>。在每个子市场内，产品空间为周长为1的圆周，消费者沿圆周均匀分布，每人非弹性地购买一单位产品，购买距离自己</w:t>
      </w:r>
      <m:oMath>
        <m:box>
          <m:e>
            <m:r>
              <m:rPr>
                <m:sty m:val="i"/>
              </m:rPr>
              <m:t>x</m:t>
            </m:r>
          </m:e>
        </m:box>
      </m:oMath>
      <w:r>
        <w:rPr>
          <w:rFonts w:ascii="Times New Roman" w:hAnsi="Times New Roman" w:eastAsia="宋体"/>
          <w:b w:val="0"/>
          <w:sz w:val="24"/>
        </w:rPr>
        <w:t>处的品种需承担错配成本</w:t>
      </w:r>
      <m:oMath>
        <m:box>
          <m:e>
            <m:sSub>
              <m:e>
                <m:r>
                  <m:rPr>
                    <m:sty m:val="i"/>
                  </m:rPr>
                  <m:t>t</m:t>
                </m:r>
              </m:e>
              <m:sub>
                <m:r>
                  <m:rPr>
                    <m:sty m:val="i"/>
                  </m:rPr>
                  <m:t>d</m:t>
                </m:r>
              </m:sub>
            </m:sSub>
            <m:r>
              <m:rPr>
                <m:sty m:val="i"/>
              </m:rPr>
              <m:t>x</m:t>
            </m:r>
          </m:e>
        </m:box>
      </m:oMath>
      <w:r>
        <w:rPr>
          <w:rFonts w:ascii="Times New Roman" w:hAnsi="Times New Roman" w:eastAsia="宋体"/>
          <w:b w:val="0"/>
          <w:sz w:val="24"/>
        </w:rPr>
        <w:t>，</w:t>
      </w:r>
      <m:oMath>
        <m:box>
          <m:e>
            <m:sSub>
              <m:e>
                <m:r>
                  <m:rPr>
                    <m:sty m:val="i"/>
                  </m:rPr>
                  <m:t>t</m:t>
                </m:r>
              </m:e>
              <m:sub>
                <m:r>
                  <m:rPr>
                    <m:sty m:val="i"/>
                  </m:rPr>
                  <m:t>d</m:t>
                </m:r>
              </m:sub>
            </m:sSub>
          </m:e>
        </m:box>
      </m:oMath>
      <w:r>
        <w:rPr>
          <w:rFonts w:ascii="Times New Roman" w:hAnsi="Times New Roman" w:eastAsia="宋体"/>
          <w:b w:val="0"/>
          <w:sz w:val="24"/>
        </w:rPr>
        <w:t>度量产品的横向差异化程度。企业进入需一次性投入固定成本</w:t>
      </w:r>
      <m:oMath>
        <m:box>
          <m:e>
            <m:r>
              <m:rPr>
                <m:sty m:val="i"/>
              </m:rPr>
              <m:t>F</m:t>
            </m:r>
          </m:e>
        </m:box>
      </m:oMath>
      <w:r>
        <w:rPr>
          <w:rFonts w:ascii="Times New Roman" w:hAnsi="Times New Roman" w:eastAsia="宋体"/>
          <w:b w:val="0"/>
          <w:sz w:val="24"/>
        </w:rPr>
        <w:t>（土地、厂房、产线），进入后以不变边际成本</w:t>
      </w:r>
      <m:oMath>
        <m:box>
          <m:e>
            <m:r>
              <m:rPr>
                <m:sty m:val="i"/>
              </m:rPr>
              <m:t>c</m:t>
            </m:r>
          </m:e>
        </m:box>
      </m:oMath>
      <w:r>
        <w:rPr>
          <w:rFonts w:ascii="Times New Roman" w:hAnsi="Times New Roman" w:eastAsia="宋体"/>
          <w:b w:val="0"/>
          <w:sz w:val="24"/>
        </w:rPr>
        <w:t>生产，</w:t>
      </w:r>
      <m:oMath>
        <m:box>
          <m:e>
            <m:r>
              <m:rPr>
                <m:sty m:val="i"/>
              </m:rPr>
              <m:t>n</m:t>
            </m:r>
          </m:e>
        </m:box>
      </m:oMath>
      <w:r>
        <w:rPr>
          <w:rFonts w:ascii="Times New Roman" w:hAnsi="Times New Roman" w:eastAsia="宋体"/>
          <w:b w:val="0"/>
          <w:sz w:val="24"/>
        </w:rPr>
        <w:t>家进入企业在圆周上等距分布并同时定价。考虑对称价格均衡：设某企业定价</w:t>
      </w:r>
      <m:oMath>
        <m:box>
          <m:e>
            <m:sSub>
              <m:e>
                <m:r>
                  <m:rPr>
                    <m:sty m:val="i"/>
                  </m:rPr>
                  <m:t>p</m:t>
                </m:r>
              </m:e>
              <m:sub>
                <m:r>
                  <m:rPr>
                    <m:sty m:val="i"/>
                  </m:rPr>
                  <m:t>i</m:t>
                </m:r>
              </m:sub>
            </m:sSub>
          </m:e>
        </m:box>
      </m:oMath>
      <w:r>
        <w:rPr>
          <w:rFonts w:ascii="Times New Roman" w:hAnsi="Times New Roman" w:eastAsia="宋体"/>
          <w:b w:val="0"/>
          <w:sz w:val="24"/>
        </w:rPr>
        <w:t>、相邻企业均定价</w:t>
      </w:r>
      <m:oMath>
        <m:box>
          <m:e>
            <m:groupChr>
              <m:groupChrPr>
                <m:chr m:val="¯"/>
                <m:pos m:val="top"/>
              </m:groupChrPr>
              <m:e>
                <m:box>
                  <m:e>
                    <m:r>
                      <m:rPr>
                        <m:sty m:val="i"/>
                      </m:rPr>
                      <m:t>p</m:t>
                    </m:r>
                  </m:e>
                </m:box>
              </m:e>
            </m:groupChr>
          </m:e>
        </m:box>
      </m:oMath>
      <w:r>
        <w:rPr>
          <w:rFonts w:ascii="Times New Roman" w:hAnsi="Times New Roman" w:eastAsia="宋体"/>
          <w:b w:val="0"/>
          <w:sz w:val="24"/>
        </w:rPr>
        <w:t>，与两侧邻居无差异的边际消费者位置由</w:t>
      </w:r>
      <m:oMath>
        <m:box>
          <m:e>
            <m:sSub>
              <m:e>
                <m:r>
                  <m:rPr>
                    <m:sty m:val="i"/>
                  </m:rPr>
                  <m:t>p</m:t>
                </m:r>
              </m:e>
              <m:sub>
                <m:r>
                  <m:rPr>
                    <m:sty m:val="i"/>
                  </m:rPr>
                  <m:t>i</m:t>
                </m:r>
              </m:sub>
            </m:sSub>
            <m:r>
              <m:rPr>
                <m:sty m:val="p"/>
              </m:rPr>
              <m:t>+</m:t>
            </m:r>
            <m:sSub>
              <m:e>
                <m:r>
                  <m:rPr>
                    <m:sty m:val="i"/>
                  </m:rPr>
                  <m:t>t</m:t>
                </m:r>
              </m:e>
              <m:sub>
                <m:r>
                  <m:rPr>
                    <m:sty m:val="i"/>
                  </m:rPr>
                  <m:t>d</m:t>
                </m:r>
              </m:sub>
            </m:sSub>
            <m:r>
              <m:rPr>
                <m:sty m:val="i"/>
              </m:rPr>
              <m:t>x</m:t>
            </m:r>
            <m:r>
              <m:rPr>
                <m:sty m:val="p"/>
              </m:rPr>
              <m:t>=</m:t>
            </m:r>
            <m:groupChr>
              <m:groupChrPr>
                <m:chr m:val="¯"/>
                <m:pos m:val="top"/>
              </m:groupChrPr>
              <m:e>
                <m:box>
                  <m:e>
                    <m:r>
                      <m:rPr>
                        <m:sty m:val="i"/>
                      </m:rPr>
                      <m:t>p</m:t>
                    </m:r>
                  </m:e>
                </m:box>
              </m:e>
            </m:groupChr>
            <m:r>
              <m:rPr>
                <m:sty m:val="p"/>
              </m:rPr>
              <m:t>+</m:t>
            </m:r>
            <m:sSub>
              <m:e>
                <m:r>
                  <m:rPr>
                    <m:sty m:val="i"/>
                  </m:rPr>
                  <m:t>t</m:t>
                </m:r>
              </m:e>
              <m:sub>
                <m:r>
                  <m:rPr>
                    <m:sty m:val="i"/>
                  </m:rPr>
                  <m:t>d</m:t>
                </m:r>
              </m:sub>
            </m:sSub>
            <m:r>
              <m:rPr>
                <m:sty m:val="p"/>
              </m:rPr>
              <m:t>(</m:t>
            </m:r>
            <m:r>
              <m:rPr>
                <m:sty m:val="p"/>
              </m:rPr>
              <m:t>1</m:t>
            </m:r>
            <m:r>
              <m:rPr>
                <m:sty m:val="p"/>
              </m:rPr>
              <m:t>/</m:t>
            </m:r>
            <m:r>
              <m:rPr>
                <m:sty m:val="i"/>
              </m:rPr>
              <m:t>n</m:t>
            </m:r>
            <m:r>
              <m:rPr>
                <m:sty m:val="p"/>
              </m:rPr>
              <m:t>−</m:t>
            </m:r>
            <m:r>
              <m:rPr>
                <m:sty m:val="i"/>
              </m:rPr>
              <m:t>x</m:t>
            </m:r>
            <m:r>
              <m:rPr>
                <m:sty m:val="p"/>
              </m:rPr>
              <m:t>)</m:t>
            </m:r>
          </m:e>
        </m:box>
      </m:oMath>
      <w:r>
        <w:rPr>
          <w:rFonts w:ascii="Times New Roman" w:hAnsi="Times New Roman" w:eastAsia="宋体"/>
          <w:b w:val="0"/>
          <w:sz w:val="24"/>
        </w:rPr>
        <w:t>决定，故企业面临的需求为：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q</m:t>
                </m:r>
              </m:e>
              <m:sub>
                <m:r>
                  <m:rPr>
                    <m:sty m:val="i"/>
                  </m:rPr>
                  <m:t>i</m:t>
                </m:r>
              </m:sub>
            </m:sSub>
            <m:r>
              <m:rPr>
                <m:sty m:val="p"/>
              </m:rPr>
              <m:t>=</m:t>
            </m:r>
            <m:r>
              <m:rPr>
                <m:sty m:val="i"/>
              </m:rPr>
              <m:t>L</m:t>
            </m:r>
            <m:r>
              <m:rPr>
                <m:sty m:val="p"/>
              </m:rPr>
              <m:t>(</m:t>
            </m:r>
            <m:f>
              <m:num>
                <m:box>
                  <m:e>
                    <m:r>
                      <m:rPr>
                        <m:sty m:val="p"/>
                      </m:rPr>
                      <m:t>1</m:t>
                    </m:r>
                  </m:e>
                </m:box>
              </m:num>
              <m:den>
                <m:box>
                  <m:e>
                    <m:r>
                      <m:rPr>
                        <m:sty m:val="i"/>
                      </m:rPr>
                      <m:t>n</m:t>
                    </m:r>
                  </m:e>
                </m:box>
              </m:den>
            </m:f>
            <m:r>
              <m:rPr>
                <m:sty m:val="p"/>
              </m:rPr>
              <m:t>+</m:t>
            </m:r>
            <m:f>
              <m:num>
                <m:box>
                  <m:e>
                    <m:groupChr>
                      <m:groupChrPr>
                        <m:chr m:val="¯"/>
                        <m:pos m:val="top"/>
                      </m:groupChrPr>
                      <m:e>
                        <m:box>
                          <m:e>
                            <m:r>
                              <m:rPr>
                                <m:sty m:val="i"/>
                              </m:rPr>
                              <m:t>p</m:t>
                            </m:r>
                          </m:e>
                        </m:box>
                      </m:e>
                    </m:groupChr>
                    <m:r>
                      <m:rPr>
                        <m:sty m:val="p"/>
                      </m:rPr>
                      <m:t>−</m:t>
                    </m:r>
                    <m:sSub>
                      <m:e>
                        <m:r>
                          <m:rPr>
                            <m:sty m:val="i"/>
                          </m:rPr>
                          <m:t>p</m:t>
                        </m:r>
                      </m:e>
                      <m:sub>
                        <m:r>
                          <m:rPr>
                            <m:sty m:val="i"/>
                          </m:rPr>
                          <m:t>i</m:t>
                        </m:r>
                      </m:sub>
                    </m:sSub>
                  </m:e>
                </m:box>
              </m:num>
              <m:den>
                <m:box>
                  <m:e>
                    <m:sSub>
                      <m:e>
                        <m:r>
                          <m:rPr>
                            <m:sty m:val="i"/>
                          </m:rPr>
                          <m:t>t</m:t>
                        </m:r>
                      </m:e>
                      <m:sub>
                        <m:r>
                          <m:rPr>
                            <m:sty m:val="i"/>
                          </m:rPr>
                          <m:t>d</m:t>
                        </m:r>
                      </m:sub>
                    </m:sSub>
                  </m:e>
                </m:box>
              </m:den>
            </m:f>
            <m:r>
              <m:rPr>
                <m:sty m:val="p"/>
              </m:rPr>
              <m:t>)</m:t>
            </m:r>
          </m:e>
        </m:box>
      </m:oMath>
      <w:r>
        <w:rPr>
          <w:rFonts w:ascii="Times New Roman" w:hAnsi="Times New Roman" w:eastAsia="宋体"/>
          <w:b w:val="0"/>
          <w:sz w:val="24"/>
        </w:rPr>
        <w:tab/>
        <w:t>(4-17)</w:t>
      </w:r>
    </w:p>
    <w:p>
      <w:pPr>
        <w:spacing w:before="0" w:after="0" w:line="360" w:lineRule="auto"/>
        <w:ind w:firstLineChars="200" w:firstLine="480"/>
      </w:pPr>
      <w:r>
        <w:rPr>
          <w:rFonts w:ascii="Times New Roman" w:hAnsi="Times New Roman" w:eastAsia="宋体"/>
          <w:b w:val="0"/>
          <w:sz w:val="24"/>
        </w:rPr>
        <w:t>企业最大化</w:t>
      </w:r>
      <m:oMath>
        <m:box>
          <m:e>
            <m:r>
              <m:rPr>
                <m:sty m:val="p"/>
              </m:rPr>
              <m:t>(</m:t>
            </m:r>
            <m:sSub>
              <m:e>
                <m:r>
                  <m:rPr>
                    <m:sty m:val="i"/>
                  </m:rPr>
                  <m:t>p</m:t>
                </m:r>
              </m:e>
              <m:sub>
                <m:r>
                  <m:rPr>
                    <m:sty m:val="i"/>
                  </m:rPr>
                  <m:t>i</m:t>
                </m:r>
              </m:sub>
            </m:sSub>
            <m:r>
              <m:rPr>
                <m:sty m:val="p"/>
              </m:rPr>
              <m:t>−</m:t>
            </m:r>
            <m:r>
              <m:rPr>
                <m:sty m:val="i"/>
              </m:rPr>
              <m:t>c</m:t>
            </m:r>
            <m:r>
              <m:rPr>
                <m:sty m:val="p"/>
              </m:rPr>
              <m:t>)</m:t>
            </m:r>
            <m:sSub>
              <m:e>
                <m:r>
                  <m:rPr>
                    <m:sty m:val="i"/>
                  </m:rPr>
                  <m:t>q</m:t>
                </m:r>
              </m:e>
              <m:sub>
                <m:r>
                  <m:rPr>
                    <m:sty m:val="i"/>
                  </m:rPr>
                  <m:t>i</m:t>
                </m:r>
              </m:sub>
            </m:sSub>
            <m:r>
              <m:rPr>
                <m:sty m:val="p"/>
              </m:rPr>
              <m:t>−</m:t>
            </m:r>
            <m:r>
              <m:rPr>
                <m:sty m:val="i"/>
              </m:rPr>
              <m:t>F</m:t>
            </m:r>
          </m:e>
        </m:box>
      </m:oMath>
      <w:r>
        <w:rPr>
          <w:rFonts w:ascii="Times New Roman" w:hAnsi="Times New Roman" w:eastAsia="宋体"/>
          <w:b w:val="0"/>
          <w:sz w:val="24"/>
        </w:rPr>
        <w:t>，一阶条件为</w:t>
      </w:r>
      <m:oMath>
        <m:box>
          <m:e>
            <m:sSub>
              <m:e>
                <m:r>
                  <m:rPr>
                    <m:sty m:val="i"/>
                  </m:rPr>
                  <m:t>q</m:t>
                </m:r>
              </m:e>
              <m:sub>
                <m:r>
                  <m:rPr>
                    <m:sty m:val="i"/>
                  </m:rPr>
                  <m:t>i</m:t>
                </m:r>
              </m:sub>
            </m:sSub>
            <m:r>
              <m:rPr>
                <m:sty m:val="p"/>
              </m:rPr>
              <m:t>−</m:t>
            </m:r>
            <m:r>
              <m:rPr>
                <m:sty m:val="p"/>
              </m:rPr>
              <m:t>(</m:t>
            </m:r>
            <m:sSub>
              <m:e>
                <m:r>
                  <m:rPr>
                    <m:sty m:val="i"/>
                  </m:rPr>
                  <m:t>p</m:t>
                </m:r>
              </m:e>
              <m:sub>
                <m:r>
                  <m:rPr>
                    <m:sty m:val="i"/>
                  </m:rPr>
                  <m:t>i</m:t>
                </m:r>
              </m:sub>
            </m:sSub>
            <m:r>
              <m:rPr>
                <m:sty m:val="p"/>
              </m:rPr>
              <m:t>−</m:t>
            </m:r>
            <m:r>
              <m:rPr>
                <m:sty m:val="i"/>
              </m:rPr>
              <m:t>c</m:t>
            </m:r>
            <m:r>
              <m:rPr>
                <m:sty m:val="p"/>
              </m:rPr>
              <m:t>)</m:t>
            </m:r>
            <m:r>
              <m:rPr>
                <m:sty m:val="i"/>
              </m:rPr>
              <m:t>L</m:t>
            </m:r>
            <m:r>
              <m:rPr>
                <m:sty m:val="p"/>
              </m:rPr>
              <m:t>/</m:t>
            </m:r>
            <m:sSub>
              <m:e>
                <m:r>
                  <m:rPr>
                    <m:sty m:val="i"/>
                  </m:rPr>
                  <m:t>t</m:t>
                </m:r>
              </m:e>
              <m:sub>
                <m:r>
                  <m:rPr>
                    <m:sty m:val="i"/>
                  </m:rPr>
                  <m:t>d</m:t>
                </m:r>
              </m:sub>
            </m:sSub>
            <m:r>
              <m:rPr>
                <m:sty m:val="p"/>
              </m:rPr>
              <m:t>=</m:t>
            </m:r>
            <m:r>
              <m:rPr>
                <m:sty m:val="p"/>
              </m:rPr>
              <m:t>0</m:t>
            </m:r>
          </m:e>
        </m:box>
      </m:oMath>
      <w:r>
        <w:rPr>
          <w:rFonts w:ascii="Times New Roman" w:hAnsi="Times New Roman" w:eastAsia="宋体"/>
          <w:b w:val="0"/>
          <w:sz w:val="24"/>
        </w:rPr>
        <w:t>；施加对称性</w:t>
      </w:r>
      <m:oMath>
        <m:box>
          <m:e>
            <m:sSub>
              <m:e>
                <m:r>
                  <m:rPr>
                    <m:sty m:val="i"/>
                  </m:rPr>
                  <m:t>p</m:t>
                </m:r>
              </m:e>
              <m:sub>
                <m:r>
                  <m:rPr>
                    <m:sty m:val="i"/>
                  </m:rPr>
                  <m:t>i</m:t>
                </m:r>
              </m:sub>
            </m:sSub>
            <m:r>
              <m:rPr>
                <m:sty m:val="p"/>
              </m:rPr>
              <m:t>=</m:t>
            </m:r>
            <m:groupChr>
              <m:groupChrPr>
                <m:chr m:val="¯"/>
                <m:pos m:val="top"/>
              </m:groupChrPr>
              <m:e>
                <m:box>
                  <m:e>
                    <m:r>
                      <m:rPr>
                        <m:sty m:val="i"/>
                      </m:rPr>
                      <m:t>p</m:t>
                    </m:r>
                  </m:e>
                </m:box>
              </m:e>
            </m:groupChr>
            <m:r>
              <m:rPr>
                <m:sty m:val="p"/>
              </m:rPr>
              <m:t>=</m:t>
            </m:r>
            <m:r>
              <m:rPr>
                <m:sty m:val="i"/>
              </m:rPr>
              <m:t>p</m:t>
            </m:r>
          </m:e>
        </m:box>
      </m:oMath>
      <w:r>
        <w:rPr>
          <w:rFonts w:ascii="Times New Roman" w:hAnsi="Times New Roman" w:eastAsia="宋体"/>
          <w:b w:val="0"/>
          <w:sz w:val="24"/>
        </w:rPr>
        <w:t>、</w:t>
      </w:r>
      <m:oMath>
        <m:box>
          <m:e>
            <m:sSub>
              <m:e>
                <m:r>
                  <m:rPr>
                    <m:sty m:val="i"/>
                  </m:rPr>
                  <m:t>q</m:t>
                </m:r>
              </m:e>
              <m:sub>
                <m:r>
                  <m:rPr>
                    <m:sty m:val="i"/>
                  </m:rPr>
                  <m:t>i</m:t>
                </m:r>
              </m:sub>
            </m:sSub>
            <m:r>
              <m:rPr>
                <m:sty m:val="p"/>
              </m:rPr>
              <m:t>=</m:t>
            </m:r>
            <m:r>
              <m:rPr>
                <m:sty m:val="i"/>
              </m:rPr>
              <m:t>L</m:t>
            </m:r>
            <m:r>
              <m:rPr>
                <m:sty m:val="p"/>
              </m:rPr>
              <m:t>/</m:t>
            </m:r>
            <m:r>
              <m:rPr>
                <m:sty m:val="i"/>
              </m:rPr>
              <m:t>n</m:t>
            </m:r>
          </m:e>
        </m:box>
      </m:oMath>
      <w:r>
        <w:rPr>
          <w:rFonts w:ascii="Times New Roman" w:hAnsi="Times New Roman" w:eastAsia="宋体"/>
          <w:b w:val="0"/>
          <w:sz w:val="24"/>
        </w:rPr>
        <w:t>，得均衡定价：</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p</m:t>
            </m:r>
            <m:r>
              <m:rPr>
                <m:sty m:val="p"/>
              </m:rPr>
              <m:t>=</m:t>
            </m:r>
            <m:r>
              <m:rPr>
                <m:sty m:val="i"/>
              </m:rPr>
              <m:t>c</m:t>
            </m:r>
            <m:r>
              <m:rPr>
                <m:sty m:val="p"/>
              </m:rPr>
              <m:t>+</m:t>
            </m:r>
            <m:f>
              <m:num>
                <m:box>
                  <m:e>
                    <m:sSub>
                      <m:e>
                        <m:r>
                          <m:rPr>
                            <m:sty m:val="i"/>
                          </m:rPr>
                          <m:t>t</m:t>
                        </m:r>
                      </m:e>
                      <m:sub>
                        <m:r>
                          <m:rPr>
                            <m:sty m:val="i"/>
                          </m:rPr>
                          <m:t>d</m:t>
                        </m:r>
                      </m:sub>
                    </m:sSub>
                  </m:e>
                </m:box>
              </m:num>
              <m:den>
                <m:box>
                  <m:e>
                    <m:r>
                      <m:rPr>
                        <m:sty m:val="i"/>
                      </m:rPr>
                      <m:t>n</m:t>
                    </m:r>
                  </m:e>
                </m:box>
              </m:den>
            </m:f>
          </m:e>
        </m:box>
      </m:oMath>
      <w:r>
        <w:rPr>
          <w:rFonts w:ascii="Times New Roman" w:hAnsi="Times New Roman" w:eastAsia="宋体"/>
          <w:b w:val="0"/>
          <w:sz w:val="24"/>
        </w:rPr>
        <w:tab/>
        <w:t>(4-18)</w:t>
      </w:r>
    </w:p>
    <w:p>
      <w:pPr>
        <w:spacing w:before="0" w:after="0" w:line="360" w:lineRule="auto"/>
        <w:ind w:firstLineChars="200" w:firstLine="480"/>
      </w:pPr>
      <w:r>
        <w:rPr>
          <w:rFonts w:ascii="Times New Roman" w:hAnsi="Times New Roman" w:eastAsia="宋体"/>
          <w:b w:val="0"/>
          <w:sz w:val="24"/>
        </w:rPr>
        <w:t>即价格—成本加成等于</w:t>
      </w:r>
      <m:oMath>
        <m:box>
          <m:e>
            <m:sSub>
              <m:e>
                <m:r>
                  <m:rPr>
                    <m:sty m:val="i"/>
                  </m:rPr>
                  <m:t>t</m:t>
                </m:r>
              </m:e>
              <m:sub>
                <m:r>
                  <m:rPr>
                    <m:sty m:val="i"/>
                  </m:rPr>
                  <m:t>d</m:t>
                </m:r>
              </m:sub>
            </m:sSub>
            <m:r>
              <m:rPr>
                <m:sty m:val="p"/>
              </m:rPr>
              <m:t>/</m:t>
            </m:r>
            <m:r>
              <m:rPr>
                <m:sty m:val="i"/>
              </m:rPr>
              <m:t>n</m:t>
            </m:r>
          </m:e>
        </m:box>
      </m:oMath>
      <w:r>
        <w:rPr>
          <w:rFonts w:ascii="Times New Roman" w:hAnsi="Times New Roman" w:eastAsia="宋体"/>
          <w:b w:val="0"/>
          <w:sz w:val="24"/>
        </w:rPr>
        <w:t>：企业越多、产品空间越拥挤，加成越薄。相应地，每家企业的均衡利润为：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π</m:t>
            </m:r>
            <m:r>
              <m:rPr>
                <m:sty m:val="p"/>
              </m:rPr>
              <m:t>(</m:t>
            </m:r>
            <m:r>
              <m:rPr>
                <m:sty m:val="i"/>
              </m:rPr>
              <m:t>n</m:t>
            </m:r>
            <m:r>
              <m:rPr>
                <m:sty m:val="p"/>
              </m:rPr>
              <m:t>)</m:t>
            </m:r>
            <m:r>
              <m:rPr>
                <m:sty m:val="p"/>
              </m:rPr>
              <m:t>=</m:t>
            </m:r>
            <m:f>
              <m:num>
                <m:box>
                  <m:e>
                    <m:sSub>
                      <m:e>
                        <m:r>
                          <m:rPr>
                            <m:sty m:val="i"/>
                          </m:rPr>
                          <m:t>t</m:t>
                        </m:r>
                      </m:e>
                      <m:sub>
                        <m:r>
                          <m:rPr>
                            <m:sty m:val="i"/>
                          </m:rPr>
                          <m:t>d</m:t>
                        </m:r>
                      </m:sub>
                    </m:sSub>
                    <m:r>
                      <m:rPr>
                        <m:sty m:val="i"/>
                      </m:rPr>
                      <m:t>L</m:t>
                    </m:r>
                  </m:e>
                </m:box>
              </m:num>
              <m:den>
                <m:box>
                  <m:e>
                    <m:sSup>
                      <m:e>
                        <m:r>
                          <m:rPr>
                            <m:sty m:val="i"/>
                          </m:rPr>
                          <m:t>n</m:t>
                        </m:r>
                      </m:e>
                      <m:sup>
                        <m:r>
                          <m:rPr>
                            <m:sty m:val="p"/>
                          </m:rPr>
                          <m:t>2</m:t>
                        </m:r>
                      </m:sup>
                    </m:sSup>
                  </m:e>
                </m:box>
              </m:den>
            </m:f>
            <m:r>
              <m:rPr>
                <m:sty m:val="p"/>
              </m:rPr>
              <m:t>−</m:t>
            </m:r>
            <m:r>
              <m:rPr>
                <m:sty m:val="i"/>
              </m:rPr>
              <m:t>F</m:t>
            </m:r>
          </m:e>
        </m:box>
      </m:oMath>
      <w:r>
        <w:rPr>
          <w:rFonts w:ascii="Times New Roman" w:hAnsi="Times New Roman" w:eastAsia="宋体"/>
          <w:b w:val="0"/>
          <w:sz w:val="24"/>
        </w:rPr>
        <w:tab/>
        <w:t>(4-19)</w:t>
      </w:r>
    </w:p>
    <w:p>
      <w:pPr>
        <w:spacing w:before="160" w:after="120" w:line="360" w:lineRule="auto"/>
        <w:outlineLvl w:val="2"/>
      </w:pPr>
      <w:r>
        <w:rPr>
          <w:rFonts w:ascii="Times New Roman" w:hAnsi="Times New Roman" w:eastAsia="黑体"/>
          <w:b w:val="0"/>
          <w:sz w:val="24"/>
        </w:rPr>
        <w:t>2．自由进入均衡、社会最优与过度进入定理</w:t>
      </w:r>
    </w:p>
    <w:p>
      <w:pPr>
        <w:spacing w:before="0" w:after="0" w:line="360" w:lineRule="auto"/>
        <w:ind w:firstLineChars="200" w:firstLine="480"/>
      </w:pPr>
      <w:r>
        <w:rPr>
          <w:rFonts w:ascii="Times New Roman" w:hAnsi="Times New Roman" w:eastAsia="宋体"/>
          <w:b w:val="0"/>
          <w:sz w:val="24"/>
        </w:rPr>
        <w:t>自由进入下，企业持续进入直至利润为零。令</w:t>
      </w:r>
      <m:oMath>
        <m:box>
          <m:e>
            <m:r>
              <m:rPr>
                <m:sty m:val="i"/>
              </m:rPr>
              <m:t>π</m:t>
            </m:r>
            <m:r>
              <m:rPr>
                <m:sty m:val="p"/>
              </m:rPr>
              <m:t>(</m:t>
            </m:r>
            <m:r>
              <m:rPr>
                <m:sty m:val="i"/>
              </m:rPr>
              <m:t>n</m:t>
            </m:r>
            <m:r>
              <m:rPr>
                <m:sty m:val="p"/>
              </m:rPr>
              <m:t>)</m:t>
            </m:r>
            <m:r>
              <m:rPr>
                <m:sty m:val="p"/>
              </m:rPr>
              <m:t>=</m:t>
            </m:r>
            <m:r>
              <m:rPr>
                <m:sty m:val="p"/>
              </m:rPr>
              <m:t>0</m:t>
            </m:r>
          </m:e>
        </m:box>
      </m:oMath>
      <w:r>
        <w:rPr>
          <w:rFonts w:ascii="Times New Roman" w:hAnsi="Times New Roman" w:eastAsia="宋体"/>
          <w:b w:val="0"/>
          <w:sz w:val="24"/>
        </w:rPr>
        <w:t>，得自由进入均衡企业数：</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n</m:t>
                </m:r>
              </m:e>
              <m:sup>
                <m:r>
                  <m:rPr>
                    <m:sty m:val="i"/>
                  </m:rPr>
                  <m:t>e</m:t>
                </m:r>
              </m:sup>
            </m:sSup>
            <m:r>
              <m:rPr>
                <m:sty m:val="p"/>
              </m:rPr>
              <m:t>=</m:t>
            </m:r>
            <m:rad>
              <m:e>
                <m:box>
                  <m:e>
                    <m:box>
                      <m:e>
                        <m:f>
                          <m:num>
                            <m:box>
                              <m:e>
                                <m:sSub>
                                  <m:e>
                                    <m:r>
                                      <m:rPr>
                                        <m:sty m:val="i"/>
                                      </m:rPr>
                                      <m:t>t</m:t>
                                    </m:r>
                                  </m:e>
                                  <m:sub>
                                    <m:r>
                                      <m:rPr>
                                        <m:sty m:val="i"/>
                                      </m:rPr>
                                      <m:t>d</m:t>
                                    </m:r>
                                  </m:sub>
                                </m:sSub>
                                <m:r>
                                  <m:rPr>
                                    <m:sty m:val="i"/>
                                  </m:rPr>
                                  <m:t>L</m:t>
                                </m:r>
                              </m:e>
                            </m:box>
                          </m:num>
                          <m:den>
                            <m:box>
                              <m:e>
                                <m:r>
                                  <m:rPr>
                                    <m:sty m:val="i"/>
                                  </m:rPr>
                                  <m:t>F</m:t>
                                </m:r>
                              </m:e>
                            </m:box>
                          </m:den>
                        </m:f>
                      </m:e>
                    </m:box>
                  </m:e>
                </m:box>
              </m:e>
            </m:rad>
          </m:e>
        </m:box>
      </m:oMath>
      <w:r>
        <w:rPr>
          <w:rFonts w:ascii="Times New Roman" w:hAnsi="Times New Roman" w:eastAsia="宋体"/>
          <w:b w:val="0"/>
          <w:sz w:val="24"/>
        </w:rPr>
        <w:tab/>
        <w:t>(4-20)</w:t>
      </w:r>
    </w:p>
    <w:p>
      <w:pPr>
        <w:spacing w:before="0" w:after="0" w:line="360" w:lineRule="auto"/>
        <w:ind w:firstLineChars="200" w:firstLine="480"/>
      </w:pPr>
      <w:r>
        <w:rPr>
          <w:rFonts w:ascii="Times New Roman" w:hAnsi="Times New Roman" w:eastAsia="宋体"/>
          <w:b w:val="0"/>
          <w:sz w:val="24"/>
        </w:rPr>
        <w:t>社会最优的基准则完全不同。由于每个消费者都购买一单位，总产量给定，社会计划者的问题退化为在“固定成本重复”与“错配成本节约”之间权衡：企业数为</w:t>
      </w:r>
      <m:oMath>
        <m:box>
          <m:e>
            <m:r>
              <m:rPr>
                <m:sty m:val="i"/>
              </m:rPr>
              <m:t>n</m:t>
            </m:r>
          </m:e>
        </m:box>
      </m:oMath>
      <w:r>
        <w:rPr>
          <w:rFonts w:ascii="Times New Roman" w:hAnsi="Times New Roman" w:eastAsia="宋体"/>
          <w:b w:val="0"/>
          <w:sz w:val="24"/>
        </w:rPr>
        <w:t>时，总固定成本为</w:t>
      </w:r>
      <m:oMath>
        <m:box>
          <m:e>
            <m:r>
              <m:rPr>
                <m:sty m:val="i"/>
              </m:rPr>
              <m:t>n</m:t>
            </m:r>
            <m:r>
              <m:rPr>
                <m:sty m:val="i"/>
              </m:rPr>
              <m:t>F</m:t>
            </m:r>
          </m:e>
        </m:box>
      </m:oMath>
      <w:r>
        <w:rPr>
          <w:rFonts w:ascii="Times New Roman" w:hAnsi="Times New Roman" w:eastAsia="宋体"/>
          <w:b w:val="0"/>
          <w:sz w:val="24"/>
        </w:rPr>
        <w:t>，消费者平均行程为</w:t>
      </w:r>
      <m:oMath>
        <m:box>
          <m:e>
            <m:r>
              <m:rPr>
                <m:sty m:val="p"/>
              </m:rPr>
              <m:t>1</m:t>
            </m:r>
            <m:r>
              <m:rPr>
                <m:sty m:val="p"/>
              </m:rPr>
              <m:t>/</m:t>
            </m:r>
            <m:r>
              <m:rPr>
                <m:sty m:val="p"/>
              </m:rPr>
              <m:t>(</m:t>
            </m:r>
            <m:r>
              <m:rPr>
                <m:sty m:val="p"/>
              </m:rPr>
              <m:t>4</m:t>
            </m:r>
            <m:r>
              <m:rPr>
                <m:sty m:val="i"/>
              </m:rPr>
              <m:t>n</m:t>
            </m:r>
            <m:r>
              <m:rPr>
                <m:sty m:val="p"/>
              </m:rPr>
              <m:t>)</m:t>
            </m:r>
          </m:e>
        </m:box>
      </m:oMath>
      <w:r>
        <w:rPr>
          <w:rFonts w:ascii="Times New Roman" w:hAnsi="Times New Roman" w:eastAsia="宋体"/>
          <w:b w:val="0"/>
          <w:sz w:val="24"/>
        </w:rPr>
        <w:t>、总错配成本为</w:t>
      </w:r>
      <m:oMath>
        <m:box>
          <m:e>
            <m:r>
              <m:rPr>
                <m:sty m:val="i"/>
              </m:rPr>
              <m:t>L</m:t>
            </m:r>
            <m:sSub>
              <m:e>
                <m:r>
                  <m:rPr>
                    <m:sty m:val="i"/>
                  </m:rPr>
                  <m:t>t</m:t>
                </m:r>
              </m:e>
              <m:sub>
                <m:r>
                  <m:rPr>
                    <m:sty m:val="i"/>
                  </m:rPr>
                  <m:t>d</m:t>
                </m:r>
              </m:sub>
            </m:sSub>
            <m:r>
              <m:rPr>
                <m:sty m:val="p"/>
              </m:rPr>
              <m:t>/</m:t>
            </m:r>
            <m:r>
              <m:rPr>
                <m:sty m:val="p"/>
              </m:rPr>
              <m:t>(</m:t>
            </m:r>
            <m:r>
              <m:rPr>
                <m:sty m:val="p"/>
              </m:rPr>
              <m:t>4</m:t>
            </m:r>
            <m:r>
              <m:rPr>
                <m:sty m:val="i"/>
              </m:rPr>
              <m:t>n</m:t>
            </m:r>
            <m:r>
              <m:rPr>
                <m:sty m:val="p"/>
              </m:rPr>
              <m:t>)</m:t>
            </m:r>
          </m:e>
        </m:box>
      </m:oMath>
      <w:r>
        <w:rPr>
          <w:rFonts w:ascii="Times New Roman" w:hAnsi="Times New Roman" w:eastAsia="宋体"/>
          <w:b w:val="0"/>
          <w:sz w:val="24"/>
        </w:rPr>
        <w:t>，故计划者最小化：</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T</m:t>
            </m:r>
            <m:r>
              <m:rPr>
                <m:sty m:val="i"/>
              </m:rPr>
              <m:t>C</m:t>
            </m:r>
            <m:r>
              <m:rPr>
                <m:sty m:val="p"/>
              </m:rPr>
              <m:t>(</m:t>
            </m:r>
            <m:r>
              <m:rPr>
                <m:sty m:val="i"/>
              </m:rPr>
              <m:t>n</m:t>
            </m:r>
            <m:r>
              <m:rPr>
                <m:sty m:val="p"/>
              </m:rPr>
              <m:t>)</m:t>
            </m:r>
            <m:r>
              <m:rPr>
                <m:sty m:val="p"/>
              </m:rPr>
              <m:t>=</m:t>
            </m:r>
            <m:r>
              <m:rPr>
                <m:sty m:val="i"/>
              </m:rPr>
              <m:t>n</m:t>
            </m:r>
            <m:r>
              <m:rPr>
                <m:sty m:val="i"/>
              </m:rPr>
              <m:t>F</m:t>
            </m:r>
            <m:r>
              <m:rPr>
                <m:sty m:val="p"/>
              </m:rPr>
              <m:t>+</m:t>
            </m:r>
            <m:f>
              <m:num>
                <m:box>
                  <m:e>
                    <m:r>
                      <m:rPr>
                        <m:sty m:val="i"/>
                      </m:rPr>
                      <m:t>L</m:t>
                    </m:r>
                    <m:sSub>
                      <m:e>
                        <m:r>
                          <m:rPr>
                            <m:sty m:val="i"/>
                          </m:rPr>
                          <m:t>t</m:t>
                        </m:r>
                      </m:e>
                      <m:sub>
                        <m:r>
                          <m:rPr>
                            <m:sty m:val="i"/>
                          </m:rPr>
                          <m:t>d</m:t>
                        </m:r>
                      </m:sub>
                    </m:sSub>
                  </m:e>
                </m:box>
              </m:num>
              <m:den>
                <m:box>
                  <m:e>
                    <m:r>
                      <m:rPr>
                        <m:sty m:val="p"/>
                      </m:rPr>
                      <m:t>4</m:t>
                    </m:r>
                    <m:r>
                      <m:rPr>
                        <m:sty m:val="i"/>
                      </m:rPr>
                      <m:t>n</m:t>
                    </m:r>
                  </m:e>
                </m:box>
              </m:den>
            </m:f>
          </m:e>
        </m:box>
      </m:oMath>
      <w:r>
        <w:rPr>
          <w:rFonts w:ascii="Times New Roman" w:hAnsi="Times New Roman" w:eastAsia="宋体"/>
          <w:b w:val="0"/>
          <w:sz w:val="24"/>
        </w:rPr>
        <w:tab/>
        <w:t>(4-21)</w:t>
      </w:r>
    </w:p>
    <w:p>
      <w:pPr>
        <w:spacing w:before="0" w:after="0" w:line="360" w:lineRule="auto"/>
        <w:ind w:firstLineChars="200" w:firstLine="480"/>
      </w:pPr>
      <w:r>
        <w:rPr>
          <w:rFonts w:ascii="Times New Roman" w:hAnsi="Times New Roman" w:eastAsia="宋体"/>
          <w:b w:val="0"/>
          <w:sz w:val="24"/>
        </w:rPr>
        <w:t>一阶条件</w:t>
      </w:r>
      <m:oMath>
        <m:box>
          <m:e>
            <m:r>
              <m:rPr>
                <m:sty m:val="i"/>
              </m:rPr>
              <m:t>F</m:t>
            </m:r>
            <m:r>
              <m:rPr>
                <m:sty m:val="p"/>
              </m:rPr>
              <m:t>−</m:t>
            </m:r>
            <m:r>
              <m:rPr>
                <m:sty m:val="i"/>
              </m:rPr>
              <m:t>L</m:t>
            </m:r>
            <m:sSub>
              <m:e>
                <m:r>
                  <m:rPr>
                    <m:sty m:val="i"/>
                  </m:rPr>
                  <m:t>t</m:t>
                </m:r>
              </m:e>
              <m:sub>
                <m:r>
                  <m:rPr>
                    <m:sty m:val="i"/>
                  </m:rPr>
                  <m:t>d</m:t>
                </m:r>
              </m:sub>
            </m:sSub>
            <m:r>
              <m:rPr>
                <m:sty m:val="p"/>
              </m:rPr>
              <m:t>/</m:t>
            </m:r>
            <m:r>
              <m:rPr>
                <m:sty m:val="p"/>
              </m:rPr>
              <m:t>(</m:t>
            </m:r>
            <m:r>
              <m:rPr>
                <m:sty m:val="p"/>
              </m:rPr>
              <m:t>4</m:t>
            </m:r>
            <m:sSup>
              <m:e>
                <m:r>
                  <m:rPr>
                    <m:sty m:val="i"/>
                  </m:rPr>
                  <m:t>n</m:t>
                </m:r>
              </m:e>
              <m:sup>
                <m:r>
                  <m:rPr>
                    <m:sty m:val="p"/>
                  </m:rPr>
                  <m:t>2</m:t>
                </m:r>
              </m:sup>
            </m:sSup>
            <m:r>
              <m:rPr>
                <m:sty m:val="p"/>
              </m:rPr>
              <m:t>)</m:t>
            </m:r>
            <m:r>
              <m:rPr>
                <m:sty m:val="p"/>
              </m:rPr>
              <m:t>=</m:t>
            </m:r>
            <m:r>
              <m:rPr>
                <m:sty m:val="p"/>
              </m:rPr>
              <m:t>0</m:t>
            </m:r>
          </m:e>
        </m:box>
      </m:oMath>
      <w:r>
        <w:rPr>
          <w:rFonts w:ascii="Times New Roman" w:hAnsi="Times New Roman" w:eastAsia="宋体"/>
          <w:b w:val="0"/>
          <w:sz w:val="24"/>
        </w:rPr>
        <w:t>给出社会最优企业数：</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n</m:t>
                </m:r>
              </m:e>
              <m:sup>
                <m:r>
                  <m:rPr>
                    <m:sty m:val="i"/>
                  </m:rPr>
                  <m:t>o</m:t>
                </m:r>
              </m:sup>
            </m:sSup>
            <m:r>
              <m:rPr>
                <m:sty m:val="p"/>
              </m:rPr>
              <m:t>=</m:t>
            </m:r>
            <m:f>
              <m:num>
                <m:box>
                  <m:e>
                    <m:r>
                      <m:rPr>
                        <m:sty m:val="p"/>
                      </m:rPr>
                      <m:t>1</m:t>
                    </m:r>
                  </m:e>
                </m:box>
              </m:num>
              <m:den>
                <m:box>
                  <m:e>
                    <m:r>
                      <m:rPr>
                        <m:sty m:val="p"/>
                      </m:rPr>
                      <m:t>2</m:t>
                    </m:r>
                  </m:e>
                </m:box>
              </m:den>
            </m:f>
            <m:rad>
              <m:e>
                <m:box>
                  <m:e>
                    <m:box>
                      <m:e>
                        <m:f>
                          <m:num>
                            <m:box>
                              <m:e>
                                <m:sSub>
                                  <m:e>
                                    <m:r>
                                      <m:rPr>
                                        <m:sty m:val="i"/>
                                      </m:rPr>
                                      <m:t>t</m:t>
                                    </m:r>
                                  </m:e>
                                  <m:sub>
                                    <m:r>
                                      <m:rPr>
                                        <m:sty m:val="i"/>
                                      </m:rPr>
                                      <m:t>d</m:t>
                                    </m:r>
                                  </m:sub>
                                </m:sSub>
                                <m:r>
                                  <m:rPr>
                                    <m:sty m:val="i"/>
                                  </m:rPr>
                                  <m:t>L</m:t>
                                </m:r>
                              </m:e>
                            </m:box>
                          </m:num>
                          <m:den>
                            <m:box>
                              <m:e>
                                <m:r>
                                  <m:rPr>
                                    <m:sty m:val="i"/>
                                  </m:rPr>
                                  <m:t>F</m:t>
                                </m:r>
                              </m:e>
                            </m:box>
                          </m:den>
                        </m:f>
                      </m:e>
                    </m:box>
                  </m:e>
                </m:box>
              </m:e>
            </m:rad>
            <m:r>
              <m:rPr>
                <m:sty m:val="p"/>
              </m:rPr>
              <m:t>=</m:t>
            </m:r>
            <m:f>
              <m:num>
                <m:box>
                  <m:e>
                    <m:sSup>
                      <m:e>
                        <m:r>
                          <m:rPr>
                            <m:sty m:val="i"/>
                          </m:rPr>
                          <m:t>n</m:t>
                        </m:r>
                      </m:e>
                      <m:sup>
                        <m:r>
                          <m:rPr>
                            <m:sty m:val="i"/>
                          </m:rPr>
                          <m:t>e</m:t>
                        </m:r>
                      </m:sup>
                    </m:sSup>
                  </m:e>
                </m:box>
              </m:num>
              <m:den>
                <m:box>
                  <m:e>
                    <m:r>
                      <m:rPr>
                        <m:sty m:val="p"/>
                      </m:rPr>
                      <m:t>2</m:t>
                    </m:r>
                  </m:e>
                </m:box>
              </m:den>
            </m:f>
          </m:e>
        </m:box>
      </m:oMath>
      <w:r>
        <w:rPr>
          <w:rFonts w:ascii="Times New Roman" w:hAnsi="Times New Roman" w:eastAsia="宋体"/>
          <w:b w:val="0"/>
          <w:sz w:val="24"/>
        </w:rPr>
        <w:tab/>
        <w:t>(4-22)</w:t>
      </w:r>
    </w:p>
    <w:p>
      <w:pPr>
        <w:spacing w:before="0" w:after="0" w:line="360" w:lineRule="auto"/>
        <w:ind w:firstLineChars="200" w:firstLine="480"/>
      </w:pPr>
      <w:r>
        <w:rPr>
          <w:rFonts w:ascii="Times New Roman" w:hAnsi="Times New Roman" w:eastAsia="宋体"/>
          <w:b w:val="0"/>
          <w:sz w:val="24"/>
        </w:rPr>
        <w:t>自由进入均衡的企业数恰为社会最优的两倍。这一“过度进入偏差”的根源是业务窃取外部性：边际进入者的私人收益中，很大一部分来自从在位者手中夺走的存量销量，而非新创造的社会剩余，私人激励与社会价值出现系统性楔子，自由进入因而过度（Mankiw和Whinston，1986）。需要强调的是，这一结论在没有任何政府干预时即已成立；下文将看到，分割与补贴是在这一固有偏差之上的两级放大。</w:t>
      </w:r>
    </w:p>
    <w:p>
      <w:pPr>
        <w:spacing w:before="160" w:after="120" w:line="360" w:lineRule="auto"/>
        <w:outlineLvl w:val="2"/>
      </w:pPr>
      <w:r>
        <w:rPr>
          <w:rFonts w:ascii="Times New Roman" w:hAnsi="Times New Roman" w:eastAsia="黑体"/>
          <w:b w:val="0"/>
          <w:sz w:val="24"/>
        </w:rPr>
        <w:t>3．分割与补贴对过度进入的双重放大</w:t>
      </w:r>
    </w:p>
    <w:p>
      <w:pPr>
        <w:spacing w:before="0" w:after="0" w:line="360" w:lineRule="auto"/>
        <w:ind w:firstLineChars="200" w:firstLine="480"/>
      </w:pPr>
      <w:r>
        <w:rPr>
          <w:rFonts w:ascii="Times New Roman" w:hAnsi="Times New Roman" w:eastAsia="宋体"/>
          <w:b w:val="0"/>
          <w:sz w:val="24"/>
        </w:rPr>
        <w:t>现在引入市场分割。每个子市场规模为</w:t>
      </w:r>
      <m:oMath>
        <m:box>
          <m:e>
            <m:r>
              <m:rPr>
                <m:sty m:val="i"/>
              </m:rPr>
              <m:t>L</m:t>
            </m:r>
            <m:r>
              <m:rPr>
                <m:sty m:val="p"/>
              </m:rPr>
              <m:t>=</m:t>
            </m:r>
            <m:r>
              <m:rPr>
                <m:sty m:val="i"/>
              </m:rPr>
              <m:t>S</m:t>
            </m:r>
            <m:r>
              <m:rPr>
                <m:sty m:val="p"/>
              </m:rPr>
              <m:t>/</m:t>
            </m:r>
            <m:r>
              <m:rPr>
                <m:sty m:val="i"/>
              </m:rPr>
              <m:t>N</m:t>
            </m:r>
          </m:e>
        </m:box>
      </m:oMath>
      <w:r>
        <w:rPr>
          <w:rFonts w:ascii="Times New Roman" w:hAnsi="Times New Roman" w:eastAsia="宋体"/>
          <w:b w:val="0"/>
          <w:sz w:val="24"/>
        </w:rPr>
        <w:t>，将其代入式(4-20)，得单个子市场的自由进入企业数：</w:t>
      </w:r>
    </w:p>
    <w:p>
      <w:pPr>
        <w:spacing w:before="120" w:after="120" w:line="360" w:lineRule="auto"/>
        <w:tabs>
          <w:tab w:val="center" w:pos="4252"/>
          <w:tab w:val="right" w:pos="8505"/>
        </w:tabs>
      </w:pPr>
      <w:r>
        <w:rPr>
          <w:rFonts w:ascii="Times New Roman" w:hAnsi="Times New Roman" w:eastAsia="宋体"/>
          <w:b w:val="0"/>
          <w:sz w:val="24"/>
        </w:rPr>
        <w:tab/>
      </w:r>
      <m:oMath>
        <m:box>
          <m:e>
            <m:sSubSup>
              <m:e>
                <m:r>
                  <m:rPr>
                    <m:sty m:val="i"/>
                  </m:rPr>
                  <m:t>n</m:t>
                </m:r>
              </m:e>
              <m:sub>
                <m:r>
                  <m:rPr>
                    <m:sty m:val="i"/>
                  </m:rPr>
                  <m:t>r</m:t>
                </m:r>
              </m:sub>
              <m:sup>
                <m:r>
                  <m:rPr>
                    <m:sty m:val="i"/>
                  </m:rPr>
                  <m:t>e</m:t>
                </m:r>
              </m:sup>
            </m:sSubSup>
            <m:r>
              <m:rPr>
                <m:sty m:val="p"/>
              </m:rPr>
              <m:t>=</m:t>
            </m:r>
            <m:rad>
              <m:e>
                <m:box>
                  <m:e>
                    <m:box>
                      <m:e>
                        <m:f>
                          <m:num>
                            <m:box>
                              <m:e>
                                <m:sSub>
                                  <m:e>
                                    <m:r>
                                      <m:rPr>
                                        <m:sty m:val="i"/>
                                      </m:rPr>
                                      <m:t>t</m:t>
                                    </m:r>
                                  </m:e>
                                  <m:sub>
                                    <m:r>
                                      <m:rPr>
                                        <m:sty m:val="i"/>
                                      </m:rPr>
                                      <m:t>d</m:t>
                                    </m:r>
                                  </m:sub>
                                </m:sSub>
                                <m:r>
                                  <m:rPr>
                                    <m:sty m:val="i"/>
                                  </m:rPr>
                                  <m:t>S</m:t>
                                </m:r>
                              </m:e>
                            </m:box>
                          </m:num>
                          <m:den>
                            <m:box>
                              <m:e>
                                <m:r>
                                  <m:rPr>
                                    <m:sty m:val="i"/>
                                  </m:rPr>
                                  <m:t>N</m:t>
                                </m:r>
                                <m:r>
                                  <m:rPr>
                                    <m:sty m:val="i"/>
                                  </m:rPr>
                                  <m:t>F</m:t>
                                </m:r>
                              </m:e>
                            </m:box>
                          </m:den>
                        </m:f>
                      </m:e>
                    </m:box>
                  </m:e>
                </m:box>
              </m:e>
            </m:rad>
          </m:e>
        </m:box>
      </m:oMath>
      <w:r>
        <w:rPr>
          <w:rFonts w:ascii="Times New Roman" w:hAnsi="Times New Roman" w:eastAsia="宋体"/>
          <w:b w:val="0"/>
          <w:sz w:val="24"/>
        </w:rPr>
        <w:tab/>
        <w:t>(4-23)</w:t>
      </w:r>
    </w:p>
    <w:p>
      <w:pPr>
        <w:spacing w:before="0" w:after="0" w:line="360" w:lineRule="auto"/>
        <w:ind w:firstLineChars="200" w:firstLine="480"/>
      </w:pPr>
      <w:r>
        <w:rPr>
          <w:rFonts w:ascii="Times New Roman" w:hAnsi="Times New Roman" w:eastAsia="宋体"/>
          <w:b w:val="0"/>
          <w:sz w:val="24"/>
        </w:rPr>
        <w:t>全国企业总数为</w:t>
      </w:r>
      <m:oMath>
        <m:box>
          <m:e>
            <m:r>
              <m:rPr>
                <m:sty m:val="i"/>
              </m:rPr>
              <m:t>N</m:t>
            </m:r>
          </m:e>
        </m:box>
      </m:oMath>
      <w:r>
        <w:rPr>
          <w:rFonts w:ascii="Times New Roman" w:hAnsi="Times New Roman" w:eastAsia="宋体"/>
          <w:b w:val="0"/>
          <w:sz w:val="24"/>
        </w:rPr>
        <w:t>个子市场之和：</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n</m:t>
                </m:r>
              </m:e>
              <m:sup>
                <m:box>
                  <m:e>
                    <m:r>
                      <m:rPr>
                        <m:sty m:val="i"/>
                      </m:rPr>
                      <m:t>t</m:t>
                    </m:r>
                    <m:r>
                      <m:rPr>
                        <m:sty m:val="i"/>
                      </m:rPr>
                      <m:t>o</m:t>
                    </m:r>
                    <m:r>
                      <m:rPr>
                        <m:sty m:val="i"/>
                      </m:rPr>
                      <m:t>t</m:t>
                    </m:r>
                    <m:r>
                      <m:rPr>
                        <m:sty m:val="i"/>
                      </m:rPr>
                      <m:t>a</m:t>
                    </m:r>
                    <m:r>
                      <m:rPr>
                        <m:sty m:val="i"/>
                      </m:rPr>
                      <m:t>l</m:t>
                    </m:r>
                  </m:e>
                </m:box>
              </m:sup>
            </m:sSup>
            <m:r>
              <m:rPr>
                <m:sty m:val="p"/>
              </m:rPr>
              <m:t>=</m:t>
            </m:r>
            <m:r>
              <m:rPr>
                <m:sty m:val="i"/>
              </m:rPr>
              <m:t>N</m:t>
            </m:r>
            <m:sSubSup>
              <m:e>
                <m:r>
                  <m:rPr>
                    <m:sty m:val="i"/>
                  </m:rPr>
                  <m:t>n</m:t>
                </m:r>
              </m:e>
              <m:sub>
                <m:r>
                  <m:rPr>
                    <m:sty m:val="i"/>
                  </m:rPr>
                  <m:t>r</m:t>
                </m:r>
              </m:sub>
              <m:sup>
                <m:r>
                  <m:rPr>
                    <m:sty m:val="i"/>
                  </m:rPr>
                  <m:t>e</m:t>
                </m:r>
              </m:sup>
            </m:sSubSup>
            <m:r>
              <m:rPr>
                <m:sty m:val="p"/>
              </m:rPr>
              <m:t>=</m:t>
            </m:r>
            <m:rad>
              <m:e>
                <m:box>
                  <m:e>
                    <m:box>
                      <m:e>
                        <m:r>
                          <m:rPr>
                            <m:sty m:val="i"/>
                          </m:rPr>
                          <m:t>N</m:t>
                        </m:r>
                      </m:e>
                    </m:box>
                  </m:e>
                </m:box>
              </m:e>
            </m:rad>
            <m:r>
              <m:rPr>
                <m:nor/>
              </m:rPr>
              <m:t> </m:t>
            </m:r>
            <m:rad>
              <m:e>
                <m:box>
                  <m:e>
                    <m:box>
                      <m:e>
                        <m:f>
                          <m:num>
                            <m:box>
                              <m:e>
                                <m:sSub>
                                  <m:e>
                                    <m:r>
                                      <m:rPr>
                                        <m:sty m:val="i"/>
                                      </m:rPr>
                                      <m:t>t</m:t>
                                    </m:r>
                                  </m:e>
                                  <m:sub>
                                    <m:r>
                                      <m:rPr>
                                        <m:sty m:val="i"/>
                                      </m:rPr>
                                      <m:t>d</m:t>
                                    </m:r>
                                  </m:sub>
                                </m:sSub>
                                <m:r>
                                  <m:rPr>
                                    <m:sty m:val="i"/>
                                  </m:rPr>
                                  <m:t>S</m:t>
                                </m:r>
                              </m:e>
                            </m:box>
                          </m:num>
                          <m:den>
                            <m:box>
                              <m:e>
                                <m:r>
                                  <m:rPr>
                                    <m:sty m:val="i"/>
                                  </m:rPr>
                                  <m:t>F</m:t>
                                </m:r>
                              </m:e>
                            </m:box>
                          </m:den>
                        </m:f>
                      </m:e>
                    </m:box>
                  </m:e>
                </m:box>
              </m:e>
            </m:rad>
          </m:e>
        </m:box>
      </m:oMath>
      <w:r>
        <w:rPr>
          <w:rFonts w:ascii="Times New Roman" w:hAnsi="Times New Roman" w:eastAsia="宋体"/>
          <w:b w:val="0"/>
          <w:sz w:val="24"/>
        </w:rPr>
        <w:tab/>
        <w:t>(4-24)</w:t>
      </w:r>
    </w:p>
    <w:p>
      <w:pPr>
        <w:spacing w:before="0" w:after="0" w:line="360" w:lineRule="auto"/>
        <w:ind w:firstLineChars="200" w:firstLine="480"/>
      </w:pPr>
      <w:r>
        <w:rPr>
          <w:rFonts w:ascii="Times New Roman" w:hAnsi="Times New Roman" w:eastAsia="宋体"/>
          <w:b w:val="0"/>
          <w:sz w:val="24"/>
        </w:rPr>
        <w:t>即全国企业总数是统一市场情形（</w:t>
      </w:r>
      <m:oMath>
        <m:box>
          <m:e>
            <m:r>
              <m:rPr>
                <m:sty m:val="i"/>
              </m:rPr>
              <m:t>N</m:t>
            </m:r>
            <m:r>
              <m:rPr>
                <m:sty m:val="p"/>
              </m:rPr>
              <m:t>=</m:t>
            </m:r>
            <m:r>
              <m:rPr>
                <m:sty m:val="p"/>
              </m:rPr>
              <m:t>1</m:t>
            </m:r>
          </m:e>
        </m:box>
      </m:oMath>
      <w:r>
        <w:rPr>
          <w:rFonts w:ascii="Times New Roman" w:hAnsi="Times New Roman" w:eastAsia="宋体"/>
          <w:b w:val="0"/>
          <w:sz w:val="24"/>
        </w:rPr>
        <w:t>）的</w:t>
      </w:r>
      <m:oMath>
        <m:box>
          <m:e>
            <m:rad>
              <m:e>
                <m:box>
                  <m:e>
                    <m:box>
                      <m:e>
                        <m:r>
                          <m:rPr>
                            <m:sty m:val="i"/>
                          </m:rPr>
                          <m:t>N</m:t>
                        </m:r>
                      </m:e>
                    </m:box>
                  </m:e>
                </m:box>
              </m:e>
            </m:rad>
          </m:e>
        </m:box>
      </m:oMath>
      <w:r>
        <w:rPr>
          <w:rFonts w:ascii="Times New Roman" w:hAnsi="Times New Roman" w:eastAsia="宋体"/>
          <w:b w:val="0"/>
          <w:sz w:val="24"/>
        </w:rPr>
        <w:t>倍。与之对应，单个企业的产销规模为</w:t>
      </w:r>
      <m:oMath>
        <m:box>
          <m:e>
            <m:r>
              <m:rPr>
                <m:sty m:val="i"/>
              </m:rPr>
              <m:t>L</m:t>
            </m:r>
            <m:r>
              <m:rPr>
                <m:sty m:val="p"/>
              </m:rPr>
              <m:t>/</m:t>
            </m:r>
            <m:sSubSup>
              <m:e>
                <m:r>
                  <m:rPr>
                    <m:sty m:val="i"/>
                  </m:rPr>
                  <m:t>n</m:t>
                </m:r>
              </m:e>
              <m:sub>
                <m:r>
                  <m:rPr>
                    <m:sty m:val="i"/>
                  </m:rPr>
                  <m:t>r</m:t>
                </m:r>
              </m:sub>
              <m:sup>
                <m:r>
                  <m:rPr>
                    <m:sty m:val="i"/>
                  </m:rPr>
                  <m:t>e</m:t>
                </m:r>
              </m:sup>
            </m:sSubSup>
            <m:r>
              <m:rPr>
                <m:sty m:val="p"/>
              </m:rPr>
              <m:t>=</m:t>
            </m:r>
            <m:rad>
              <m:e>
                <m:box>
                  <m:e>
                    <m:box>
                      <m:e>
                        <m:r>
                          <m:rPr>
                            <m:sty m:val="i"/>
                          </m:rPr>
                          <m:t>S</m:t>
                        </m:r>
                        <m:r>
                          <m:rPr>
                            <m:sty m:val="i"/>
                          </m:rPr>
                          <m:t>F</m:t>
                        </m:r>
                        <m:r>
                          <m:rPr>
                            <m:sty m:val="p"/>
                          </m:rPr>
                          <m:t>/</m:t>
                        </m:r>
                        <m:r>
                          <m:rPr>
                            <m:sty m:val="p"/>
                          </m:rPr>
                          <m:t>(</m:t>
                        </m:r>
                        <m:r>
                          <m:rPr>
                            <m:sty m:val="i"/>
                          </m:rPr>
                          <m:t>N</m:t>
                        </m:r>
                        <m:sSub>
                          <m:e>
                            <m:r>
                              <m:rPr>
                                <m:sty m:val="i"/>
                              </m:rPr>
                              <m:t>t</m:t>
                            </m:r>
                          </m:e>
                          <m:sub>
                            <m:r>
                              <m:rPr>
                                <m:sty m:val="i"/>
                              </m:rPr>
                              <m:t>d</m:t>
                            </m:r>
                          </m:sub>
                        </m:sSub>
                        <m:r>
                          <m:rPr>
                            <m:sty m:val="p"/>
                          </m:rPr>
                          <m:t>)</m:t>
                        </m:r>
                      </m:e>
                    </m:box>
                  </m:e>
                </m:box>
              </m:e>
            </m:rad>
          </m:e>
        </m:box>
      </m:oMath>
      <w:r>
        <w:rPr>
          <w:rFonts w:ascii="Times New Roman" w:hAnsi="Times New Roman" w:eastAsia="宋体"/>
          <w:b w:val="0"/>
          <w:sz w:val="24"/>
        </w:rPr>
        <w:t>，仅为统一市场下企业规模的</w:t>
      </w:r>
      <m:oMath>
        <m:box>
          <m:e>
            <m:r>
              <m:rPr>
                <m:sty m:val="p"/>
              </m:rPr>
              <m:t>1</m:t>
            </m:r>
            <m:r>
              <m:rPr>
                <m:sty m:val="p"/>
              </m:rPr>
              <m:t>/</m:t>
            </m:r>
            <m:rad>
              <m:e>
                <m:box>
                  <m:e>
                    <m:box>
                      <m:e>
                        <m:r>
                          <m:rPr>
                            <m:sty m:val="i"/>
                          </m:rPr>
                          <m:t>N</m:t>
                        </m:r>
                      </m:e>
                    </m:box>
                  </m:e>
                </m:box>
              </m:e>
            </m:rad>
          </m:e>
        </m:box>
      </m:oMath>
      <w:r>
        <w:rPr>
          <w:rFonts w:ascii="Times New Roman" w:hAnsi="Times New Roman" w:eastAsia="宋体"/>
          <w:b w:val="0"/>
          <w:sz w:val="24"/>
        </w:rPr>
        <w:t>；由零利润条件，均衡价格等于平均成本，且两者均随分割数上升：</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p</m:t>
            </m:r>
            <m:r>
              <m:rPr>
                <m:sty m:val="p"/>
              </m:rPr>
              <m:t>(</m:t>
            </m:r>
            <m:r>
              <m:rPr>
                <m:sty m:val="i"/>
              </m:rPr>
              <m:t>N</m:t>
            </m:r>
            <m:r>
              <m:rPr>
                <m:sty m:val="p"/>
              </m:rPr>
              <m:t>)</m:t>
            </m:r>
            <m:r>
              <m:rPr>
                <m:sty m:val="p"/>
              </m:rPr>
              <m:t>=</m:t>
            </m:r>
            <m:r>
              <m:rPr>
                <m:sty m:val="i"/>
              </m:rPr>
              <m:t>A</m:t>
            </m:r>
            <m:r>
              <m:rPr>
                <m:sty m:val="i"/>
              </m:rPr>
              <m:t>C</m:t>
            </m:r>
            <m:r>
              <m:rPr>
                <m:sty m:val="p"/>
              </m:rPr>
              <m:t>(</m:t>
            </m:r>
            <m:r>
              <m:rPr>
                <m:sty m:val="i"/>
              </m:rPr>
              <m:t>N</m:t>
            </m:r>
            <m:r>
              <m:rPr>
                <m:sty m:val="p"/>
              </m:rPr>
              <m:t>)</m:t>
            </m:r>
            <m:r>
              <m:rPr>
                <m:sty m:val="p"/>
              </m:rPr>
              <m:t>=</m:t>
            </m:r>
            <m:r>
              <m:rPr>
                <m:sty m:val="i"/>
              </m:rPr>
              <m:t>c</m:t>
            </m:r>
            <m:r>
              <m:rPr>
                <m:sty m:val="p"/>
              </m:rPr>
              <m:t>+</m:t>
            </m:r>
            <m:rad>
              <m:e>
                <m:box>
                  <m:e>
                    <m:box>
                      <m:e>
                        <m:f>
                          <m:num>
                            <m:box>
                              <m:e>
                                <m:r>
                                  <m:rPr>
                                    <m:sty m:val="i"/>
                                  </m:rPr>
                                  <m:t>N</m:t>
                                </m:r>
                                <m:sSub>
                                  <m:e>
                                    <m:r>
                                      <m:rPr>
                                        <m:sty m:val="i"/>
                                      </m:rPr>
                                      <m:t>t</m:t>
                                    </m:r>
                                  </m:e>
                                  <m:sub>
                                    <m:r>
                                      <m:rPr>
                                        <m:sty m:val="i"/>
                                      </m:rPr>
                                      <m:t>d</m:t>
                                    </m:r>
                                  </m:sub>
                                </m:sSub>
                                <m:r>
                                  <m:rPr>
                                    <m:sty m:val="i"/>
                                  </m:rPr>
                                  <m:t>F</m:t>
                                </m:r>
                              </m:e>
                            </m:box>
                          </m:num>
                          <m:den>
                            <m:box>
                              <m:e>
                                <m:r>
                                  <m:rPr>
                                    <m:sty m:val="i"/>
                                  </m:rPr>
                                  <m:t>S</m:t>
                                </m:r>
                              </m:e>
                            </m:box>
                          </m:den>
                        </m:f>
                      </m:e>
                    </m:box>
                  </m:e>
                </m:box>
              </m:e>
            </m:rad>
          </m:e>
        </m:box>
      </m:oMath>
      <w:r>
        <w:rPr>
          <w:rFonts w:ascii="Times New Roman" w:hAnsi="Times New Roman" w:eastAsia="宋体"/>
          <w:b w:val="0"/>
          <w:sz w:val="24"/>
        </w:rPr>
        <w:tab/>
        <w:t>(4-25)</w:t>
      </w:r>
    </w:p>
    <w:p>
      <w:pPr>
        <w:spacing w:before="0" w:after="0" w:line="360" w:lineRule="auto"/>
        <w:ind w:firstLineChars="200" w:firstLine="480"/>
      </w:pPr>
      <w:r>
        <w:rPr>
          <w:rFonts w:ascii="Times New Roman" w:hAnsi="Times New Roman" w:eastAsia="宋体"/>
          <w:b w:val="0"/>
          <w:sz w:val="24"/>
        </w:rPr>
        <w:t>再引入地方补贴。中国式招商引资补贴的主体形态——低价供地、代建厂房、设备补助、固定资产投资奖补——恰恰作用于进入环节的固定成本。设地方政府为每个进入企业分担固定成本</w:t>
      </w:r>
      <m:oMath>
        <m:box>
          <m:e>
            <m:sSub>
              <m:e>
                <m:r>
                  <m:rPr>
                    <m:sty m:val="i"/>
                  </m:rPr>
                  <m:t>f</m:t>
                </m:r>
              </m:e>
              <m:sub>
                <m:r>
                  <m:rPr>
                    <m:sty m:val="i"/>
                  </m:rPr>
                  <m:t>s</m:t>
                </m:r>
              </m:sub>
            </m:sSub>
            <m:r>
              <m:rPr>
                <m:sty m:val="p"/>
              </m:rPr>
              <m:t>∈</m:t>
            </m:r>
            <m:r>
              <m:rPr>
                <m:sty m:val="p"/>
              </m:rPr>
              <m:t>(</m:t>
            </m:r>
            <m:r>
              <m:rPr>
                <m:sty m:val="p"/>
              </m:rPr>
              <m:t>0</m:t>
            </m:r>
            <m:r>
              <m:rPr>
                <m:sty m:val="p"/>
              </m:rPr>
              <m:t>,</m:t>
            </m:r>
            <m:r>
              <m:rPr>
                <m:sty m:val="i"/>
              </m:rPr>
              <m:t>F</m:t>
            </m:r>
            <m:r>
              <m:rPr>
                <m:sty m:val="p"/>
              </m:rPr>
              <m:t>)</m:t>
            </m:r>
          </m:e>
        </m:box>
      </m:oMath>
      <w:r>
        <w:rPr>
          <w:rFonts w:ascii="Times New Roman" w:hAnsi="Times New Roman" w:eastAsia="宋体"/>
          <w:b w:val="0"/>
          <w:sz w:val="24"/>
        </w:rPr>
        <w:t>（这可视为基准模型单位产出补贴</w:t>
      </w:r>
      <m:oMath>
        <m:box>
          <m:e>
            <m:sSup>
              <m:e>
                <m:r>
                  <m:rPr>
                    <m:sty m:val="i"/>
                  </m:rPr>
                  <m:t>s</m:t>
                </m:r>
              </m:e>
              <m:sup>
                <m:r>
                  <m:rPr>
                    <m:sty m:val="p"/>
                  </m:rPr>
                  <m:t>*</m:t>
                </m:r>
              </m:sup>
            </m:sSup>
          </m:e>
        </m:box>
      </m:oMath>
      <w:r>
        <w:rPr>
          <w:rFonts w:ascii="Times New Roman" w:hAnsi="Times New Roman" w:eastAsia="宋体"/>
          <w:b w:val="0"/>
          <w:sz w:val="24"/>
        </w:rPr>
        <w:t>在进入边际上的资本化），则企业感知的进入成本降为</w:t>
      </w:r>
      <m:oMath>
        <m:box>
          <m:e>
            <m:r>
              <m:rPr>
                <m:sty m:val="i"/>
              </m:rPr>
              <m:t>F</m:t>
            </m:r>
            <m:r>
              <m:rPr>
                <m:sty m:val="p"/>
              </m:rPr>
              <m:t>−</m:t>
            </m:r>
            <m:sSub>
              <m:e>
                <m:r>
                  <m:rPr>
                    <m:sty m:val="i"/>
                  </m:rPr>
                  <m:t>f</m:t>
                </m:r>
              </m:e>
              <m:sub>
                <m:r>
                  <m:rPr>
                    <m:sty m:val="i"/>
                  </m:rPr>
                  <m:t>s</m:t>
                </m:r>
              </m:sub>
            </m:sSub>
          </m:e>
        </m:box>
      </m:oMath>
      <w:r>
        <w:rPr>
          <w:rFonts w:ascii="Times New Roman" w:hAnsi="Times New Roman" w:eastAsia="宋体"/>
          <w:b w:val="0"/>
          <w:sz w:val="24"/>
        </w:rPr>
        <w:t>，子市场均衡企业数进一步升至：</w:t>
      </w:r>
    </w:p>
    <w:p>
      <w:pPr>
        <w:spacing w:before="120" w:after="120" w:line="360" w:lineRule="auto"/>
        <w:tabs>
          <w:tab w:val="center" w:pos="4252"/>
          <w:tab w:val="right" w:pos="8505"/>
        </w:tabs>
      </w:pPr>
      <w:r>
        <w:rPr>
          <w:rFonts w:ascii="Times New Roman" w:hAnsi="Times New Roman" w:eastAsia="宋体"/>
          <w:b w:val="0"/>
          <w:sz w:val="24"/>
        </w:rPr>
        <w:tab/>
      </w:r>
      <m:oMath>
        <m:box>
          <m:e>
            <m:sSubSup>
              <m:e>
                <m:r>
                  <m:rPr>
                    <m:sty m:val="i"/>
                  </m:rPr>
                  <m:t>n</m:t>
                </m:r>
              </m:e>
              <m:sub>
                <m:r>
                  <m:rPr>
                    <m:sty m:val="i"/>
                  </m:rPr>
                  <m:t>r</m:t>
                </m:r>
              </m:sub>
              <m:sup>
                <m:r>
                  <m:rPr>
                    <m:sty m:val="i"/>
                  </m:rPr>
                  <m:t>s</m:t>
                </m:r>
              </m:sup>
            </m:sSubSup>
            <m:r>
              <m:rPr>
                <m:sty m:val="p"/>
              </m:rPr>
              <m:t>=</m:t>
            </m:r>
            <m:rad>
              <m:e>
                <m:box>
                  <m:e>
                    <m:box>
                      <m:e>
                        <m:f>
                          <m:num>
                            <m:box>
                              <m:e>
                                <m:sSub>
                                  <m:e>
                                    <m:r>
                                      <m:rPr>
                                        <m:sty m:val="i"/>
                                      </m:rPr>
                                      <m:t>t</m:t>
                                    </m:r>
                                  </m:e>
                                  <m:sub>
                                    <m:r>
                                      <m:rPr>
                                        <m:sty m:val="i"/>
                                      </m:rPr>
                                      <m:t>d</m:t>
                                    </m:r>
                                  </m:sub>
                                </m:sSub>
                                <m:r>
                                  <m:rPr>
                                    <m:sty m:val="i"/>
                                  </m:rPr>
                                  <m:t>S</m:t>
                                </m:r>
                              </m:e>
                            </m:box>
                          </m:num>
                          <m:den>
                            <m:box>
                              <m:e>
                                <m:r>
                                  <m:rPr>
                                    <m:sty m:val="i"/>
                                  </m:rPr>
                                  <m:t>N</m:t>
                                </m:r>
                                <m:r>
                                  <m:rPr>
                                    <m:sty m:val="p"/>
                                  </m:rPr>
                                  <m:t>(</m:t>
                                </m:r>
                                <m:r>
                                  <m:rPr>
                                    <m:sty m:val="i"/>
                                  </m:rPr>
                                  <m:t>F</m:t>
                                </m:r>
                                <m:r>
                                  <m:rPr>
                                    <m:sty m:val="p"/>
                                  </m:rPr>
                                  <m:t>−</m:t>
                                </m:r>
                                <m:sSub>
                                  <m:e>
                                    <m:r>
                                      <m:rPr>
                                        <m:sty m:val="i"/>
                                      </m:rPr>
                                      <m:t>f</m:t>
                                    </m:r>
                                  </m:e>
                                  <m:sub>
                                    <m:r>
                                      <m:rPr>
                                        <m:sty m:val="i"/>
                                      </m:rPr>
                                      <m:t>s</m:t>
                                    </m:r>
                                  </m:sub>
                                </m:sSub>
                                <m:r>
                                  <m:rPr>
                                    <m:sty m:val="p"/>
                                  </m:rPr>
                                  <m:t>)</m:t>
                                </m:r>
                              </m:e>
                            </m:box>
                          </m:den>
                        </m:f>
                      </m:e>
                    </m:box>
                  </m:e>
                </m:box>
              </m:e>
            </m:rad>
          </m:e>
        </m:box>
      </m:oMath>
      <w:r>
        <w:rPr>
          <w:rFonts w:ascii="Times New Roman" w:hAnsi="Times New Roman" w:eastAsia="宋体"/>
          <w:b w:val="0"/>
          <w:sz w:val="24"/>
        </w:rPr>
        <w:tab/>
        <w:t>(4-26)</w:t>
      </w:r>
    </w:p>
    <w:p>
      <w:pPr>
        <w:spacing w:before="0" w:after="0" w:line="360" w:lineRule="auto"/>
        <w:ind w:firstLineChars="200" w:firstLine="480"/>
      </w:pPr>
      <w:r>
        <w:rPr>
          <w:rFonts w:ascii="Times New Roman" w:hAnsi="Times New Roman" w:eastAsia="宋体"/>
          <w:b w:val="0"/>
          <w:sz w:val="24"/>
        </w:rPr>
        <w:t>综合以上，可得本节第一个命题。</w:t>
      </w:r>
    </w:p>
    <w:p>
      <w:pPr>
        <w:spacing w:before="0" w:after="0" w:line="360" w:lineRule="auto"/>
        <w:ind w:firstLineChars="200" w:firstLine="480"/>
      </w:pPr>
      <w:r>
        <w:rPr>
          <w:rFonts w:ascii="Times New Roman" w:hAnsi="Times New Roman" w:eastAsia="宋体"/>
          <w:b/>
          <w:sz w:val="24"/>
        </w:rPr>
        <w:t>命题4-4（分割市场的过度进入）</w:t>
      </w:r>
      <w:r>
        <w:rPr>
          <w:rFonts w:ascii="Times New Roman" w:hAnsi="Times New Roman" w:eastAsia="宋体"/>
          <w:b w:val="0"/>
          <w:sz w:val="24"/>
        </w:rPr>
        <w:t xml:space="preserve">　（i）即使没有政府干预，自由进入均衡也存在两倍于社会最优的企业数（</w:t>
      </w:r>
      <m:oMath>
        <m:box>
          <m:e>
            <m:sSup>
              <m:e>
                <m:r>
                  <m:rPr>
                    <m:sty m:val="i"/>
                  </m:rPr>
                  <m:t>n</m:t>
                </m:r>
              </m:e>
              <m:sup>
                <m:r>
                  <m:rPr>
                    <m:sty m:val="i"/>
                  </m:rPr>
                  <m:t>e</m:t>
                </m:r>
              </m:sup>
            </m:sSup>
            <m:r>
              <m:rPr>
                <m:sty m:val="p"/>
              </m:rPr>
              <m:t>=</m:t>
            </m:r>
            <m:r>
              <m:rPr>
                <m:sty m:val="p"/>
              </m:rPr>
              <m:t>2</m:t>
            </m:r>
            <m:sSup>
              <m:e>
                <m:r>
                  <m:rPr>
                    <m:sty m:val="i"/>
                  </m:rPr>
                  <m:t>n</m:t>
                </m:r>
              </m:e>
              <m:sup>
                <m:r>
                  <m:rPr>
                    <m:sty m:val="i"/>
                  </m:rPr>
                  <m:t>o</m:t>
                </m:r>
              </m:sup>
            </m:sSup>
          </m:e>
        </m:box>
      </m:oMath>
      <w:r>
        <w:rPr>
          <w:rFonts w:ascii="Times New Roman" w:hAnsi="Times New Roman" w:eastAsia="宋体"/>
          <w:b w:val="0"/>
          <w:sz w:val="24"/>
        </w:rPr>
        <w:t>）；（ii）给定全国市场规模</w:t>
      </w:r>
      <m:oMath>
        <m:box>
          <m:e>
            <m:r>
              <m:rPr>
                <m:sty m:val="i"/>
              </m:rPr>
              <m:t>S</m:t>
            </m:r>
          </m:e>
        </m:box>
      </m:oMath>
      <w:r>
        <w:rPr>
          <w:rFonts w:ascii="Times New Roman" w:hAnsi="Times New Roman" w:eastAsia="宋体"/>
          <w:b w:val="0"/>
          <w:sz w:val="24"/>
        </w:rPr>
        <w:t>，分割为</w:t>
      </w:r>
      <m:oMath>
        <m:box>
          <m:e>
            <m:r>
              <m:rPr>
                <m:sty m:val="i"/>
              </m:rPr>
              <m:t>N</m:t>
            </m:r>
          </m:e>
        </m:box>
      </m:oMath>
      <w:r>
        <w:rPr>
          <w:rFonts w:ascii="Times New Roman" w:hAnsi="Times New Roman" w:eastAsia="宋体"/>
          <w:b w:val="0"/>
          <w:sz w:val="24"/>
        </w:rPr>
        <w:t>个子市场使全国企业总数扩大为统一市场的</w:t>
      </w:r>
      <m:oMath>
        <m:box>
          <m:e>
            <m:rad>
              <m:e>
                <m:box>
                  <m:e>
                    <m:box>
                      <m:e>
                        <m:r>
                          <m:rPr>
                            <m:sty m:val="i"/>
                          </m:rPr>
                          <m:t>N</m:t>
                        </m:r>
                      </m:e>
                    </m:box>
                  </m:e>
                </m:box>
              </m:e>
            </m:rad>
          </m:e>
        </m:box>
      </m:oMath>
      <w:r>
        <w:rPr>
          <w:rFonts w:ascii="Times New Roman" w:hAnsi="Times New Roman" w:eastAsia="宋体"/>
          <w:b w:val="0"/>
          <w:sz w:val="24"/>
        </w:rPr>
        <w:t>倍，单个企业规模缩小为</w:t>
      </w:r>
      <m:oMath>
        <m:box>
          <m:e>
            <m:r>
              <m:rPr>
                <m:sty m:val="p"/>
              </m:rPr>
              <m:t>1</m:t>
            </m:r>
            <m:r>
              <m:rPr>
                <m:sty m:val="p"/>
              </m:rPr>
              <m:t>/</m:t>
            </m:r>
            <m:rad>
              <m:e>
                <m:box>
                  <m:e>
                    <m:box>
                      <m:e>
                        <m:r>
                          <m:rPr>
                            <m:sty m:val="i"/>
                          </m:rPr>
                          <m:t>N</m:t>
                        </m:r>
                      </m:e>
                    </m:box>
                  </m:e>
                </m:box>
              </m:e>
            </m:rad>
          </m:e>
        </m:box>
      </m:oMath>
      <w:r>
        <w:rPr>
          <w:rFonts w:ascii="Times New Roman" w:hAnsi="Times New Roman" w:eastAsia="宋体"/>
          <w:b w:val="0"/>
          <w:sz w:val="24"/>
        </w:rPr>
        <w:t>，均衡价格与平均成本按</w:t>
      </w:r>
      <m:oMath>
        <m:box>
          <m:e>
            <m:rad>
              <m:e>
                <m:box>
                  <m:e>
                    <m:box>
                      <m:e>
                        <m:r>
                          <m:rPr>
                            <m:sty m:val="i"/>
                          </m:rPr>
                          <m:t>N</m:t>
                        </m:r>
                      </m:e>
                    </m:box>
                  </m:e>
                </m:box>
              </m:e>
            </m:rad>
          </m:e>
        </m:box>
      </m:oMath>
      <w:r>
        <w:rPr>
          <w:rFonts w:ascii="Times New Roman" w:hAnsi="Times New Roman" w:eastAsia="宋体"/>
          <w:b w:val="0"/>
          <w:sz w:val="24"/>
        </w:rPr>
        <w:t>规律上升，全行业固定成本投入</w:t>
      </w:r>
      <m:oMath>
        <m:box>
          <m:e>
            <m:sSup>
              <m:e>
                <m:r>
                  <m:rPr>
                    <m:sty m:val="i"/>
                  </m:rPr>
                  <m:t>n</m:t>
                </m:r>
              </m:e>
              <m:sup>
                <m:box>
                  <m:e>
                    <m:r>
                      <m:rPr>
                        <m:sty m:val="i"/>
                      </m:rPr>
                      <m:t>t</m:t>
                    </m:r>
                    <m:r>
                      <m:rPr>
                        <m:sty m:val="i"/>
                      </m:rPr>
                      <m:t>o</m:t>
                    </m:r>
                    <m:r>
                      <m:rPr>
                        <m:sty m:val="i"/>
                      </m:rPr>
                      <m:t>t</m:t>
                    </m:r>
                    <m:r>
                      <m:rPr>
                        <m:sty m:val="i"/>
                      </m:rPr>
                      <m:t>a</m:t>
                    </m:r>
                    <m:r>
                      <m:rPr>
                        <m:sty m:val="i"/>
                      </m:rPr>
                      <m:t>l</m:t>
                    </m:r>
                  </m:e>
                </m:box>
              </m:sup>
            </m:sSup>
            <m:r>
              <m:rPr>
                <m:sty m:val="i"/>
              </m:rPr>
              <m:t>F</m:t>
            </m:r>
          </m:e>
        </m:box>
      </m:oMath>
      <w:r>
        <w:rPr>
          <w:rFonts w:ascii="Times New Roman" w:hAnsi="Times New Roman" w:eastAsia="宋体"/>
          <w:b w:val="0"/>
          <w:sz w:val="24"/>
        </w:rPr>
        <w:t>亦按</w:t>
      </w:r>
      <m:oMath>
        <m:box>
          <m:e>
            <m:rad>
              <m:e>
                <m:box>
                  <m:e>
                    <m:box>
                      <m:e>
                        <m:r>
                          <m:rPr>
                            <m:sty m:val="i"/>
                          </m:rPr>
                          <m:t>N</m:t>
                        </m:r>
                      </m:e>
                    </m:box>
                  </m:e>
                </m:box>
              </m:e>
            </m:rad>
          </m:e>
        </m:box>
      </m:oMath>
      <w:r>
        <w:rPr>
          <w:rFonts w:ascii="Times New Roman" w:hAnsi="Times New Roman" w:eastAsia="宋体"/>
          <w:b w:val="0"/>
          <w:sz w:val="24"/>
        </w:rPr>
        <w:t>规律重复扩大；（iii）进入补贴使过度进入进一步放大：</w:t>
      </w:r>
      <m:oMath>
        <m:box>
          <m:e>
            <m:r>
              <m:rPr>
                <m:sty m:val="p"/>
              </m:rPr>
              <m:t>∂</m:t>
            </m:r>
            <m:sSubSup>
              <m:e>
                <m:r>
                  <m:rPr>
                    <m:sty m:val="i"/>
                  </m:rPr>
                  <m:t>n</m:t>
                </m:r>
              </m:e>
              <m:sub>
                <m:r>
                  <m:rPr>
                    <m:sty m:val="i"/>
                  </m:rPr>
                  <m:t>r</m:t>
                </m:r>
              </m:sub>
              <m:sup>
                <m:r>
                  <m:rPr>
                    <m:sty m:val="i"/>
                  </m:rPr>
                  <m:t>s</m:t>
                </m:r>
              </m:sup>
            </m:sSubSup>
            <m:r>
              <m:rPr>
                <m:sty m:val="p"/>
              </m:rPr>
              <m:t>/</m:t>
            </m:r>
            <m:r>
              <m:rPr>
                <m:sty m:val="p"/>
              </m:rPr>
              <m:t>∂</m:t>
            </m:r>
            <m:sSub>
              <m:e>
                <m:r>
                  <m:rPr>
                    <m:sty m:val="i"/>
                  </m:rPr>
                  <m:t>f</m:t>
                </m:r>
              </m:e>
              <m:sub>
                <m:r>
                  <m:rPr>
                    <m:sty m:val="i"/>
                  </m:rPr>
                  <m:t>s</m:t>
                </m:r>
              </m:sub>
            </m:sSub>
            <m:r>
              <m:rPr>
                <m:sty m:val="p"/>
              </m:rPr>
              <m:t>&gt;</m:t>
            </m:r>
            <m:r>
              <m:rPr>
                <m:sty m:val="p"/>
              </m:rPr>
              <m:t>0</m:t>
            </m:r>
          </m:e>
        </m:box>
      </m:oMath>
      <w:r>
        <w:rPr>
          <w:rFonts w:ascii="Times New Roman" w:hAnsi="Times New Roman" w:eastAsia="宋体"/>
          <w:b w:val="0"/>
          <w:sz w:val="24"/>
        </w:rPr>
        <w:t>，且市场企业数与社会最优企业数之比升至</w:t>
      </w:r>
      <m:oMath>
        <m:box>
          <m:e>
            <m:r>
              <m:rPr>
                <m:sty m:val="p"/>
              </m:rPr>
              <m:t>2</m:t>
            </m:r>
            <m:rad>
              <m:e>
                <m:box>
                  <m:e>
                    <m:box>
                      <m:e>
                        <m:r>
                          <m:rPr>
                            <m:sty m:val="i"/>
                          </m:rPr>
                          <m:t>F</m:t>
                        </m:r>
                        <m:r>
                          <m:rPr>
                            <m:sty m:val="p"/>
                          </m:rPr>
                          <m:t>/</m:t>
                        </m:r>
                        <m:r>
                          <m:rPr>
                            <m:sty m:val="p"/>
                          </m:rPr>
                          <m:t>(</m:t>
                        </m:r>
                        <m:r>
                          <m:rPr>
                            <m:sty m:val="i"/>
                          </m:rPr>
                          <m:t>F</m:t>
                        </m:r>
                        <m:r>
                          <m:rPr>
                            <m:sty m:val="p"/>
                          </m:rPr>
                          <m:t>−</m:t>
                        </m:r>
                        <m:sSub>
                          <m:e>
                            <m:r>
                              <m:rPr>
                                <m:sty m:val="i"/>
                              </m:rPr>
                              <m:t>f</m:t>
                            </m:r>
                          </m:e>
                          <m:sub>
                            <m:r>
                              <m:rPr>
                                <m:sty m:val="i"/>
                              </m:rPr>
                              <m:t>s</m:t>
                            </m:r>
                          </m:sub>
                        </m:sSub>
                        <m:r>
                          <m:rPr>
                            <m:sty m:val="p"/>
                          </m:rPr>
                          <m:t>)</m:t>
                        </m:r>
                      </m:e>
                    </m:box>
                  </m:e>
                </m:box>
              </m:e>
            </m:rad>
            <m:r>
              <m:rPr>
                <m:sty m:val="p"/>
              </m:rPr>
              <m:t>&gt;</m:t>
            </m:r>
            <m:r>
              <m:rPr>
                <m:sty m:val="p"/>
              </m:rPr>
              <m:t>2</m:t>
            </m:r>
          </m:e>
        </m:box>
      </m:oMath>
      <w:r>
        <w:rPr>
          <w:rFonts w:ascii="Times New Roman" w:hAnsi="Times New Roman" w:eastAsia="宋体"/>
          <w:b w:val="0"/>
          <w:sz w:val="24"/>
        </w:rPr>
        <w:t>。</w:t>
      </w:r>
    </w:p>
    <w:p>
      <w:pPr>
        <w:spacing w:before="0" w:after="0" w:line="360" w:lineRule="auto"/>
        <w:ind w:firstLineChars="200" w:firstLine="480"/>
      </w:pPr>
      <w:r>
        <w:rPr>
          <w:rFonts w:ascii="Times New Roman" w:hAnsi="Times New Roman" w:eastAsia="宋体"/>
          <w:b w:val="0"/>
          <w:sz w:val="24"/>
        </w:rPr>
        <w:t>证明思路：(i)即式(4-20)与(4-22)之比；(ii)由式(4-23)—(4-25)对</w:t>
      </w:r>
      <m:oMath>
        <m:box>
          <m:e>
            <m:r>
              <m:rPr>
                <m:sty m:val="i"/>
              </m:rPr>
              <m:t>N</m:t>
            </m:r>
          </m:e>
        </m:box>
      </m:oMath>
      <w:r>
        <w:rPr>
          <w:rFonts w:ascii="Times New Roman" w:hAnsi="Times New Roman" w:eastAsia="宋体"/>
          <w:b w:val="0"/>
          <w:sz w:val="24"/>
        </w:rPr>
        <w:t>求偏导可得，如</w:t>
      </w:r>
      <m:oMath>
        <m:box>
          <m:e>
            <m:r>
              <m:rPr>
                <m:sty m:val="p"/>
              </m:rPr>
              <m:t>∂</m:t>
            </m:r>
            <m:sSup>
              <m:e>
                <m:r>
                  <m:rPr>
                    <m:sty m:val="i"/>
                  </m:rPr>
                  <m:t>n</m:t>
                </m:r>
              </m:e>
              <m:sup>
                <m:box>
                  <m:e>
                    <m:r>
                      <m:rPr>
                        <m:sty m:val="i"/>
                      </m:rPr>
                      <m:t>t</m:t>
                    </m:r>
                    <m:r>
                      <m:rPr>
                        <m:sty m:val="i"/>
                      </m:rPr>
                      <m:t>o</m:t>
                    </m:r>
                    <m:r>
                      <m:rPr>
                        <m:sty m:val="i"/>
                      </m:rPr>
                      <m:t>t</m:t>
                    </m:r>
                    <m:r>
                      <m:rPr>
                        <m:sty m:val="i"/>
                      </m:rPr>
                      <m:t>a</m:t>
                    </m:r>
                    <m:r>
                      <m:rPr>
                        <m:sty m:val="i"/>
                      </m:rPr>
                      <m:t>l</m:t>
                    </m:r>
                  </m:e>
                </m:box>
              </m:sup>
            </m:sSup>
            <m:r>
              <m:rPr>
                <m:sty m:val="p"/>
              </m:rPr>
              <m:t>/</m:t>
            </m:r>
            <m:r>
              <m:rPr>
                <m:sty m:val="p"/>
              </m:rPr>
              <m:t>∂</m:t>
            </m:r>
            <m:r>
              <m:rPr>
                <m:sty m:val="i"/>
              </m:rPr>
              <m:t>N</m:t>
            </m:r>
            <m:r>
              <m:rPr>
                <m:sty m:val="p"/>
              </m:rPr>
              <m:t>=</m:t>
            </m:r>
            <m:sSup>
              <m:e>
                <m:r>
                  <m:rPr>
                    <m:sty m:val="i"/>
                  </m:rPr>
                  <m:t>n</m:t>
                </m:r>
              </m:e>
              <m:sup>
                <m:box>
                  <m:e>
                    <m:r>
                      <m:rPr>
                        <m:sty m:val="i"/>
                      </m:rPr>
                      <m:t>t</m:t>
                    </m:r>
                    <m:r>
                      <m:rPr>
                        <m:sty m:val="i"/>
                      </m:rPr>
                      <m:t>o</m:t>
                    </m:r>
                    <m:r>
                      <m:rPr>
                        <m:sty m:val="i"/>
                      </m:rPr>
                      <m:t>t</m:t>
                    </m:r>
                    <m:r>
                      <m:rPr>
                        <m:sty m:val="i"/>
                      </m:rPr>
                      <m:t>a</m:t>
                    </m:r>
                    <m:r>
                      <m:rPr>
                        <m:sty m:val="i"/>
                      </m:rPr>
                      <m:t>l</m:t>
                    </m:r>
                  </m:e>
                </m:box>
              </m:sup>
            </m:sSup>
            <m:r>
              <m:rPr>
                <m:sty m:val="p"/>
              </m:rPr>
              <m:t>/</m:t>
            </m:r>
            <m:r>
              <m:rPr>
                <m:sty m:val="p"/>
              </m:rPr>
              <m:t>(</m:t>
            </m:r>
            <m:r>
              <m:rPr>
                <m:sty m:val="p"/>
              </m:rPr>
              <m:t>2</m:t>
            </m:r>
            <m:r>
              <m:rPr>
                <m:sty m:val="i"/>
              </m:rPr>
              <m:t>N</m:t>
            </m:r>
            <m:r>
              <m:rPr>
                <m:sty m:val="p"/>
              </m:rPr>
              <m:t>)</m:t>
            </m:r>
            <m:r>
              <m:rPr>
                <m:sty m:val="p"/>
              </m:rPr>
              <m:t>&gt;</m:t>
            </m:r>
            <m:r>
              <m:rPr>
                <m:sty m:val="p"/>
              </m:rPr>
              <m:t>0</m:t>
            </m:r>
          </m:e>
        </m:box>
      </m:oMath>
      <w:r>
        <w:rPr>
          <w:rFonts w:ascii="Times New Roman" w:hAnsi="Times New Roman" w:eastAsia="宋体"/>
          <w:b w:val="0"/>
          <w:sz w:val="24"/>
        </w:rPr>
        <w:t>；(iii)由式(4-26)对</w:t>
      </w:r>
      <m:oMath>
        <m:box>
          <m:e>
            <m:sSub>
              <m:e>
                <m:r>
                  <m:rPr>
                    <m:sty m:val="i"/>
                  </m:rPr>
                  <m:t>f</m:t>
                </m:r>
              </m:e>
              <m:sub>
                <m:r>
                  <m:rPr>
                    <m:sty m:val="i"/>
                  </m:rPr>
                  <m:t>s</m:t>
                </m:r>
              </m:sub>
            </m:sSub>
          </m:e>
        </m:box>
      </m:oMath>
      <w:r>
        <w:rPr>
          <w:rFonts w:ascii="Times New Roman" w:hAnsi="Times New Roman" w:eastAsia="宋体"/>
          <w:b w:val="0"/>
          <w:sz w:val="24"/>
        </w:rPr>
        <w:t>求导，并注意社会最优</w:t>
      </w:r>
      <m:oMath>
        <m:box>
          <m:e>
            <m:sSup>
              <m:e>
                <m:r>
                  <m:rPr>
                    <m:sty m:val="i"/>
                  </m:rPr>
                  <m:t>n</m:t>
                </m:r>
              </m:e>
              <m:sup>
                <m:r>
                  <m:rPr>
                    <m:sty m:val="i"/>
                  </m:rPr>
                  <m:t>o</m:t>
                </m:r>
              </m:sup>
            </m:sSup>
          </m:e>
        </m:box>
      </m:oMath>
      <w:r>
        <w:rPr>
          <w:rFonts w:ascii="Times New Roman" w:hAnsi="Times New Roman" w:eastAsia="宋体"/>
          <w:b w:val="0"/>
          <w:sz w:val="24"/>
        </w:rPr>
        <w:t>取决于真实固定成本</w:t>
      </w:r>
      <m:oMath>
        <m:box>
          <m:e>
            <m:r>
              <m:rPr>
                <m:sty m:val="i"/>
              </m:rPr>
              <m:t>F</m:t>
            </m:r>
          </m:e>
        </m:box>
      </m:oMath>
      <w:r>
        <w:rPr>
          <w:rFonts w:ascii="Times New Roman" w:hAnsi="Times New Roman" w:eastAsia="宋体"/>
          <w:b w:val="0"/>
          <w:sz w:val="24"/>
        </w:rPr>
        <w:t>而非补贴后成本。证毕。</w:t>
      </w:r>
    </w:p>
    <w:p>
      <w:pPr>
        <w:spacing w:before="0" w:after="0" w:line="360" w:lineRule="auto"/>
        <w:ind w:firstLineChars="200" w:firstLine="480"/>
      </w:pPr>
      <w:r>
        <w:rPr>
          <w:rFonts w:ascii="Times New Roman" w:hAnsi="Times New Roman" w:eastAsia="宋体"/>
          <w:b w:val="0"/>
          <w:sz w:val="24"/>
        </w:rPr>
        <w:t>命题4-4刻画了“市场分割—重复建设—规模不经济”的完整链条，其三个组成部分各有明确的现实对应：</w:t>
      </w:r>
      <m:oMath>
        <m:box>
          <m:e>
            <m:rad>
              <m:e>
                <m:box>
                  <m:e>
                    <m:box>
                      <m:e>
                        <m:r>
                          <m:rPr>
                            <m:sty m:val="i"/>
                          </m:rPr>
                          <m:t>N</m:t>
                        </m:r>
                      </m:e>
                    </m:box>
                  </m:e>
                </m:box>
              </m:e>
            </m:rad>
          </m:e>
        </m:box>
      </m:oMath>
      <w:r>
        <w:rPr>
          <w:rFonts w:ascii="Times New Roman" w:hAnsi="Times New Roman" w:eastAsia="宋体"/>
          <w:b w:val="0"/>
          <w:sz w:val="24"/>
        </w:rPr>
        <w:t>倍的企业冗余对应各省份竞相布局“新三样”、光伏产业链在二十余个省份重复落地的产业同构格局；</w:t>
      </w:r>
      <m:oMath>
        <m:box>
          <m:e>
            <m:r>
              <m:rPr>
                <m:sty m:val="p"/>
              </m:rPr>
              <m:t>1</m:t>
            </m:r>
            <m:r>
              <m:rPr>
                <m:sty m:val="p"/>
              </m:rPr>
              <m:t>/</m:t>
            </m:r>
            <m:rad>
              <m:e>
                <m:box>
                  <m:e>
                    <m:box>
                      <m:e>
                        <m:r>
                          <m:rPr>
                            <m:sty m:val="i"/>
                          </m:rPr>
                          <m:t>N</m:t>
                        </m:r>
                      </m:e>
                    </m:box>
                  </m:e>
                </m:box>
              </m:e>
            </m:rad>
          </m:e>
        </m:box>
      </m:oMath>
      <w:r>
        <w:rPr>
          <w:rFonts w:ascii="Times New Roman" w:hAnsi="Times New Roman" w:eastAsia="宋体"/>
          <w:b w:val="0"/>
          <w:sz w:val="24"/>
        </w:rPr>
        <w:t>的规模缩水对应企业普遍达不到最小有效规模、行业集中度长期偏低的事实；固定成本的重复投入则对应全社会层面的资本浪费。尤为重要的是(iii)：补贴不改变社会最优企业数，却实实在在地抬高了均衡企业数，这意味着补贴引致的每一个“边际进入者”都是纯粹的社会净损失。分割与统一两种情形下的进入均衡可以在平均成本图上直观比较（见图4.2）。</w:t>
      </w:r>
    </w:p>
    <w:p>
      <w:pPr>
        <w:spacing w:before="120"/>
        <w:jc w:val="center"/>
      </w:pPr>
      <w:r>
        <w:drawing>
          <wp:inline xmlns:a="http://schemas.openxmlformats.org/drawingml/2006/main" xmlns:pic="http://schemas.openxmlformats.org/drawingml/2006/picture">
            <wp:extent cx="5112000" cy="3568366"/>
            <wp:docPr id="8" name="Picture 8"/>
            <wp:cNvGraphicFramePr>
              <a:graphicFrameLocks noChangeAspect="1"/>
            </wp:cNvGraphicFramePr>
            <a:graphic>
              <a:graphicData uri="http://schemas.openxmlformats.org/drawingml/2006/picture">
                <pic:pic>
                  <pic:nvPicPr>
                    <pic:cNvPr id="0" name="fig_4_2.png"/>
                    <pic:cNvPicPr/>
                  </pic:nvPicPr>
                  <pic:blipFill>
                    <a:blip r:embed="rId16"/>
                    <a:stretch>
                      <a:fillRect/>
                    </a:stretch>
                  </pic:blipFill>
                  <pic:spPr>
                    <a:xfrm>
                      <a:off x="0" y="0"/>
                      <a:ext cx="5112000" cy="3568366"/>
                    </a:xfrm>
                    <a:prstGeom prst="rect"/>
                  </pic:spPr>
                </pic:pic>
              </a:graphicData>
            </a:graphic>
          </wp:inline>
        </w:drawing>
      </w:r>
    </w:p>
    <w:p>
      <w:pPr>
        <w:spacing w:before="120" w:after="120" w:line="312" w:lineRule="auto"/>
        <w:jc w:val="center"/>
      </w:pPr>
      <w:r>
        <w:rPr>
          <w:rFonts w:ascii="Times New Roman" w:hAnsi="Times New Roman" w:eastAsia="黑体"/>
          <w:b w:val="0"/>
          <w:sz w:val="21"/>
        </w:rPr>
        <w:t>图4.2　分割与统一情形下的进入均衡与平均成本</w:t>
      </w:r>
    </w:p>
    <w:p>
      <w:pPr>
        <w:spacing w:before="0" w:after="0" w:line="360" w:lineRule="auto"/>
        <w:ind w:firstLineChars="200" w:firstLine="480"/>
      </w:pPr>
      <w:r>
        <w:rPr>
          <w:rFonts w:ascii="Times New Roman" w:hAnsi="Times New Roman" w:eastAsia="宋体"/>
          <w:b w:val="0"/>
          <w:sz w:val="24"/>
        </w:rPr>
        <w:t>图4.2的横轴为企业数量</w:t>
      </w:r>
      <m:oMath>
        <m:box>
          <m:e>
            <m:r>
              <m:rPr>
                <m:sty m:val="i"/>
              </m:rPr>
              <m:t>n</m:t>
            </m:r>
          </m:e>
        </m:box>
      </m:oMath>
      <w:r>
        <w:rPr>
          <w:rFonts w:ascii="Times New Roman" w:hAnsi="Times New Roman" w:eastAsia="宋体"/>
          <w:b w:val="0"/>
          <w:sz w:val="24"/>
        </w:rPr>
        <w:t>，纵轴为价格与平均成本，实线为统一市场的平均成本线</w:t>
      </w:r>
      <m:oMath>
        <m:box>
          <m:e>
            <m:r>
              <m:rPr>
                <m:sty m:val="i"/>
              </m:rPr>
              <m:t>A</m:t>
            </m:r>
            <m:sSup>
              <m:e>
                <m:r>
                  <m:rPr>
                    <m:sty m:val="i"/>
                  </m:rPr>
                  <m:t>C</m:t>
                </m:r>
              </m:e>
              <m:sup>
                <m:r>
                  <m:rPr>
                    <m:sty m:val="i"/>
                  </m:rPr>
                  <m:t>U</m:t>
                </m:r>
              </m:sup>
            </m:sSup>
            <m:r>
              <m:rPr>
                <m:sty m:val="p"/>
              </m:rPr>
              <m:t>(</m:t>
            </m:r>
            <m:r>
              <m:rPr>
                <m:sty m:val="i"/>
              </m:rPr>
              <m:t>n</m:t>
            </m:r>
            <m:r>
              <m:rPr>
                <m:sty m:val="p"/>
              </m:rPr>
              <m:t>)</m:t>
            </m:r>
          </m:e>
        </m:box>
      </m:oMath>
      <w:r>
        <w:rPr>
          <w:rFonts w:ascii="Times New Roman" w:hAnsi="Times New Roman" w:eastAsia="宋体"/>
          <w:b w:val="0"/>
          <w:sz w:val="24"/>
        </w:rPr>
        <w:t>，虚线为分割市场（单个子市场）的平均成本线</w:t>
      </w:r>
      <m:oMath>
        <m:box>
          <m:e>
            <m:r>
              <m:rPr>
                <m:sty m:val="i"/>
              </m:rPr>
              <m:t>A</m:t>
            </m:r>
            <m:sSup>
              <m:e>
                <m:r>
                  <m:rPr>
                    <m:sty m:val="i"/>
                  </m:rPr>
                  <m:t>C</m:t>
                </m:r>
              </m:e>
              <m:sup>
                <m:r>
                  <m:rPr>
                    <m:sty m:val="i"/>
                  </m:rPr>
                  <m:t>S</m:t>
                </m:r>
              </m:sup>
            </m:sSup>
            <m:r>
              <m:rPr>
                <m:sty m:val="p"/>
              </m:rPr>
              <m:t>(</m:t>
            </m:r>
            <m:r>
              <m:rPr>
                <m:sty m:val="i"/>
              </m:rPr>
              <m:t>n</m:t>
            </m:r>
            <m:r>
              <m:rPr>
                <m:sty m:val="p"/>
              </m:rPr>
              <m:t>)</m:t>
            </m:r>
          </m:e>
        </m:box>
      </m:oMath>
      <w:r>
        <w:rPr>
          <w:rFonts w:ascii="Times New Roman" w:hAnsi="Times New Roman" w:eastAsia="宋体"/>
          <w:b w:val="0"/>
          <w:sz w:val="24"/>
        </w:rPr>
        <w:t>，水平点线为给定的市场价格水平。由于子市场规模仅为全国市场的</w:t>
      </w:r>
      <m:oMath>
        <m:box>
          <m:e>
            <m:r>
              <m:rPr>
                <m:sty m:val="p"/>
              </m:rPr>
              <m:t>1</m:t>
            </m:r>
            <m:r>
              <m:rPr>
                <m:sty m:val="p"/>
              </m:rPr>
              <m:t>/</m:t>
            </m:r>
            <m:r>
              <m:rPr>
                <m:sty m:val="i"/>
              </m:rPr>
              <m:t>N</m:t>
            </m:r>
          </m:e>
        </m:box>
      </m:oMath>
      <w:r>
        <w:rPr>
          <w:rFonts w:ascii="Times New Roman" w:hAnsi="Times New Roman" w:eastAsia="宋体"/>
          <w:b w:val="0"/>
          <w:sz w:val="24"/>
        </w:rPr>
        <w:t>，同样数量的企业瓜分更小的市场意味着单厂规模更小，故</w:t>
      </w:r>
      <m:oMath>
        <m:box>
          <m:e>
            <m:r>
              <m:rPr>
                <m:sty m:val="i"/>
              </m:rPr>
              <m:t>A</m:t>
            </m:r>
            <m:sSup>
              <m:e>
                <m:r>
                  <m:rPr>
                    <m:sty m:val="i"/>
                  </m:rPr>
                  <m:t>C</m:t>
                </m:r>
              </m:e>
              <m:sup>
                <m:r>
                  <m:rPr>
                    <m:sty m:val="i"/>
                  </m:rPr>
                  <m:t>S</m:t>
                </m:r>
              </m:sup>
            </m:sSup>
            <m:r>
              <m:rPr>
                <m:sty m:val="p"/>
              </m:rPr>
              <m:t>(</m:t>
            </m:r>
            <m:r>
              <m:rPr>
                <m:sty m:val="i"/>
              </m:rPr>
              <m:t>n</m:t>
            </m:r>
            <m:r>
              <m:rPr>
                <m:sty m:val="p"/>
              </m:rPr>
              <m:t>)</m:t>
            </m:r>
          </m:e>
        </m:box>
      </m:oMath>
      <w:r>
        <w:rPr>
          <w:rFonts w:ascii="Times New Roman" w:hAnsi="Times New Roman" w:eastAsia="宋体"/>
          <w:b w:val="0"/>
          <w:sz w:val="24"/>
        </w:rPr>
        <w:t>整条线位于</w:t>
      </w:r>
      <m:oMath>
        <m:box>
          <m:e>
            <m:r>
              <m:rPr>
                <m:sty m:val="i"/>
              </m:rPr>
              <m:t>A</m:t>
            </m:r>
            <m:sSup>
              <m:e>
                <m:r>
                  <m:rPr>
                    <m:sty m:val="i"/>
                  </m:rPr>
                  <m:t>C</m:t>
                </m:r>
              </m:e>
              <m:sup>
                <m:r>
                  <m:rPr>
                    <m:sty m:val="i"/>
                  </m:rPr>
                  <m:t>U</m:t>
                </m:r>
              </m:sup>
            </m:sSup>
            <m:r>
              <m:rPr>
                <m:sty m:val="p"/>
              </m:rPr>
              <m:t>(</m:t>
            </m:r>
            <m:r>
              <m:rPr>
                <m:sty m:val="i"/>
              </m:rPr>
              <m:t>n</m:t>
            </m:r>
            <m:r>
              <m:rPr>
                <m:sty m:val="p"/>
              </m:rPr>
              <m:t>)</m:t>
            </m:r>
          </m:e>
        </m:box>
      </m:oMath>
      <w:r>
        <w:rPr>
          <w:rFonts w:ascii="Times New Roman" w:hAnsi="Times New Roman" w:eastAsia="宋体"/>
          <w:b w:val="0"/>
          <w:sz w:val="24"/>
        </w:rPr>
        <w:t>上方且更为陡峭。零利润条件（价格线与平均成本线的交点）决定进入均衡：统一市场在</w:t>
      </w:r>
      <m:oMath>
        <m:box>
          <m:e>
            <m:sSup>
              <m:e>
                <m:r>
                  <m:rPr>
                    <m:sty m:val="i"/>
                  </m:rPr>
                  <m:t>n</m:t>
                </m:r>
              </m:e>
              <m:sup>
                <m:r>
                  <m:rPr>
                    <m:sty m:val="i"/>
                  </m:rPr>
                  <m:t>U</m:t>
                </m:r>
              </m:sup>
            </m:sSup>
          </m:e>
        </m:box>
      </m:oMath>
      <w:r>
        <w:rPr>
          <w:rFonts w:ascii="Times New Roman" w:hAnsi="Times New Roman" w:eastAsia="宋体"/>
          <w:b w:val="0"/>
          <w:sz w:val="24"/>
        </w:rPr>
        <w:t>（图示约26家）处达到盈亏平衡，企业更少、单厂规模更大；单个分割子市场在</w:t>
      </w:r>
      <m:oMath>
        <m:box>
          <m:e>
            <m:sSup>
              <m:e>
                <m:r>
                  <m:rPr>
                    <m:sty m:val="i"/>
                  </m:rPr>
                  <m:t>n</m:t>
                </m:r>
              </m:e>
              <m:sup>
                <m:r>
                  <m:rPr>
                    <m:sty m:val="i"/>
                  </m:rPr>
                  <m:t>S</m:t>
                </m:r>
              </m:sup>
            </m:sSup>
          </m:e>
        </m:box>
      </m:oMath>
      <w:r>
        <w:rPr>
          <w:rFonts w:ascii="Times New Roman" w:hAnsi="Times New Roman" w:eastAsia="宋体"/>
          <w:b w:val="0"/>
          <w:sz w:val="24"/>
        </w:rPr>
        <w:t>（图示约12家）处即告饱和，但全国合计</w:t>
      </w:r>
      <m:oMath>
        <m:box>
          <m:e>
            <m:r>
              <m:rPr>
                <m:sty m:val="i"/>
              </m:rPr>
              <m:t>N</m:t>
            </m:r>
            <m:r>
              <m:rPr>
                <m:sty m:val="p"/>
              </m:rPr>
              <m:t>·</m:t>
            </m:r>
            <m:sSup>
              <m:e>
                <m:r>
                  <m:rPr>
                    <m:sty m:val="i"/>
                  </m:rPr>
                  <m:t>n</m:t>
                </m:r>
              </m:e>
              <m:sup>
                <m:r>
                  <m:rPr>
                    <m:sty m:val="i"/>
                  </m:rPr>
                  <m:t>S</m:t>
                </m:r>
              </m:sup>
            </m:sSup>
          </m:e>
        </m:box>
      </m:oMath>
      <w:r>
        <w:rPr>
          <w:rFonts w:ascii="Times New Roman" w:hAnsi="Times New Roman" w:eastAsia="宋体"/>
          <w:b w:val="0"/>
          <w:sz w:val="24"/>
        </w:rPr>
        <w:t>家企业远超</w:t>
      </w:r>
      <m:oMath>
        <m:box>
          <m:e>
            <m:sSup>
              <m:e>
                <m:r>
                  <m:rPr>
                    <m:sty m:val="i"/>
                  </m:rPr>
                  <m:t>n</m:t>
                </m:r>
              </m:e>
              <m:sup>
                <m:r>
                  <m:rPr>
                    <m:sty m:val="i"/>
                  </m:rPr>
                  <m:t>U</m:t>
                </m:r>
              </m:sup>
            </m:sSup>
          </m:e>
        </m:box>
      </m:oMath>
      <w:r>
        <w:rPr>
          <w:rFonts w:ascii="Times New Roman" w:hAnsi="Times New Roman" w:eastAsia="宋体"/>
          <w:b w:val="0"/>
          <w:sz w:val="24"/>
        </w:rPr>
        <w:t>——在图示参数（</w:t>
      </w:r>
      <m:oMath>
        <m:box>
          <m:e>
            <m:r>
              <m:rPr>
                <m:sty m:val="i"/>
              </m:rPr>
              <m:t>N</m:t>
            </m:r>
            <m:r>
              <m:rPr>
                <m:sty m:val="p"/>
              </m:rPr>
              <m:t>=</m:t>
            </m:r>
            <m:r>
              <m:rPr>
                <m:sty m:val="p"/>
              </m:rPr>
              <m:t>5</m:t>
            </m:r>
          </m:e>
        </m:box>
      </m:oMath>
      <w:r>
        <w:rPr>
          <w:rFonts w:ascii="Times New Roman" w:hAnsi="Times New Roman" w:eastAsia="宋体"/>
          <w:b w:val="0"/>
          <w:sz w:val="24"/>
        </w:rPr>
        <w:t>）下约为统一市场的2.2倍。两个零利润点之间的阴影带即“过度进入区间”，其宽度度量了分割体制下的企业冗余与重复建设规模。该图直观地说明：分割并未创造更多需求，只是把同一张“需求大饼”切成小块，再诱使每一小块上都挤进一群规模不足的企业；统一市场则通过扩大单厂可达规模，以更少的企业、更低的平均成本服务同样的总需求。</w:t>
      </w:r>
    </w:p>
    <w:p>
      <w:pPr>
        <w:spacing w:before="160" w:after="120" w:line="360" w:lineRule="auto"/>
        <w:outlineLvl w:val="2"/>
      </w:pPr>
      <w:r>
        <w:rPr>
          <w:rFonts w:ascii="Times New Roman" w:hAnsi="Times New Roman" w:eastAsia="黑体"/>
          <w:b w:val="0"/>
          <w:sz w:val="24"/>
        </w:rPr>
        <w:t>4．需求收缩、退出摩擦与“内卷均衡”</w:t>
      </w:r>
    </w:p>
    <w:p>
      <w:pPr>
        <w:spacing w:before="0" w:after="0" w:line="360" w:lineRule="auto"/>
        <w:ind w:firstLineChars="200" w:firstLine="480"/>
      </w:pPr>
      <w:r>
        <w:rPr>
          <w:rFonts w:ascii="Times New Roman" w:hAnsi="Times New Roman" w:eastAsia="宋体"/>
          <w:b w:val="0"/>
          <w:sz w:val="24"/>
        </w:rPr>
        <w:t>以上是长期自由进入均衡。“内卷”的爆发通常还需要一个触发条件——需求侧的收缩。设进入决策已经完成、固定成本</w:t>
      </w:r>
      <m:oMath>
        <m:box>
          <m:e>
            <m:r>
              <m:rPr>
                <m:sty m:val="i"/>
              </m:rPr>
              <m:t>F</m:t>
            </m:r>
          </m:e>
        </m:box>
      </m:oMath>
      <w:r>
        <w:rPr>
          <w:rFonts w:ascii="Times New Roman" w:hAnsi="Times New Roman" w:eastAsia="宋体"/>
          <w:b w:val="0"/>
          <w:sz w:val="24"/>
        </w:rPr>
        <w:t>已经沉没，行业处于式(4-23)对应的零利润均衡；此时发生幅度为</w:t>
      </w:r>
      <m:oMath>
        <m:box>
          <m:e>
            <m:r>
              <m:rPr>
                <m:sty m:val="i"/>
              </m:rPr>
              <m:t>ε</m:t>
            </m:r>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的需求收缩冲击，子市场消费者测度降为</w:t>
      </w:r>
      <m:oMath>
        <m:box>
          <m:e>
            <m:r>
              <m:rPr>
                <m:sty m:val="p"/>
              </m:rPr>
              <m:t>(</m:t>
            </m:r>
            <m:r>
              <m:rPr>
                <m:sty m:val="p"/>
              </m:rPr>
              <m:t>1</m:t>
            </m:r>
            <m:r>
              <m:rPr>
                <m:sty m:val="p"/>
              </m:rPr>
              <m:t>−</m:t>
            </m:r>
            <m:r>
              <m:rPr>
                <m:sty m:val="i"/>
              </m:rPr>
              <m:t>ε</m:t>
            </m:r>
            <m:r>
              <m:rPr>
                <m:sty m:val="p"/>
              </m:rPr>
              <m:t>)</m:t>
            </m:r>
            <m:r>
              <m:rPr>
                <m:sty m:val="i"/>
              </m:rPr>
              <m:t>L</m:t>
            </m:r>
          </m:e>
        </m:box>
      </m:oMath>
      <w:r>
        <w:rPr>
          <w:rFonts w:ascii="Times New Roman" w:hAnsi="Times New Roman" w:eastAsia="宋体"/>
          <w:b w:val="0"/>
          <w:sz w:val="24"/>
        </w:rPr>
        <w:t>。由于Salop定价式(4-18)只取决于企业数与差异化程度，短期内价格不变、销量等比缩水，每家企业的利润变为：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π</m:t>
            </m:r>
            <m:r>
              <m:rPr>
                <m:sty m:val="p"/>
              </m:rPr>
              <m:t>=</m:t>
            </m:r>
            <m:f>
              <m:num>
                <m:box>
                  <m:e>
                    <m:r>
                      <m:rPr>
                        <m:sty m:val="p"/>
                      </m:rPr>
                      <m:t>(</m:t>
                    </m:r>
                    <m:r>
                      <m:rPr>
                        <m:sty m:val="p"/>
                      </m:rPr>
                      <m:t>1</m:t>
                    </m:r>
                    <m:r>
                      <m:rPr>
                        <m:sty m:val="p"/>
                      </m:rPr>
                      <m:t>−</m:t>
                    </m:r>
                    <m:r>
                      <m:rPr>
                        <m:sty m:val="i"/>
                      </m:rPr>
                      <m:t>ε</m:t>
                    </m:r>
                    <m:r>
                      <m:rPr>
                        <m:sty m:val="p"/>
                      </m:rPr>
                      <m:t>)</m:t>
                    </m:r>
                    <m:sSub>
                      <m:e>
                        <m:r>
                          <m:rPr>
                            <m:sty m:val="i"/>
                          </m:rPr>
                          <m:t>t</m:t>
                        </m:r>
                      </m:e>
                      <m:sub>
                        <m:r>
                          <m:rPr>
                            <m:sty m:val="i"/>
                          </m:rPr>
                          <m:t>d</m:t>
                        </m:r>
                      </m:sub>
                    </m:sSub>
                    <m:r>
                      <m:rPr>
                        <m:sty m:val="i"/>
                      </m:rPr>
                      <m:t>L</m:t>
                    </m:r>
                  </m:e>
                </m:box>
              </m:num>
              <m:den>
                <m:box>
                  <m:e>
                    <m:r>
                      <m:rPr>
                        <m:sty m:val="p"/>
                      </m:rPr>
                      <m:t>(</m:t>
                    </m:r>
                    <m:sSubSup>
                      <m:e>
                        <m:r>
                          <m:rPr>
                            <m:sty m:val="i"/>
                          </m:rPr>
                          <m:t>n</m:t>
                        </m:r>
                      </m:e>
                      <m:sub>
                        <m:r>
                          <m:rPr>
                            <m:sty m:val="i"/>
                          </m:rPr>
                          <m:t>r</m:t>
                        </m:r>
                      </m:sub>
                      <m:sup>
                        <m:r>
                          <m:rPr>
                            <m:sty m:val="i"/>
                          </m:rPr>
                          <m:t>e</m:t>
                        </m:r>
                      </m:sup>
                    </m:sSubSup>
                    <m:sSup>
                      <m:e>
                        <m:r>
                          <m:rPr>
                            <m:sty m:val="p"/>
                          </m:rPr>
                          <m:t>)</m:t>
                        </m:r>
                      </m:e>
                      <m:sup>
                        <m:r>
                          <m:rPr>
                            <m:sty m:val="p"/>
                          </m:rPr>
                          <m:t>2</m:t>
                        </m:r>
                      </m:sup>
                    </m:sSup>
                  </m:e>
                </m:box>
              </m:den>
            </m:f>
            <m:r>
              <m:rPr>
                <m:sty m:val="p"/>
              </m:rPr>
              <m:t>−</m:t>
            </m:r>
            <m:r>
              <m:rPr>
                <m:sty m:val="i"/>
              </m:rPr>
              <m:t>F</m:t>
            </m:r>
            <m:r>
              <m:rPr>
                <m:sty m:val="p"/>
              </m:rPr>
              <m:t>=</m:t>
            </m:r>
            <m:r>
              <m:rPr>
                <m:sty m:val="p"/>
              </m:rPr>
              <m:t>−</m:t>
            </m:r>
            <m:r>
              <m:rPr>
                <m:sty m:val="i"/>
              </m:rPr>
              <m:t>ε</m:t>
            </m:r>
            <m:r>
              <m:rPr>
                <m:sty m:val="i"/>
              </m:rPr>
              <m:t>F</m:t>
            </m:r>
          </m:e>
        </m:box>
      </m:oMath>
      <w:r>
        <w:rPr>
          <w:rFonts w:ascii="Times New Roman" w:hAnsi="Times New Roman" w:eastAsia="宋体"/>
          <w:b w:val="0"/>
          <w:sz w:val="24"/>
        </w:rPr>
        <w:tab/>
        <w:t>(4-27)</w:t>
      </w:r>
    </w:p>
    <w:p>
      <w:pPr>
        <w:spacing w:before="0" w:after="0" w:line="360" w:lineRule="auto"/>
        <w:ind w:firstLineChars="200" w:firstLine="480"/>
      </w:pPr>
      <w:r>
        <w:rPr>
          <w:rFonts w:ascii="Times New Roman" w:hAnsi="Times New Roman" w:eastAsia="宋体"/>
          <w:b w:val="0"/>
          <w:sz w:val="24"/>
        </w:rPr>
        <w:t>即全行业每家企业都陷入与冲击幅度成正比的亏损。按教科书逻辑，亏损应触发退出、直至剩余企业恢复盈亏平衡。但中国场景的关键摩擦在于退出环节：破产制度运转不畅、地方政府出于保产值保就业保税源的动机对困难企业实施“庇护”——续贷展期、财政纾困、缓缴社保、协调保供，使企业能够长期承受亏损而不退出。以参数</w:t>
      </w:r>
      <m:oMath>
        <m:box>
          <m:e>
            <m:r>
              <m:rPr>
                <m:sty m:val="i"/>
              </m:rPr>
              <m:t>δ</m:t>
            </m:r>
            <m:r>
              <m:rPr>
                <m:sty m:val="p"/>
              </m:rPr>
              <m:t>≥</m:t>
            </m:r>
            <m:r>
              <m:rPr>
                <m:sty m:val="p"/>
              </m:rPr>
              <m:t>0</m:t>
            </m:r>
          </m:e>
        </m:box>
      </m:oMath>
      <w:r>
        <w:rPr>
          <w:rFonts w:ascii="Times New Roman" w:hAnsi="Times New Roman" w:eastAsia="宋体"/>
          <w:b w:val="0"/>
          <w:sz w:val="24"/>
        </w:rPr>
        <w:t>刻画这种退出摩擦（庇护强度）：企业只要期间亏损不超过</w:t>
      </w:r>
      <m:oMath>
        <m:box>
          <m:e>
            <m:r>
              <m:rPr>
                <m:sty m:val="i"/>
              </m:rPr>
              <m:t>δ</m:t>
            </m:r>
            <m:r>
              <m:rPr>
                <m:sty m:val="i"/>
              </m:rPr>
              <m:t>F</m:t>
            </m:r>
          </m:e>
        </m:box>
      </m:oMath>
      <w:r>
        <w:rPr>
          <w:rFonts w:ascii="Times New Roman" w:hAnsi="Times New Roman" w:eastAsia="宋体"/>
          <w:b w:val="0"/>
          <w:sz w:val="24"/>
        </w:rPr>
        <w:t>即选择继续经营。于是，冲击后无企业退出的条件为：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ε</m:t>
            </m:r>
            <m:r>
              <m:rPr>
                <m:sty m:val="p"/>
              </m:rPr>
              <m:t>≤</m:t>
            </m:r>
            <m:r>
              <m:rPr>
                <m:sty m:val="i"/>
              </m:rPr>
              <m:t>δ</m:t>
            </m:r>
          </m:e>
        </m:box>
      </m:oMath>
      <w:r>
        <w:rPr>
          <w:rFonts w:ascii="Times New Roman" w:hAnsi="Times New Roman" w:eastAsia="宋体"/>
          <w:b w:val="0"/>
          <w:sz w:val="24"/>
        </w:rPr>
        <w:tab/>
        <w:t>(4-28)</w:t>
      </w:r>
    </w:p>
    <w:p>
      <w:pPr>
        <w:spacing w:before="0" w:after="0" w:line="360" w:lineRule="auto"/>
        <w:ind w:firstLineChars="200" w:firstLine="480"/>
      </w:pPr>
      <w:r>
        <w:rPr>
          <w:rFonts w:ascii="Times New Roman" w:hAnsi="Times New Roman" w:eastAsia="宋体"/>
          <w:b w:val="0"/>
          <w:sz w:val="24"/>
        </w:rPr>
        <w:t>当</w:t>
      </w:r>
      <m:oMath>
        <m:box>
          <m:e>
            <m:r>
              <m:rPr>
                <m:sty m:val="i"/>
              </m:rPr>
              <m:t>ε</m:t>
            </m:r>
            <m:r>
              <m:rPr>
                <m:sty m:val="p"/>
              </m:rPr>
              <m:t>&gt;</m:t>
            </m:r>
            <m:r>
              <m:rPr>
                <m:sty m:val="i"/>
              </m:rPr>
              <m:t>δ</m:t>
            </m:r>
          </m:e>
        </m:box>
      </m:oMath>
      <w:r>
        <w:rPr>
          <w:rFonts w:ascii="Times New Roman" w:hAnsi="Times New Roman" w:eastAsia="宋体"/>
          <w:b w:val="0"/>
          <w:sz w:val="24"/>
        </w:rPr>
        <w:t>时，退出发生，直至存活企业的亏损回升至可承受边界</w:t>
      </w:r>
      <m:oMath>
        <m:box>
          <m:e>
            <m:r>
              <m:rPr>
                <m:sty m:val="p"/>
              </m:rPr>
              <m:t>−</m:t>
            </m:r>
            <m:r>
              <m:rPr>
                <m:sty m:val="i"/>
              </m:rPr>
              <m:t>δ</m:t>
            </m:r>
            <m:r>
              <m:rPr>
                <m:sty m:val="i"/>
              </m:rPr>
              <m:t>F</m:t>
            </m:r>
          </m:e>
        </m:box>
      </m:oMath>
      <w:r>
        <w:rPr>
          <w:rFonts w:ascii="Times New Roman" w:hAnsi="Times New Roman" w:eastAsia="宋体"/>
          <w:b w:val="0"/>
          <w:sz w:val="24"/>
        </w:rPr>
        <w:t>，由</w:t>
      </w:r>
      <m:oMath>
        <m:box>
          <m:e>
            <m:r>
              <m:rPr>
                <m:sty m:val="p"/>
              </m:rPr>
              <m:t>(</m:t>
            </m:r>
            <m:r>
              <m:rPr>
                <m:sty m:val="p"/>
              </m:rPr>
              <m:t>1</m:t>
            </m:r>
            <m:r>
              <m:rPr>
                <m:sty m:val="p"/>
              </m:rPr>
              <m:t>−</m:t>
            </m:r>
            <m:r>
              <m:rPr>
                <m:sty m:val="i"/>
              </m:rPr>
              <m:t>ε</m:t>
            </m:r>
            <m:r>
              <m:rPr>
                <m:sty m:val="p"/>
              </m:rPr>
              <m:t>)</m:t>
            </m:r>
            <m:sSub>
              <m:e>
                <m:r>
                  <m:rPr>
                    <m:sty m:val="i"/>
                  </m:rPr>
                  <m:t>t</m:t>
                </m:r>
              </m:e>
              <m:sub>
                <m:r>
                  <m:rPr>
                    <m:sty m:val="i"/>
                  </m:rPr>
                  <m:t>d</m:t>
                </m:r>
              </m:sub>
            </m:sSub>
            <m:r>
              <m:rPr>
                <m:sty m:val="i"/>
              </m:rPr>
              <m:t>L</m:t>
            </m:r>
            <m:r>
              <m:rPr>
                <m:sty m:val="p"/>
              </m:rPr>
              <m:t>/</m:t>
            </m:r>
            <m:sSup>
              <m:e>
                <m:r>
                  <m:rPr>
                    <m:sty m:val="i"/>
                  </m:rPr>
                  <m:t>n</m:t>
                </m:r>
              </m:e>
              <m:sup>
                <m:r>
                  <m:rPr>
                    <m:sty m:val="p"/>
                  </m:rPr>
                  <m:t>2</m:t>
                </m:r>
              </m:sup>
            </m:sSup>
            <m:r>
              <m:rPr>
                <m:sty m:val="p"/>
              </m:rPr>
              <m:t>−</m:t>
            </m:r>
            <m:r>
              <m:rPr>
                <m:sty m:val="i"/>
              </m:rPr>
              <m:t>F</m:t>
            </m:r>
            <m:r>
              <m:rPr>
                <m:sty m:val="p"/>
              </m:rPr>
              <m:t>=</m:t>
            </m:r>
            <m:r>
              <m:rPr>
                <m:sty m:val="p"/>
              </m:rPr>
              <m:t>−</m:t>
            </m:r>
            <m:r>
              <m:rPr>
                <m:sty m:val="i"/>
              </m:rPr>
              <m:t>δ</m:t>
            </m:r>
            <m:r>
              <m:rPr>
                <m:sty m:val="i"/>
              </m:rPr>
              <m:t>F</m:t>
            </m:r>
          </m:e>
        </m:box>
      </m:oMath>
      <w:r>
        <w:rPr>
          <w:rFonts w:ascii="Times New Roman" w:hAnsi="Times New Roman" w:eastAsia="宋体"/>
          <w:b w:val="0"/>
          <w:sz w:val="24"/>
        </w:rPr>
        <w:t>解得冲击后的均衡企业数：</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n</m:t>
                </m:r>
              </m:e>
              <m:sup>
                <m:r>
                  <m:rPr>
                    <m:sty m:val="i"/>
                  </m:rPr>
                  <m:t>′</m:t>
                </m:r>
              </m:sup>
            </m:sSup>
            <m:r>
              <m:rPr>
                <m:sty m:val="p"/>
              </m:rPr>
              <m:t>=</m:t>
            </m:r>
            <m:rad>
              <m:e>
                <m:box>
                  <m:e>
                    <m:box>
                      <m:e>
                        <m:f>
                          <m:num>
                            <m:box>
                              <m:e>
                                <m:r>
                                  <m:rPr>
                                    <m:sty m:val="p"/>
                                  </m:rPr>
                                  <m:t>(</m:t>
                                </m:r>
                                <m:r>
                                  <m:rPr>
                                    <m:sty m:val="p"/>
                                  </m:rPr>
                                  <m:t>1</m:t>
                                </m:r>
                                <m:r>
                                  <m:rPr>
                                    <m:sty m:val="p"/>
                                  </m:rPr>
                                  <m:t>−</m:t>
                                </m:r>
                                <m:r>
                                  <m:rPr>
                                    <m:sty m:val="i"/>
                                  </m:rPr>
                                  <m:t>ε</m:t>
                                </m:r>
                                <m:r>
                                  <m:rPr>
                                    <m:sty m:val="p"/>
                                  </m:rPr>
                                  <m:t>)</m:t>
                                </m:r>
                                <m:sSub>
                                  <m:e>
                                    <m:r>
                                      <m:rPr>
                                        <m:sty m:val="i"/>
                                      </m:rPr>
                                      <m:t>t</m:t>
                                    </m:r>
                                  </m:e>
                                  <m:sub>
                                    <m:r>
                                      <m:rPr>
                                        <m:sty m:val="i"/>
                                      </m:rPr>
                                      <m:t>d</m:t>
                                    </m:r>
                                  </m:sub>
                                </m:sSub>
                                <m:r>
                                  <m:rPr>
                                    <m:sty m:val="i"/>
                                  </m:rPr>
                                  <m:t>L</m:t>
                                </m:r>
                              </m:e>
                            </m:box>
                          </m:num>
                          <m:den>
                            <m:box>
                              <m:e>
                                <m:r>
                                  <m:rPr>
                                    <m:sty m:val="p"/>
                                  </m:rPr>
                                  <m:t>(</m:t>
                                </m:r>
                                <m:r>
                                  <m:rPr>
                                    <m:sty m:val="p"/>
                                  </m:rPr>
                                  <m:t>1</m:t>
                                </m:r>
                                <m:r>
                                  <m:rPr>
                                    <m:sty m:val="p"/>
                                  </m:rPr>
                                  <m:t>−</m:t>
                                </m:r>
                                <m:r>
                                  <m:rPr>
                                    <m:sty m:val="i"/>
                                  </m:rPr>
                                  <m:t>δ</m:t>
                                </m:r>
                                <m:r>
                                  <m:rPr>
                                    <m:sty m:val="p"/>
                                  </m:rPr>
                                  <m:t>)</m:t>
                                </m:r>
                                <m:r>
                                  <m:rPr>
                                    <m:sty m:val="i"/>
                                  </m:rPr>
                                  <m:t>F</m:t>
                                </m:r>
                              </m:e>
                            </m:box>
                          </m:den>
                        </m:f>
                      </m:e>
                    </m:box>
                  </m:e>
                </m:box>
              </m:e>
            </m:rad>
          </m:e>
        </m:box>
      </m:oMath>
      <w:r>
        <w:rPr>
          <w:rFonts w:ascii="Times New Roman" w:hAnsi="Times New Roman" w:eastAsia="宋体"/>
          <w:b w:val="0"/>
          <w:sz w:val="24"/>
        </w:rPr>
        <w:tab/>
        <w:t>(4-29)</w:t>
      </w:r>
    </w:p>
    <w:p>
      <w:pPr>
        <w:spacing w:before="0" w:after="0" w:line="360" w:lineRule="auto"/>
        <w:ind w:firstLineChars="200" w:firstLine="480"/>
      </w:pPr>
      <w:r>
        <w:rPr>
          <w:rFonts w:ascii="Times New Roman" w:hAnsi="Times New Roman" w:eastAsia="宋体"/>
          <w:b w:val="0"/>
          <w:sz w:val="24"/>
        </w:rPr>
        <w:t>据此可以给出“内卷均衡”的正式定义与本节第二个命题。</w:t>
      </w:r>
    </w:p>
    <w:p>
      <w:pPr>
        <w:spacing w:before="0" w:after="0" w:line="360" w:lineRule="auto"/>
        <w:ind w:firstLineChars="200" w:firstLine="480"/>
      </w:pPr>
      <w:r>
        <w:rPr>
          <w:rFonts w:ascii="Times New Roman" w:hAnsi="Times New Roman" w:eastAsia="宋体"/>
          <w:b/>
          <w:sz w:val="24"/>
        </w:rPr>
        <w:t>定义4-1（内卷均衡）</w:t>
      </w:r>
      <w:r>
        <w:rPr>
          <w:rFonts w:ascii="Times New Roman" w:hAnsi="Times New Roman" w:eastAsia="宋体"/>
          <w:b w:val="0"/>
          <w:sz w:val="24"/>
        </w:rPr>
        <w:t xml:space="preserve">　若一个行业的均衡状态同时满足：（i）价格低于平均成本、全行业普遍亏损；（ii）企业数量超过社会最优且无净退出发生；（iii）该状态在冲击后可自我维持而非短暂过渡，则称该行业处于“内卷均衡”。</w:t>
      </w:r>
    </w:p>
    <w:p>
      <w:pPr>
        <w:spacing w:before="0" w:after="0" w:line="360" w:lineRule="auto"/>
        <w:ind w:firstLineChars="200" w:firstLine="480"/>
      </w:pPr>
      <w:r>
        <w:rPr>
          <w:rFonts w:ascii="Times New Roman" w:hAnsi="Times New Roman" w:eastAsia="宋体"/>
          <w:b/>
          <w:sz w:val="24"/>
        </w:rPr>
        <w:t>命题4-5（“内卷均衡”的存在与存续）</w:t>
      </w:r>
      <w:r>
        <w:rPr>
          <w:rFonts w:ascii="Times New Roman" w:hAnsi="Times New Roman" w:eastAsia="宋体"/>
          <w:b w:val="0"/>
          <w:sz w:val="24"/>
        </w:rPr>
        <w:t xml:space="preserve">　（i）当需求收缩幅度不超过庇护强度（</w:t>
      </w:r>
      <m:oMath>
        <m:box>
          <m:e>
            <m:r>
              <m:rPr>
                <m:sty m:val="i"/>
              </m:rPr>
              <m:t>ε</m:t>
            </m:r>
            <m:r>
              <m:rPr>
                <m:sty m:val="p"/>
              </m:rPr>
              <m:t>≤</m:t>
            </m:r>
            <m:r>
              <m:rPr>
                <m:sty m:val="i"/>
              </m:rPr>
              <m:t>δ</m:t>
            </m:r>
          </m:e>
        </m:box>
      </m:oMath>
      <w:r>
        <w:rPr>
          <w:rFonts w:ascii="Times New Roman" w:hAnsi="Times New Roman" w:eastAsia="宋体"/>
          <w:b w:val="0"/>
          <w:sz w:val="24"/>
        </w:rPr>
        <w:t>）时，存在无退出的内卷均衡：所有企业持续亏损</w:t>
      </w:r>
      <m:oMath>
        <m:box>
          <m:e>
            <m:r>
              <m:rPr>
                <m:sty m:val="i"/>
              </m:rPr>
              <m:t>ε</m:t>
            </m:r>
            <m:r>
              <m:rPr>
                <m:sty m:val="i"/>
              </m:rPr>
              <m:t>F</m:t>
            </m:r>
          </m:e>
        </m:box>
      </m:oMath>
      <w:r>
        <w:rPr>
          <w:rFonts w:ascii="Times New Roman" w:hAnsi="Times New Roman" w:eastAsia="宋体"/>
          <w:b w:val="0"/>
          <w:sz w:val="24"/>
        </w:rPr>
        <w:t>，价格低于平均成本的缺口为</w:t>
      </w:r>
      <m:oMath>
        <m:box>
          <m:e>
            <m:r>
              <m:rPr>
                <m:sty m:val="i"/>
              </m:rPr>
              <m:t>ε</m:t>
            </m:r>
            <m:r>
              <m:rPr>
                <m:sty m:val="i"/>
              </m:rPr>
              <m:t>F</m:t>
            </m:r>
            <m:sSubSup>
              <m:e>
                <m:r>
                  <m:rPr>
                    <m:sty m:val="i"/>
                  </m:rPr>
                  <m:t>n</m:t>
                </m:r>
              </m:e>
              <m:sub>
                <m:r>
                  <m:rPr>
                    <m:sty m:val="i"/>
                  </m:rPr>
                  <m:t>r</m:t>
                </m:r>
              </m:sub>
              <m:sup>
                <m:r>
                  <m:rPr>
                    <m:sty m:val="i"/>
                  </m:rPr>
                  <m:t>e</m:t>
                </m:r>
              </m:sup>
            </m:sSubSup>
            <m:r>
              <m:rPr>
                <m:sty m:val="p"/>
              </m:rPr>
              <m:t>/</m:t>
            </m:r>
            <m:r>
              <m:rPr>
                <m:sty m:val="p"/>
              </m:rPr>
              <m:t>(</m:t>
            </m:r>
            <m:r>
              <m:rPr>
                <m:sty m:val="p"/>
              </m:rPr>
              <m:t>(</m:t>
            </m:r>
            <m:r>
              <m:rPr>
                <m:sty m:val="p"/>
              </m:rPr>
              <m:t>1</m:t>
            </m:r>
            <m:r>
              <m:rPr>
                <m:sty m:val="p"/>
              </m:rPr>
              <m:t>−</m:t>
            </m:r>
            <m:r>
              <m:rPr>
                <m:sty m:val="i"/>
              </m:rPr>
              <m:t>ε</m:t>
            </m:r>
            <m:r>
              <m:rPr>
                <m:sty m:val="p"/>
              </m:rPr>
              <m:t>)</m:t>
            </m:r>
            <m:r>
              <m:rPr>
                <m:sty m:val="i"/>
              </m:rPr>
              <m:t>L</m:t>
            </m:r>
            <m:r>
              <m:rPr>
                <m:sty m:val="p"/>
              </m:rPr>
              <m:t>)</m:t>
            </m:r>
          </m:e>
        </m:box>
      </m:oMath>
      <w:r>
        <w:rPr>
          <w:rFonts w:ascii="Times New Roman" w:hAnsi="Times New Roman" w:eastAsia="宋体"/>
          <w:b w:val="0"/>
          <w:sz w:val="24"/>
        </w:rPr>
        <w:t>，行业总亏损为</w:t>
      </w:r>
      <m:oMath>
        <m:box>
          <m:e>
            <m:r>
              <m:rPr>
                <m:sty m:val="i"/>
              </m:rPr>
              <m:t>ε</m:t>
            </m:r>
            <m:r>
              <m:rPr>
                <m:sty m:val="i"/>
              </m:rPr>
              <m:t>F</m:t>
            </m:r>
            <m:sSup>
              <m:e>
                <m:r>
                  <m:rPr>
                    <m:sty m:val="i"/>
                  </m:rPr>
                  <m:t>n</m:t>
                </m:r>
              </m:e>
              <m:sup>
                <m:box>
                  <m:e>
                    <m:r>
                      <m:rPr>
                        <m:sty m:val="i"/>
                      </m:rPr>
                      <m:t>t</m:t>
                    </m:r>
                    <m:r>
                      <m:rPr>
                        <m:sty m:val="i"/>
                      </m:rPr>
                      <m:t>o</m:t>
                    </m:r>
                    <m:r>
                      <m:rPr>
                        <m:sty m:val="i"/>
                      </m:rPr>
                      <m:t>t</m:t>
                    </m:r>
                    <m:r>
                      <m:rPr>
                        <m:sty m:val="i"/>
                      </m:rPr>
                      <m:t>a</m:t>
                    </m:r>
                    <m:r>
                      <m:rPr>
                        <m:sty m:val="i"/>
                      </m:rPr>
                      <m:t>l</m:t>
                    </m:r>
                  </m:e>
                </m:box>
              </m:sup>
            </m:sSup>
          </m:e>
        </m:box>
      </m:oMath>
      <w:r>
        <w:rPr>
          <w:rFonts w:ascii="Times New Roman" w:hAnsi="Times New Roman" w:eastAsia="宋体"/>
          <w:b w:val="0"/>
          <w:sz w:val="24"/>
        </w:rPr>
        <w:t>，且随分割数按</w:t>
      </w:r>
      <m:oMath>
        <m:box>
          <m:e>
            <m:rad>
              <m:e>
                <m:box>
                  <m:e>
                    <m:box>
                      <m:e>
                        <m:r>
                          <m:rPr>
                            <m:sty m:val="i"/>
                          </m:rPr>
                          <m:t>N</m:t>
                        </m:r>
                      </m:e>
                    </m:box>
                  </m:e>
                </m:box>
              </m:e>
            </m:rad>
          </m:e>
        </m:box>
      </m:oMath>
      <w:r>
        <w:rPr>
          <w:rFonts w:ascii="Times New Roman" w:hAnsi="Times New Roman" w:eastAsia="宋体"/>
          <w:b w:val="0"/>
          <w:sz w:val="24"/>
        </w:rPr>
        <w:t>放大；（ii）当</w:t>
      </w:r>
      <m:oMath>
        <m:box>
          <m:e>
            <m:r>
              <m:rPr>
                <m:sty m:val="i"/>
              </m:rPr>
              <m:t>ε</m:t>
            </m:r>
            <m:r>
              <m:rPr>
                <m:sty m:val="p"/>
              </m:rPr>
              <m:t>&gt;</m:t>
            </m:r>
            <m:r>
              <m:rPr>
                <m:sty m:val="i"/>
              </m:rPr>
              <m:t>δ</m:t>
            </m:r>
          </m:e>
        </m:box>
      </m:oMath>
      <w:r>
        <w:rPr>
          <w:rFonts w:ascii="Times New Roman" w:hAnsi="Times New Roman" w:eastAsia="宋体"/>
          <w:b w:val="0"/>
          <w:sz w:val="24"/>
        </w:rPr>
        <w:t>时退出发生，但出清不充分：</w:t>
      </w:r>
      <m:oMath>
        <m:box>
          <m:e>
            <m:r>
              <m:rPr>
                <m:sty m:val="p"/>
              </m:rPr>
              <m:t>∂</m:t>
            </m:r>
            <m:sSup>
              <m:e>
                <m:r>
                  <m:rPr>
                    <m:sty m:val="i"/>
                  </m:rPr>
                  <m:t>n</m:t>
                </m:r>
              </m:e>
              <m:sup>
                <m:r>
                  <m:rPr>
                    <m:sty m:val="i"/>
                  </m:rPr>
                  <m:t>′</m:t>
                </m:r>
              </m:sup>
            </m:sSup>
            <m:r>
              <m:rPr>
                <m:sty m:val="p"/>
              </m:rPr>
              <m:t>/</m:t>
            </m:r>
            <m:r>
              <m:rPr>
                <m:sty m:val="p"/>
              </m:rPr>
              <m:t>∂</m:t>
            </m:r>
            <m:r>
              <m:rPr>
                <m:sty m:val="i"/>
              </m:rPr>
              <m:t>δ</m:t>
            </m:r>
            <m:r>
              <m:rPr>
                <m:sty m:val="p"/>
              </m:rPr>
              <m:t>&gt;</m:t>
            </m:r>
            <m:r>
              <m:rPr>
                <m:sty m:val="p"/>
              </m:rPr>
              <m:t>0</m:t>
            </m:r>
          </m:e>
        </m:box>
      </m:oMath>
      <w:r>
        <w:rPr>
          <w:rFonts w:ascii="Times New Roman" w:hAnsi="Times New Roman" w:eastAsia="宋体"/>
          <w:b w:val="0"/>
          <w:sz w:val="24"/>
        </w:rPr>
        <w:t>，庇护越强，存活企业越多、存续亏损越深，均衡状态收敛于“低价格—负利润—不出清”的边界；（iii）退出摩擦越大，行业从冲击到恢复零利润所需退出的企业比例越低、内卷状态的存续区间越宽。</w:t>
      </w:r>
    </w:p>
    <w:p>
      <w:pPr>
        <w:spacing w:before="0" w:after="0" w:line="360" w:lineRule="auto"/>
        <w:ind w:firstLineChars="200" w:firstLine="480"/>
      </w:pPr>
      <w:r>
        <w:rPr>
          <w:rFonts w:ascii="Times New Roman" w:hAnsi="Times New Roman" w:eastAsia="宋体"/>
          <w:b w:val="0"/>
          <w:sz w:val="24"/>
        </w:rPr>
        <w:t>证明思路：(i)由式(4-27)、(4-28)直接得到，价格与平均成本之差等于单位销量亏损</w:t>
      </w:r>
      <m:oMath>
        <m:box>
          <m:e>
            <m:r>
              <m:rPr>
                <m:sty m:val="i"/>
              </m:rPr>
              <m:t>π</m:t>
            </m:r>
            <m:r>
              <m:rPr>
                <m:sty m:val="p"/>
              </m:rPr>
              <m:t>/</m:t>
            </m:r>
            <m:r>
              <m:rPr>
                <m:sty m:val="i"/>
              </m:rPr>
              <m:t>q</m:t>
            </m:r>
          </m:e>
        </m:box>
      </m:oMath>
      <w:r>
        <w:rPr>
          <w:rFonts w:ascii="Times New Roman" w:hAnsi="Times New Roman" w:eastAsia="宋体"/>
          <w:b w:val="0"/>
          <w:sz w:val="24"/>
        </w:rPr>
        <w:t>；(ii)对式(4-29)求偏导，</w:t>
      </w:r>
      <m:oMath>
        <m:box>
          <m:e>
            <m:r>
              <m:rPr>
                <m:sty m:val="p"/>
              </m:rPr>
              <m:t>∂</m:t>
            </m:r>
            <m:sSup>
              <m:e>
                <m:r>
                  <m:rPr>
                    <m:sty m:val="i"/>
                  </m:rPr>
                  <m:t>n</m:t>
                </m:r>
              </m:e>
              <m:sup>
                <m:r>
                  <m:rPr>
                    <m:sty m:val="i"/>
                  </m:rPr>
                  <m:t>′</m:t>
                </m:r>
              </m:sup>
            </m:sSup>
            <m:r>
              <m:rPr>
                <m:sty m:val="p"/>
              </m:rPr>
              <m:t>/</m:t>
            </m:r>
            <m:r>
              <m:rPr>
                <m:sty m:val="p"/>
              </m:rPr>
              <m:t>∂</m:t>
            </m:r>
            <m:r>
              <m:rPr>
                <m:sty m:val="i"/>
              </m:rPr>
              <m:t>δ</m:t>
            </m:r>
            <m:r>
              <m:rPr>
                <m:sty m:val="p"/>
              </m:rPr>
              <m:t>=</m:t>
            </m:r>
            <m:sSup>
              <m:e>
                <m:r>
                  <m:rPr>
                    <m:sty m:val="i"/>
                  </m:rPr>
                  <m:t>n</m:t>
                </m:r>
              </m:e>
              <m:sup>
                <m:r>
                  <m:rPr>
                    <m:sty m:val="i"/>
                  </m:rPr>
                  <m:t>′</m:t>
                </m:r>
              </m:sup>
            </m:sSup>
            <m:r>
              <m:rPr>
                <m:sty m:val="p"/>
              </m:rPr>
              <m:t>/</m:t>
            </m:r>
            <m:r>
              <m:rPr>
                <m:sty m:val="p"/>
              </m:rPr>
              <m:t>(</m:t>
            </m:r>
            <m:r>
              <m:rPr>
                <m:sty m:val="p"/>
              </m:rPr>
              <m:t>2</m:t>
            </m:r>
            <m:r>
              <m:rPr>
                <m:sty m:val="p"/>
              </m:rPr>
              <m:t>(</m:t>
            </m:r>
            <m:r>
              <m:rPr>
                <m:sty m:val="p"/>
              </m:rPr>
              <m:t>1</m:t>
            </m:r>
            <m:r>
              <m:rPr>
                <m:sty m:val="p"/>
              </m:rPr>
              <m:t>−</m:t>
            </m:r>
            <m:r>
              <m:rPr>
                <m:sty m:val="i"/>
              </m:rPr>
              <m:t>δ</m:t>
            </m:r>
            <m:r>
              <m:rPr>
                <m:sty m:val="p"/>
              </m:rPr>
              <m:t>)</m:t>
            </m:r>
            <m:r>
              <m:rPr>
                <m:sty m:val="p"/>
              </m:rPr>
              <m:t>)</m:t>
            </m:r>
            <m:r>
              <m:rPr>
                <m:sty m:val="p"/>
              </m:rPr>
              <m:t>&gt;</m:t>
            </m:r>
            <m:r>
              <m:rPr>
                <m:sty m:val="p"/>
              </m:rPr>
              <m:t>0</m:t>
            </m:r>
          </m:e>
        </m:box>
      </m:oMath>
      <w:r>
        <w:rPr>
          <w:rFonts w:ascii="Times New Roman" w:hAnsi="Times New Roman" w:eastAsia="宋体"/>
          <w:b w:val="0"/>
          <w:sz w:val="24"/>
        </w:rPr>
        <w:t>；(iii)由退出比例</w:t>
      </w:r>
      <m:oMath>
        <m:box>
          <m:e>
            <m:r>
              <m:rPr>
                <m:sty m:val="p"/>
              </m:rPr>
              <m:t>1</m:t>
            </m:r>
            <m:r>
              <m:rPr>
                <m:sty m:val="p"/>
              </m:rPr>
              <m:t>−</m:t>
            </m:r>
            <m:sSup>
              <m:e>
                <m:r>
                  <m:rPr>
                    <m:sty m:val="i"/>
                  </m:rPr>
                  <m:t>n</m:t>
                </m:r>
              </m:e>
              <m:sup>
                <m:r>
                  <m:rPr>
                    <m:sty m:val="i"/>
                  </m:rPr>
                  <m:t>′</m:t>
                </m:r>
              </m:sup>
            </m:sSup>
            <m:r>
              <m:rPr>
                <m:sty m:val="p"/>
              </m:rPr>
              <m:t>/</m:t>
            </m:r>
            <m:sSubSup>
              <m:e>
                <m:r>
                  <m:rPr>
                    <m:sty m:val="i"/>
                  </m:rPr>
                  <m:t>n</m:t>
                </m:r>
              </m:e>
              <m:sub>
                <m:r>
                  <m:rPr>
                    <m:sty m:val="i"/>
                  </m:rPr>
                  <m:t>r</m:t>
                </m:r>
              </m:sub>
              <m:sup>
                <m:r>
                  <m:rPr>
                    <m:sty m:val="i"/>
                  </m:rPr>
                  <m:t>e</m:t>
                </m:r>
              </m:sup>
            </m:sSubSup>
          </m:e>
        </m:box>
      </m:oMath>
      <w:r>
        <w:rPr>
          <w:rFonts w:ascii="Times New Roman" w:hAnsi="Times New Roman" w:eastAsia="宋体"/>
          <w:b w:val="0"/>
          <w:sz w:val="24"/>
        </w:rPr>
        <w:t>随</w:t>
      </w:r>
      <m:oMath>
        <m:box>
          <m:e>
            <m:r>
              <m:rPr>
                <m:sty m:val="i"/>
              </m:rPr>
              <m:t>δ</m:t>
            </m:r>
          </m:e>
        </m:box>
      </m:oMath>
      <w:r>
        <w:rPr>
          <w:rFonts w:ascii="Times New Roman" w:hAnsi="Times New Roman" w:eastAsia="宋体"/>
          <w:b w:val="0"/>
          <w:sz w:val="24"/>
        </w:rPr>
        <w:t>递减即得。证毕。</w:t>
      </w:r>
    </w:p>
    <w:p>
      <w:pPr>
        <w:spacing w:before="0" w:after="0" w:line="360" w:lineRule="auto"/>
        <w:ind w:firstLineChars="200" w:firstLine="480"/>
      </w:pPr>
      <w:r>
        <w:rPr>
          <w:rFonts w:ascii="Times New Roman" w:hAnsi="Times New Roman" w:eastAsia="宋体"/>
          <w:b w:val="0"/>
          <w:sz w:val="24"/>
        </w:rPr>
        <w:t>命题4-5给出了“内卷式”竞争区别于一般性行业低谷的理论判据：需求冲击只是导火索，退出摩擦才是内卷得以“均衡化”的制度条件。若</w:t>
      </w:r>
      <m:oMath>
        <m:box>
          <m:e>
            <m:r>
              <m:rPr>
                <m:sty m:val="i"/>
              </m:rPr>
              <m:t>δ</m:t>
            </m:r>
            <m:r>
              <m:rPr>
                <m:sty m:val="p"/>
              </m:rPr>
              <m:t>=</m:t>
            </m:r>
            <m:r>
              <m:rPr>
                <m:sty m:val="p"/>
              </m:rPr>
              <m:t>0</m:t>
            </m:r>
          </m:e>
        </m:box>
      </m:oMath>
      <w:r>
        <w:rPr>
          <w:rFonts w:ascii="Times New Roman" w:hAnsi="Times New Roman" w:eastAsia="宋体"/>
          <w:b w:val="0"/>
          <w:sz w:val="24"/>
        </w:rPr>
        <w:t>（退出无摩擦），任何亏损都会即时触发出清，行业迅速回到零利润线，“内卷”至多是短暂现象；正是</w:t>
      </w:r>
      <m:oMath>
        <m:box>
          <m:e>
            <m:r>
              <m:rPr>
                <m:sty m:val="i"/>
              </m:rPr>
              <m:t>δ</m:t>
            </m:r>
            <m:r>
              <m:rPr>
                <m:sty m:val="p"/>
              </m:rPr>
              <m:t>&gt;</m:t>
            </m:r>
            <m:r>
              <m:rPr>
                <m:sty m:val="p"/>
              </m:rPr>
              <m:t>0</m:t>
            </m:r>
          </m:e>
        </m:box>
      </m:oMath>
      <w:r>
        <w:rPr>
          <w:rFonts w:ascii="Times New Roman" w:hAnsi="Times New Roman" w:eastAsia="宋体"/>
          <w:b w:val="0"/>
          <w:sz w:val="24"/>
        </w:rPr>
        <w:t>把亏损状态锁定为可持续的均衡。这一机制与2023—2025年光伏行业的经验高度吻合——全产业链价格跌破现金成本、全行业亏损，而产能退出迟迟不能推进；也与“僵尸企业”长期占用信贷与土地资源的典型事实一致。同时，(i)中总亏损随</w:t>
      </w:r>
      <m:oMath>
        <m:box>
          <m:e>
            <m:rad>
              <m:e>
                <m:box>
                  <m:e>
                    <m:box>
                      <m:e>
                        <m:r>
                          <m:rPr>
                            <m:sty m:val="i"/>
                          </m:rPr>
                          <m:t>N</m:t>
                        </m:r>
                      </m:e>
                    </m:box>
                  </m:e>
                </m:box>
              </m:e>
            </m:rad>
          </m:e>
        </m:box>
      </m:oMath>
      <w:r>
        <w:rPr>
          <w:rFonts w:ascii="Times New Roman" w:hAnsi="Times New Roman" w:eastAsia="宋体"/>
          <w:b w:val="0"/>
          <w:sz w:val="24"/>
        </w:rPr>
        <w:t>放大的结论表明，同样一场需求收缩，在分割体制下造成的行业失血规模系统性更大——分割不仅制造了更多的企业，也制造了更大的亏损盘子。此外，庇护强度</w:t>
      </w:r>
      <m:oMath>
        <m:box>
          <m:e>
            <m:r>
              <m:rPr>
                <m:sty m:val="i"/>
              </m:rPr>
              <m:t>δ</m:t>
            </m:r>
          </m:e>
        </m:box>
      </m:oMath>
      <w:r>
        <w:rPr>
          <w:rFonts w:ascii="Times New Roman" w:hAnsi="Times New Roman" w:eastAsia="宋体"/>
          <w:b w:val="0"/>
          <w:sz w:val="24"/>
        </w:rPr>
        <w:t>并非天降参数：它与基准模型中的政治溢价</w:t>
      </w:r>
      <m:oMath>
        <m:box>
          <m:e>
            <m:r>
              <m:rPr>
                <m:sty m:val="i"/>
              </m:rPr>
              <m:t>θ</m:t>
            </m:r>
          </m:e>
        </m:box>
      </m:oMath>
      <w:r>
        <w:rPr>
          <w:rFonts w:ascii="Times New Roman" w:hAnsi="Times New Roman" w:eastAsia="宋体"/>
          <w:b w:val="0"/>
          <w:sz w:val="24"/>
        </w:rPr>
        <w:t>同源，产值考核权重越高的地区庇护动机越强，故</w:t>
      </w:r>
      <m:oMath>
        <m:box>
          <m:e>
            <m:r>
              <m:rPr>
                <m:sty m:val="i"/>
              </m:rPr>
              <m:t>δ</m:t>
            </m:r>
          </m:e>
        </m:box>
      </m:oMath>
      <w:r>
        <w:rPr>
          <w:rFonts w:ascii="Times New Roman" w:hAnsi="Times New Roman" w:eastAsia="宋体"/>
          <w:b w:val="0"/>
          <w:sz w:val="24"/>
        </w:rPr>
        <w:t>可视为</w:t>
      </w:r>
      <m:oMath>
        <m:box>
          <m:e>
            <m:r>
              <m:rPr>
                <m:sty m:val="i"/>
              </m:rPr>
              <m:t>θ</m:t>
            </m:r>
          </m:e>
        </m:box>
      </m:oMath>
      <w:r>
        <w:rPr>
          <w:rFonts w:ascii="Times New Roman" w:hAnsi="Times New Roman" w:eastAsia="宋体"/>
          <w:b w:val="0"/>
          <w:sz w:val="24"/>
        </w:rPr>
        <w:t>的增函数，这为第八章以退出粘性作为机制变量提供了理论依据。概括本节：扩展模型Ⅰ证明了分割经由进入边际制造企业冗余与规模不经济（命题4-4），并给出了需求收缩与退出摩擦共同决定的内卷均衡存续条件（命题4-5），分别对应实证假说H1与H3。</w:t>
      </w:r>
    </w:p>
    <w:p>
      <w:pPr>
        <w:spacing w:before="200" w:after="160" w:line="360" w:lineRule="auto"/>
        <w:outlineLvl w:val="1"/>
      </w:pPr>
      <w:r>
        <w:rPr>
          <w:rFonts w:ascii="Times New Roman" w:hAnsi="Times New Roman" w:eastAsia="黑体"/>
          <w:b w:val="0"/>
          <w:sz w:val="28"/>
        </w:rPr>
        <w:t>（三）扩展模型Ⅱ：市场一体化的选择效应与创新效应</w:t>
      </w:r>
    </w:p>
    <w:p>
      <w:pPr>
        <w:spacing w:before="160" w:after="120" w:line="360" w:lineRule="auto"/>
        <w:outlineLvl w:val="2"/>
      </w:pPr>
      <w:r>
        <w:rPr>
          <w:rFonts w:ascii="Times New Roman" w:hAnsi="Times New Roman" w:eastAsia="黑体"/>
          <w:b w:val="0"/>
          <w:sz w:val="24"/>
        </w:rPr>
        <w:t>1．异质性企业与需求设定</w:t>
      </w:r>
    </w:p>
    <w:p>
      <w:pPr>
        <w:spacing w:before="0" w:after="0" w:line="360" w:lineRule="auto"/>
        <w:ind w:firstLineChars="200" w:firstLine="480"/>
      </w:pPr>
      <w:r>
        <w:rPr>
          <w:rFonts w:ascii="Times New Roman" w:hAnsi="Times New Roman" w:eastAsia="宋体"/>
          <w:b w:val="0"/>
          <w:sz w:val="24"/>
        </w:rPr>
        <w:t>前两个模型中的企业是同质的，因而只能刻画“进入多少家”的数量边际，无法回答“留下哪些企业”的质量边际。而“统一市场红利”的核心恰在于质量边际：破除分割之后，优胜劣汰机制筛选出高生产率企业，资源从低效企业向高效企业再配置。为此，本节引入异质性企业贸易理论的标准框架（Melitz，2003），并将其“国际贸易成本”重新诠释为国内区际市场分割成本</w:t>
      </w:r>
      <m:oMath>
        <m:box>
          <m:e>
            <m:r>
              <m:rPr>
                <m:sty m:val="i"/>
              </m:rPr>
              <m:t>τ</m:t>
            </m:r>
          </m:e>
        </m:box>
      </m:oMath>
      <w:r>
        <w:rPr>
          <w:rFonts w:ascii="Times New Roman" w:hAnsi="Times New Roman" w:eastAsia="宋体"/>
          <w:b w:val="0"/>
          <w:sz w:val="24"/>
        </w:rPr>
        <w:t>。</w:t>
      </w:r>
    </w:p>
    <w:p>
      <w:pPr>
        <w:spacing w:before="0" w:after="0" w:line="360" w:lineRule="auto"/>
        <w:ind w:firstLineChars="200" w:firstLine="480"/>
      </w:pPr>
      <w:r>
        <w:rPr>
          <w:rFonts w:ascii="Times New Roman" w:hAnsi="Times New Roman" w:eastAsia="宋体"/>
          <w:b w:val="0"/>
          <w:sz w:val="24"/>
        </w:rPr>
        <w:t>考虑两个对称地区，消费者具有不变替代弹性偏好（Dixit和Stiglitz，1977），产品间替代弹性为</w:t>
      </w:r>
      <m:oMath>
        <m:box>
          <m:e>
            <m:r>
              <m:rPr>
                <m:sty m:val="i"/>
              </m:rPr>
              <m:t>σ</m:t>
            </m:r>
            <m:r>
              <m:rPr>
                <m:sty m:val="p"/>
              </m:rPr>
              <m:t>&gt;</m:t>
            </m:r>
            <m:r>
              <m:rPr>
                <m:sty m:val="p"/>
              </m:rPr>
              <m:t>1</m:t>
            </m:r>
          </m:e>
        </m:box>
      </m:oMath>
      <w:r>
        <w:rPr>
          <w:rFonts w:ascii="Times New Roman" w:hAnsi="Times New Roman" w:eastAsia="宋体"/>
          <w:b w:val="0"/>
          <w:sz w:val="24"/>
        </w:rPr>
        <w:t>。在此偏好下，单个品种面临的需求为：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q</m:t>
            </m:r>
            <m:r>
              <m:rPr>
                <m:sty m:val="p"/>
              </m:rPr>
              <m:t>(</m:t>
            </m:r>
            <m:r>
              <m:rPr>
                <m:sty m:val="i"/>
              </m:rPr>
              <m:t>φ</m:t>
            </m:r>
            <m:r>
              <m:rPr>
                <m:sty m:val="p"/>
              </m:rPr>
              <m:t>)</m:t>
            </m:r>
            <m:r>
              <m:rPr>
                <m:sty m:val="p"/>
              </m:rPr>
              <m:t>=</m:t>
            </m:r>
            <m:r>
              <m:rPr>
                <m:sty m:val="i"/>
              </m:rPr>
              <m:t>A</m:t>
            </m:r>
            <m:r>
              <m:rPr>
                <m:sty m:val="i"/>
              </m:rPr>
              <m:t>p</m:t>
            </m:r>
            <m:r>
              <m:rPr>
                <m:sty m:val="p"/>
              </m:rPr>
              <m:t>(</m:t>
            </m:r>
            <m:r>
              <m:rPr>
                <m:sty m:val="i"/>
              </m:rPr>
              <m:t>φ</m:t>
            </m:r>
            <m:sSup>
              <m:e>
                <m:r>
                  <m:rPr>
                    <m:sty m:val="p"/>
                  </m:rPr>
                  <m:t>)</m:t>
                </m:r>
              </m:e>
              <m:sup>
                <m:box>
                  <m:e>
                    <m:r>
                      <m:rPr>
                        <m:sty m:val="p"/>
                      </m:rPr>
                      <m:t>−</m:t>
                    </m:r>
                    <m:r>
                      <m:rPr>
                        <m:sty m:val="i"/>
                      </m:rPr>
                      <m:t>σ</m:t>
                    </m:r>
                  </m:e>
                </m:box>
              </m:sup>
            </m:sSup>
          </m:e>
        </m:box>
      </m:oMath>
      <w:r>
        <w:rPr>
          <w:rFonts w:ascii="Times New Roman" w:hAnsi="Times New Roman" w:eastAsia="宋体"/>
          <w:b w:val="0"/>
          <w:sz w:val="24"/>
        </w:rPr>
        <w:tab/>
        <w:t>(4-30)</w:t>
      </w:r>
    </w:p>
    <w:p>
      <w:pPr>
        <w:spacing w:before="0" w:after="0" w:line="360" w:lineRule="auto"/>
        <w:ind w:firstLineChars="200" w:firstLine="480"/>
      </w:pPr>
      <w:r>
        <w:rPr>
          <w:rFonts w:ascii="Times New Roman" w:hAnsi="Times New Roman" w:eastAsia="宋体"/>
          <w:b w:val="0"/>
          <w:sz w:val="24"/>
        </w:rPr>
        <w:t>其中</w:t>
      </w:r>
      <m:oMath>
        <m:box>
          <m:e>
            <m:r>
              <m:rPr>
                <m:sty m:val="i"/>
              </m:rPr>
              <m:t>A</m:t>
            </m:r>
          </m:e>
        </m:box>
      </m:oMath>
      <w:r>
        <w:rPr>
          <w:rFonts w:ascii="Times New Roman" w:hAnsi="Times New Roman" w:eastAsia="宋体"/>
          <w:b w:val="0"/>
          <w:sz w:val="24"/>
        </w:rPr>
        <w:t>为由总支出与价格指数决定的市场需求位移项，单个企业视其为给定。企业以生产率</w:t>
      </w:r>
      <m:oMath>
        <m:box>
          <m:e>
            <m:r>
              <m:rPr>
                <m:sty m:val="i"/>
              </m:rPr>
              <m:t>φ</m:t>
            </m:r>
          </m:e>
        </m:box>
      </m:oMath>
      <w:r>
        <w:rPr>
          <w:rFonts w:ascii="Times New Roman" w:hAnsi="Times New Roman" w:eastAsia="宋体"/>
          <w:b w:val="0"/>
          <w:sz w:val="24"/>
        </w:rPr>
        <w:t>为唯一异质性来源：劳动为唯一要素（工资标准化为1），生产一单位产品需要</w:t>
      </w:r>
      <m:oMath>
        <m:box>
          <m:e>
            <m:r>
              <m:rPr>
                <m:sty m:val="p"/>
              </m:rPr>
              <m:t>1</m:t>
            </m:r>
            <m:r>
              <m:rPr>
                <m:sty m:val="p"/>
              </m:rPr>
              <m:t>/</m:t>
            </m:r>
            <m:r>
              <m:rPr>
                <m:sty m:val="i"/>
              </m:rPr>
              <m:t>φ</m:t>
            </m:r>
          </m:e>
        </m:box>
      </m:oMath>
      <w:r>
        <w:rPr>
          <w:rFonts w:ascii="Times New Roman" w:hAnsi="Times New Roman" w:eastAsia="宋体"/>
          <w:b w:val="0"/>
          <w:sz w:val="24"/>
        </w:rPr>
        <w:t>单位劳动。垄断竞争下企业按固定加成定价：</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p</m:t>
            </m:r>
            <m:r>
              <m:rPr>
                <m:sty m:val="p"/>
              </m:rPr>
              <m:t>(</m:t>
            </m:r>
            <m:r>
              <m:rPr>
                <m:sty m:val="i"/>
              </m:rPr>
              <m:t>φ</m:t>
            </m:r>
            <m:r>
              <m:rPr>
                <m:sty m:val="p"/>
              </m:rPr>
              <m:t>)</m:t>
            </m:r>
            <m:r>
              <m:rPr>
                <m:sty m:val="p"/>
              </m:rPr>
              <m:t>=</m:t>
            </m:r>
            <m:f>
              <m:num>
                <m:box>
                  <m:e>
                    <m:r>
                      <m:rPr>
                        <m:sty m:val="i"/>
                      </m:rPr>
                      <m:t>σ</m:t>
                    </m:r>
                  </m:e>
                </m:box>
              </m:num>
              <m:den>
                <m:box>
                  <m:e>
                    <m:r>
                      <m:rPr>
                        <m:sty m:val="i"/>
                      </m:rPr>
                      <m:t>σ</m:t>
                    </m:r>
                    <m:r>
                      <m:rPr>
                        <m:sty m:val="p"/>
                      </m:rPr>
                      <m:t>−</m:t>
                    </m:r>
                    <m:r>
                      <m:rPr>
                        <m:sty m:val="p"/>
                      </m:rPr>
                      <m:t>1</m:t>
                    </m:r>
                  </m:e>
                </m:box>
              </m:den>
            </m:f>
            <m:r>
              <m:rPr>
                <m:nor/>
              </m:rPr>
              <m:t> </m:t>
            </m:r>
            <m:f>
              <m:num>
                <m:box>
                  <m:e>
                    <m:r>
                      <m:rPr>
                        <m:sty m:val="p"/>
                      </m:rPr>
                      <m:t>1</m:t>
                    </m:r>
                  </m:e>
                </m:box>
              </m:num>
              <m:den>
                <m:box>
                  <m:e>
                    <m:r>
                      <m:rPr>
                        <m:sty m:val="i"/>
                      </m:rPr>
                      <m:t>φ</m:t>
                    </m:r>
                  </m:e>
                </m:box>
              </m:den>
            </m:f>
          </m:e>
        </m:box>
      </m:oMath>
      <w:r>
        <w:rPr>
          <w:rFonts w:ascii="Times New Roman" w:hAnsi="Times New Roman" w:eastAsia="宋体"/>
          <w:b w:val="0"/>
          <w:sz w:val="24"/>
        </w:rPr>
        <w:tab/>
        <w:t>(4-31)</w:t>
      </w:r>
    </w:p>
    <w:p>
      <w:pPr>
        <w:spacing w:before="0" w:after="0" w:line="360" w:lineRule="auto"/>
        <w:ind w:firstLineChars="200" w:firstLine="480"/>
      </w:pPr>
      <w:r>
        <w:rPr>
          <w:rFonts w:ascii="Times New Roman" w:hAnsi="Times New Roman" w:eastAsia="宋体"/>
          <w:b w:val="0"/>
          <w:sz w:val="24"/>
        </w:rPr>
        <w:t>将式(4-31)代入式(4-30)可得企业收入</w:t>
      </w:r>
      <m:oMath>
        <m:box>
          <m:e>
            <m:r>
              <m:rPr>
                <m:sty m:val="i"/>
              </m:rPr>
              <m:t>r</m:t>
            </m:r>
            <m:r>
              <m:rPr>
                <m:sty m:val="p"/>
              </m:rPr>
              <m:t>(</m:t>
            </m:r>
            <m:r>
              <m:rPr>
                <m:sty m:val="i"/>
              </m:rPr>
              <m:t>φ</m:t>
            </m:r>
            <m:r>
              <m:rPr>
                <m:sty m:val="p"/>
              </m:rPr>
              <m:t>)</m:t>
            </m:r>
            <m:r>
              <m:rPr>
                <m:sty m:val="p"/>
              </m:rPr>
              <m:t>=</m:t>
            </m:r>
            <m:r>
              <m:rPr>
                <m:sty m:val="i"/>
              </m:rPr>
              <m:t>A</m:t>
            </m:r>
            <m:r>
              <m:rPr>
                <m:sty m:val="p"/>
              </m:rPr>
              <m:t>(</m:t>
            </m:r>
            <m:r>
              <m:rPr>
                <m:sty m:val="i"/>
              </m:rPr>
              <m:t>σ</m:t>
            </m:r>
            <m:r>
              <m:rPr>
                <m:sty m:val="p"/>
              </m:rPr>
              <m:t>/</m:t>
            </m:r>
            <m:r>
              <m:rPr>
                <m:sty m:val="p"/>
              </m:rPr>
              <m:t>(</m:t>
            </m:r>
            <m:r>
              <m:rPr>
                <m:sty m:val="i"/>
              </m:rPr>
              <m:t>σ</m:t>
            </m:r>
            <m:r>
              <m:rPr>
                <m:sty m:val="p"/>
              </m:rPr>
              <m:t>−</m:t>
            </m:r>
            <m:r>
              <m:rPr>
                <m:sty m:val="p"/>
              </m:rPr>
              <m:t>1</m:t>
            </m:r>
            <m:r>
              <m:rPr>
                <m:sty m:val="p"/>
              </m:rPr>
              <m:t>)</m:t>
            </m:r>
            <m:sSup>
              <m:e>
                <m:r>
                  <m:rPr>
                    <m:sty m:val="p"/>
                  </m:rPr>
                  <m:t>)</m:t>
                </m:r>
              </m:e>
              <m:sup>
                <m:box>
                  <m:e>
                    <m:r>
                      <m:rPr>
                        <m:sty m:val="p"/>
                      </m:rPr>
                      <m:t>1</m:t>
                    </m:r>
                    <m:r>
                      <m:rPr>
                        <m:sty m:val="p"/>
                      </m:rPr>
                      <m:t>−</m:t>
                    </m:r>
                    <m:r>
                      <m:rPr>
                        <m:sty m:val="i"/>
                      </m:rPr>
                      <m:t>σ</m:t>
                    </m:r>
                  </m:e>
                </m:box>
              </m:sup>
            </m:sSup>
            <m:sSup>
              <m:e>
                <m:r>
                  <m:rPr>
                    <m:sty m:val="i"/>
                  </m:rPr>
                  <m:t>φ</m:t>
                </m:r>
              </m:e>
              <m:sup>
                <m:box>
                  <m:e>
                    <m:r>
                      <m:rPr>
                        <m:sty m:val="i"/>
                      </m:rPr>
                      <m:t>σ</m:t>
                    </m:r>
                    <m:r>
                      <m:rPr>
                        <m:sty m:val="p"/>
                      </m:rPr>
                      <m:t>−</m:t>
                    </m:r>
                    <m:r>
                      <m:rPr>
                        <m:sty m:val="p"/>
                      </m:rPr>
                      <m:t>1</m:t>
                    </m:r>
                  </m:e>
                </m:box>
              </m:sup>
            </m:sSup>
          </m:e>
        </m:box>
      </m:oMath>
      <w:r>
        <w:rPr>
          <w:rFonts w:ascii="Times New Roman" w:hAnsi="Times New Roman" w:eastAsia="宋体"/>
          <w:b w:val="0"/>
          <w:sz w:val="24"/>
        </w:rPr>
        <w:t>，而经营利润为收入的</w:t>
      </w:r>
      <m:oMath>
        <m:box>
          <m:e>
            <m:r>
              <m:rPr>
                <m:sty m:val="p"/>
              </m:rPr>
              <m:t>1</m:t>
            </m:r>
            <m:r>
              <m:rPr>
                <m:sty m:val="p"/>
              </m:rPr>
              <m:t>/</m:t>
            </m:r>
            <m:r>
              <m:rPr>
                <m:sty m:val="i"/>
              </m:rPr>
              <m:t>σ</m:t>
            </m:r>
          </m:e>
        </m:box>
      </m:oMath>
      <w:r>
        <w:rPr>
          <w:rFonts w:ascii="Times New Roman" w:hAnsi="Times New Roman" w:eastAsia="宋体"/>
          <w:b w:val="0"/>
          <w:sz w:val="24"/>
        </w:rPr>
        <w:t>减去期间固定成本</w:t>
      </w:r>
      <m:oMath>
        <m:box>
          <m:e>
            <m:r>
              <m:rPr>
                <m:sty m:val="i"/>
              </m:rPr>
              <m:t>f</m:t>
            </m:r>
          </m:e>
        </m:box>
      </m:oMath>
      <w:r>
        <w:rPr>
          <w:rFonts w:ascii="Times New Roman" w:hAnsi="Times New Roman" w:eastAsia="宋体"/>
          <w:b w:val="0"/>
          <w:sz w:val="24"/>
        </w:rPr>
        <w:t>（管理、渠道、维持性支出）。定义复合系数</w:t>
      </w:r>
      <m:oMath>
        <m:box>
          <m:e>
            <m:r>
              <m:rPr>
                <m:sty m:val="i"/>
              </m:rPr>
              <m:t>B</m:t>
            </m:r>
            <m:r>
              <m:rPr>
                <m:sty m:val="p"/>
              </m:rPr>
              <m:t>≡</m:t>
            </m:r>
            <m:r>
              <m:rPr>
                <m:sty m:val="p"/>
              </m:rPr>
              <m:t>(</m:t>
            </m:r>
            <m:r>
              <m:rPr>
                <m:sty m:val="i"/>
              </m:rPr>
              <m:t>A</m:t>
            </m:r>
            <m:r>
              <m:rPr>
                <m:sty m:val="p"/>
              </m:rPr>
              <m:t>/</m:t>
            </m:r>
            <m:r>
              <m:rPr>
                <m:sty m:val="i"/>
              </m:rPr>
              <m:t>σ</m:t>
            </m:r>
            <m:r>
              <m:rPr>
                <m:sty m:val="p"/>
              </m:rPr>
              <m:t>)</m:t>
            </m:r>
            <m:r>
              <m:rPr>
                <m:sty m:val="p"/>
              </m:rPr>
              <m:t>(</m:t>
            </m:r>
            <m:r>
              <m:rPr>
                <m:sty m:val="i"/>
              </m:rPr>
              <m:t>σ</m:t>
            </m:r>
            <m:r>
              <m:rPr>
                <m:sty m:val="p"/>
              </m:rPr>
              <m:t>/</m:t>
            </m:r>
            <m:r>
              <m:rPr>
                <m:sty m:val="p"/>
              </m:rPr>
              <m:t>(</m:t>
            </m:r>
            <m:r>
              <m:rPr>
                <m:sty m:val="i"/>
              </m:rPr>
              <m:t>σ</m:t>
            </m:r>
            <m:r>
              <m:rPr>
                <m:sty m:val="p"/>
              </m:rPr>
              <m:t>−</m:t>
            </m:r>
            <m:r>
              <m:rPr>
                <m:sty m:val="p"/>
              </m:rPr>
              <m:t>1</m:t>
            </m:r>
            <m:r>
              <m:rPr>
                <m:sty m:val="p"/>
              </m:rPr>
              <m:t>)</m:t>
            </m:r>
            <m:sSup>
              <m:e>
                <m:r>
                  <m:rPr>
                    <m:sty m:val="p"/>
                  </m:rPr>
                  <m:t>)</m:t>
                </m:r>
              </m:e>
              <m:sup>
                <m:box>
                  <m:e>
                    <m:r>
                      <m:rPr>
                        <m:sty m:val="p"/>
                      </m:rPr>
                      <m:t>1</m:t>
                    </m:r>
                    <m:r>
                      <m:rPr>
                        <m:sty m:val="p"/>
                      </m:rPr>
                      <m:t>−</m:t>
                    </m:r>
                    <m:r>
                      <m:rPr>
                        <m:sty m:val="i"/>
                      </m:rPr>
                      <m:t>σ</m:t>
                    </m:r>
                  </m:e>
                </m:box>
              </m:sup>
            </m:sSup>
          </m:e>
        </m:box>
      </m:oMath>
      <w:r>
        <w:rPr>
          <w:rFonts w:ascii="Times New Roman" w:hAnsi="Times New Roman" w:eastAsia="宋体"/>
          <w:b w:val="0"/>
          <w:sz w:val="24"/>
        </w:rPr>
        <w:t>，则本地市场经营利润为：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π</m:t>
                </m:r>
              </m:e>
              <m:sub>
                <m:r>
                  <m:rPr>
                    <m:sty m:val="i"/>
                  </m:rPr>
                  <m:t>d</m:t>
                </m:r>
              </m:sub>
            </m:sSub>
            <m:r>
              <m:rPr>
                <m:sty m:val="p"/>
              </m:rPr>
              <m:t>(</m:t>
            </m:r>
            <m:r>
              <m:rPr>
                <m:sty m:val="i"/>
              </m:rPr>
              <m:t>φ</m:t>
            </m:r>
            <m:r>
              <m:rPr>
                <m:sty m:val="p"/>
              </m:rPr>
              <m:t>)</m:t>
            </m:r>
            <m:r>
              <m:rPr>
                <m:sty m:val="p"/>
              </m:rPr>
              <m:t>=</m:t>
            </m:r>
            <m:r>
              <m:rPr>
                <m:sty m:val="i"/>
              </m:rPr>
              <m:t>B</m:t>
            </m:r>
            <m:sSup>
              <m:e>
                <m:r>
                  <m:rPr>
                    <m:sty m:val="i"/>
                  </m:rPr>
                  <m:t>φ</m:t>
                </m:r>
              </m:e>
              <m:sup>
                <m:box>
                  <m:e>
                    <m:r>
                      <m:rPr>
                        <m:sty m:val="i"/>
                      </m:rPr>
                      <m:t>σ</m:t>
                    </m:r>
                    <m:r>
                      <m:rPr>
                        <m:sty m:val="p"/>
                      </m:rPr>
                      <m:t>−</m:t>
                    </m:r>
                    <m:r>
                      <m:rPr>
                        <m:sty m:val="p"/>
                      </m:rPr>
                      <m:t>1</m:t>
                    </m:r>
                  </m:e>
                </m:box>
              </m:sup>
            </m:sSup>
            <m:r>
              <m:rPr>
                <m:sty m:val="p"/>
              </m:rPr>
              <m:t>−</m:t>
            </m:r>
            <m:r>
              <m:rPr>
                <m:sty m:val="i"/>
              </m:rPr>
              <m:t>f</m:t>
            </m:r>
          </m:e>
        </m:box>
      </m:oMath>
      <w:r>
        <w:rPr>
          <w:rFonts w:ascii="Times New Roman" w:hAnsi="Times New Roman" w:eastAsia="宋体"/>
          <w:b w:val="0"/>
          <w:sz w:val="24"/>
        </w:rPr>
        <w:tab/>
        <w:t>(4-32)</w:t>
      </w:r>
    </w:p>
    <w:p>
      <w:pPr>
        <w:spacing w:before="0" w:after="0" w:line="360" w:lineRule="auto"/>
        <w:ind w:firstLineChars="200" w:firstLine="480"/>
      </w:pPr>
      <w:r>
        <w:rPr>
          <w:rFonts w:ascii="Times New Roman" w:hAnsi="Times New Roman" w:eastAsia="宋体"/>
          <w:b w:val="0"/>
          <w:sz w:val="24"/>
        </w:rPr>
        <w:t>企业还可跨区销售：跨区需承担冰山成本</w:t>
      </w:r>
      <m:oMath>
        <m:box>
          <m:e>
            <m:r>
              <m:rPr>
                <m:sty m:val="i"/>
              </m:rPr>
              <m:t>τ</m:t>
            </m:r>
            <m:r>
              <m:rPr>
                <m:sty m:val="p"/>
              </m:rPr>
              <m:t>≥</m:t>
            </m:r>
            <m:r>
              <m:rPr>
                <m:sty m:val="p"/>
              </m:rPr>
              <m:t>1</m:t>
            </m:r>
          </m:e>
        </m:box>
      </m:oMath>
      <w:r>
        <w:rPr>
          <w:rFonts w:ascii="Times New Roman" w:hAnsi="Times New Roman" w:eastAsia="宋体"/>
          <w:b w:val="0"/>
          <w:sz w:val="24"/>
        </w:rPr>
        <w:t>（送达一单位须发出</w:t>
      </w:r>
      <m:oMath>
        <m:box>
          <m:e>
            <m:r>
              <m:rPr>
                <m:sty m:val="i"/>
              </m:rPr>
              <m:t>τ</m:t>
            </m:r>
          </m:e>
        </m:box>
      </m:oMath>
      <w:r>
        <w:rPr>
          <w:rFonts w:ascii="Times New Roman" w:hAnsi="Times New Roman" w:eastAsia="宋体"/>
          <w:b w:val="0"/>
          <w:sz w:val="24"/>
        </w:rPr>
        <w:t>单位）以及跨区固定成本</w:t>
      </w:r>
      <m:oMath>
        <m:box>
          <m:e>
            <m:sSub>
              <m:e>
                <m:r>
                  <m:rPr>
                    <m:sty m:val="i"/>
                  </m:rPr>
                  <m:t>f</m:t>
                </m:r>
              </m:e>
              <m:sub>
                <m:r>
                  <m:rPr>
                    <m:sty m:val="i"/>
                  </m:rPr>
                  <m:t>x</m:t>
                </m:r>
              </m:sub>
            </m:sSub>
          </m:e>
        </m:box>
      </m:oMath>
      <w:r>
        <w:rPr>
          <w:rFonts w:ascii="Times New Roman" w:hAnsi="Times New Roman" w:eastAsia="宋体"/>
          <w:b w:val="0"/>
          <w:sz w:val="24"/>
        </w:rPr>
        <w:t>（异地渠道建设、重复认证、地方准入合规），由两地区对称性，跨区经营利润为：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π</m:t>
                </m:r>
              </m:e>
              <m:sub>
                <m:r>
                  <m:rPr>
                    <m:sty m:val="i"/>
                  </m:rPr>
                  <m:t>x</m:t>
                </m:r>
              </m:sub>
            </m:sSub>
            <m:r>
              <m:rPr>
                <m:sty m:val="p"/>
              </m:rPr>
              <m:t>(</m:t>
            </m:r>
            <m:r>
              <m:rPr>
                <m:sty m:val="i"/>
              </m:rPr>
              <m:t>φ</m:t>
            </m:r>
            <m:r>
              <m:rPr>
                <m:sty m:val="p"/>
              </m:rPr>
              <m:t>)</m:t>
            </m:r>
            <m:r>
              <m:rPr>
                <m:sty m:val="p"/>
              </m:rPr>
              <m:t>=</m:t>
            </m:r>
            <m:sSup>
              <m:e>
                <m:r>
                  <m:rPr>
                    <m:sty m:val="i"/>
                  </m:rPr>
                  <m:t>τ</m:t>
                </m:r>
              </m:e>
              <m:sup>
                <m:box>
                  <m:e>
                    <m:r>
                      <m:rPr>
                        <m:sty m:val="p"/>
                      </m:rPr>
                      <m:t>1</m:t>
                    </m:r>
                    <m:r>
                      <m:rPr>
                        <m:sty m:val="p"/>
                      </m:rPr>
                      <m:t>−</m:t>
                    </m:r>
                    <m:r>
                      <m:rPr>
                        <m:sty m:val="i"/>
                      </m:rPr>
                      <m:t>σ</m:t>
                    </m:r>
                  </m:e>
                </m:box>
              </m:sup>
            </m:sSup>
            <m:r>
              <m:rPr>
                <m:sty m:val="i"/>
              </m:rPr>
              <m:t>B</m:t>
            </m:r>
            <m:sSup>
              <m:e>
                <m:r>
                  <m:rPr>
                    <m:sty m:val="i"/>
                  </m:rPr>
                  <m:t>φ</m:t>
                </m:r>
              </m:e>
              <m:sup>
                <m:box>
                  <m:e>
                    <m:r>
                      <m:rPr>
                        <m:sty m:val="i"/>
                      </m:rPr>
                      <m:t>σ</m:t>
                    </m:r>
                    <m:r>
                      <m:rPr>
                        <m:sty m:val="p"/>
                      </m:rPr>
                      <m:t>−</m:t>
                    </m:r>
                    <m:r>
                      <m:rPr>
                        <m:sty m:val="p"/>
                      </m:rPr>
                      <m:t>1</m:t>
                    </m:r>
                  </m:e>
                </m:box>
              </m:sup>
            </m:sSup>
            <m:r>
              <m:rPr>
                <m:sty m:val="p"/>
              </m:rPr>
              <m:t>−</m:t>
            </m:r>
            <m:sSub>
              <m:e>
                <m:r>
                  <m:rPr>
                    <m:sty m:val="i"/>
                  </m:rPr>
                  <m:t>f</m:t>
                </m:r>
              </m:e>
              <m:sub>
                <m:r>
                  <m:rPr>
                    <m:sty m:val="i"/>
                  </m:rPr>
                  <m:t>x</m:t>
                </m:r>
              </m:sub>
            </m:sSub>
          </m:e>
        </m:box>
      </m:oMath>
      <w:r>
        <w:rPr>
          <w:rFonts w:ascii="Times New Roman" w:hAnsi="Times New Roman" w:eastAsia="宋体"/>
          <w:b w:val="0"/>
          <w:sz w:val="24"/>
        </w:rPr>
        <w:tab/>
        <w:t>(4-33)</w:t>
      </w:r>
    </w:p>
    <w:p>
      <w:pPr>
        <w:spacing w:before="0" w:after="0" w:line="360" w:lineRule="auto"/>
        <w:ind w:firstLineChars="200" w:firstLine="480"/>
      </w:pPr>
      <m:oMath>
        <m:box>
          <m:e>
            <m:sSup>
              <m:e>
                <m:r>
                  <m:rPr>
                    <m:sty m:val="i"/>
                  </m:rPr>
                  <m:t>τ</m:t>
                </m:r>
              </m:e>
              <m:sup>
                <m:box>
                  <m:e>
                    <m:r>
                      <m:rPr>
                        <m:sty m:val="p"/>
                      </m:rPr>
                      <m:t>1</m:t>
                    </m:r>
                    <m:r>
                      <m:rPr>
                        <m:sty m:val="p"/>
                      </m:rPr>
                      <m:t>−</m:t>
                    </m:r>
                    <m:r>
                      <m:rPr>
                        <m:sty m:val="i"/>
                      </m:rPr>
                      <m:t>σ</m:t>
                    </m:r>
                  </m:e>
                </m:box>
              </m:sup>
            </m:sSup>
            <m:r>
              <m:rPr>
                <m:sty m:val="p"/>
              </m:rPr>
              <m:t>&lt;</m:t>
            </m:r>
            <m:r>
              <m:rPr>
                <m:sty m:val="p"/>
              </m:rPr>
              <m:t>1</m:t>
            </m:r>
          </m:e>
        </m:box>
      </m:oMath>
      <w:r>
        <w:rPr>
          <w:rFonts w:ascii="Times New Roman" w:hAnsi="Times New Roman" w:eastAsia="宋体"/>
          <w:b w:val="0"/>
          <w:sz w:val="24"/>
        </w:rPr>
        <w:t>刻画分割对跨区利润的折损。企业进入前需支付沉没成本</w:t>
      </w:r>
      <m:oMath>
        <m:box>
          <m:e>
            <m:sSub>
              <m:e>
                <m:r>
                  <m:rPr>
                    <m:sty m:val="i"/>
                  </m:rPr>
                  <m:t>f</m:t>
                </m:r>
              </m:e>
              <m:sub>
                <m:r>
                  <m:rPr>
                    <m:sty m:val="i"/>
                  </m:rPr>
                  <m:t>e</m:t>
                </m:r>
              </m:sub>
            </m:sSub>
          </m:e>
        </m:box>
      </m:oMath>
      <w:r>
        <w:rPr>
          <w:rFonts w:ascii="Times New Roman" w:hAnsi="Times New Roman" w:eastAsia="宋体"/>
          <w:b w:val="0"/>
          <w:sz w:val="24"/>
        </w:rPr>
        <w:t>购买一次生产率“抽签”，生产率从Pareto分布中抽取。</w:t>
      </w:r>
    </w:p>
    <w:p>
      <w:pPr>
        <w:spacing w:before="160" w:after="120" w:line="360" w:lineRule="auto"/>
        <w:outlineLvl w:val="2"/>
      </w:pPr>
      <w:r>
        <w:rPr>
          <w:rFonts w:ascii="Times New Roman" w:hAnsi="Times New Roman" w:eastAsia="黑体"/>
          <w:b w:val="0"/>
          <w:sz w:val="24"/>
        </w:rPr>
        <w:t>2．生存门槛、自由进入与选择效应</w:t>
      </w:r>
    </w:p>
    <w:p>
      <w:pPr>
        <w:spacing w:before="0" w:after="0" w:line="360" w:lineRule="auto"/>
        <w:ind w:firstLineChars="200" w:firstLine="480"/>
      </w:pPr>
      <w:r>
        <w:rPr>
          <w:rFonts w:ascii="Times New Roman" w:hAnsi="Times New Roman" w:eastAsia="宋体"/>
          <w:b w:val="0"/>
          <w:sz w:val="24"/>
        </w:rPr>
        <w:t>企业存活的条件是本地经营利润非负。令</w:t>
      </w:r>
      <m:oMath>
        <m:box>
          <m:e>
            <m:sSub>
              <m:e>
                <m:r>
                  <m:rPr>
                    <m:sty m:val="i"/>
                  </m:rPr>
                  <m:t>π</m:t>
                </m:r>
              </m:e>
              <m:sub>
                <m:r>
                  <m:rPr>
                    <m:sty m:val="i"/>
                  </m:rPr>
                  <m:t>d</m:t>
                </m:r>
              </m:sub>
            </m:sSub>
            <m:r>
              <m:rPr>
                <m:sty m:val="p"/>
              </m:rPr>
              <m:t>(</m:t>
            </m:r>
            <m:sSup>
              <m:e>
                <m:r>
                  <m:rPr>
                    <m:sty m:val="i"/>
                  </m:rPr>
                  <m:t>φ</m:t>
                </m:r>
              </m:e>
              <m:sup>
                <m:r>
                  <m:rPr>
                    <m:sty m:val="p"/>
                  </m:rPr>
                  <m:t>*</m:t>
                </m:r>
              </m:sup>
            </m:sSup>
            <m:r>
              <m:rPr>
                <m:sty m:val="p"/>
              </m:rPr>
              <m:t>)</m:t>
            </m:r>
            <m:r>
              <m:rPr>
                <m:sty m:val="p"/>
              </m:rPr>
              <m:t>=</m:t>
            </m:r>
            <m:r>
              <m:rPr>
                <m:sty m:val="p"/>
              </m:rPr>
              <m:t>0</m:t>
            </m:r>
          </m:e>
        </m:box>
      </m:oMath>
      <w:r>
        <w:rPr>
          <w:rFonts w:ascii="Times New Roman" w:hAnsi="Times New Roman" w:eastAsia="宋体"/>
          <w:b w:val="0"/>
          <w:sz w:val="24"/>
        </w:rPr>
        <w:t>，得生存门槛：</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φ</m:t>
                </m:r>
              </m:e>
              <m:sup>
                <m:r>
                  <m:rPr>
                    <m:sty m:val="p"/>
                  </m:rPr>
                  <m:t>*</m:t>
                </m:r>
              </m:sup>
            </m:sSup>
            <m:r>
              <m:rPr>
                <m:sty m:val="p"/>
              </m:rPr>
              <m:t>=</m:t>
            </m:r>
            <m:r>
              <m:rPr>
                <m:sty m:val="p"/>
              </m:rPr>
              <m:t>(</m:t>
            </m:r>
            <m:f>
              <m:num>
                <m:box>
                  <m:e>
                    <m:r>
                      <m:rPr>
                        <m:sty m:val="i"/>
                      </m:rPr>
                      <m:t>f</m:t>
                    </m:r>
                  </m:e>
                </m:box>
              </m:num>
              <m:den>
                <m:box>
                  <m:e>
                    <m:r>
                      <m:rPr>
                        <m:sty m:val="i"/>
                      </m:rPr>
                      <m:t>B</m:t>
                    </m:r>
                  </m:e>
                </m:box>
              </m:den>
            </m:f>
            <m:sSup>
              <m:e>
                <m:r>
                  <m:rPr>
                    <m:sty m:val="p"/>
                  </m:rPr>
                  <m:t>)</m:t>
                </m:r>
              </m:e>
              <m:sup>
                <m:box>
                  <m:e>
                    <m:f>
                      <m:num>
                        <m:box>
                          <m:e>
                            <m:r>
                              <m:rPr>
                                <m:sty m:val="p"/>
                              </m:rPr>
                              <m:t>1</m:t>
                            </m:r>
                          </m:e>
                        </m:box>
                      </m:num>
                      <m:den>
                        <m:box>
                          <m:e>
                            <m:r>
                              <m:rPr>
                                <m:sty m:val="i"/>
                              </m:rPr>
                              <m:t>σ</m:t>
                            </m:r>
                            <m:r>
                              <m:rPr>
                                <m:sty m:val="p"/>
                              </m:rPr>
                              <m:t>−</m:t>
                            </m:r>
                            <m:r>
                              <m:rPr>
                                <m:sty m:val="p"/>
                              </m:rPr>
                              <m:t>1</m:t>
                            </m:r>
                          </m:e>
                        </m:box>
                      </m:den>
                    </m:f>
                  </m:e>
                </m:box>
              </m:sup>
            </m:sSup>
          </m:e>
        </m:box>
      </m:oMath>
      <w:r>
        <w:rPr>
          <w:rFonts w:ascii="Times New Roman" w:hAnsi="Times New Roman" w:eastAsia="宋体"/>
          <w:b w:val="0"/>
          <w:sz w:val="24"/>
        </w:rPr>
        <w:tab/>
        <w:t>(4-34)</w:t>
      </w:r>
    </w:p>
    <w:p>
      <w:pPr>
        <w:spacing w:before="0" w:after="0" w:line="360" w:lineRule="auto"/>
        <w:ind w:firstLineChars="200" w:firstLine="480"/>
      </w:pPr>
      <w:r>
        <w:rPr>
          <w:rFonts w:ascii="Times New Roman" w:hAnsi="Times New Roman" w:eastAsia="宋体"/>
          <w:b w:val="0"/>
          <w:sz w:val="24"/>
        </w:rPr>
        <w:t>令</w:t>
      </w:r>
      <m:oMath>
        <m:box>
          <m:e>
            <m:sSub>
              <m:e>
                <m:r>
                  <m:rPr>
                    <m:sty m:val="i"/>
                  </m:rPr>
                  <m:t>π</m:t>
                </m:r>
              </m:e>
              <m:sub>
                <m:r>
                  <m:rPr>
                    <m:sty m:val="i"/>
                  </m:rPr>
                  <m:t>x</m:t>
                </m:r>
              </m:sub>
            </m:sSub>
            <m:r>
              <m:rPr>
                <m:sty m:val="p"/>
              </m:rPr>
              <m:t>(</m:t>
            </m:r>
            <m:sSubSup>
              <m:e>
                <m:r>
                  <m:rPr>
                    <m:sty m:val="i"/>
                  </m:rPr>
                  <m:t>φ</m:t>
                </m:r>
              </m:e>
              <m:sub>
                <m:r>
                  <m:rPr>
                    <m:sty m:val="i"/>
                  </m:rPr>
                  <m:t>x</m:t>
                </m:r>
              </m:sub>
              <m:sup>
                <m:r>
                  <m:rPr>
                    <m:sty m:val="p"/>
                  </m:rPr>
                  <m:t>*</m:t>
                </m:r>
              </m:sup>
            </m:sSubSup>
            <m:r>
              <m:rPr>
                <m:sty m:val="p"/>
              </m:rPr>
              <m:t>)</m:t>
            </m:r>
            <m:r>
              <m:rPr>
                <m:sty m:val="p"/>
              </m:rPr>
              <m:t>=</m:t>
            </m:r>
            <m:r>
              <m:rPr>
                <m:sty m:val="p"/>
              </m:rPr>
              <m:t>0</m:t>
            </m:r>
          </m:e>
        </m:box>
      </m:oMath>
      <w:r>
        <w:rPr>
          <w:rFonts w:ascii="Times New Roman" w:hAnsi="Times New Roman" w:eastAsia="宋体"/>
          <w:b w:val="0"/>
          <w:sz w:val="24"/>
        </w:rPr>
        <w:t>并与式(4-34)相除，得跨区销售门槛与生存门槛之比：</w:t>
      </w:r>
    </w:p>
    <w:p>
      <w:pPr>
        <w:spacing w:before="120" w:after="120" w:line="360" w:lineRule="auto"/>
        <w:tabs>
          <w:tab w:val="center" w:pos="4252"/>
          <w:tab w:val="right" w:pos="8505"/>
        </w:tabs>
      </w:pPr>
      <w:r>
        <w:rPr>
          <w:rFonts w:ascii="Times New Roman" w:hAnsi="Times New Roman" w:eastAsia="宋体"/>
          <w:b w:val="0"/>
          <w:sz w:val="24"/>
        </w:rPr>
        <w:tab/>
      </w:r>
      <m:oMath>
        <m:box>
          <m:e>
            <m:sSubSup>
              <m:e>
                <m:r>
                  <m:rPr>
                    <m:sty m:val="i"/>
                  </m:rPr>
                  <m:t>φ</m:t>
                </m:r>
              </m:e>
              <m:sub>
                <m:r>
                  <m:rPr>
                    <m:sty m:val="i"/>
                  </m:rPr>
                  <m:t>x</m:t>
                </m:r>
              </m:sub>
              <m:sup>
                <m:r>
                  <m:rPr>
                    <m:sty m:val="p"/>
                  </m:rPr>
                  <m:t>*</m:t>
                </m:r>
              </m:sup>
            </m:sSubSup>
            <m:r>
              <m:rPr>
                <m:sty m:val="p"/>
              </m:rPr>
              <m:t>=</m:t>
            </m:r>
            <m:r>
              <m:rPr>
                <m:sty m:val="i"/>
              </m:rPr>
              <m:t>τ</m:t>
            </m:r>
            <m:r>
              <m:rPr>
                <m:nor/>
              </m:rPr>
              <m:t> </m:t>
            </m:r>
            <m:r>
              <m:rPr>
                <m:sty m:val="p"/>
              </m:rPr>
              <m:t>(</m:t>
            </m:r>
            <m:f>
              <m:num>
                <m:box>
                  <m:e>
                    <m:sSub>
                      <m:e>
                        <m:r>
                          <m:rPr>
                            <m:sty m:val="i"/>
                          </m:rPr>
                          <m:t>f</m:t>
                        </m:r>
                      </m:e>
                      <m:sub>
                        <m:r>
                          <m:rPr>
                            <m:sty m:val="i"/>
                          </m:rPr>
                          <m:t>x</m:t>
                        </m:r>
                      </m:sub>
                    </m:sSub>
                  </m:e>
                </m:box>
              </m:num>
              <m:den>
                <m:box>
                  <m:e>
                    <m:r>
                      <m:rPr>
                        <m:sty m:val="i"/>
                      </m:rPr>
                      <m:t>f</m:t>
                    </m:r>
                  </m:e>
                </m:box>
              </m:den>
            </m:f>
            <m:sSup>
              <m:e>
                <m:r>
                  <m:rPr>
                    <m:sty m:val="p"/>
                  </m:rPr>
                  <m:t>)</m:t>
                </m:r>
              </m:e>
              <m:sup>
                <m:box>
                  <m:e>
                    <m:f>
                      <m:num>
                        <m:box>
                          <m:e>
                            <m:r>
                              <m:rPr>
                                <m:sty m:val="p"/>
                              </m:rPr>
                              <m:t>1</m:t>
                            </m:r>
                          </m:e>
                        </m:box>
                      </m:num>
                      <m:den>
                        <m:box>
                          <m:e>
                            <m:r>
                              <m:rPr>
                                <m:sty m:val="i"/>
                              </m:rPr>
                              <m:t>σ</m:t>
                            </m:r>
                            <m:r>
                              <m:rPr>
                                <m:sty m:val="p"/>
                              </m:rPr>
                              <m:t>−</m:t>
                            </m:r>
                            <m:r>
                              <m:rPr>
                                <m:sty m:val="p"/>
                              </m:rPr>
                              <m:t>1</m:t>
                            </m:r>
                          </m:e>
                        </m:box>
                      </m:den>
                    </m:f>
                  </m:e>
                </m:box>
              </m:sup>
            </m:sSup>
            <m:sSup>
              <m:e>
                <m:r>
                  <m:rPr>
                    <m:sty m:val="i"/>
                  </m:rPr>
                  <m:t>φ</m:t>
                </m:r>
              </m:e>
              <m:sup>
                <m:r>
                  <m:rPr>
                    <m:sty m:val="p"/>
                  </m:rPr>
                  <m:t>*</m:t>
                </m:r>
              </m:sup>
            </m:sSup>
          </m:e>
        </m:box>
      </m:oMath>
      <w:r>
        <w:rPr>
          <w:rFonts w:ascii="Times New Roman" w:hAnsi="Times New Roman" w:eastAsia="宋体"/>
          <w:b w:val="0"/>
          <w:sz w:val="24"/>
        </w:rPr>
        <w:tab/>
        <w:t>(4-35)</w:t>
      </w:r>
    </w:p>
    <w:p>
      <w:pPr>
        <w:spacing w:before="0" w:after="0" w:line="360" w:lineRule="auto"/>
        <w:ind w:firstLineChars="200" w:firstLine="480"/>
      </w:pPr>
      <w:r>
        <w:rPr>
          <w:rFonts w:ascii="Times New Roman" w:hAnsi="Times New Roman" w:eastAsia="宋体"/>
          <w:b w:val="0"/>
          <w:sz w:val="24"/>
        </w:rPr>
        <w:t>在</w:t>
      </w:r>
      <m:oMath>
        <m:box>
          <m:e>
            <m:r>
              <m:rPr>
                <m:sty m:val="i"/>
              </m:rPr>
              <m:t>τ</m:t>
            </m:r>
          </m:e>
        </m:box>
      </m:oMath>
      <w:r>
        <w:rPr>
          <w:rFonts w:ascii="Times New Roman" w:hAnsi="Times New Roman" w:eastAsia="宋体"/>
          <w:b w:val="0"/>
          <w:sz w:val="24"/>
        </w:rPr>
        <w:t>或</w:t>
      </w:r>
      <m:oMath>
        <m:box>
          <m:e>
            <m:sSub>
              <m:e>
                <m:r>
                  <m:rPr>
                    <m:sty m:val="i"/>
                  </m:rPr>
                  <m:t>f</m:t>
                </m:r>
              </m:e>
              <m:sub>
                <m:r>
                  <m:rPr>
                    <m:sty m:val="i"/>
                  </m:rPr>
                  <m:t>x</m:t>
                </m:r>
              </m:sub>
            </m:sSub>
          </m:e>
        </m:box>
      </m:oMath>
      <w:r>
        <w:rPr>
          <w:rFonts w:ascii="Times New Roman" w:hAnsi="Times New Roman" w:eastAsia="宋体"/>
          <w:b w:val="0"/>
          <w:sz w:val="24"/>
        </w:rPr>
        <w:t>足够大时</w:t>
      </w:r>
      <m:oMath>
        <m:box>
          <m:e>
            <m:sSubSup>
              <m:e>
                <m:r>
                  <m:rPr>
                    <m:sty m:val="i"/>
                  </m:rPr>
                  <m:t>φ</m:t>
                </m:r>
              </m:e>
              <m:sub>
                <m:r>
                  <m:rPr>
                    <m:sty m:val="i"/>
                  </m:rPr>
                  <m:t>x</m:t>
                </m:r>
              </m:sub>
              <m:sup>
                <m:r>
                  <m:rPr>
                    <m:sty m:val="p"/>
                  </m:rPr>
                  <m:t>*</m:t>
                </m:r>
              </m:sup>
            </m:sSubSup>
            <m:r>
              <m:rPr>
                <m:sty m:val="p"/>
              </m:rPr>
              <m:t>&gt;</m:t>
            </m:r>
            <m:sSup>
              <m:e>
                <m:r>
                  <m:rPr>
                    <m:sty m:val="i"/>
                  </m:rPr>
                  <m:t>φ</m:t>
                </m:r>
              </m:e>
              <m:sup>
                <m:r>
                  <m:rPr>
                    <m:sty m:val="p"/>
                  </m:rPr>
                  <m:t>*</m:t>
                </m:r>
              </m:sup>
            </m:sSup>
          </m:e>
        </m:box>
      </m:oMath>
      <w:r>
        <w:rPr>
          <w:rFonts w:ascii="Times New Roman" w:hAnsi="Times New Roman" w:eastAsia="宋体"/>
          <w:b w:val="0"/>
          <w:sz w:val="24"/>
        </w:rPr>
        <w:t>：只有生产率足够高的企业才有能力跨越分割壁垒进入外地市场，中低生产率企业被锁定在本地经营。生产率分布取Pareto形式：</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G</m:t>
            </m:r>
            <m:r>
              <m:rPr>
                <m:sty m:val="p"/>
              </m:rPr>
              <m:t>(</m:t>
            </m:r>
            <m:r>
              <m:rPr>
                <m:sty m:val="i"/>
              </m:rPr>
              <m:t>φ</m:t>
            </m:r>
            <m:r>
              <m:rPr>
                <m:sty m:val="p"/>
              </m:rPr>
              <m:t>)</m:t>
            </m:r>
            <m:r>
              <m:rPr>
                <m:sty m:val="p"/>
              </m:rPr>
              <m:t>=</m:t>
            </m:r>
            <m:r>
              <m:rPr>
                <m:sty m:val="p"/>
              </m:rPr>
              <m:t>1</m:t>
            </m:r>
            <m:r>
              <m:rPr>
                <m:sty m:val="p"/>
              </m:rPr>
              <m:t>−</m:t>
            </m:r>
            <m:r>
              <m:rPr>
                <m:sty m:val="p"/>
              </m:rPr>
              <m:t>(</m:t>
            </m:r>
            <m:f>
              <m:num>
                <m:box>
                  <m:e>
                    <m:sSub>
                      <m:e>
                        <m:r>
                          <m:rPr>
                            <m:sty m:val="i"/>
                          </m:rPr>
                          <m:t>φ</m:t>
                        </m:r>
                      </m:e>
                      <m:sub>
                        <m:box>
                          <m:e>
                            <m:r>
                              <m:rPr>
                                <m:sty m:val="p"/>
                              </m:rPr>
                              <m:t>min</m:t>
                            </m:r>
                          </m:e>
                        </m:box>
                      </m:sub>
                    </m:sSub>
                  </m:e>
                </m:box>
              </m:num>
              <m:den>
                <m:box>
                  <m:e>
                    <m:r>
                      <m:rPr>
                        <m:sty m:val="i"/>
                      </m:rPr>
                      <m:t>φ</m:t>
                    </m:r>
                  </m:e>
                </m:box>
              </m:den>
            </m:f>
            <m:sSup>
              <m:e>
                <m:r>
                  <m:rPr>
                    <m:sty m:val="p"/>
                  </m:rPr>
                  <m:t>)</m:t>
                </m:r>
              </m:e>
              <m:sup>
                <m:box>
                  <m:e>
                    <m:r>
                      <m:rPr>
                        <m:sty m:val="i"/>
                      </m:rPr>
                      <m:t>k</m:t>
                    </m:r>
                  </m:e>
                </m:box>
              </m:sup>
            </m:sSup>
          </m:e>
        </m:box>
      </m:oMath>
      <w:r>
        <w:rPr>
          <w:rFonts w:ascii="Times New Roman" w:hAnsi="Times New Roman" w:eastAsia="宋体"/>
          <w:b w:val="0"/>
          <w:sz w:val="24"/>
        </w:rPr>
        <w:tab/>
        <w:t>(4-36)</w:t>
      </w:r>
    </w:p>
    <w:p>
      <w:pPr>
        <w:spacing w:before="0" w:after="0" w:line="360" w:lineRule="auto"/>
        <w:ind w:firstLineChars="200" w:firstLine="480"/>
      </w:pPr>
      <w:r>
        <w:rPr>
          <w:rFonts w:ascii="Times New Roman" w:hAnsi="Times New Roman" w:eastAsia="宋体"/>
          <w:b w:val="0"/>
          <w:sz w:val="24"/>
        </w:rPr>
        <w:t>其中</w:t>
      </w:r>
      <m:oMath>
        <m:box>
          <m:e>
            <m:r>
              <m:rPr>
                <m:sty m:val="i"/>
              </m:rPr>
              <m:t>k</m:t>
            </m:r>
            <m:r>
              <m:rPr>
                <m:sty m:val="p"/>
              </m:rPr>
              <m:t>&gt;</m:t>
            </m:r>
            <m:r>
              <m:rPr>
                <m:sty m:val="i"/>
              </m:rPr>
              <m:t>σ</m:t>
            </m:r>
            <m:r>
              <m:rPr>
                <m:sty m:val="p"/>
              </m:rPr>
              <m:t>−</m:t>
            </m:r>
            <m:r>
              <m:rPr>
                <m:sty m:val="p"/>
              </m:rPr>
              <m:t>1</m:t>
            </m:r>
          </m:e>
        </m:box>
      </m:oMath>
      <w:r>
        <w:rPr>
          <w:rFonts w:ascii="Times New Roman" w:hAnsi="Times New Roman" w:eastAsia="宋体"/>
          <w:b w:val="0"/>
          <w:sz w:val="24"/>
        </w:rPr>
        <w:t>为形状参数，</w:t>
      </w:r>
      <m:oMath>
        <m:box>
          <m:e>
            <m:r>
              <m:rPr>
                <m:sty m:val="i"/>
              </m:rPr>
              <m:t>k</m:t>
            </m:r>
          </m:e>
        </m:box>
      </m:oMath>
      <w:r>
        <w:rPr>
          <w:rFonts w:ascii="Times New Roman" w:hAnsi="Times New Roman" w:eastAsia="宋体"/>
          <w:b w:val="0"/>
          <w:sz w:val="24"/>
        </w:rPr>
        <w:t>越小分布尾部越厚。自由进入要求事前期望利润等于进入沉没成本。利用Pareto分布的性质，存活企业的平均超额利润与门槛利润之间存在固定比例关系，记</w:t>
      </w:r>
      <m:oMath>
        <m:box>
          <m:e>
            <m:r>
              <m:rPr>
                <m:sty m:val="i"/>
              </m:rPr>
              <m:t>ζ</m:t>
            </m:r>
            <m:r>
              <m:rPr>
                <m:sty m:val="p"/>
              </m:rPr>
              <m:t>≡</m:t>
            </m:r>
            <m:r>
              <m:rPr>
                <m:sty m:val="p"/>
              </m:rPr>
              <m:t>(</m:t>
            </m:r>
            <m:r>
              <m:rPr>
                <m:sty m:val="i"/>
              </m:rPr>
              <m:t>σ</m:t>
            </m:r>
            <m:r>
              <m:rPr>
                <m:sty m:val="p"/>
              </m:rPr>
              <m:t>−</m:t>
            </m:r>
            <m:r>
              <m:rPr>
                <m:sty m:val="p"/>
              </m:rPr>
              <m:t>1</m:t>
            </m:r>
            <m:r>
              <m:rPr>
                <m:sty m:val="p"/>
              </m:rPr>
              <m:t>)</m:t>
            </m:r>
            <m:r>
              <m:rPr>
                <m:sty m:val="p"/>
              </m:rPr>
              <m:t>/</m:t>
            </m:r>
            <m:r>
              <m:rPr>
                <m:sty m:val="p"/>
              </m:rPr>
              <m:t>(</m:t>
            </m:r>
            <m:r>
              <m:rPr>
                <m:sty m:val="i"/>
              </m:rPr>
              <m:t>k</m:t>
            </m:r>
            <m:r>
              <m:rPr>
                <m:sty m:val="p"/>
              </m:rPr>
              <m:t>−</m:t>
            </m:r>
            <m:r>
              <m:rPr>
                <m:sty m:val="i"/>
              </m:rPr>
              <m:t>σ</m:t>
            </m:r>
            <m:r>
              <m:rPr>
                <m:sty m:val="p"/>
              </m:rPr>
              <m:t>+</m:t>
            </m:r>
            <m:r>
              <m:rPr>
                <m:sty m:val="p"/>
              </m:rPr>
              <m:t>1</m:t>
            </m:r>
            <m:r>
              <m:rPr>
                <m:sty m:val="p"/>
              </m:rPr>
              <m:t>)</m:t>
            </m:r>
          </m:e>
        </m:box>
      </m:oMath>
      <w:r>
        <w:rPr>
          <w:rFonts w:ascii="Times New Roman" w:hAnsi="Times New Roman" w:eastAsia="宋体"/>
          <w:b w:val="0"/>
          <w:sz w:val="24"/>
        </w:rPr>
        <w:t>，可将自由进入条件写为：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ζ</m:t>
            </m:r>
            <m:r>
              <m:rPr>
                <m:nor/>
              </m:rPr>
              <m:t> </m:t>
            </m:r>
            <m:r>
              <m:rPr>
                <m:sty m:val="p"/>
              </m:rPr>
              <m:t>(</m:t>
            </m:r>
            <m:f>
              <m:num>
                <m:box>
                  <m:e>
                    <m:sSub>
                      <m:e>
                        <m:r>
                          <m:rPr>
                            <m:sty m:val="i"/>
                          </m:rPr>
                          <m:t>φ</m:t>
                        </m:r>
                      </m:e>
                      <m:sub>
                        <m:box>
                          <m:e>
                            <m:r>
                              <m:rPr>
                                <m:sty m:val="p"/>
                              </m:rPr>
                              <m:t>min</m:t>
                            </m:r>
                          </m:e>
                        </m:box>
                      </m:sub>
                    </m:sSub>
                  </m:e>
                </m:box>
              </m:num>
              <m:den>
                <m:box>
                  <m:e>
                    <m:sSup>
                      <m:e>
                        <m:r>
                          <m:rPr>
                            <m:sty m:val="i"/>
                          </m:rPr>
                          <m:t>φ</m:t>
                        </m:r>
                      </m:e>
                      <m:sup>
                        <m:r>
                          <m:rPr>
                            <m:sty m:val="p"/>
                          </m:rPr>
                          <m:t>*</m:t>
                        </m:r>
                      </m:sup>
                    </m:sSup>
                  </m:e>
                </m:box>
              </m:den>
            </m:f>
            <m:sSup>
              <m:e>
                <m:r>
                  <m:rPr>
                    <m:sty m:val="p"/>
                  </m:rPr>
                  <m:t>)</m:t>
                </m:r>
              </m:e>
              <m:sup>
                <m:box>
                  <m:e>
                    <m:r>
                      <m:rPr>
                        <m:sty m:val="i"/>
                      </m:rPr>
                      <m:t>k</m:t>
                    </m:r>
                  </m:e>
                </m:box>
              </m:sup>
            </m:sSup>
            <m:r>
              <m:rPr>
                <m:nor/>
              </m:rPr>
              <m:t> </m:t>
            </m:r>
            <m:r>
              <m:rPr>
                <m:sty m:val="p"/>
              </m:rPr>
              <m:t>[</m:t>
            </m:r>
            <m:r>
              <m:rPr>
                <m:sty m:val="i"/>
              </m:rPr>
              <m:t>f</m:t>
            </m:r>
            <m:r>
              <m:rPr>
                <m:sty m:val="p"/>
              </m:rPr>
              <m:t>+</m:t>
            </m:r>
            <m:r>
              <m:rPr>
                <m:sty m:val="i"/>
              </m:rPr>
              <m:t>ρ</m:t>
            </m:r>
            <m:r>
              <m:rPr>
                <m:sty m:val="p"/>
              </m:rPr>
              <m:t>(</m:t>
            </m:r>
            <m:r>
              <m:rPr>
                <m:sty m:val="i"/>
              </m:rPr>
              <m:t>τ</m:t>
            </m:r>
            <m:r>
              <m:rPr>
                <m:sty m:val="p"/>
              </m:rPr>
              <m:t>)</m:t>
            </m:r>
            <m:r>
              <m:rPr>
                <m:sty m:val="p"/>
              </m:rPr>
              <m:t>]</m:t>
            </m:r>
            <m:r>
              <m:rPr>
                <m:sty m:val="p"/>
              </m:rPr>
              <m:t>=</m:t>
            </m:r>
            <m:sSub>
              <m:e>
                <m:r>
                  <m:rPr>
                    <m:sty m:val="i"/>
                  </m:rPr>
                  <m:t>f</m:t>
                </m:r>
              </m:e>
              <m:sub>
                <m:r>
                  <m:rPr>
                    <m:sty m:val="i"/>
                  </m:rPr>
                  <m:t>e</m:t>
                </m:r>
              </m:sub>
            </m:sSub>
          </m:e>
        </m:box>
      </m:oMath>
      <w:r>
        <w:rPr>
          <w:rFonts w:ascii="Times New Roman" w:hAnsi="Times New Roman" w:eastAsia="宋体"/>
          <w:b w:val="0"/>
          <w:sz w:val="24"/>
        </w:rPr>
        <w:tab/>
        <w:t>(4-37)</w:t>
      </w:r>
    </w:p>
    <w:p>
      <w:pPr>
        <w:spacing w:before="0" w:after="0" w:line="360" w:lineRule="auto"/>
        <w:ind w:firstLineChars="200" w:firstLine="480"/>
      </w:pPr>
      <w:r>
        <w:rPr>
          <w:rFonts w:ascii="Times New Roman" w:hAnsi="Times New Roman" w:eastAsia="宋体"/>
          <w:b w:val="0"/>
          <w:sz w:val="24"/>
        </w:rPr>
        <w:t>其中</w:t>
      </w:r>
      <m:oMath>
        <m:box>
          <m:e>
            <m:r>
              <m:rPr>
                <m:sty m:val="i"/>
              </m:rPr>
              <m:t>ρ</m:t>
            </m:r>
            <m:r>
              <m:rPr>
                <m:sty m:val="p"/>
              </m:rPr>
              <m:t>(</m:t>
            </m:r>
            <m:r>
              <m:rPr>
                <m:sty m:val="i"/>
              </m:rPr>
              <m:t>τ</m:t>
            </m:r>
            <m:r>
              <m:rPr>
                <m:sty m:val="p"/>
              </m:rPr>
              <m:t>)</m:t>
            </m:r>
            <m:r>
              <m:rPr>
                <m:sty m:val="p"/>
              </m:rPr>
              <m:t>≡</m:t>
            </m:r>
            <m:sSup>
              <m:e>
                <m:r>
                  <m:rPr>
                    <m:sty m:val="i"/>
                  </m:rPr>
                  <m:t>τ</m:t>
                </m:r>
              </m:e>
              <m:sup>
                <m:box>
                  <m:e>
                    <m:r>
                      <m:rPr>
                        <m:sty m:val="p"/>
                      </m:rPr>
                      <m:t>−</m:t>
                    </m:r>
                    <m:r>
                      <m:rPr>
                        <m:sty m:val="i"/>
                      </m:rPr>
                      <m:t>k</m:t>
                    </m:r>
                  </m:e>
                </m:box>
              </m:sup>
            </m:sSup>
            <m:sSup>
              <m:e>
                <m:r>
                  <m:rPr>
                    <m:sty m:val="i"/>
                  </m:rPr>
                  <m:t>f</m:t>
                </m:r>
              </m:e>
              <m:sup>
                <m:box>
                  <m:e>
                    <m:r>
                      <m:rPr>
                        <m:sty m:val="i"/>
                      </m:rPr>
                      <m:t>k</m:t>
                    </m:r>
                    <m:r>
                      <m:rPr>
                        <m:sty m:val="p"/>
                      </m:rPr>
                      <m:t>/</m:t>
                    </m:r>
                    <m:r>
                      <m:rPr>
                        <m:sty m:val="p"/>
                      </m:rPr>
                      <m:t>(</m:t>
                    </m:r>
                    <m:r>
                      <m:rPr>
                        <m:sty m:val="i"/>
                      </m:rPr>
                      <m:t>σ</m:t>
                    </m:r>
                    <m:r>
                      <m:rPr>
                        <m:sty m:val="p"/>
                      </m:rPr>
                      <m:t>−</m:t>
                    </m:r>
                    <m:r>
                      <m:rPr>
                        <m:sty m:val="p"/>
                      </m:rPr>
                      <m:t>1</m:t>
                    </m:r>
                    <m:r>
                      <m:rPr>
                        <m:sty m:val="p"/>
                      </m:rPr>
                      <m:t>)</m:t>
                    </m:r>
                  </m:e>
                </m:box>
              </m:sup>
            </m:sSup>
            <m:sSubSup>
              <m:e>
                <m:r>
                  <m:rPr>
                    <m:sty m:val="i"/>
                  </m:rPr>
                  <m:t>f</m:t>
                </m:r>
              </m:e>
              <m:sub>
                <m:r>
                  <m:rPr>
                    <m:sty m:val="i"/>
                  </m:rPr>
                  <m:t>x</m:t>
                </m:r>
              </m:sub>
              <m:sup>
                <m:box>
                  <m:e>
                    <m:r>
                      <m:rPr>
                        <m:sty m:val="p"/>
                      </m:rPr>
                      <m:t>1</m:t>
                    </m:r>
                    <m:r>
                      <m:rPr>
                        <m:sty m:val="p"/>
                      </m:rPr>
                      <m:t>−</m:t>
                    </m:r>
                    <m:r>
                      <m:rPr>
                        <m:sty m:val="i"/>
                      </m:rPr>
                      <m:t>k</m:t>
                    </m:r>
                    <m:r>
                      <m:rPr>
                        <m:sty m:val="p"/>
                      </m:rPr>
                      <m:t>/</m:t>
                    </m:r>
                    <m:r>
                      <m:rPr>
                        <m:sty m:val="p"/>
                      </m:rPr>
                      <m:t>(</m:t>
                    </m:r>
                    <m:r>
                      <m:rPr>
                        <m:sty m:val="i"/>
                      </m:rPr>
                      <m:t>σ</m:t>
                    </m:r>
                    <m:r>
                      <m:rPr>
                        <m:sty m:val="p"/>
                      </m:rPr>
                      <m:t>−</m:t>
                    </m:r>
                    <m:r>
                      <m:rPr>
                        <m:sty m:val="p"/>
                      </m:rPr>
                      <m:t>1</m:t>
                    </m:r>
                    <m:r>
                      <m:rPr>
                        <m:sty m:val="p"/>
                      </m:rPr>
                      <m:t>)</m:t>
                    </m:r>
                  </m:e>
                </m:box>
              </m:sup>
            </m:sSubSup>
          </m:e>
        </m:box>
      </m:oMath>
      <w:r>
        <w:rPr>
          <w:rFonts w:ascii="Times New Roman" w:hAnsi="Times New Roman" w:eastAsia="宋体"/>
          <w:b w:val="0"/>
          <w:sz w:val="24"/>
        </w:rPr>
        <w:t>为跨区市场贡献的期望利润修正项，</w:t>
      </w:r>
      <m:oMath>
        <m:box>
          <m:e>
            <m:r>
              <m:rPr>
                <m:sty m:val="i"/>
              </m:rPr>
              <m:t>ρ</m:t>
            </m:r>
          </m:e>
        </m:box>
      </m:oMath>
      <w:r>
        <w:rPr>
          <w:rFonts w:ascii="Times New Roman" w:hAnsi="Times New Roman" w:eastAsia="宋体"/>
          <w:b w:val="0"/>
          <w:sz w:val="24"/>
        </w:rPr>
        <w:t>随</w:t>
      </w:r>
      <m:oMath>
        <m:box>
          <m:e>
            <m:r>
              <m:rPr>
                <m:sty m:val="i"/>
              </m:rPr>
              <m:t>τ</m:t>
            </m:r>
          </m:e>
        </m:box>
      </m:oMath>
      <w:r>
        <w:rPr>
          <w:rFonts w:ascii="Times New Roman" w:hAnsi="Times New Roman" w:eastAsia="宋体"/>
          <w:b w:val="0"/>
          <w:sz w:val="24"/>
        </w:rPr>
        <w:t>上升而下降（</w:t>
      </w:r>
      <m:oMath>
        <m:box>
          <m:e>
            <m:r>
              <m:rPr>
                <m:sty m:val="i"/>
              </m:rPr>
              <m:t>d</m:t>
            </m:r>
            <m:r>
              <m:rPr>
                <m:sty m:val="p"/>
              </m:rPr>
              <m:t>ln</m:t>
            </m:r>
            <m:r>
              <m:rPr>
                <m:sty m:val="i"/>
              </m:rPr>
              <m:t>ρ</m:t>
            </m:r>
            <m:r>
              <m:rPr>
                <m:sty m:val="p"/>
              </m:rPr>
              <m:t>/</m:t>
            </m:r>
            <m:r>
              <m:rPr>
                <m:sty m:val="i"/>
              </m:rPr>
              <m:t>d</m:t>
            </m:r>
            <m:r>
              <m:rPr>
                <m:sty m:val="p"/>
              </m:rPr>
              <m:t>ln</m:t>
            </m:r>
            <m:r>
              <m:rPr>
                <m:sty m:val="i"/>
              </m:rPr>
              <m:t>τ</m:t>
            </m:r>
            <m:r>
              <m:rPr>
                <m:sty m:val="p"/>
              </m:rPr>
              <m:t>=</m:t>
            </m:r>
            <m:r>
              <m:rPr>
                <m:sty m:val="p"/>
              </m:rPr>
              <m:t>−</m:t>
            </m:r>
            <m:r>
              <m:rPr>
                <m:sty m:val="i"/>
              </m:rPr>
              <m:t>k</m:t>
            </m:r>
          </m:e>
        </m:box>
      </m:oMath>
      <w:r>
        <w:rPr>
          <w:rFonts w:ascii="Times New Roman" w:hAnsi="Times New Roman" w:eastAsia="宋体"/>
          <w:b w:val="0"/>
          <w:sz w:val="24"/>
        </w:rPr>
        <w:t>）。求解式(4-37)得生存门槛的封闭解：</w:t>
      </w:r>
    </w:p>
    <w:p>
      <w:pPr>
        <w:spacing w:before="120" w:after="120" w:line="360" w:lineRule="auto"/>
        <w:tabs>
          <w:tab w:val="center" w:pos="4252"/>
          <w:tab w:val="right" w:pos="8505"/>
        </w:tabs>
      </w:pPr>
      <w:r>
        <w:rPr>
          <w:rFonts w:ascii="Times New Roman" w:hAnsi="Times New Roman" w:eastAsia="宋体"/>
          <w:b w:val="0"/>
          <w:sz w:val="24"/>
        </w:rPr>
        <w:tab/>
      </w:r>
      <m:oMath>
        <m:box>
          <m:e>
            <m:sSup>
              <m:e>
                <m:r>
                  <m:rPr>
                    <m:sty m:val="i"/>
                  </m:rPr>
                  <m:t>φ</m:t>
                </m:r>
              </m:e>
              <m:sup>
                <m:r>
                  <m:rPr>
                    <m:sty m:val="p"/>
                  </m:rPr>
                  <m:t>*</m:t>
                </m:r>
              </m:sup>
            </m:sSup>
            <m:r>
              <m:rPr>
                <m:sty m:val="p"/>
              </m:rPr>
              <m:t>=</m:t>
            </m:r>
            <m:sSub>
              <m:e>
                <m:r>
                  <m:rPr>
                    <m:sty m:val="i"/>
                  </m:rPr>
                  <m:t>φ</m:t>
                </m:r>
              </m:e>
              <m:sub>
                <m:box>
                  <m:e>
                    <m:r>
                      <m:rPr>
                        <m:sty m:val="p"/>
                      </m:rPr>
                      <m:t>min</m:t>
                    </m:r>
                  </m:e>
                </m:box>
              </m:sub>
            </m:sSub>
            <m:r>
              <m:rPr>
                <m:nor/>
              </m:rPr>
              <m:t> </m:t>
            </m:r>
            <m:r>
              <m:rPr>
                <m:sty m:val="p"/>
              </m:rPr>
              <m:t>[</m:t>
            </m:r>
            <m:f>
              <m:num>
                <m:box>
                  <m:e>
                    <m:r>
                      <m:rPr>
                        <m:sty m:val="i"/>
                      </m:rPr>
                      <m:t>ζ</m:t>
                    </m:r>
                    <m:r>
                      <m:rPr>
                        <m:sty m:val="p"/>
                      </m:rPr>
                      <m:t>(</m:t>
                    </m:r>
                    <m:r>
                      <m:rPr>
                        <m:sty m:val="i"/>
                      </m:rPr>
                      <m:t>f</m:t>
                    </m:r>
                    <m:r>
                      <m:rPr>
                        <m:sty m:val="p"/>
                      </m:rPr>
                      <m:t>+</m:t>
                    </m:r>
                    <m:r>
                      <m:rPr>
                        <m:sty m:val="i"/>
                      </m:rPr>
                      <m:t>ρ</m:t>
                    </m:r>
                    <m:r>
                      <m:rPr>
                        <m:sty m:val="p"/>
                      </m:rPr>
                      <m:t>(</m:t>
                    </m:r>
                    <m:r>
                      <m:rPr>
                        <m:sty m:val="i"/>
                      </m:rPr>
                      <m:t>τ</m:t>
                    </m:r>
                    <m:r>
                      <m:rPr>
                        <m:sty m:val="p"/>
                      </m:rPr>
                      <m:t>)</m:t>
                    </m:r>
                    <m:r>
                      <m:rPr>
                        <m:sty m:val="p"/>
                      </m:rPr>
                      <m:t>)</m:t>
                    </m:r>
                  </m:e>
                </m:box>
              </m:num>
              <m:den>
                <m:box>
                  <m:e>
                    <m:sSub>
                      <m:e>
                        <m:r>
                          <m:rPr>
                            <m:sty m:val="i"/>
                          </m:rPr>
                          <m:t>f</m:t>
                        </m:r>
                      </m:e>
                      <m:sub>
                        <m:r>
                          <m:rPr>
                            <m:sty m:val="i"/>
                          </m:rPr>
                          <m:t>e</m:t>
                        </m:r>
                      </m:sub>
                    </m:sSub>
                  </m:e>
                </m:box>
              </m:den>
            </m:f>
            <m:sSup>
              <m:e>
                <m:r>
                  <m:rPr>
                    <m:sty m:val="p"/>
                  </m:rPr>
                  <m:t>]</m:t>
                </m:r>
              </m:e>
              <m:sup>
                <m:box>
                  <m:e>
                    <m:f>
                      <m:num>
                        <m:box>
                          <m:e>
                            <m:r>
                              <m:rPr>
                                <m:sty m:val="p"/>
                              </m:rPr>
                              <m:t>1</m:t>
                            </m:r>
                          </m:e>
                        </m:box>
                      </m:num>
                      <m:den>
                        <m:box>
                          <m:e>
                            <m:r>
                              <m:rPr>
                                <m:sty m:val="i"/>
                              </m:rPr>
                              <m:t>k</m:t>
                            </m:r>
                          </m:e>
                        </m:box>
                      </m:den>
                    </m:f>
                  </m:e>
                </m:box>
              </m:sup>
            </m:sSup>
          </m:e>
        </m:box>
      </m:oMath>
      <w:r>
        <w:rPr>
          <w:rFonts w:ascii="Times New Roman" w:hAnsi="Times New Roman" w:eastAsia="宋体"/>
          <w:b w:val="0"/>
          <w:sz w:val="24"/>
        </w:rPr>
        <w:tab/>
        <w:t>(4-38)</w:t>
      </w:r>
    </w:p>
    <w:p>
      <w:pPr>
        <w:spacing w:before="0" w:after="0" w:line="360" w:lineRule="auto"/>
        <w:ind w:firstLineChars="200" w:firstLine="480"/>
      </w:pPr>
      <w:r>
        <w:rPr>
          <w:rFonts w:ascii="Times New Roman" w:hAnsi="Times New Roman" w:eastAsia="宋体"/>
          <w:b w:val="0"/>
          <w:sz w:val="24"/>
        </w:rPr>
        <w:t>对式(4-38)取对数并对</w:t>
      </w:r>
      <m:oMath>
        <m:box>
          <m:e>
            <m:r>
              <m:rPr>
                <m:sty m:val="p"/>
              </m:rPr>
              <m:t>ln</m:t>
            </m:r>
            <m:r>
              <m:rPr>
                <m:sty m:val="i"/>
              </m:rPr>
              <m:t>τ</m:t>
            </m:r>
          </m:e>
        </m:box>
      </m:oMath>
      <w:r>
        <w:rPr>
          <w:rFonts w:ascii="Times New Roman" w:hAnsi="Times New Roman" w:eastAsia="宋体"/>
          <w:b w:val="0"/>
          <w:sz w:val="24"/>
        </w:rPr>
        <w:t>求导，得到本节核心的比较静态弹性：</w:t>
      </w:r>
    </w:p>
    <w:p>
      <w:pPr>
        <w:spacing w:before="120" w:after="120" w:line="360" w:lineRule="auto"/>
        <w:tabs>
          <w:tab w:val="center" w:pos="4252"/>
          <w:tab w:val="right" w:pos="8505"/>
        </w:tabs>
      </w:pPr>
      <w:r>
        <w:rPr>
          <w:rFonts w:ascii="Times New Roman" w:hAnsi="Times New Roman" w:eastAsia="宋体"/>
          <w:b w:val="0"/>
          <w:sz w:val="24"/>
        </w:rPr>
        <w:tab/>
      </w:r>
      <m:oMath>
        <m:box>
          <m:e>
            <m:f>
              <m:num>
                <m:box>
                  <m:e>
                    <m:r>
                      <m:rPr>
                        <m:sty m:val="i"/>
                      </m:rPr>
                      <m:t>d</m:t>
                    </m:r>
                    <m:r>
                      <m:rPr>
                        <m:sty m:val="p"/>
                      </m:rPr>
                      <m:t>ln</m:t>
                    </m:r>
                    <m:sSup>
                      <m:e>
                        <m:r>
                          <m:rPr>
                            <m:sty m:val="i"/>
                          </m:rPr>
                          <m:t>φ</m:t>
                        </m:r>
                      </m:e>
                      <m:sup>
                        <m:r>
                          <m:rPr>
                            <m:sty m:val="p"/>
                          </m:rPr>
                          <m:t>*</m:t>
                        </m:r>
                      </m:sup>
                    </m:sSup>
                  </m:e>
                </m:box>
              </m:num>
              <m:den>
                <m:box>
                  <m:e>
                    <m:r>
                      <m:rPr>
                        <m:sty m:val="i"/>
                      </m:rPr>
                      <m:t>d</m:t>
                    </m:r>
                    <m:r>
                      <m:rPr>
                        <m:sty m:val="p"/>
                      </m:rPr>
                      <m:t>ln</m:t>
                    </m:r>
                    <m:r>
                      <m:rPr>
                        <m:sty m:val="i"/>
                      </m:rPr>
                      <m:t>τ</m:t>
                    </m:r>
                  </m:e>
                </m:box>
              </m:den>
            </m:f>
            <m:r>
              <m:rPr>
                <m:sty m:val="p"/>
              </m:rPr>
              <m:t>=</m:t>
            </m:r>
            <m:r>
              <m:rPr>
                <m:sty m:val="p"/>
              </m:rPr>
              <m:t>−</m:t>
            </m:r>
            <m:f>
              <m:num>
                <m:box>
                  <m:e>
                    <m:r>
                      <m:rPr>
                        <m:sty m:val="i"/>
                      </m:rPr>
                      <m:t>ρ</m:t>
                    </m:r>
                    <m:r>
                      <m:rPr>
                        <m:sty m:val="p"/>
                      </m:rPr>
                      <m:t>(</m:t>
                    </m:r>
                    <m:r>
                      <m:rPr>
                        <m:sty m:val="i"/>
                      </m:rPr>
                      <m:t>τ</m:t>
                    </m:r>
                    <m:r>
                      <m:rPr>
                        <m:sty m:val="p"/>
                      </m:rPr>
                      <m:t>)</m:t>
                    </m:r>
                  </m:e>
                </m:box>
              </m:num>
              <m:den>
                <m:box>
                  <m:e>
                    <m:r>
                      <m:rPr>
                        <m:sty m:val="i"/>
                      </m:rPr>
                      <m:t>f</m:t>
                    </m:r>
                    <m:r>
                      <m:rPr>
                        <m:sty m:val="p"/>
                      </m:rPr>
                      <m:t>+</m:t>
                    </m:r>
                    <m:r>
                      <m:rPr>
                        <m:sty m:val="i"/>
                      </m:rPr>
                      <m:t>ρ</m:t>
                    </m:r>
                    <m:r>
                      <m:rPr>
                        <m:sty m:val="p"/>
                      </m:rPr>
                      <m:t>(</m:t>
                    </m:r>
                    <m:r>
                      <m:rPr>
                        <m:sty m:val="i"/>
                      </m:rPr>
                      <m:t>τ</m:t>
                    </m:r>
                    <m:r>
                      <m:rPr>
                        <m:sty m:val="p"/>
                      </m:rPr>
                      <m:t>)</m:t>
                    </m:r>
                  </m:e>
                </m:box>
              </m:den>
            </m:f>
            <m:r>
              <m:rPr>
                <m:sty m:val="p"/>
              </m:rPr>
              <m:t>&lt;</m:t>
            </m:r>
            <m:r>
              <m:rPr>
                <m:sty m:val="p"/>
              </m:rPr>
              <m:t>0</m:t>
            </m:r>
          </m:e>
        </m:box>
      </m:oMath>
      <w:r>
        <w:rPr>
          <w:rFonts w:ascii="Times New Roman" w:hAnsi="Times New Roman" w:eastAsia="宋体"/>
          <w:b w:val="0"/>
          <w:sz w:val="24"/>
        </w:rPr>
        <w:tab/>
        <w:t>(4-39)</w:t>
      </w:r>
    </w:p>
    <w:p>
      <w:pPr>
        <w:spacing w:before="0" w:after="0" w:line="360" w:lineRule="auto"/>
        <w:ind w:firstLineChars="200" w:firstLine="480"/>
      </w:pPr>
      <w:r>
        <w:rPr>
          <w:rFonts w:ascii="Times New Roman" w:hAnsi="Times New Roman" w:eastAsia="宋体"/>
          <w:b w:val="0"/>
          <w:sz w:val="24"/>
        </w:rPr>
        <w:t>即分割成本下降（一体化推进）会抬高生存门槛。其机制是：</w:t>
      </w:r>
      <m:oMath>
        <m:box>
          <m:e>
            <m:r>
              <m:rPr>
                <m:sty m:val="i"/>
              </m:rPr>
              <m:t>τ</m:t>
            </m:r>
          </m:e>
        </m:box>
      </m:oMath>
      <w:r>
        <w:rPr>
          <w:rFonts w:ascii="Times New Roman" w:hAnsi="Times New Roman" w:eastAsia="宋体"/>
          <w:b w:val="0"/>
          <w:sz w:val="24"/>
        </w:rPr>
        <w:t>下降提高了跨区经营的期望利润，吸引更多事前进入，加剧了本地要素与市场竞争（一般均衡中体现为</w:t>
      </w:r>
      <m:oMath>
        <m:box>
          <m:e>
            <m:r>
              <m:rPr>
                <m:sty m:val="i"/>
              </m:rPr>
              <m:t>B</m:t>
            </m:r>
          </m:e>
        </m:box>
      </m:oMath>
      <w:r>
        <w:rPr>
          <w:rFonts w:ascii="Times New Roman" w:hAnsi="Times New Roman" w:eastAsia="宋体"/>
          <w:b w:val="0"/>
          <w:sz w:val="24"/>
        </w:rPr>
        <w:t>的下降），使原本勉强存活的低生产率企业无法继续满足零利润条件而退出。由Pareto分布的自相似性质，存活企业的加总（调和平均意义上的）生产率与门槛成正比：</w:t>
      </w:r>
    </w:p>
    <w:p>
      <w:pPr>
        <w:spacing w:before="120" w:after="120" w:line="360" w:lineRule="auto"/>
        <w:tabs>
          <w:tab w:val="center" w:pos="4252"/>
          <w:tab w:val="right" w:pos="8505"/>
        </w:tabs>
      </w:pPr>
      <w:r>
        <w:rPr>
          <w:rFonts w:ascii="Times New Roman" w:hAnsi="Times New Roman" w:eastAsia="宋体"/>
          <w:b w:val="0"/>
          <w:sz w:val="24"/>
        </w:rPr>
        <w:tab/>
      </w:r>
      <m:oMath>
        <m:box>
          <m:e>
            <m:groupChr>
              <m:groupChrPr>
                <m:chr m:val="¯"/>
                <m:pos m:val="top"/>
              </m:groupChrPr>
              <m:e>
                <m:box>
                  <m:e>
                    <m:r>
                      <m:rPr>
                        <m:sty m:val="i"/>
                      </m:rPr>
                      <m:t>φ</m:t>
                    </m:r>
                  </m:e>
                </m:box>
              </m:e>
            </m:groupChr>
            <m:r>
              <m:rPr>
                <m:sty m:val="p"/>
              </m:rPr>
              <m:t>=</m:t>
            </m:r>
            <m:r>
              <m:rPr>
                <m:sty m:val="p"/>
              </m:rPr>
              <m:t>(</m:t>
            </m:r>
            <m:f>
              <m:num>
                <m:box>
                  <m:e>
                    <m:r>
                      <m:rPr>
                        <m:sty m:val="i"/>
                      </m:rPr>
                      <m:t>k</m:t>
                    </m:r>
                  </m:e>
                </m:box>
              </m:num>
              <m:den>
                <m:box>
                  <m:e>
                    <m:r>
                      <m:rPr>
                        <m:sty m:val="i"/>
                      </m:rPr>
                      <m:t>k</m:t>
                    </m:r>
                    <m:r>
                      <m:rPr>
                        <m:sty m:val="p"/>
                      </m:rPr>
                      <m:t>−</m:t>
                    </m:r>
                    <m:r>
                      <m:rPr>
                        <m:sty m:val="i"/>
                      </m:rPr>
                      <m:t>σ</m:t>
                    </m:r>
                    <m:r>
                      <m:rPr>
                        <m:sty m:val="p"/>
                      </m:rPr>
                      <m:t>+</m:t>
                    </m:r>
                    <m:r>
                      <m:rPr>
                        <m:sty m:val="p"/>
                      </m:rPr>
                      <m:t>1</m:t>
                    </m:r>
                  </m:e>
                </m:box>
              </m:den>
            </m:f>
            <m:sSup>
              <m:e>
                <m:r>
                  <m:rPr>
                    <m:sty m:val="p"/>
                  </m:rPr>
                  <m:t>)</m:t>
                </m:r>
              </m:e>
              <m:sup>
                <m:box>
                  <m:e>
                    <m:f>
                      <m:num>
                        <m:box>
                          <m:e>
                            <m:r>
                              <m:rPr>
                                <m:sty m:val="p"/>
                              </m:rPr>
                              <m:t>1</m:t>
                            </m:r>
                          </m:e>
                        </m:box>
                      </m:num>
                      <m:den>
                        <m:box>
                          <m:e>
                            <m:r>
                              <m:rPr>
                                <m:sty m:val="i"/>
                              </m:rPr>
                              <m:t>σ</m:t>
                            </m:r>
                            <m:r>
                              <m:rPr>
                                <m:sty m:val="p"/>
                              </m:rPr>
                              <m:t>−</m:t>
                            </m:r>
                            <m:r>
                              <m:rPr>
                                <m:sty m:val="p"/>
                              </m:rPr>
                              <m:t>1</m:t>
                            </m:r>
                          </m:e>
                        </m:box>
                      </m:den>
                    </m:f>
                  </m:e>
                </m:box>
              </m:sup>
            </m:sSup>
            <m:sSup>
              <m:e>
                <m:r>
                  <m:rPr>
                    <m:sty m:val="i"/>
                  </m:rPr>
                  <m:t>φ</m:t>
                </m:r>
              </m:e>
              <m:sup>
                <m:r>
                  <m:rPr>
                    <m:sty m:val="p"/>
                  </m:rPr>
                  <m:t>*</m:t>
                </m:r>
              </m:sup>
            </m:sSup>
          </m:e>
        </m:box>
      </m:oMath>
      <w:r>
        <w:rPr>
          <w:rFonts w:ascii="Times New Roman" w:hAnsi="Times New Roman" w:eastAsia="宋体"/>
          <w:b w:val="0"/>
          <w:sz w:val="24"/>
        </w:rPr>
        <w:tab/>
        <w:t>(4-40)</w:t>
      </w:r>
    </w:p>
    <w:p>
      <w:pPr>
        <w:spacing w:before="0" w:after="0" w:line="360" w:lineRule="auto"/>
        <w:ind w:firstLineChars="200" w:firstLine="480"/>
      </w:pPr>
      <w:r>
        <w:rPr>
          <w:rFonts w:ascii="Times New Roman" w:hAnsi="Times New Roman" w:eastAsia="宋体"/>
          <w:b w:val="0"/>
          <w:sz w:val="24"/>
        </w:rPr>
        <w:t>因此门槛的上移一比一地转化为加总生产率的提升。这里同样需要引入中国式退出摩擦：若地方庇护使企业可承受相当于期间固定成本</w:t>
      </w:r>
      <m:oMath>
        <m:box>
          <m:e>
            <m:limUpp>
              <m:e>
                <m:box>
                  <m:e>
                    <m:r>
                      <m:rPr>
                        <m:sty m:val="i"/>
                      </m:rPr>
                      <m:t>δ</m:t>
                    </m:r>
                  </m:e>
                </m:box>
              </m:e>
              <m:lim>
                <m:r>
                  <m:rPr>
                    <m:sty m:val="p"/>
                  </m:rPr>
                  <m:t>~</m:t>
                </m:r>
              </m:lim>
            </m:limUpp>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比例的亏损（财政纾困、信贷续命），则有效生存门槛下移为：</w:t>
      </w:r>
    </w:p>
    <w:p>
      <w:pPr>
        <w:spacing w:before="120" w:after="120" w:line="360" w:lineRule="auto"/>
        <w:tabs>
          <w:tab w:val="center" w:pos="4252"/>
          <w:tab w:val="right" w:pos="8505"/>
        </w:tabs>
      </w:pPr>
      <w:r>
        <w:rPr>
          <w:rFonts w:ascii="Times New Roman" w:hAnsi="Times New Roman" w:eastAsia="宋体"/>
          <w:b w:val="0"/>
          <w:sz w:val="24"/>
        </w:rPr>
        <w:tab/>
      </w:r>
      <m:oMath>
        <m:box>
          <m:e>
            <m:sSubSup>
              <m:e>
                <m:r>
                  <m:rPr>
                    <m:sty m:val="i"/>
                  </m:rPr>
                  <m:t>φ</m:t>
                </m:r>
              </m:e>
              <m:sub>
                <m:box>
                  <m:e>
                    <m:r>
                      <m:rPr>
                        <m:sty m:val="i"/>
                      </m:rPr>
                      <m:t>δ</m:t>
                    </m:r>
                  </m:e>
                </m:box>
              </m:sub>
              <m:sup>
                <m:r>
                  <m:rPr>
                    <m:sty m:val="p"/>
                  </m:rPr>
                  <m:t>*</m:t>
                </m:r>
              </m:sup>
            </m:sSubSup>
            <m:r>
              <m:rPr>
                <m:sty m:val="p"/>
              </m:rPr>
              <m:t>=</m:t>
            </m:r>
            <m:r>
              <m:rPr>
                <m:sty m:val="p"/>
              </m:rPr>
              <m:t>(</m:t>
            </m:r>
            <m:r>
              <m:rPr>
                <m:sty m:val="p"/>
              </m:rPr>
              <m:t>1</m:t>
            </m:r>
            <m:r>
              <m:rPr>
                <m:sty m:val="p"/>
              </m:rPr>
              <m:t>−</m:t>
            </m:r>
            <m:limUpp>
              <m:e>
                <m:box>
                  <m:e>
                    <m:r>
                      <m:rPr>
                        <m:sty m:val="i"/>
                      </m:rPr>
                      <m:t>δ</m:t>
                    </m:r>
                  </m:e>
                </m:box>
              </m:e>
              <m:lim>
                <m:r>
                  <m:rPr>
                    <m:sty m:val="p"/>
                  </m:rPr>
                  <m:t>~</m:t>
                </m:r>
              </m:lim>
            </m:limUpp>
            <m:sSup>
              <m:e>
                <m:r>
                  <m:rPr>
                    <m:sty m:val="p"/>
                  </m:rPr>
                  <m:t>)</m:t>
                </m:r>
              </m:e>
              <m:sup>
                <m:box>
                  <m:e>
                    <m:f>
                      <m:num>
                        <m:box>
                          <m:e>
                            <m:r>
                              <m:rPr>
                                <m:sty m:val="p"/>
                              </m:rPr>
                              <m:t>1</m:t>
                            </m:r>
                          </m:e>
                        </m:box>
                      </m:num>
                      <m:den>
                        <m:box>
                          <m:e>
                            <m:r>
                              <m:rPr>
                                <m:sty m:val="i"/>
                              </m:rPr>
                              <m:t>σ</m:t>
                            </m:r>
                            <m:r>
                              <m:rPr>
                                <m:sty m:val="p"/>
                              </m:rPr>
                              <m:t>−</m:t>
                            </m:r>
                            <m:r>
                              <m:rPr>
                                <m:sty m:val="p"/>
                              </m:rPr>
                              <m:t>1</m:t>
                            </m:r>
                          </m:e>
                        </m:box>
                      </m:den>
                    </m:f>
                  </m:e>
                </m:box>
              </m:sup>
            </m:sSup>
            <m:sSup>
              <m:e>
                <m:r>
                  <m:rPr>
                    <m:sty m:val="i"/>
                  </m:rPr>
                  <m:t>φ</m:t>
                </m:r>
              </m:e>
              <m:sup>
                <m:r>
                  <m:rPr>
                    <m:sty m:val="p"/>
                  </m:rPr>
                  <m:t>*</m:t>
                </m:r>
              </m:sup>
            </m:sSup>
            <m:r>
              <m:rPr>
                <m:sty m:val="p"/>
              </m:rPr>
              <m:t>&lt;</m:t>
            </m:r>
            <m:sSup>
              <m:e>
                <m:r>
                  <m:rPr>
                    <m:sty m:val="i"/>
                  </m:rPr>
                  <m:t>φ</m:t>
                </m:r>
              </m:e>
              <m:sup>
                <m:r>
                  <m:rPr>
                    <m:sty m:val="p"/>
                  </m:rPr>
                  <m:t>*</m:t>
                </m:r>
              </m:sup>
            </m:sSup>
          </m:e>
        </m:box>
      </m:oMath>
      <w:r>
        <w:rPr>
          <w:rFonts w:ascii="Times New Roman" w:hAnsi="Times New Roman" w:eastAsia="宋体"/>
          <w:b w:val="0"/>
          <w:sz w:val="24"/>
        </w:rPr>
        <w:tab/>
        <w:t>(4-41)</w:t>
      </w:r>
    </w:p>
    <w:p>
      <w:pPr>
        <w:spacing w:before="0" w:after="0" w:line="360" w:lineRule="auto"/>
        <w:ind w:firstLineChars="200" w:firstLine="480"/>
      </w:pPr>
      <w:r>
        <w:rPr>
          <w:rFonts w:ascii="Times New Roman" w:hAnsi="Times New Roman" w:eastAsia="宋体"/>
          <w:b w:val="0"/>
          <w:sz w:val="24"/>
        </w:rPr>
        <w:t>庇护把本应退出的低效企业留在市场内，直接抵消选择效应。综合以上，得：</w:t>
      </w:r>
    </w:p>
    <w:p>
      <w:pPr>
        <w:spacing w:before="0" w:after="0" w:line="360" w:lineRule="auto"/>
        <w:ind w:firstLineChars="200" w:firstLine="480"/>
      </w:pPr>
      <w:r>
        <w:rPr>
          <w:rFonts w:ascii="Times New Roman" w:hAnsi="Times New Roman" w:eastAsia="宋体"/>
          <w:b/>
          <w:sz w:val="24"/>
        </w:rPr>
        <w:t>命题4-6（市场一体化的选择效应）</w:t>
      </w:r>
      <w:r>
        <w:rPr>
          <w:rFonts w:ascii="Times New Roman" w:hAnsi="Times New Roman" w:eastAsia="宋体"/>
          <w:b w:val="0"/>
          <w:sz w:val="24"/>
        </w:rPr>
        <w:t xml:space="preserve">　（i）生存门槛随分割成本下降而上升（式(4-39)），弹性绝对值</w:t>
      </w:r>
      <m:oMath>
        <m:box>
          <m:e>
            <m:r>
              <m:rPr>
                <m:sty m:val="i"/>
              </m:rPr>
              <m:t>ρ</m:t>
            </m:r>
            <m:r>
              <m:rPr>
                <m:sty m:val="p"/>
              </m:rPr>
              <m:t>/</m:t>
            </m:r>
            <m:r>
              <m:rPr>
                <m:sty m:val="p"/>
              </m:rPr>
              <m:t>(</m:t>
            </m:r>
            <m:r>
              <m:rPr>
                <m:sty m:val="i"/>
              </m:rPr>
              <m:t>f</m:t>
            </m:r>
            <m:r>
              <m:rPr>
                <m:sty m:val="p"/>
              </m:rPr>
              <m:t>+</m:t>
            </m:r>
            <m:r>
              <m:rPr>
                <m:sty m:val="i"/>
              </m:rPr>
              <m:t>ρ</m:t>
            </m:r>
            <m:r>
              <m:rPr>
                <m:sty m:val="p"/>
              </m:rPr>
              <m:t>)</m:t>
            </m:r>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随初始分割程度的加深而减小；（ii）加总生产率与生存门槛成正比（式(4-40)），故一体化通过“筛选—再配置”提升行业与地区全要素生产率；（iii）退出庇护</w:t>
      </w:r>
      <m:oMath>
        <m:box>
          <m:e>
            <m:limUpp>
              <m:e>
                <m:box>
                  <m:e>
                    <m:r>
                      <m:rPr>
                        <m:sty m:val="i"/>
                      </m:rPr>
                      <m:t>δ</m:t>
                    </m:r>
                  </m:e>
                </m:box>
              </m:e>
              <m:lim>
                <m:r>
                  <m:rPr>
                    <m:sty m:val="p"/>
                  </m:rPr>
                  <m:t>~</m:t>
                </m:r>
              </m:lim>
            </m:limUpp>
            <m:r>
              <m:rPr>
                <m:sty m:val="p"/>
              </m:rPr>
              <m:t>&gt;</m:t>
            </m:r>
            <m:r>
              <m:rPr>
                <m:sty m:val="p"/>
              </m:rPr>
              <m:t>0</m:t>
            </m:r>
          </m:e>
        </m:box>
      </m:oMath>
      <w:r>
        <w:rPr>
          <w:rFonts w:ascii="Times New Roman" w:hAnsi="Times New Roman" w:eastAsia="宋体"/>
          <w:b w:val="0"/>
          <w:sz w:val="24"/>
        </w:rPr>
        <w:t>使有效门槛按</w:t>
      </w:r>
      <m:oMath>
        <m:box>
          <m:e>
            <m:r>
              <m:rPr>
                <m:sty m:val="p"/>
              </m:rPr>
              <m:t>(</m:t>
            </m:r>
            <m:r>
              <m:rPr>
                <m:sty m:val="p"/>
              </m:rPr>
              <m:t>1</m:t>
            </m:r>
            <m:r>
              <m:rPr>
                <m:sty m:val="p"/>
              </m:rPr>
              <m:t>−</m:t>
            </m:r>
            <m:limUpp>
              <m:e>
                <m:box>
                  <m:e>
                    <m:r>
                      <m:rPr>
                        <m:sty m:val="i"/>
                      </m:rPr>
                      <m:t>δ</m:t>
                    </m:r>
                  </m:e>
                </m:box>
              </m:e>
              <m:lim>
                <m:r>
                  <m:rPr>
                    <m:sty m:val="p"/>
                  </m:rPr>
                  <m:t>~</m:t>
                </m:r>
              </m:lim>
            </m:limUpp>
            <m:sSup>
              <m:e>
                <m:r>
                  <m:rPr>
                    <m:sty m:val="p"/>
                  </m:rPr>
                  <m:t>)</m:t>
                </m:r>
              </m:e>
              <m:sup>
                <m:box>
                  <m:e>
                    <m:r>
                      <m:rPr>
                        <m:sty m:val="p"/>
                      </m:rPr>
                      <m:t>1</m:t>
                    </m:r>
                    <m:r>
                      <m:rPr>
                        <m:sty m:val="p"/>
                      </m:rPr>
                      <m:t>/</m:t>
                    </m:r>
                    <m:r>
                      <m:rPr>
                        <m:sty m:val="p"/>
                      </m:rPr>
                      <m:t>(</m:t>
                    </m:r>
                    <m:r>
                      <m:rPr>
                        <m:sty m:val="i"/>
                      </m:rPr>
                      <m:t>σ</m:t>
                    </m:r>
                    <m:r>
                      <m:rPr>
                        <m:sty m:val="p"/>
                      </m:rPr>
                      <m:t>−</m:t>
                    </m:r>
                    <m:r>
                      <m:rPr>
                        <m:sty m:val="p"/>
                      </m:rPr>
                      <m:t>1</m:t>
                    </m:r>
                    <m:r>
                      <m:rPr>
                        <m:sty m:val="p"/>
                      </m:rPr>
                      <m:t>)</m:t>
                    </m:r>
                  </m:e>
                </m:box>
              </m:sup>
            </m:sSup>
          </m:e>
        </m:box>
      </m:oMath>
      <w:r>
        <w:rPr>
          <w:rFonts w:ascii="Times New Roman" w:hAnsi="Times New Roman" w:eastAsia="宋体"/>
          <w:b w:val="0"/>
          <w:sz w:val="24"/>
        </w:rPr>
        <w:t>的比例下移（式(4-41)），削弱乃至抵消选择效应——统一红利的充分释放以退出机制的修复为前提。</w:t>
      </w:r>
    </w:p>
    <w:p>
      <w:pPr>
        <w:spacing w:before="0" w:after="0" w:line="360" w:lineRule="auto"/>
        <w:ind w:firstLineChars="200" w:firstLine="480"/>
      </w:pPr>
      <w:r>
        <w:rPr>
          <w:rFonts w:ascii="Times New Roman" w:hAnsi="Times New Roman" w:eastAsia="宋体"/>
          <w:b w:val="0"/>
          <w:sz w:val="24"/>
        </w:rPr>
        <w:t>证明思路：(i)由式(4-38)取对数微分，并注意</w:t>
      </w:r>
      <m:oMath>
        <m:box>
          <m:e>
            <m:r>
              <m:rPr>
                <m:sty m:val="i"/>
              </m:rPr>
              <m:t>ρ</m:t>
            </m:r>
            <m:r>
              <m:rPr>
                <m:sty m:val="p"/>
              </m:rPr>
              <m:t>/</m:t>
            </m:r>
            <m:r>
              <m:rPr>
                <m:sty m:val="p"/>
              </m:rPr>
              <m:t>(</m:t>
            </m:r>
            <m:r>
              <m:rPr>
                <m:sty m:val="i"/>
              </m:rPr>
              <m:t>f</m:t>
            </m:r>
            <m:r>
              <m:rPr>
                <m:sty m:val="p"/>
              </m:rPr>
              <m:t>+</m:t>
            </m:r>
            <m:r>
              <m:rPr>
                <m:sty m:val="i"/>
              </m:rPr>
              <m:t>ρ</m:t>
            </m:r>
            <m:r>
              <m:rPr>
                <m:sty m:val="p"/>
              </m:rPr>
              <m:t>)</m:t>
            </m:r>
          </m:e>
        </m:box>
      </m:oMath>
      <w:r>
        <w:rPr>
          <w:rFonts w:ascii="Times New Roman" w:hAnsi="Times New Roman" w:eastAsia="宋体"/>
          <w:b w:val="0"/>
          <w:sz w:val="24"/>
        </w:rPr>
        <w:t>随</w:t>
      </w:r>
      <m:oMath>
        <m:box>
          <m:e>
            <m:r>
              <m:rPr>
                <m:sty m:val="i"/>
              </m:rPr>
              <m:t>τ</m:t>
            </m:r>
          </m:e>
        </m:box>
      </m:oMath>
      <w:r>
        <w:rPr>
          <w:rFonts w:ascii="Times New Roman" w:hAnsi="Times New Roman" w:eastAsia="宋体"/>
          <w:b w:val="0"/>
          <w:sz w:val="24"/>
        </w:rPr>
        <w:t>递减（</w:t>
      </w:r>
      <m:oMath>
        <m:box>
          <m:e>
            <m:r>
              <m:rPr>
                <m:sty m:val="i"/>
              </m:rPr>
              <m:t>ρ</m:t>
            </m:r>
          </m:e>
        </m:box>
      </m:oMath>
      <w:r>
        <w:rPr>
          <w:rFonts w:ascii="Times New Roman" w:hAnsi="Times New Roman" w:eastAsia="宋体"/>
          <w:b w:val="0"/>
          <w:sz w:val="24"/>
        </w:rPr>
        <w:t>单调递减）；(ii)由式(4-40)的比例关系；(iii)由庇护下的存活条件</w:t>
      </w:r>
      <m:oMath>
        <m:box>
          <m:e>
            <m:r>
              <m:rPr>
                <m:sty m:val="i"/>
              </m:rPr>
              <m:t>B</m:t>
            </m:r>
            <m:sSup>
              <m:e>
                <m:r>
                  <m:rPr>
                    <m:sty m:val="i"/>
                  </m:rPr>
                  <m:t>φ</m:t>
                </m:r>
              </m:e>
              <m:sup>
                <m:box>
                  <m:e>
                    <m:r>
                      <m:rPr>
                        <m:sty m:val="i"/>
                      </m:rPr>
                      <m:t>σ</m:t>
                    </m:r>
                    <m:r>
                      <m:rPr>
                        <m:sty m:val="p"/>
                      </m:rPr>
                      <m:t>−</m:t>
                    </m:r>
                    <m:r>
                      <m:rPr>
                        <m:sty m:val="p"/>
                      </m:rPr>
                      <m:t>1</m:t>
                    </m:r>
                  </m:e>
                </m:box>
              </m:sup>
            </m:sSup>
            <m:r>
              <m:rPr>
                <m:sty m:val="p"/>
              </m:rPr>
              <m:t>−</m:t>
            </m:r>
            <m:r>
              <m:rPr>
                <m:sty m:val="i"/>
              </m:rPr>
              <m:t>f</m:t>
            </m:r>
            <m:r>
              <m:rPr>
                <m:sty m:val="p"/>
              </m:rPr>
              <m:t>≥</m:t>
            </m:r>
            <m:r>
              <m:rPr>
                <m:sty m:val="p"/>
              </m:rPr>
              <m:t>−</m:t>
            </m:r>
            <m:limUpp>
              <m:e>
                <m:box>
                  <m:e>
                    <m:r>
                      <m:rPr>
                        <m:sty m:val="i"/>
                      </m:rPr>
                      <m:t>δ</m:t>
                    </m:r>
                  </m:e>
                </m:box>
              </m:e>
              <m:lim>
                <m:r>
                  <m:rPr>
                    <m:sty m:val="p"/>
                  </m:rPr>
                  <m:t>~</m:t>
                </m:r>
              </m:lim>
            </m:limUpp>
            <m:r>
              <m:rPr>
                <m:sty m:val="i"/>
              </m:rPr>
              <m:t>f</m:t>
            </m:r>
          </m:e>
        </m:box>
      </m:oMath>
      <w:r>
        <w:rPr>
          <w:rFonts w:ascii="Times New Roman" w:hAnsi="Times New Roman" w:eastAsia="宋体"/>
          <w:b w:val="0"/>
          <w:sz w:val="24"/>
        </w:rPr>
        <w:t>解出门槛即得。证毕。</w:t>
      </w:r>
    </w:p>
    <w:p>
      <w:pPr>
        <w:spacing w:before="0" w:after="0" w:line="360" w:lineRule="auto"/>
        <w:ind w:firstLineChars="200" w:firstLine="480"/>
      </w:pPr>
      <w:r>
        <w:rPr>
          <w:rFonts w:ascii="Times New Roman" w:hAnsi="Times New Roman" w:eastAsia="宋体"/>
          <w:b w:val="0"/>
          <w:sz w:val="24"/>
        </w:rPr>
        <w:t>命题4-6的经济学含义可以从资源误置的视角理解：市场分割相当于给低生产率企业发放了一张“区域生存许可证”，使本应流向高效企业的资本、土地、劳动滞留在低效企业手中；中国与美国制造业全要素生产率差距的相当部分正可归因于此类企业间资源误置（Hsieh和Klenow，2009）。以国内贸易成本量化研究为参照，中国区际贸易成本的下降空间与其对应的加总生产率收益均相当可观（Tombe和Zhu，2019），这为第九章测算统一大市场建设的TFP效应提供了理论坐标。选择效应的作用方式可以在生产率分布图上直观呈现（见图4.3）。</w:t>
      </w:r>
    </w:p>
    <w:p>
      <w:pPr>
        <w:spacing w:before="120"/>
        <w:jc w:val="center"/>
      </w:pPr>
      <w:r>
        <w:drawing>
          <wp:inline xmlns:a="http://schemas.openxmlformats.org/drawingml/2006/main" xmlns:pic="http://schemas.openxmlformats.org/drawingml/2006/picture">
            <wp:extent cx="5112000" cy="3413148"/>
            <wp:docPr id="9" name="Picture 9"/>
            <wp:cNvGraphicFramePr>
              <a:graphicFrameLocks noChangeAspect="1"/>
            </wp:cNvGraphicFramePr>
            <a:graphic>
              <a:graphicData uri="http://schemas.openxmlformats.org/drawingml/2006/picture">
                <pic:pic>
                  <pic:nvPicPr>
                    <pic:cNvPr id="0" name="fig_4_3.png"/>
                    <pic:cNvPicPr/>
                  </pic:nvPicPr>
                  <pic:blipFill>
                    <a:blip r:embed="rId17"/>
                    <a:stretch>
                      <a:fillRect/>
                    </a:stretch>
                  </pic:blipFill>
                  <pic:spPr>
                    <a:xfrm>
                      <a:off x="0" y="0"/>
                      <a:ext cx="5112000" cy="3413148"/>
                    </a:xfrm>
                    <a:prstGeom prst="rect"/>
                  </pic:spPr>
                </pic:pic>
              </a:graphicData>
            </a:graphic>
          </wp:inline>
        </w:drawing>
      </w:r>
    </w:p>
    <w:p>
      <w:pPr>
        <w:spacing w:before="120" w:after="120" w:line="312" w:lineRule="auto"/>
        <w:jc w:val="center"/>
      </w:pPr>
      <w:r>
        <w:rPr>
          <w:rFonts w:ascii="Times New Roman" w:hAnsi="Times New Roman" w:eastAsia="黑体"/>
          <w:b w:val="0"/>
          <w:sz w:val="21"/>
        </w:rPr>
        <w:t>图4.3　生产率门槛与选择效应</w:t>
      </w:r>
    </w:p>
    <w:p>
      <w:pPr>
        <w:spacing w:before="0" w:after="0" w:line="360" w:lineRule="auto"/>
        <w:ind w:firstLineChars="200" w:firstLine="480"/>
      </w:pPr>
      <w:r>
        <w:rPr>
          <w:rFonts w:ascii="Times New Roman" w:hAnsi="Times New Roman" w:eastAsia="宋体"/>
          <w:b w:val="0"/>
          <w:sz w:val="24"/>
        </w:rPr>
        <w:t>图4.3绘出了企业生产率的Pareto密度曲线</w:t>
      </w:r>
      <m:oMath>
        <m:box>
          <m:e>
            <m:r>
              <m:rPr>
                <m:sty m:val="i"/>
              </m:rPr>
              <m:t>g</m:t>
            </m:r>
            <m:r>
              <m:rPr>
                <m:sty m:val="p"/>
              </m:rPr>
              <m:t>(</m:t>
            </m:r>
            <m:r>
              <m:rPr>
                <m:sty m:val="i"/>
              </m:rPr>
              <m:t>φ</m:t>
            </m:r>
            <m:r>
              <m:rPr>
                <m:sty m:val="p"/>
              </m:rPr>
              <m:t>)</m:t>
            </m:r>
          </m:e>
        </m:box>
      </m:oMath>
      <w:r>
        <w:rPr>
          <w:rFonts w:ascii="Times New Roman" w:hAnsi="Times New Roman" w:eastAsia="宋体"/>
          <w:b w:val="0"/>
          <w:sz w:val="24"/>
        </w:rPr>
        <w:t>及两道垂直门槛线：左侧虚线为分割市场门槛</w:t>
      </w:r>
      <m:oMath>
        <m:box>
          <m:e>
            <m:sSubSup>
              <m:e>
                <m:r>
                  <m:rPr>
                    <m:sty m:val="i"/>
                  </m:rPr>
                  <m:t>φ</m:t>
                </m:r>
              </m:e>
              <m:sub>
                <m:r>
                  <m:rPr>
                    <m:sty m:val="i"/>
                  </m:rPr>
                  <m:t>S</m:t>
                </m:r>
              </m:sub>
              <m:sup>
                <m:r>
                  <m:rPr>
                    <m:sty m:val="p"/>
                  </m:rPr>
                  <m:t>*</m:t>
                </m:r>
              </m:sup>
            </m:sSubSup>
          </m:e>
        </m:box>
      </m:oMath>
      <w:r>
        <w:rPr>
          <w:rFonts w:ascii="Times New Roman" w:hAnsi="Times New Roman" w:eastAsia="宋体"/>
          <w:b w:val="0"/>
          <w:sz w:val="24"/>
        </w:rPr>
        <w:t>（图示约1.15），右侧实线为统一市场门槛</w:t>
      </w:r>
      <m:oMath>
        <m:box>
          <m:e>
            <m:sSubSup>
              <m:e>
                <m:r>
                  <m:rPr>
                    <m:sty m:val="i"/>
                  </m:rPr>
                  <m:t>φ</m:t>
                </m:r>
              </m:e>
              <m:sub>
                <m:r>
                  <m:rPr>
                    <m:sty m:val="i"/>
                  </m:rPr>
                  <m:t>U</m:t>
                </m:r>
              </m:sub>
              <m:sup>
                <m:r>
                  <m:rPr>
                    <m:sty m:val="p"/>
                  </m:rPr>
                  <m:t>*</m:t>
                </m:r>
              </m:sup>
            </m:sSubSup>
          </m:e>
        </m:box>
      </m:oMath>
      <w:r>
        <w:rPr>
          <w:rFonts w:ascii="Times New Roman" w:hAnsi="Times New Roman" w:eastAsia="宋体"/>
          <w:b w:val="0"/>
          <w:sz w:val="24"/>
        </w:rPr>
        <w:t>（图示约1.75）。分割体制下，凡生产率高于</w:t>
      </w:r>
      <m:oMath>
        <m:box>
          <m:e>
            <m:sSubSup>
              <m:e>
                <m:r>
                  <m:rPr>
                    <m:sty m:val="i"/>
                  </m:rPr>
                  <m:t>φ</m:t>
                </m:r>
              </m:e>
              <m:sub>
                <m:r>
                  <m:rPr>
                    <m:sty m:val="i"/>
                  </m:rPr>
                  <m:t>S</m:t>
                </m:r>
              </m:sub>
              <m:sup>
                <m:r>
                  <m:rPr>
                    <m:sty m:val="p"/>
                  </m:rPr>
                  <m:t>*</m:t>
                </m:r>
              </m:sup>
            </m:sSubSup>
          </m:e>
        </m:box>
      </m:oMath>
      <w:r>
        <w:rPr>
          <w:rFonts w:ascii="Times New Roman" w:hAnsi="Times New Roman" w:eastAsia="宋体"/>
          <w:b w:val="0"/>
          <w:sz w:val="24"/>
        </w:rPr>
        <w:t>的企业均可存活；一体化后门槛右移至</w:t>
      </w:r>
      <m:oMath>
        <m:box>
          <m:e>
            <m:sSubSup>
              <m:e>
                <m:r>
                  <m:rPr>
                    <m:sty m:val="i"/>
                  </m:rPr>
                  <m:t>φ</m:t>
                </m:r>
              </m:e>
              <m:sub>
                <m:r>
                  <m:rPr>
                    <m:sty m:val="i"/>
                  </m:rPr>
                  <m:t>U</m:t>
                </m:r>
              </m:sub>
              <m:sup>
                <m:r>
                  <m:rPr>
                    <m:sty m:val="p"/>
                  </m:rPr>
                  <m:t>*</m:t>
                </m:r>
              </m:sup>
            </m:sSubSup>
          </m:e>
        </m:box>
      </m:oMath>
      <w:r>
        <w:rPr>
          <w:rFonts w:ascii="Times New Roman" w:hAnsi="Times New Roman" w:eastAsia="宋体"/>
          <w:b w:val="0"/>
          <w:sz w:val="24"/>
        </w:rPr>
        <w:t>，介于两道门槛之间的企业（图中阴影部分）不再满足存活条件而退出，其占用的要素释放给门槛以右的高效企业——这正是“低效企业退出区间”所标示的选择效应。两点观察值得强调：其一，Pareto分布的密度在低生产率端高度集中，门槛区间内的企业数量占比并不小，但因其规模小、生产率低，退出释放的产出损失有限、要素再配置收益却很大，这正是选择效应“帕累托改进色彩”的来源；其二，门槛右移的幅度取决于分割成本下降的幅度与初始分割深度（式(4-39)），拆除的壁垒越“厚”，被激活的选择效应越强。若退出庇护存在（式(4-41)），实际门槛将停留在两道线之间的某个位置，阴影区间只能部分兑现——图形因此也直观揭示了“反内卷”治理中畅通退出通道的关键作用。</w:t>
      </w:r>
    </w:p>
    <w:p>
      <w:pPr>
        <w:spacing w:before="160" w:after="120" w:line="360" w:lineRule="auto"/>
        <w:outlineLvl w:val="2"/>
      </w:pPr>
      <w:r>
        <w:rPr>
          <w:rFonts w:ascii="Times New Roman" w:hAnsi="Times New Roman" w:eastAsia="黑体"/>
          <w:b w:val="0"/>
          <w:sz w:val="24"/>
        </w:rPr>
        <w:t>3．创新门槛与创新激励效应</w:t>
      </w:r>
    </w:p>
    <w:p>
      <w:pPr>
        <w:spacing w:before="0" w:after="0" w:line="360" w:lineRule="auto"/>
        <w:ind w:firstLineChars="200" w:firstLine="480"/>
      </w:pPr>
      <w:r>
        <w:rPr>
          <w:rFonts w:ascii="Times New Roman" w:hAnsi="Times New Roman" w:eastAsia="宋体"/>
          <w:b w:val="0"/>
          <w:sz w:val="24"/>
        </w:rPr>
        <w:t>选择效应之外，市场一体化还改变企业的创新激励。在异质性企业框架中引入工艺创新（过程创新）的离散选择：任一存活企业可支付研发固定成本</w:t>
      </w:r>
      <m:oMath>
        <m:box>
          <m:e>
            <m:sSub>
              <m:e>
                <m:r>
                  <m:rPr>
                    <m:sty m:val="i"/>
                  </m:rPr>
                  <m:t>F</m:t>
                </m:r>
              </m:e>
              <m:sub>
                <m:r>
                  <m:rPr>
                    <m:sty m:val="i"/>
                  </m:rPr>
                  <m:t>R</m:t>
                </m:r>
              </m:sub>
            </m:sSub>
          </m:e>
        </m:box>
      </m:oMath>
      <w:r>
        <w:rPr>
          <w:rFonts w:ascii="Times New Roman" w:hAnsi="Times New Roman" w:eastAsia="宋体"/>
          <w:b w:val="0"/>
          <w:sz w:val="24"/>
        </w:rPr>
        <w:t>，将生产率由</w:t>
      </w:r>
      <m:oMath>
        <m:box>
          <m:e>
            <m:r>
              <m:rPr>
                <m:sty m:val="i"/>
              </m:rPr>
              <m:t>φ</m:t>
            </m:r>
          </m:e>
        </m:box>
      </m:oMath>
      <w:r>
        <w:rPr>
          <w:rFonts w:ascii="Times New Roman" w:hAnsi="Times New Roman" w:eastAsia="宋体"/>
          <w:b w:val="0"/>
          <w:sz w:val="24"/>
        </w:rPr>
        <w:t>提升为</w:t>
      </w:r>
      <m:oMath>
        <m:box>
          <m:e>
            <m:r>
              <m:rPr>
                <m:sty m:val="i"/>
              </m:rPr>
              <m:t>γ</m:t>
            </m:r>
            <m:r>
              <m:rPr>
                <m:sty m:val="i"/>
              </m:rPr>
              <m:t>φ</m:t>
            </m:r>
          </m:e>
        </m:box>
      </m:oMath>
      <w:r>
        <w:rPr>
          <w:rFonts w:ascii="Times New Roman" w:hAnsi="Times New Roman" w:eastAsia="宋体"/>
          <w:b w:val="0"/>
          <w:sz w:val="24"/>
        </w:rPr>
        <w:t>（</w:t>
      </w:r>
      <m:oMath>
        <m:box>
          <m:e>
            <m:r>
              <m:rPr>
                <m:sty m:val="i"/>
              </m:rPr>
              <m:t>γ</m:t>
            </m:r>
            <m:r>
              <m:rPr>
                <m:sty m:val="p"/>
              </m:rPr>
              <m:t>&gt;</m:t>
            </m:r>
            <m:r>
              <m:rPr>
                <m:sty m:val="p"/>
              </m:rPr>
              <m:t>1</m:t>
            </m:r>
          </m:e>
        </m:box>
      </m:oMath>
      <w:r>
        <w:rPr>
          <w:rFonts w:ascii="Times New Roman" w:hAnsi="Times New Roman" w:eastAsia="宋体"/>
          <w:b w:val="0"/>
          <w:sz w:val="24"/>
        </w:rPr>
        <w:t>）。由式(4-32)、(4-33)，对于同时服务两个区域市场的企业（创新型企业通常满足</w:t>
      </w:r>
      <m:oMath>
        <m:box>
          <m:e>
            <m:r>
              <m:rPr>
                <m:sty m:val="i"/>
              </m:rPr>
              <m:t>φ</m:t>
            </m:r>
            <m:r>
              <m:rPr>
                <m:sty m:val="p"/>
              </m:rPr>
              <m:t>≥</m:t>
            </m:r>
            <m:sSubSup>
              <m:e>
                <m:r>
                  <m:rPr>
                    <m:sty m:val="i"/>
                  </m:rPr>
                  <m:t>φ</m:t>
                </m:r>
              </m:e>
              <m:sub>
                <m:r>
                  <m:rPr>
                    <m:sty m:val="i"/>
                  </m:rPr>
                  <m:t>x</m:t>
                </m:r>
              </m:sub>
              <m:sup>
                <m:r>
                  <m:rPr>
                    <m:sty m:val="p"/>
                  </m:rPr>
                  <m:t>*</m:t>
                </m:r>
              </m:sup>
            </m:sSubSup>
          </m:e>
        </m:box>
      </m:oMath>
      <w:r>
        <w:rPr>
          <w:rFonts w:ascii="Times New Roman" w:hAnsi="Times New Roman" w:eastAsia="宋体"/>
          <w:b w:val="0"/>
          <w:sz w:val="24"/>
        </w:rPr>
        <w:t>，此处以此为基准情形），创新带来的经营利润增量为：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Δ</m:t>
            </m:r>
            <m:r>
              <m:rPr>
                <m:sty m:val="i"/>
              </m:rPr>
              <m:t>Π</m:t>
            </m:r>
            <m:r>
              <m:rPr>
                <m:sty m:val="p"/>
              </m:rPr>
              <m:t>(</m:t>
            </m:r>
            <m:r>
              <m:rPr>
                <m:sty m:val="i"/>
              </m:rPr>
              <m:t>φ</m:t>
            </m:r>
            <m:r>
              <m:rPr>
                <m:sty m:val="p"/>
              </m:rPr>
              <m:t>)</m:t>
            </m:r>
            <m:r>
              <m:rPr>
                <m:sty m:val="p"/>
              </m:rPr>
              <m:t>=</m:t>
            </m:r>
            <m:r>
              <m:rPr>
                <m:sty m:val="p"/>
              </m:rPr>
              <m:t>(</m:t>
            </m:r>
            <m:sSup>
              <m:e>
                <m:r>
                  <m:rPr>
                    <m:sty m:val="i"/>
                  </m:rPr>
                  <m:t>γ</m:t>
                </m:r>
              </m:e>
              <m:sup>
                <m:box>
                  <m:e>
                    <m:r>
                      <m:rPr>
                        <m:sty m:val="i"/>
                      </m:rPr>
                      <m:t>σ</m:t>
                    </m:r>
                    <m:r>
                      <m:rPr>
                        <m:sty m:val="p"/>
                      </m:rPr>
                      <m:t>−</m:t>
                    </m:r>
                    <m:r>
                      <m:rPr>
                        <m:sty m:val="p"/>
                      </m:rPr>
                      <m:t>1</m:t>
                    </m:r>
                  </m:e>
                </m:box>
              </m:sup>
            </m:sSup>
            <m:r>
              <m:rPr>
                <m:sty m:val="p"/>
              </m:rPr>
              <m:t>−</m:t>
            </m:r>
            <m:r>
              <m:rPr>
                <m:sty m:val="p"/>
              </m:rPr>
              <m:t>1</m:t>
            </m:r>
            <m:r>
              <m:rPr>
                <m:sty m:val="p"/>
              </m:rPr>
              <m:t>)</m:t>
            </m:r>
            <m:r>
              <m:rPr>
                <m:sty m:val="i"/>
              </m:rPr>
              <m:t>B</m:t>
            </m:r>
            <m:sSup>
              <m:e>
                <m:r>
                  <m:rPr>
                    <m:sty m:val="i"/>
                  </m:rPr>
                  <m:t>φ</m:t>
                </m:r>
              </m:e>
              <m:sup>
                <m:box>
                  <m:e>
                    <m:r>
                      <m:rPr>
                        <m:sty m:val="i"/>
                      </m:rPr>
                      <m:t>σ</m:t>
                    </m:r>
                    <m:r>
                      <m:rPr>
                        <m:sty m:val="p"/>
                      </m:rPr>
                      <m:t>−</m:t>
                    </m:r>
                    <m:r>
                      <m:rPr>
                        <m:sty m:val="p"/>
                      </m:rPr>
                      <m:t>1</m:t>
                    </m:r>
                  </m:e>
                </m:box>
              </m:sup>
            </m:sSup>
            <m:r>
              <m:rPr>
                <m:sty m:val="i"/>
              </m:rPr>
              <m:t>M</m:t>
            </m:r>
            <m:r>
              <m:rPr>
                <m:sty m:val="p"/>
              </m:rPr>
              <m:t>(</m:t>
            </m:r>
            <m:r>
              <m:rPr>
                <m:sty m:val="i"/>
              </m:rPr>
              <m:t>τ</m:t>
            </m:r>
            <m:r>
              <m:rPr>
                <m:sty m:val="p"/>
              </m:rPr>
              <m:t>)</m:t>
            </m:r>
          </m:e>
        </m:box>
      </m:oMath>
      <w:r>
        <w:rPr>
          <w:rFonts w:ascii="Times New Roman" w:hAnsi="Times New Roman" w:eastAsia="宋体"/>
          <w:b w:val="0"/>
          <w:sz w:val="24"/>
        </w:rPr>
        <w:tab/>
        <w:t>(4-42)</w:t>
      </w:r>
    </w:p>
    <w:p>
      <w:pPr>
        <w:spacing w:before="0" w:after="0" w:line="360" w:lineRule="auto"/>
        <w:ind w:firstLineChars="200" w:firstLine="480"/>
      </w:pPr>
      <w:r>
        <w:rPr>
          <w:rFonts w:ascii="Times New Roman" w:hAnsi="Times New Roman" w:eastAsia="宋体"/>
          <w:b w:val="0"/>
          <w:sz w:val="24"/>
        </w:rPr>
        <w:t>其中</w:t>
      </w:r>
      <m:oMath>
        <m:box>
          <m:e>
            <m:r>
              <m:rPr>
                <m:sty m:val="i"/>
              </m:rPr>
              <m:t>M</m:t>
            </m:r>
            <m:r>
              <m:rPr>
                <m:sty m:val="p"/>
              </m:rPr>
              <m:t>(</m:t>
            </m:r>
            <m:r>
              <m:rPr>
                <m:sty m:val="i"/>
              </m:rPr>
              <m:t>τ</m:t>
            </m:r>
            <m:r>
              <m:rPr>
                <m:sty m:val="p"/>
              </m:rPr>
              <m:t>)</m:t>
            </m:r>
            <m:r>
              <m:rPr>
                <m:sty m:val="p"/>
              </m:rPr>
              <m:t>≡</m:t>
            </m:r>
            <m:r>
              <m:rPr>
                <m:sty m:val="p"/>
              </m:rPr>
              <m:t>1</m:t>
            </m:r>
            <m:r>
              <m:rPr>
                <m:sty m:val="p"/>
              </m:rPr>
              <m:t>+</m:t>
            </m:r>
            <m:sSup>
              <m:e>
                <m:r>
                  <m:rPr>
                    <m:sty m:val="i"/>
                  </m:rPr>
                  <m:t>τ</m:t>
                </m:r>
              </m:e>
              <m:sup>
                <m:box>
                  <m:e>
                    <m:r>
                      <m:rPr>
                        <m:sty m:val="p"/>
                      </m:rPr>
                      <m:t>1</m:t>
                    </m:r>
                    <m:r>
                      <m:rPr>
                        <m:sty m:val="p"/>
                      </m:rPr>
                      <m:t>−</m:t>
                    </m:r>
                    <m:r>
                      <m:rPr>
                        <m:sty m:val="i"/>
                      </m:rPr>
                      <m:t>σ</m:t>
                    </m:r>
                  </m:e>
                </m:box>
              </m:sup>
            </m:sSup>
          </m:e>
        </m:box>
      </m:oMath>
      <w:r>
        <w:rPr>
          <w:rFonts w:ascii="Times New Roman" w:hAnsi="Times New Roman" w:eastAsia="宋体"/>
          <w:b w:val="0"/>
          <w:sz w:val="24"/>
        </w:rPr>
        <w:t>为“市场规模可达项”，度量企业创新成果可以摊薄到的有效市场范围：完全统一时</w:t>
      </w:r>
      <m:oMath>
        <m:box>
          <m:e>
            <m:r>
              <m:rPr>
                <m:sty m:val="i"/>
              </m:rPr>
              <m:t>M</m:t>
            </m:r>
            <m:r>
              <m:rPr>
                <m:sty m:val="p"/>
              </m:rPr>
              <m:t>=</m:t>
            </m:r>
            <m:r>
              <m:rPr>
                <m:sty m:val="p"/>
              </m:rPr>
              <m:t>2</m:t>
            </m:r>
          </m:e>
        </m:box>
      </m:oMath>
      <w:r>
        <w:rPr>
          <w:rFonts w:ascii="Times New Roman" w:hAnsi="Times New Roman" w:eastAsia="宋体"/>
          <w:b w:val="0"/>
          <w:sz w:val="24"/>
        </w:rPr>
        <w:t>（创新回报在两个市场同时变现），分割极深时</w:t>
      </w:r>
      <m:oMath>
        <m:box>
          <m:e>
            <m:r>
              <m:rPr>
                <m:sty m:val="i"/>
              </m:rPr>
              <m:t>M</m:t>
            </m:r>
          </m:e>
        </m:box>
      </m:oMath>
      <w:r>
        <w:rPr>
          <w:rFonts w:ascii="Times New Roman" w:hAnsi="Times New Roman" w:eastAsia="宋体"/>
          <w:b w:val="0"/>
          <w:sz w:val="24"/>
        </w:rPr>
        <w:t>趋于1（创新回报被锁定在本地）。令</w:t>
      </w:r>
      <m:oMath>
        <m:box>
          <m:e>
            <m:r>
              <m:rPr>
                <m:sty m:val="i"/>
              </m:rPr>
              <m:t>Δ</m:t>
            </m:r>
            <m:r>
              <m:rPr>
                <m:sty m:val="i"/>
              </m:rPr>
              <m:t>Π</m:t>
            </m:r>
            <m:r>
              <m:rPr>
                <m:sty m:val="p"/>
              </m:rPr>
              <m:t>(</m:t>
            </m:r>
            <m:sSub>
              <m:e>
                <m:r>
                  <m:rPr>
                    <m:sty m:val="i"/>
                  </m:rPr>
                  <m:t>φ</m:t>
                </m:r>
              </m:e>
              <m:sub>
                <m:r>
                  <m:rPr>
                    <m:sty m:val="i"/>
                  </m:rPr>
                  <m:t>R</m:t>
                </m:r>
              </m:sub>
            </m:sSub>
            <m:r>
              <m:rPr>
                <m:sty m:val="p"/>
              </m:rPr>
              <m:t>)</m:t>
            </m:r>
            <m:r>
              <m:rPr>
                <m:sty m:val="p"/>
              </m:rPr>
              <m:t>=</m:t>
            </m:r>
            <m:sSub>
              <m:e>
                <m:r>
                  <m:rPr>
                    <m:sty m:val="i"/>
                  </m:rPr>
                  <m:t>F</m:t>
                </m:r>
              </m:e>
              <m:sub>
                <m:r>
                  <m:rPr>
                    <m:sty m:val="i"/>
                  </m:rPr>
                  <m:t>R</m:t>
                </m:r>
              </m:sub>
            </m:sSub>
          </m:e>
        </m:box>
      </m:oMath>
      <w:r>
        <w:rPr>
          <w:rFonts w:ascii="Times New Roman" w:hAnsi="Times New Roman" w:eastAsia="宋体"/>
          <w:b w:val="0"/>
          <w:sz w:val="24"/>
        </w:rPr>
        <w:t>，得创新采纳门槛：</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φ</m:t>
                </m:r>
              </m:e>
              <m:sub>
                <m:r>
                  <m:rPr>
                    <m:sty m:val="i"/>
                  </m:rPr>
                  <m:t>R</m:t>
                </m:r>
              </m:sub>
            </m:sSub>
            <m:r>
              <m:rPr>
                <m:sty m:val="p"/>
              </m:rPr>
              <m:t>=</m:t>
            </m:r>
            <m:r>
              <m:rPr>
                <m:sty m:val="p"/>
              </m:rPr>
              <m:t>[</m:t>
            </m:r>
            <m:f>
              <m:num>
                <m:box>
                  <m:e>
                    <m:sSub>
                      <m:e>
                        <m:r>
                          <m:rPr>
                            <m:sty m:val="i"/>
                          </m:rPr>
                          <m:t>F</m:t>
                        </m:r>
                      </m:e>
                      <m:sub>
                        <m:r>
                          <m:rPr>
                            <m:sty m:val="i"/>
                          </m:rPr>
                          <m:t>R</m:t>
                        </m:r>
                      </m:sub>
                    </m:sSub>
                  </m:e>
                </m:box>
              </m:num>
              <m:den>
                <m:box>
                  <m:e>
                    <m:r>
                      <m:rPr>
                        <m:sty m:val="p"/>
                      </m:rPr>
                      <m:t>(</m:t>
                    </m:r>
                    <m:sSup>
                      <m:e>
                        <m:r>
                          <m:rPr>
                            <m:sty m:val="i"/>
                          </m:rPr>
                          <m:t>γ</m:t>
                        </m:r>
                      </m:e>
                      <m:sup>
                        <m:box>
                          <m:e>
                            <m:r>
                              <m:rPr>
                                <m:sty m:val="i"/>
                              </m:rPr>
                              <m:t>σ</m:t>
                            </m:r>
                            <m:r>
                              <m:rPr>
                                <m:sty m:val="p"/>
                              </m:rPr>
                              <m:t>−</m:t>
                            </m:r>
                            <m:r>
                              <m:rPr>
                                <m:sty m:val="p"/>
                              </m:rPr>
                              <m:t>1</m:t>
                            </m:r>
                          </m:e>
                        </m:box>
                      </m:sup>
                    </m:sSup>
                    <m:r>
                      <m:rPr>
                        <m:sty m:val="p"/>
                      </m:rPr>
                      <m:t>−</m:t>
                    </m:r>
                    <m:r>
                      <m:rPr>
                        <m:sty m:val="p"/>
                      </m:rPr>
                      <m:t>1</m:t>
                    </m:r>
                    <m:r>
                      <m:rPr>
                        <m:sty m:val="p"/>
                      </m:rPr>
                      <m:t>)</m:t>
                    </m:r>
                    <m:r>
                      <m:rPr>
                        <m:sty m:val="i"/>
                      </m:rPr>
                      <m:t>B</m:t>
                    </m:r>
                    <m:r>
                      <m:rPr>
                        <m:sty m:val="i"/>
                      </m:rPr>
                      <m:t>M</m:t>
                    </m:r>
                    <m:r>
                      <m:rPr>
                        <m:sty m:val="p"/>
                      </m:rPr>
                      <m:t>(</m:t>
                    </m:r>
                    <m:r>
                      <m:rPr>
                        <m:sty m:val="i"/>
                      </m:rPr>
                      <m:t>τ</m:t>
                    </m:r>
                    <m:r>
                      <m:rPr>
                        <m:sty m:val="p"/>
                      </m:rPr>
                      <m:t>)</m:t>
                    </m:r>
                  </m:e>
                </m:box>
              </m:den>
            </m:f>
            <m:sSup>
              <m:e>
                <m:r>
                  <m:rPr>
                    <m:sty m:val="p"/>
                  </m:rPr>
                  <m:t>]</m:t>
                </m:r>
              </m:e>
              <m:sup>
                <m:box>
                  <m:e>
                    <m:f>
                      <m:num>
                        <m:box>
                          <m:e>
                            <m:r>
                              <m:rPr>
                                <m:sty m:val="p"/>
                              </m:rPr>
                              <m:t>1</m:t>
                            </m:r>
                          </m:e>
                        </m:box>
                      </m:num>
                      <m:den>
                        <m:box>
                          <m:e>
                            <m:r>
                              <m:rPr>
                                <m:sty m:val="i"/>
                              </m:rPr>
                              <m:t>σ</m:t>
                            </m:r>
                            <m:r>
                              <m:rPr>
                                <m:sty m:val="p"/>
                              </m:rPr>
                              <m:t>−</m:t>
                            </m:r>
                            <m:r>
                              <m:rPr>
                                <m:sty m:val="p"/>
                              </m:rPr>
                              <m:t>1</m:t>
                            </m:r>
                          </m:e>
                        </m:box>
                      </m:den>
                    </m:f>
                  </m:e>
                </m:box>
              </m:sup>
            </m:sSup>
          </m:e>
        </m:box>
      </m:oMath>
      <w:r>
        <w:rPr>
          <w:rFonts w:ascii="Times New Roman" w:hAnsi="Times New Roman" w:eastAsia="宋体"/>
          <w:b w:val="0"/>
          <w:sz w:val="24"/>
        </w:rPr>
        <w:tab/>
        <w:t>(4-43)</w:t>
      </w:r>
    </w:p>
    <w:p>
      <w:pPr>
        <w:spacing w:before="0" w:after="0" w:line="360" w:lineRule="auto"/>
        <w:ind w:firstLineChars="200" w:firstLine="480"/>
      </w:pPr>
      <m:oMath>
        <m:box>
          <m:e>
            <m:r>
              <m:rPr>
                <m:sty m:val="i"/>
              </m:rPr>
              <m:t>M</m:t>
            </m:r>
            <m:r>
              <m:rPr>
                <m:sty m:val="p"/>
              </m:rPr>
              <m:t>(</m:t>
            </m:r>
            <m:r>
              <m:rPr>
                <m:sty m:val="i"/>
              </m:rPr>
              <m:t>τ</m:t>
            </m:r>
            <m:r>
              <m:rPr>
                <m:sty m:val="p"/>
              </m:rPr>
              <m:t>)</m:t>
            </m:r>
          </m:e>
        </m:box>
      </m:oMath>
      <w:r>
        <w:rPr>
          <w:rFonts w:ascii="Times New Roman" w:hAnsi="Times New Roman" w:eastAsia="宋体"/>
          <w:b w:val="0"/>
          <w:sz w:val="24"/>
        </w:rPr>
        <w:t>随</w:t>
      </w:r>
      <m:oMath>
        <m:box>
          <m:e>
            <m:r>
              <m:rPr>
                <m:sty m:val="i"/>
              </m:rPr>
              <m:t>τ</m:t>
            </m:r>
          </m:e>
        </m:box>
      </m:oMath>
      <w:r>
        <w:rPr>
          <w:rFonts w:ascii="Times New Roman" w:hAnsi="Times New Roman" w:eastAsia="宋体"/>
          <w:b w:val="0"/>
          <w:sz w:val="24"/>
        </w:rPr>
        <w:t>递减，故</w:t>
      </w:r>
      <m:oMath>
        <m:box>
          <m:e>
            <m:sSub>
              <m:e>
                <m:r>
                  <m:rPr>
                    <m:sty m:val="i"/>
                  </m:rPr>
                  <m:t>φ</m:t>
                </m:r>
              </m:e>
              <m:sub>
                <m:r>
                  <m:rPr>
                    <m:sty m:val="i"/>
                  </m:rPr>
                  <m:t>R</m:t>
                </m:r>
              </m:sub>
            </m:sSub>
          </m:e>
        </m:box>
      </m:oMath>
      <w:r>
        <w:rPr>
          <w:rFonts w:ascii="Times New Roman" w:hAnsi="Times New Roman" w:eastAsia="宋体"/>
          <w:b w:val="0"/>
          <w:sz w:val="24"/>
        </w:rPr>
        <w:t>随</w:t>
      </w:r>
      <m:oMath>
        <m:box>
          <m:e>
            <m:r>
              <m:rPr>
                <m:sty m:val="i"/>
              </m:rPr>
              <m:t>τ</m:t>
            </m:r>
          </m:e>
        </m:box>
      </m:oMath>
      <w:r>
        <w:rPr>
          <w:rFonts w:ascii="Times New Roman" w:hAnsi="Times New Roman" w:eastAsia="宋体"/>
          <w:b w:val="0"/>
          <w:sz w:val="24"/>
        </w:rPr>
        <w:t>递增：分割越深，创新门槛越高，选择创新的企业越少。存活企业中创新企业的占比由两道门槛之比决定：</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χ</m:t>
                </m:r>
              </m:e>
              <m:sub>
                <m:r>
                  <m:rPr>
                    <m:sty m:val="i"/>
                  </m:rPr>
                  <m:t>R</m:t>
                </m:r>
              </m:sub>
            </m:sSub>
            <m:r>
              <m:rPr>
                <m:sty m:val="p"/>
              </m:rPr>
              <m:t>=</m:t>
            </m:r>
            <m:r>
              <m:rPr>
                <m:sty m:val="p"/>
              </m:rPr>
              <m:t>(</m:t>
            </m:r>
            <m:f>
              <m:num>
                <m:box>
                  <m:e>
                    <m:sSup>
                      <m:e>
                        <m:r>
                          <m:rPr>
                            <m:sty m:val="i"/>
                          </m:rPr>
                          <m:t>φ</m:t>
                        </m:r>
                      </m:e>
                      <m:sup>
                        <m:r>
                          <m:rPr>
                            <m:sty m:val="p"/>
                          </m:rPr>
                          <m:t>*</m:t>
                        </m:r>
                      </m:sup>
                    </m:sSup>
                  </m:e>
                </m:box>
              </m:num>
              <m:den>
                <m:box>
                  <m:e>
                    <m:sSub>
                      <m:e>
                        <m:r>
                          <m:rPr>
                            <m:sty m:val="i"/>
                          </m:rPr>
                          <m:t>φ</m:t>
                        </m:r>
                      </m:e>
                      <m:sub>
                        <m:r>
                          <m:rPr>
                            <m:sty m:val="i"/>
                          </m:rPr>
                          <m:t>R</m:t>
                        </m:r>
                      </m:sub>
                    </m:sSub>
                  </m:e>
                </m:box>
              </m:den>
            </m:f>
            <m:sSup>
              <m:e>
                <m:r>
                  <m:rPr>
                    <m:sty m:val="p"/>
                  </m:rPr>
                  <m:t>)</m:t>
                </m:r>
              </m:e>
              <m:sup>
                <m:box>
                  <m:e>
                    <m:r>
                      <m:rPr>
                        <m:sty m:val="i"/>
                      </m:rPr>
                      <m:t>k</m:t>
                    </m:r>
                  </m:e>
                </m:box>
              </m:sup>
            </m:sSup>
          </m:e>
        </m:box>
      </m:oMath>
      <w:r>
        <w:rPr>
          <w:rFonts w:ascii="Times New Roman" w:hAnsi="Times New Roman" w:eastAsia="宋体"/>
          <w:b w:val="0"/>
          <w:sz w:val="24"/>
        </w:rPr>
        <w:tab/>
        <w:t>(4-44)</w:t>
      </w:r>
    </w:p>
    <w:p>
      <w:pPr>
        <w:spacing w:before="0" w:after="0" w:line="360" w:lineRule="auto"/>
        <w:ind w:firstLineChars="200" w:firstLine="480"/>
      </w:pPr>
      <w:r>
        <w:rPr>
          <w:rFonts w:ascii="Times New Roman" w:hAnsi="Times New Roman" w:eastAsia="宋体"/>
          <w:b/>
          <w:sz w:val="24"/>
        </w:rPr>
        <w:t>命题4-7（市场一体化的创新激励效应）</w:t>
      </w:r>
      <w:r>
        <w:rPr>
          <w:rFonts w:ascii="Times New Roman" w:hAnsi="Times New Roman" w:eastAsia="宋体"/>
          <w:b w:val="0"/>
          <w:sz w:val="24"/>
        </w:rPr>
        <w:t xml:space="preserve">　（i）创新门槛随分割程度上升而上升：</w:t>
      </w:r>
      <m:oMath>
        <m:box>
          <m:e>
            <m:r>
              <m:rPr>
                <m:sty m:val="i"/>
              </m:rPr>
              <m:t>d</m:t>
            </m:r>
            <m:r>
              <m:rPr>
                <m:sty m:val="p"/>
              </m:rPr>
              <m:t>ln</m:t>
            </m:r>
            <m:sSub>
              <m:e>
                <m:r>
                  <m:rPr>
                    <m:sty m:val="i"/>
                  </m:rPr>
                  <m:t>φ</m:t>
                </m:r>
              </m:e>
              <m:sub>
                <m:r>
                  <m:rPr>
                    <m:sty m:val="i"/>
                  </m:rPr>
                  <m:t>R</m:t>
                </m:r>
              </m:sub>
            </m:sSub>
            <m:r>
              <m:rPr>
                <m:sty m:val="p"/>
              </m:rPr>
              <m:t>/</m:t>
            </m:r>
            <m:r>
              <m:rPr>
                <m:sty m:val="i"/>
              </m:rPr>
              <m:t>d</m:t>
            </m:r>
            <m:r>
              <m:rPr>
                <m:sty m:val="p"/>
              </m:rPr>
              <m:t>ln</m:t>
            </m:r>
            <m:r>
              <m:rPr>
                <m:sty m:val="i"/>
              </m:rPr>
              <m:t>τ</m:t>
            </m:r>
            <m:r>
              <m:rPr>
                <m:sty m:val="p"/>
              </m:rPr>
              <m:t>=</m:t>
            </m:r>
            <m:sSup>
              <m:e>
                <m:r>
                  <m:rPr>
                    <m:sty m:val="i"/>
                  </m:rPr>
                  <m:t>τ</m:t>
                </m:r>
              </m:e>
              <m:sup>
                <m:box>
                  <m:e>
                    <m:r>
                      <m:rPr>
                        <m:sty m:val="p"/>
                      </m:rPr>
                      <m:t>1</m:t>
                    </m:r>
                    <m:r>
                      <m:rPr>
                        <m:sty m:val="p"/>
                      </m:rPr>
                      <m:t>−</m:t>
                    </m:r>
                    <m:r>
                      <m:rPr>
                        <m:sty m:val="i"/>
                      </m:rPr>
                      <m:t>σ</m:t>
                    </m:r>
                  </m:e>
                </m:box>
              </m:sup>
            </m:sSup>
            <m:r>
              <m:rPr>
                <m:sty m:val="p"/>
              </m:rPr>
              <m:t>/</m:t>
            </m:r>
            <m:r>
              <m:rPr>
                <m:sty m:val="p"/>
              </m:rPr>
              <m:t>(</m:t>
            </m:r>
            <m:r>
              <m:rPr>
                <m:sty m:val="p"/>
              </m:rPr>
              <m:t>1</m:t>
            </m:r>
            <m:r>
              <m:rPr>
                <m:sty m:val="p"/>
              </m:rPr>
              <m:t>+</m:t>
            </m:r>
            <m:sSup>
              <m:e>
                <m:r>
                  <m:rPr>
                    <m:sty m:val="i"/>
                  </m:rPr>
                  <m:t>τ</m:t>
                </m:r>
              </m:e>
              <m:sup>
                <m:box>
                  <m:e>
                    <m:r>
                      <m:rPr>
                        <m:sty m:val="p"/>
                      </m:rPr>
                      <m:t>1</m:t>
                    </m:r>
                    <m:r>
                      <m:rPr>
                        <m:sty m:val="p"/>
                      </m:rPr>
                      <m:t>−</m:t>
                    </m:r>
                    <m:r>
                      <m:rPr>
                        <m:sty m:val="i"/>
                      </m:rPr>
                      <m:t>σ</m:t>
                    </m:r>
                  </m:e>
                </m:box>
              </m:sup>
            </m:sSup>
            <m:r>
              <m:rPr>
                <m:sty m:val="p"/>
              </m:rPr>
              <m:t>)</m:t>
            </m:r>
            <m:r>
              <m:rPr>
                <m:sty m:val="p"/>
              </m:rPr>
              <m:t>&gt;</m:t>
            </m:r>
            <m:r>
              <m:rPr>
                <m:sty m:val="p"/>
              </m:rPr>
              <m:t>0</m:t>
            </m:r>
          </m:e>
        </m:box>
      </m:oMath>
      <w:r>
        <w:rPr>
          <w:rFonts w:ascii="Times New Roman" w:hAnsi="Times New Roman" w:eastAsia="宋体"/>
          <w:b w:val="0"/>
          <w:sz w:val="24"/>
        </w:rPr>
        <w:t>；（ii）一体化从两端同时扩大创新企业集合：</w:t>
      </w:r>
      <m:oMath>
        <m:box>
          <m:e>
            <m:r>
              <m:rPr>
                <m:sty m:val="i"/>
              </m:rPr>
              <m:t>τ</m:t>
            </m:r>
          </m:e>
        </m:box>
      </m:oMath>
      <w:r>
        <w:rPr>
          <w:rFonts w:ascii="Times New Roman" w:hAnsi="Times New Roman" w:eastAsia="宋体"/>
          <w:b w:val="0"/>
          <w:sz w:val="24"/>
        </w:rPr>
        <w:t>下降既抬高生存门槛</w:t>
      </w:r>
      <m:oMath>
        <m:box>
          <m:e>
            <m:sSup>
              <m:e>
                <m:r>
                  <m:rPr>
                    <m:sty m:val="i"/>
                  </m:rPr>
                  <m:t>φ</m:t>
                </m:r>
              </m:e>
              <m:sup>
                <m:r>
                  <m:rPr>
                    <m:sty m:val="p"/>
                  </m:rPr>
                  <m:t>*</m:t>
                </m:r>
              </m:sup>
            </m:sSup>
          </m:e>
        </m:box>
      </m:oMath>
      <w:r>
        <w:rPr>
          <w:rFonts w:ascii="Times New Roman" w:hAnsi="Times New Roman" w:eastAsia="宋体"/>
          <w:b w:val="0"/>
          <w:sz w:val="24"/>
        </w:rPr>
        <w:t>（分母效应）又压低创新门槛</w:t>
      </w:r>
      <m:oMath>
        <m:box>
          <m:e>
            <m:sSub>
              <m:e>
                <m:r>
                  <m:rPr>
                    <m:sty m:val="i"/>
                  </m:rPr>
                  <m:t>φ</m:t>
                </m:r>
              </m:e>
              <m:sub>
                <m:r>
                  <m:rPr>
                    <m:sty m:val="i"/>
                  </m:rPr>
                  <m:t>R</m:t>
                </m:r>
              </m:sub>
            </m:sSub>
          </m:e>
        </m:box>
      </m:oMath>
      <w:r>
        <w:rPr>
          <w:rFonts w:ascii="Times New Roman" w:hAnsi="Times New Roman" w:eastAsia="宋体"/>
          <w:b w:val="0"/>
          <w:sz w:val="24"/>
        </w:rPr>
        <w:t>，故</w:t>
      </w:r>
      <m:oMath>
        <m:box>
          <m:e>
            <m:r>
              <m:rPr>
                <m:sty m:val="i"/>
              </m:rPr>
              <m:t>d</m:t>
            </m:r>
            <m:r>
              <m:rPr>
                <m:sty m:val="p"/>
              </m:rPr>
              <m:t>ln</m:t>
            </m:r>
            <m:sSub>
              <m:e>
                <m:r>
                  <m:rPr>
                    <m:sty m:val="i"/>
                  </m:rPr>
                  <m:t>χ</m:t>
                </m:r>
              </m:e>
              <m:sub>
                <m:r>
                  <m:rPr>
                    <m:sty m:val="i"/>
                  </m:rPr>
                  <m:t>R</m:t>
                </m:r>
              </m:sub>
            </m:sSub>
            <m:r>
              <m:rPr>
                <m:sty m:val="p"/>
              </m:rPr>
              <m:t>/</m:t>
            </m:r>
            <m:r>
              <m:rPr>
                <m:sty m:val="i"/>
              </m:rPr>
              <m:t>d</m:t>
            </m:r>
            <m:r>
              <m:rPr>
                <m:sty m:val="p"/>
              </m:rPr>
              <m:t>ln</m:t>
            </m:r>
            <m:r>
              <m:rPr>
                <m:sty m:val="i"/>
              </m:rPr>
              <m:t>τ</m:t>
            </m:r>
            <m:r>
              <m:rPr>
                <m:sty m:val="p"/>
              </m:rPr>
              <m:t>=</m:t>
            </m:r>
            <m:r>
              <m:rPr>
                <m:sty m:val="i"/>
              </m:rPr>
              <m:t>k</m:t>
            </m:r>
            <m:r>
              <m:rPr>
                <m:sty m:val="p"/>
              </m:rPr>
              <m:t>[</m:t>
            </m:r>
            <m:r>
              <m:rPr>
                <m:sty m:val="p"/>
              </m:rPr>
              <m:t>−</m:t>
            </m:r>
            <m:r>
              <m:rPr>
                <m:sty m:val="i"/>
              </m:rPr>
              <m:t>ρ</m:t>
            </m:r>
            <m:r>
              <m:rPr>
                <m:sty m:val="p"/>
              </m:rPr>
              <m:t>/</m:t>
            </m:r>
            <m:r>
              <m:rPr>
                <m:sty m:val="p"/>
              </m:rPr>
              <m:t>(</m:t>
            </m:r>
            <m:r>
              <m:rPr>
                <m:sty m:val="i"/>
              </m:rPr>
              <m:t>f</m:t>
            </m:r>
            <m:r>
              <m:rPr>
                <m:sty m:val="p"/>
              </m:rPr>
              <m:t>+</m:t>
            </m:r>
            <m:r>
              <m:rPr>
                <m:sty m:val="i"/>
              </m:rPr>
              <m:t>ρ</m:t>
            </m:r>
            <m:r>
              <m:rPr>
                <m:sty m:val="p"/>
              </m:rPr>
              <m:t>)</m:t>
            </m:r>
            <m:r>
              <m:rPr>
                <m:sty m:val="p"/>
              </m:rPr>
              <m:t>−</m:t>
            </m:r>
            <m:sSup>
              <m:e>
                <m:r>
                  <m:rPr>
                    <m:sty m:val="i"/>
                  </m:rPr>
                  <m:t>τ</m:t>
                </m:r>
              </m:e>
              <m:sup>
                <m:box>
                  <m:e>
                    <m:r>
                      <m:rPr>
                        <m:sty m:val="p"/>
                      </m:rPr>
                      <m:t>1</m:t>
                    </m:r>
                    <m:r>
                      <m:rPr>
                        <m:sty m:val="p"/>
                      </m:rPr>
                      <m:t>−</m:t>
                    </m:r>
                    <m:r>
                      <m:rPr>
                        <m:sty m:val="i"/>
                      </m:rPr>
                      <m:t>σ</m:t>
                    </m:r>
                  </m:e>
                </m:box>
              </m:sup>
            </m:sSup>
            <m:r>
              <m:rPr>
                <m:sty m:val="p"/>
              </m:rPr>
              <m:t>/</m:t>
            </m:r>
            <m:r>
              <m:rPr>
                <m:sty m:val="p"/>
              </m:rPr>
              <m:t>(</m:t>
            </m:r>
            <m:r>
              <m:rPr>
                <m:sty m:val="p"/>
              </m:rPr>
              <m:t>1</m:t>
            </m:r>
            <m:r>
              <m:rPr>
                <m:sty m:val="p"/>
              </m:rPr>
              <m:t>+</m:t>
            </m:r>
            <m:sSup>
              <m:e>
                <m:r>
                  <m:rPr>
                    <m:sty m:val="i"/>
                  </m:rPr>
                  <m:t>τ</m:t>
                </m:r>
              </m:e>
              <m:sup>
                <m:box>
                  <m:e>
                    <m:r>
                      <m:rPr>
                        <m:sty m:val="p"/>
                      </m:rPr>
                      <m:t>1</m:t>
                    </m:r>
                    <m:r>
                      <m:rPr>
                        <m:sty m:val="p"/>
                      </m:rPr>
                      <m:t>−</m:t>
                    </m:r>
                    <m:r>
                      <m:rPr>
                        <m:sty m:val="i"/>
                      </m:rPr>
                      <m:t>σ</m:t>
                    </m:r>
                  </m:e>
                </m:box>
              </m:sup>
            </m:sSup>
            <m:r>
              <m:rPr>
                <m:sty m:val="p"/>
              </m:rPr>
              <m:t>)</m:t>
            </m:r>
            <m:r>
              <m:rPr>
                <m:sty m:val="p"/>
              </m:rPr>
              <m:t>]</m:t>
            </m:r>
            <m:r>
              <m:rPr>
                <m:sty m:val="p"/>
              </m:rPr>
              <m:t>&lt;</m:t>
            </m:r>
            <m:r>
              <m:rPr>
                <m:sty m:val="p"/>
              </m:rPr>
              <m:t>0</m:t>
            </m:r>
          </m:e>
        </m:box>
      </m:oMath>
      <w:r>
        <w:rPr>
          <w:rFonts w:ascii="Times New Roman" w:hAnsi="Times New Roman" w:eastAsia="宋体"/>
          <w:b w:val="0"/>
          <w:sz w:val="24"/>
        </w:rPr>
        <w:t>，创新企业占比随一体化单调上升；（iii）退出庇护通过双重渠道挤出创新：庇护使低效企业滞留，压低价格指数与需求位移项（</w:t>
      </w:r>
      <m:oMath>
        <m:box>
          <m:e>
            <m:r>
              <m:rPr>
                <m:sty m:val="i"/>
              </m:rPr>
              <m:t>B</m:t>
            </m:r>
          </m:e>
        </m:box>
      </m:oMath>
      <w:r>
        <w:rPr>
          <w:rFonts w:ascii="Times New Roman" w:hAnsi="Times New Roman" w:eastAsia="宋体"/>
          <w:b w:val="0"/>
          <w:sz w:val="24"/>
        </w:rPr>
        <w:t>随之下降），既直接抬高</w:t>
      </w:r>
      <m:oMath>
        <m:box>
          <m:e>
            <m:sSub>
              <m:e>
                <m:r>
                  <m:rPr>
                    <m:sty m:val="i"/>
                  </m:rPr>
                  <m:t>φ</m:t>
                </m:r>
              </m:e>
              <m:sub>
                <m:r>
                  <m:rPr>
                    <m:sty m:val="i"/>
                  </m:rPr>
                  <m:t>R</m:t>
                </m:r>
              </m:sub>
            </m:sSub>
          </m:e>
        </m:box>
      </m:oMath>
      <w:r>
        <w:rPr>
          <w:rFonts w:ascii="Times New Roman" w:hAnsi="Times New Roman" w:eastAsia="宋体"/>
          <w:b w:val="0"/>
          <w:sz w:val="24"/>
        </w:rPr>
        <w:t>，又侵蚀在位创新企业的准租金。</w:t>
      </w:r>
    </w:p>
    <w:p>
      <w:pPr>
        <w:spacing w:before="0" w:after="0" w:line="360" w:lineRule="auto"/>
        <w:ind w:firstLineChars="200" w:firstLine="480"/>
      </w:pPr>
      <w:r>
        <w:rPr>
          <w:rFonts w:ascii="Times New Roman" w:hAnsi="Times New Roman" w:eastAsia="宋体"/>
          <w:b w:val="0"/>
          <w:sz w:val="24"/>
        </w:rPr>
        <w:t>证明思路：(i)对式(4-43)取对数、利用</w:t>
      </w:r>
      <m:oMath>
        <m:box>
          <m:e>
            <m:r>
              <m:rPr>
                <m:sty m:val="i"/>
              </m:rPr>
              <m:t>d</m:t>
            </m:r>
            <m:r>
              <m:rPr>
                <m:sty m:val="p"/>
              </m:rPr>
              <m:t>ln</m:t>
            </m:r>
            <m:r>
              <m:rPr>
                <m:sty m:val="i"/>
              </m:rPr>
              <m:t>M</m:t>
            </m:r>
            <m:r>
              <m:rPr>
                <m:sty m:val="p"/>
              </m:rPr>
              <m:t>/</m:t>
            </m:r>
            <m:r>
              <m:rPr>
                <m:sty m:val="i"/>
              </m:rPr>
              <m:t>d</m:t>
            </m:r>
            <m:r>
              <m:rPr>
                <m:sty m:val="p"/>
              </m:rPr>
              <m:t>ln</m:t>
            </m:r>
            <m:r>
              <m:rPr>
                <m:sty m:val="i"/>
              </m:rPr>
              <m:t>τ</m:t>
            </m:r>
            <m:r>
              <m:rPr>
                <m:sty m:val="p"/>
              </m:rPr>
              <m:t>=</m:t>
            </m:r>
            <m:r>
              <m:rPr>
                <m:sty m:val="p"/>
              </m:rPr>
              <m:t>(</m:t>
            </m:r>
            <m:r>
              <m:rPr>
                <m:sty m:val="p"/>
              </m:rPr>
              <m:t>1</m:t>
            </m:r>
            <m:r>
              <m:rPr>
                <m:sty m:val="p"/>
              </m:rPr>
              <m:t>−</m:t>
            </m:r>
            <m:r>
              <m:rPr>
                <m:sty m:val="i"/>
              </m:rPr>
              <m:t>σ</m:t>
            </m:r>
            <m:r>
              <m:rPr>
                <m:sty m:val="p"/>
              </m:rPr>
              <m:t>)</m:t>
            </m:r>
            <m:sSup>
              <m:e>
                <m:r>
                  <m:rPr>
                    <m:sty m:val="i"/>
                  </m:rPr>
                  <m:t>τ</m:t>
                </m:r>
              </m:e>
              <m:sup>
                <m:box>
                  <m:e>
                    <m:r>
                      <m:rPr>
                        <m:sty m:val="p"/>
                      </m:rPr>
                      <m:t>1</m:t>
                    </m:r>
                    <m:r>
                      <m:rPr>
                        <m:sty m:val="p"/>
                      </m:rPr>
                      <m:t>−</m:t>
                    </m:r>
                    <m:r>
                      <m:rPr>
                        <m:sty m:val="i"/>
                      </m:rPr>
                      <m:t>σ</m:t>
                    </m:r>
                  </m:e>
                </m:box>
              </m:sup>
            </m:sSup>
            <m:r>
              <m:rPr>
                <m:sty m:val="p"/>
              </m:rPr>
              <m:t>/</m:t>
            </m:r>
            <m:r>
              <m:rPr>
                <m:sty m:val="p"/>
              </m:rPr>
              <m:t>(</m:t>
            </m:r>
            <m:r>
              <m:rPr>
                <m:sty m:val="p"/>
              </m:rPr>
              <m:t>1</m:t>
            </m:r>
            <m:r>
              <m:rPr>
                <m:sty m:val="p"/>
              </m:rPr>
              <m:t>+</m:t>
            </m:r>
            <m:sSup>
              <m:e>
                <m:r>
                  <m:rPr>
                    <m:sty m:val="i"/>
                  </m:rPr>
                  <m:t>τ</m:t>
                </m:r>
              </m:e>
              <m:sup>
                <m:box>
                  <m:e>
                    <m:r>
                      <m:rPr>
                        <m:sty m:val="p"/>
                      </m:rPr>
                      <m:t>1</m:t>
                    </m:r>
                    <m:r>
                      <m:rPr>
                        <m:sty m:val="p"/>
                      </m:rPr>
                      <m:t>−</m:t>
                    </m:r>
                    <m:r>
                      <m:rPr>
                        <m:sty m:val="i"/>
                      </m:rPr>
                      <m:t>σ</m:t>
                    </m:r>
                  </m:e>
                </m:box>
              </m:sup>
            </m:sSup>
            <m:r>
              <m:rPr>
                <m:sty m:val="p"/>
              </m:rPr>
              <m:t>)</m:t>
            </m:r>
          </m:e>
        </m:box>
      </m:oMath>
      <w:r>
        <w:rPr>
          <w:rFonts w:ascii="Times New Roman" w:hAnsi="Times New Roman" w:eastAsia="宋体"/>
          <w:b w:val="0"/>
          <w:sz w:val="24"/>
        </w:rPr>
        <w:t>；(ii)将式(4-39)与(i)代入</w:t>
      </w:r>
      <m:oMath>
        <m:box>
          <m:e>
            <m:sSub>
              <m:e>
                <m:r>
                  <m:rPr>
                    <m:sty m:val="i"/>
                  </m:rPr>
                  <m:t>χ</m:t>
                </m:r>
              </m:e>
              <m:sub>
                <m:r>
                  <m:rPr>
                    <m:sty m:val="i"/>
                  </m:rPr>
                  <m:t>R</m:t>
                </m:r>
              </m:sub>
            </m:sSub>
          </m:e>
        </m:box>
      </m:oMath>
      <w:r>
        <w:rPr>
          <w:rFonts w:ascii="Times New Roman" w:hAnsi="Times New Roman" w:eastAsia="宋体"/>
          <w:b w:val="0"/>
          <w:sz w:val="24"/>
        </w:rPr>
        <w:t>的对数导数；(iii)由</w:t>
      </w:r>
      <m:oMath>
        <m:box>
          <m:e>
            <m:r>
              <m:rPr>
                <m:sty m:val="p"/>
              </m:rPr>
              <m:t>∂</m:t>
            </m:r>
            <m:sSub>
              <m:e>
                <m:r>
                  <m:rPr>
                    <m:sty m:val="i"/>
                  </m:rPr>
                  <m:t>φ</m:t>
                </m:r>
              </m:e>
              <m:sub>
                <m:r>
                  <m:rPr>
                    <m:sty m:val="i"/>
                  </m:rPr>
                  <m:t>R</m:t>
                </m:r>
              </m:sub>
            </m:sSub>
            <m:r>
              <m:rPr>
                <m:sty m:val="p"/>
              </m:rPr>
              <m:t>/</m:t>
            </m:r>
            <m:r>
              <m:rPr>
                <m:sty m:val="p"/>
              </m:rPr>
              <m:t>∂</m:t>
            </m:r>
            <m:r>
              <m:rPr>
                <m:sty m:val="i"/>
              </m:rPr>
              <m:t>B</m:t>
            </m:r>
            <m:r>
              <m:rPr>
                <m:sty m:val="p"/>
              </m:rPr>
              <m:t>&lt;</m:t>
            </m:r>
            <m:r>
              <m:rPr>
                <m:sty m:val="p"/>
              </m:rPr>
              <m:t>0</m:t>
            </m:r>
          </m:e>
        </m:box>
      </m:oMath>
      <w:r>
        <w:rPr>
          <w:rFonts w:ascii="Times New Roman" w:hAnsi="Times New Roman" w:eastAsia="宋体"/>
          <w:b w:val="0"/>
          <w:sz w:val="24"/>
        </w:rPr>
        <w:t>及</w:t>
      </w:r>
      <m:oMath>
        <m:box>
          <m:e>
            <m:r>
              <m:rPr>
                <m:sty m:val="i"/>
              </m:rPr>
              <m:t>B</m:t>
            </m:r>
          </m:e>
        </m:box>
      </m:oMath>
      <w:r>
        <w:rPr>
          <w:rFonts w:ascii="Times New Roman" w:hAnsi="Times New Roman" w:eastAsia="宋体"/>
          <w:b w:val="0"/>
          <w:sz w:val="24"/>
        </w:rPr>
        <w:t>随存续企业测度增加而下降的一般均衡性质即得。证毕。</w:t>
      </w:r>
    </w:p>
    <w:p>
      <w:pPr>
        <w:spacing w:before="0" w:after="0" w:line="360" w:lineRule="auto"/>
        <w:ind w:firstLineChars="200" w:firstLine="480"/>
      </w:pPr>
      <w:r>
        <w:rPr>
          <w:rFonts w:ascii="Times New Roman" w:hAnsi="Times New Roman" w:eastAsia="宋体"/>
          <w:b w:val="0"/>
          <w:sz w:val="24"/>
        </w:rPr>
        <w:t>命题4-7与竞争—创新关系的“倒U型”理论（Aghion等，2005）形成了有分工的对话。倒U理论指出，竞争强度对创新的影响先升后降：适度竞争激发“逃离竞争”的创新动机，过度竞争则侵蚀创新准租、抑制研发投入。本模型据此区分两种性质截然不同的“竞争加剧”：统一大市场带来的竞争加剧伴随选择效应，低效企业退出、存活者规模与利润率改善，行业整体位于倒U的上升段——竞争越充分、创新越活跃；而“内卷式”竞争的加剧则相反，补贴与庇护使本应退出的企业滞留，价格被压向成本线以下，全行业准租金枯竭，创新回报无从谈起，行业滑入倒U的下降段。换言之，问题从来不是“竞争太多”，而是“竞争的选择功能失灵”。这一区分对政策具有直接含义：“反内卷”不是限制竞争，而是恢复竞争的优胜劣汰功能；创新激励的修复不靠保护在位者的租金，而靠统一市场对创新回报的规模化放大（式(4-42)中的</w:t>
      </w:r>
      <m:oMath>
        <m:box>
          <m:e>
            <m:r>
              <m:rPr>
                <m:sty m:val="i"/>
              </m:rPr>
              <m:t>M</m:t>
            </m:r>
            <m:r>
              <m:rPr>
                <m:sty m:val="p"/>
              </m:rPr>
              <m:t>(</m:t>
            </m:r>
            <m:r>
              <m:rPr>
                <m:sty m:val="i"/>
              </m:rPr>
              <m:t>τ</m:t>
            </m:r>
            <m:r>
              <m:rPr>
                <m:sty m:val="p"/>
              </m:rPr>
              <m:t>)</m:t>
            </m:r>
          </m:e>
        </m:box>
      </m:oMath>
      <w:r>
        <w:rPr>
          <w:rFonts w:ascii="Times New Roman" w:hAnsi="Times New Roman" w:eastAsia="宋体"/>
          <w:b w:val="0"/>
          <w:sz w:val="24"/>
        </w:rPr>
        <w:t>）。以中国场景校准，若区际分割使有效市场可达规模减少三成，则在</w:t>
      </w:r>
      <m:oMath>
        <m:box>
          <m:e>
            <m:r>
              <m:rPr>
                <m:sty m:val="i"/>
              </m:rPr>
              <m:t>σ</m:t>
            </m:r>
            <m:r>
              <m:rPr>
                <m:sty m:val="p"/>
              </m:rPr>
              <m:t>=</m:t>
            </m:r>
            <m:r>
              <m:rPr>
                <m:sty m:val="p"/>
              </m:rPr>
              <m:t>4</m:t>
            </m:r>
          </m:e>
        </m:box>
      </m:oMath>
      <w:r>
        <w:rPr>
          <w:rFonts w:ascii="Times New Roman" w:hAnsi="Times New Roman" w:eastAsia="宋体"/>
          <w:b w:val="0"/>
          <w:sz w:val="24"/>
        </w:rPr>
        <w:t>、</w:t>
      </w:r>
      <m:oMath>
        <m:box>
          <m:e>
            <m:r>
              <m:rPr>
                <m:sty m:val="i"/>
              </m:rPr>
              <m:t>k</m:t>
            </m:r>
            <m:r>
              <m:rPr>
                <m:sty m:val="p"/>
              </m:rPr>
              <m:t>=</m:t>
            </m:r>
            <m:r>
              <m:rPr>
                <m:sty m:val="p"/>
              </m:rPr>
              <m:t>4.5</m:t>
            </m:r>
          </m:e>
        </m:box>
      </m:oMath>
      <w:r>
        <w:rPr>
          <w:rFonts w:ascii="Times New Roman" w:hAnsi="Times New Roman" w:eastAsia="宋体"/>
          <w:b w:val="0"/>
          <w:sz w:val="24"/>
        </w:rPr>
        <w:t>的常用参数下，创新企业占比的降幅将超过分割对企业数量影响的两倍以上——市场分割对创新的抑制远比对产出的抑制更为陡峭。概括本节：扩展模型Ⅱ证明了一体化经由选择效应提升加总生产率（命题4-6）、经由回报规模化与门槛下移激发创新（命题4-7），二者共同构成假说H5的理论基础，且退出摩擦在两个命题中都扮演了“红利折扣因子”的角色。</w:t>
      </w:r>
    </w:p>
    <w:p>
      <w:pPr>
        <w:spacing w:before="200" w:after="160" w:line="360" w:lineRule="auto"/>
        <w:outlineLvl w:val="1"/>
      </w:pPr>
      <w:r>
        <w:rPr>
          <w:rFonts w:ascii="Times New Roman" w:hAnsi="Times New Roman" w:eastAsia="黑体"/>
          <w:b w:val="0"/>
          <w:sz w:val="28"/>
        </w:rPr>
        <w:t>（四）福利分析：“统一红利”的分解</w:t>
      </w:r>
    </w:p>
    <w:p>
      <w:pPr>
        <w:spacing w:before="160" w:after="120" w:line="360" w:lineRule="auto"/>
        <w:outlineLvl w:val="2"/>
      </w:pPr>
      <w:r>
        <w:rPr>
          <w:rFonts w:ascii="Times New Roman" w:hAnsi="Times New Roman" w:eastAsia="黑体"/>
          <w:b w:val="0"/>
          <w:sz w:val="24"/>
        </w:rPr>
        <w:t>1．福利函数与统一红利的定义</w:t>
      </w:r>
    </w:p>
    <w:p>
      <w:pPr>
        <w:spacing w:before="0" w:after="0" w:line="360" w:lineRule="auto"/>
        <w:ind w:firstLineChars="200" w:firstLine="480"/>
      </w:pPr>
      <w:r>
        <w:rPr>
          <w:rFonts w:ascii="Times New Roman" w:hAnsi="Times New Roman" w:eastAsia="宋体"/>
          <w:b w:val="0"/>
          <w:sz w:val="24"/>
        </w:rPr>
        <w:t>前三节分别刻画了分割经济的三重代价：补贴扭曲（基准模型）、企业冗余与规模不经济（扩展模型Ⅰ）、选择与创新功能受抑（扩展模型Ⅱ）。本节将三者纳入统一的福利核算框架，对本书第三章式(3-2)所定义的“统一市场红利”作数理分解。定义经济的流量社会福利为消费者剩余、企业真实利润（剔除补贴转移）与政府净收入之和：</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W</m:t>
            </m:r>
            <m:r>
              <m:rPr>
                <m:sty m:val="p"/>
              </m:rPr>
              <m:t>(</m:t>
            </m:r>
            <m:r>
              <m:rPr>
                <m:sty m:val="i"/>
              </m:rPr>
              <m:t>τ</m:t>
            </m:r>
            <m:r>
              <m:rPr>
                <m:sty m:val="p"/>
              </m:rPr>
              <m:t>,</m:t>
            </m:r>
            <m:r>
              <m:rPr>
                <m:sty m:val="i"/>
              </m:rPr>
              <m:t>N</m:t>
            </m:r>
            <m:r>
              <m:rPr>
                <m:sty m:val="i"/>
              </m:rPr>
              <m:t>;</m:t>
            </m:r>
            <m:r>
              <m:rPr>
                <m:sty m:val="i"/>
              </m:rPr>
              <m:t>s</m:t>
            </m:r>
            <m:r>
              <m:rPr>
                <m:sty m:val="p"/>
              </m:rPr>
              <m:t>,</m:t>
            </m:r>
            <m:r>
              <m:rPr>
                <m:sty m:val="i"/>
              </m:rPr>
              <m:t>δ</m:t>
            </m:r>
            <m:r>
              <m:rPr>
                <m:sty m:val="p"/>
              </m:rPr>
              <m:t>)</m:t>
            </m:r>
            <m:r>
              <m:rPr>
                <m:sty m:val="p"/>
              </m:rPr>
              <m:t>=</m:t>
            </m:r>
            <m:nary>
              <m:naryPr>
                <m:chr m:val="∑"/>
                <m:limLoc m:val="undOvr"/>
              </m:naryPr>
              <m:sub>
                <m:r>
                  <m:rPr>
                    <m:sty m:val="i"/>
                  </m:rPr>
                  <m:t>i</m:t>
                </m:r>
              </m:sub>
              <m:sup/>
              <m:e>
                <m:r>
                  <m:rPr>
                    <m:sty m:val="i"/>
                  </m:rPr>
                  <m:t>C</m:t>
                </m:r>
                <m:sSub>
                  <m:e>
                    <m:r>
                      <m:rPr>
                        <m:sty m:val="i"/>
                      </m:rPr>
                      <m:t>S</m:t>
                    </m:r>
                  </m:e>
                  <m:sub>
                    <m:r>
                      <m:rPr>
                        <m:sty m:val="i"/>
                      </m:rPr>
                      <m:t>i</m:t>
                    </m:r>
                  </m:sub>
                </m:sSub>
                <m:r>
                  <m:rPr>
                    <m:sty m:val="p"/>
                  </m:rPr>
                  <m:t>+</m:t>
                </m:r>
                <m:nary>
                  <m:naryPr>
                    <m:chr m:val="∑"/>
                    <m:limLoc m:val="undOvr"/>
                  </m:naryPr>
                  <m:sub>
                    <m:r>
                      <m:rPr>
                        <m:sty m:val="i"/>
                      </m:rPr>
                      <m:t>i</m:t>
                    </m:r>
                  </m:sub>
                  <m:sup/>
                  <m:e>
                    <m:r>
                      <m:rPr>
                        <m:sty m:val="p"/>
                      </m:rPr>
                      <m:t>(</m:t>
                    </m:r>
                    <m:sSub>
                      <m:e>
                        <m:r>
                          <m:rPr>
                            <m:sty m:val="i"/>
                          </m:rPr>
                          <m:t>π</m:t>
                        </m:r>
                      </m:e>
                      <m:sub>
                        <m:r>
                          <m:rPr>
                            <m:sty m:val="i"/>
                          </m:rPr>
                          <m:t>i</m:t>
                        </m:r>
                      </m:sub>
                    </m:sSub>
                    <m:r>
                      <m:rPr>
                        <m:sty m:val="p"/>
                      </m:rPr>
                      <m:t>−</m:t>
                    </m:r>
                    <m:sSub>
                      <m:e>
                        <m:r>
                          <m:rPr>
                            <m:sty m:val="i"/>
                          </m:rPr>
                          <m:t>s</m:t>
                        </m:r>
                      </m:e>
                      <m:sub>
                        <m:r>
                          <m:rPr>
                            <m:sty m:val="i"/>
                          </m:rPr>
                          <m:t>i</m:t>
                        </m:r>
                      </m:sub>
                    </m:sSub>
                    <m:sSub>
                      <m:e>
                        <m:r>
                          <m:rPr>
                            <m:sty m:val="i"/>
                          </m:rPr>
                          <m:t>X</m:t>
                        </m:r>
                      </m:e>
                      <m:sub>
                        <m:r>
                          <m:rPr>
                            <m:sty m:val="i"/>
                          </m:rPr>
                          <m:t>i</m:t>
                        </m:r>
                      </m:sub>
                    </m:sSub>
                    <m:r>
                      <m:rPr>
                        <m:sty m:val="p"/>
                      </m:rPr>
                      <m:t>)</m:t>
                    </m:r>
                    <m:r>
                      <m:rPr>
                        <m:sty m:val="p"/>
                      </m:rPr>
                      <m:t>+</m:t>
                    </m:r>
                    <m:r>
                      <m:rPr>
                        <m:sty m:val="i"/>
                      </m:rPr>
                      <m:t>G</m:t>
                    </m:r>
                  </m:e>
                </m:nary>
              </m:e>
            </m:nary>
          </m:e>
        </m:box>
      </m:oMath>
      <w:r>
        <w:rPr>
          <w:rFonts w:ascii="Times New Roman" w:hAnsi="Times New Roman" w:eastAsia="宋体"/>
          <w:b w:val="0"/>
          <w:sz w:val="24"/>
        </w:rPr>
        <w:tab/>
        <w:t>(4-45)</w:t>
      </w:r>
    </w:p>
    <w:p>
      <w:pPr>
        <w:spacing w:before="0" w:after="0" w:line="360" w:lineRule="auto"/>
        <w:ind w:firstLineChars="200" w:firstLine="480"/>
      </w:pPr>
      <w:r>
        <w:rPr>
          <w:rFonts w:ascii="Times New Roman" w:hAnsi="Times New Roman" w:eastAsia="宋体"/>
          <w:b w:val="0"/>
          <w:sz w:val="24"/>
        </w:rPr>
        <w:t>其中</w:t>
      </w:r>
      <m:oMath>
        <m:box>
          <m:e>
            <m:r>
              <m:rPr>
                <m:sty m:val="i"/>
              </m:rPr>
              <m:t>G</m:t>
            </m:r>
          </m:e>
        </m:box>
      </m:oMath>
      <w:r>
        <w:rPr>
          <w:rFonts w:ascii="Times New Roman" w:hAnsi="Times New Roman" w:eastAsia="宋体"/>
          <w:b w:val="0"/>
          <w:sz w:val="24"/>
        </w:rPr>
        <w:t>为政府除补贴支出外的净收入项，补贴支出</w:t>
      </w:r>
      <m:oMath>
        <m:box>
          <m:e>
            <m:sSub>
              <m:e>
                <m:r>
                  <m:rPr>
                    <m:sty m:val="i"/>
                  </m:rPr>
                  <m:t>s</m:t>
                </m:r>
              </m:e>
              <m:sub>
                <m:r>
                  <m:rPr>
                    <m:sty m:val="i"/>
                  </m:rPr>
                  <m:t>i</m:t>
                </m:r>
              </m:sub>
            </m:sSub>
            <m:sSub>
              <m:e>
                <m:r>
                  <m:rPr>
                    <m:sty m:val="i"/>
                  </m:rPr>
                  <m:t>X</m:t>
                </m:r>
              </m:e>
              <m:sub>
                <m:r>
                  <m:rPr>
                    <m:sty m:val="i"/>
                  </m:rPr>
                  <m:t>i</m:t>
                </m:r>
              </m:sub>
            </m:sSub>
          </m:e>
        </m:box>
      </m:oMath>
      <w:r>
        <w:rPr>
          <w:rFonts w:ascii="Times New Roman" w:hAnsi="Times New Roman" w:eastAsia="宋体"/>
          <w:b w:val="0"/>
          <w:sz w:val="24"/>
        </w:rPr>
        <w:t>作为政府与企业之间的转移在加总中相互抵销，但补贴引致的产量、进入与退出扭曲通过前两项体现。设统一大市场建设使分割结构由</w:t>
      </w:r>
      <m:oMath>
        <m:box>
          <m:e>
            <m:r>
              <m:rPr>
                <m:sty m:val="p"/>
              </m:rPr>
              <m:t>(</m:t>
            </m:r>
            <m:sSub>
              <m:e>
                <m:r>
                  <m:rPr>
                    <m:sty m:val="i"/>
                  </m:rPr>
                  <m:t>τ</m:t>
                </m:r>
              </m:e>
              <m:sub>
                <m:r>
                  <m:rPr>
                    <m:sty m:val="p"/>
                  </m:rPr>
                  <m:t>0</m:t>
                </m:r>
              </m:sub>
            </m:sSub>
            <m:r>
              <m:rPr>
                <m:sty m:val="p"/>
              </m:rPr>
              <m:t>,</m:t>
            </m:r>
            <m:sSub>
              <m:e>
                <m:r>
                  <m:rPr>
                    <m:sty m:val="i"/>
                  </m:rPr>
                  <m:t>N</m:t>
                </m:r>
              </m:e>
              <m:sub>
                <m:r>
                  <m:rPr>
                    <m:sty m:val="p"/>
                  </m:rPr>
                  <m:t>0</m:t>
                </m:r>
              </m:sub>
            </m:sSub>
            <m:r>
              <m:rPr>
                <m:sty m:val="p"/>
              </m:rPr>
              <m:t>)</m:t>
            </m:r>
          </m:e>
        </m:box>
      </m:oMath>
      <w:r>
        <w:rPr>
          <w:rFonts w:ascii="Times New Roman" w:hAnsi="Times New Roman" w:eastAsia="宋体"/>
          <w:b w:val="0"/>
          <w:sz w:val="24"/>
        </w:rPr>
        <w:t>改善为</w:t>
      </w:r>
      <m:oMath>
        <m:box>
          <m:e>
            <m:r>
              <m:rPr>
                <m:sty m:val="p"/>
              </m:rPr>
              <m:t>(</m:t>
            </m:r>
            <m:sSub>
              <m:e>
                <m:r>
                  <m:rPr>
                    <m:sty m:val="i"/>
                  </m:rPr>
                  <m:t>τ</m:t>
                </m:r>
              </m:e>
              <m:sub>
                <m:r>
                  <m:rPr>
                    <m:sty m:val="p"/>
                  </m:rPr>
                  <m:t>1</m:t>
                </m:r>
              </m:sub>
            </m:sSub>
            <m:r>
              <m:rPr>
                <m:sty m:val="p"/>
              </m:rPr>
              <m:t>,</m:t>
            </m:r>
            <m:sSub>
              <m:e>
                <m:r>
                  <m:rPr>
                    <m:sty m:val="i"/>
                  </m:rPr>
                  <m:t>N</m:t>
                </m:r>
              </m:e>
              <m:sub>
                <m:r>
                  <m:rPr>
                    <m:sty m:val="p"/>
                  </m:rPr>
                  <m:t>1</m:t>
                </m:r>
              </m:sub>
            </m:sSub>
            <m:r>
              <m:rPr>
                <m:sty m:val="p"/>
              </m:rPr>
              <m:t>)</m:t>
            </m:r>
          </m:e>
        </m:box>
      </m:oMath>
      <w:r>
        <w:rPr>
          <w:rFonts w:ascii="Times New Roman" w:hAnsi="Times New Roman" w:eastAsia="宋体"/>
          <w:b w:val="0"/>
          <w:sz w:val="24"/>
        </w:rPr>
        <w:t>（</w:t>
      </w:r>
      <m:oMath>
        <m:box>
          <m:e>
            <m:sSub>
              <m:e>
                <m:r>
                  <m:rPr>
                    <m:sty m:val="i"/>
                  </m:rPr>
                  <m:t>τ</m:t>
                </m:r>
              </m:e>
              <m:sub>
                <m:r>
                  <m:rPr>
                    <m:sty m:val="p"/>
                  </m:rPr>
                  <m:t>1</m:t>
                </m:r>
              </m:sub>
            </m:sSub>
            <m:r>
              <m:rPr>
                <m:sty m:val="p"/>
              </m:rPr>
              <m:t>&lt;</m:t>
            </m:r>
            <m:sSub>
              <m:e>
                <m:r>
                  <m:rPr>
                    <m:sty m:val="i"/>
                  </m:rPr>
                  <m:t>τ</m:t>
                </m:r>
              </m:e>
              <m:sub>
                <m:r>
                  <m:rPr>
                    <m:sty m:val="p"/>
                  </m:rPr>
                  <m:t>0</m:t>
                </m:r>
              </m:sub>
            </m:sSub>
          </m:e>
        </m:box>
      </m:oMath>
      <w:r>
        <w:rPr>
          <w:rFonts w:ascii="Times New Roman" w:hAnsi="Times New Roman" w:eastAsia="宋体"/>
          <w:b w:val="0"/>
          <w:sz w:val="24"/>
        </w:rPr>
        <w:t>，</w:t>
      </w:r>
      <m:oMath>
        <m:box>
          <m:e>
            <m:sSub>
              <m:e>
                <m:r>
                  <m:rPr>
                    <m:sty m:val="i"/>
                  </m:rPr>
                  <m:t>N</m:t>
                </m:r>
              </m:e>
              <m:sub>
                <m:r>
                  <m:rPr>
                    <m:sty m:val="p"/>
                  </m:rPr>
                  <m:t>1</m:t>
                </m:r>
              </m:sub>
            </m:sSub>
            <m:r>
              <m:rPr>
                <m:sty m:val="p"/>
              </m:rPr>
              <m:t>&lt;</m:t>
            </m:r>
            <m:sSub>
              <m:e>
                <m:r>
                  <m:rPr>
                    <m:sty m:val="i"/>
                  </m:rPr>
                  <m:t>N</m:t>
                </m:r>
              </m:e>
              <m:sub>
                <m:r>
                  <m:rPr>
                    <m:sty m:val="p"/>
                  </m:rPr>
                  <m:t>0</m:t>
                </m:r>
              </m:sub>
            </m:sSub>
          </m:e>
        </m:box>
      </m:oMath>
      <w:r>
        <w:rPr>
          <w:rFonts w:ascii="Times New Roman" w:hAnsi="Times New Roman" w:eastAsia="宋体"/>
          <w:b w:val="0"/>
          <w:sz w:val="24"/>
        </w:rPr>
        <w:t>），并伴随补贴竞争收敛与退出机制修复。定义“统一红利”为改革带来的福利增量现值：增益部分是四个永续流量项，成本部分是一次性调整支出，即：</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D</m:t>
            </m:r>
            <m:r>
              <m:rPr>
                <m:sty m:val="p"/>
              </m:rPr>
              <m:t>=</m:t>
            </m:r>
            <m:f>
              <m:num>
                <m:box>
                  <m:e>
                    <m:r>
                      <m:rPr>
                        <m:sty m:val="p"/>
                      </m:rPr>
                      <m:t>1</m:t>
                    </m:r>
                  </m:e>
                </m:box>
              </m:num>
              <m:den>
                <m:box>
                  <m:e>
                    <m:r>
                      <m:rPr>
                        <m:sty m:val="i"/>
                      </m:rPr>
                      <m:t>r</m:t>
                    </m:r>
                  </m:e>
                </m:box>
              </m:den>
            </m:f>
            <m:r>
              <m:rPr>
                <m:sty m:val="p"/>
              </m:rPr>
              <m:t>(</m:t>
            </m:r>
            <m:sSub>
              <m:e>
                <m:r>
                  <m:rPr>
                    <m:sty m:val="i"/>
                  </m:rPr>
                  <m:t>Δ</m:t>
                </m:r>
              </m:e>
              <m:sub>
                <m:box>
                  <m:e>
                    <m:r>
                      <m:rPr>
                        <m:sty m:val="i"/>
                      </m:rPr>
                      <m:t>S</m:t>
                    </m:r>
                    <m:r>
                      <m:rPr>
                        <m:sty m:val="i"/>
                      </m:rPr>
                      <m:t>C</m:t>
                    </m:r>
                  </m:e>
                </m:box>
              </m:sub>
            </m:sSub>
            <m:r>
              <m:rPr>
                <m:sty m:val="p"/>
              </m:rPr>
              <m:t>+</m:t>
            </m:r>
            <m:sSub>
              <m:e>
                <m:r>
                  <m:rPr>
                    <m:sty m:val="i"/>
                  </m:rPr>
                  <m:t>Δ</m:t>
                </m:r>
              </m:e>
              <m:sub>
                <m:box>
                  <m:e>
                    <m:r>
                      <m:rPr>
                        <m:sty m:val="i"/>
                      </m:rPr>
                      <m:t>S</m:t>
                    </m:r>
                    <m:r>
                      <m:rPr>
                        <m:sty m:val="i"/>
                      </m:rPr>
                      <m:t>E</m:t>
                    </m:r>
                    <m:r>
                      <m:rPr>
                        <m:sty m:val="i"/>
                      </m:rPr>
                      <m:t>L</m:t>
                    </m:r>
                  </m:e>
                </m:box>
              </m:sub>
            </m:sSub>
            <m:r>
              <m:rPr>
                <m:sty m:val="p"/>
              </m:rPr>
              <m:t>+</m:t>
            </m:r>
            <m:sSub>
              <m:e>
                <m:r>
                  <m:rPr>
                    <m:sty m:val="i"/>
                  </m:rPr>
                  <m:t>Δ</m:t>
                </m:r>
              </m:e>
              <m:sub>
                <m:box>
                  <m:e>
                    <m:r>
                      <m:rPr>
                        <m:sty m:val="i"/>
                      </m:rPr>
                      <m:t>I</m:t>
                    </m:r>
                    <m:r>
                      <m:rPr>
                        <m:sty m:val="i"/>
                      </m:rPr>
                      <m:t>N</m:t>
                    </m:r>
                    <m:r>
                      <m:rPr>
                        <m:sty m:val="i"/>
                      </m:rPr>
                      <m:t>N</m:t>
                    </m:r>
                  </m:e>
                </m:box>
              </m:sub>
            </m:sSub>
            <m:r>
              <m:rPr>
                <m:sty m:val="p"/>
              </m:rPr>
              <m:t>+</m:t>
            </m:r>
            <m:sSub>
              <m:e>
                <m:r>
                  <m:rPr>
                    <m:sty m:val="i"/>
                  </m:rPr>
                  <m:t>Δ</m:t>
                </m:r>
              </m:e>
              <m:sub>
                <m:box>
                  <m:e>
                    <m:r>
                      <m:rPr>
                        <m:sty m:val="i"/>
                      </m:rPr>
                      <m:t>O</m:t>
                    </m:r>
                    <m:r>
                      <m:rPr>
                        <m:sty m:val="i"/>
                      </m:rPr>
                      <m:t>R</m:t>
                    </m:r>
                    <m:r>
                      <m:rPr>
                        <m:sty m:val="i"/>
                      </m:rPr>
                      <m:t>D</m:t>
                    </m:r>
                  </m:e>
                </m:box>
              </m:sub>
            </m:sSub>
            <m:r>
              <m:rPr>
                <m:sty m:val="p"/>
              </m:rPr>
              <m:t>)</m:t>
            </m:r>
            <m:r>
              <m:rPr>
                <m:sty m:val="p"/>
              </m:rPr>
              <m:t>−</m:t>
            </m:r>
            <m:sSub>
              <m:e>
                <m:r>
                  <m:rPr>
                    <m:sty m:val="i"/>
                  </m:rPr>
                  <m:t>C</m:t>
                </m:r>
              </m:e>
              <m:sub>
                <m:box>
                  <m:e>
                    <m:r>
                      <m:rPr>
                        <m:sty m:val="i"/>
                      </m:rPr>
                      <m:t>A</m:t>
                    </m:r>
                    <m:r>
                      <m:rPr>
                        <m:sty m:val="i"/>
                      </m:rPr>
                      <m:t>D</m:t>
                    </m:r>
                    <m:r>
                      <m:rPr>
                        <m:sty m:val="i"/>
                      </m:rPr>
                      <m:t>J</m:t>
                    </m:r>
                  </m:e>
                </m:box>
              </m:sub>
            </m:sSub>
          </m:e>
        </m:box>
      </m:oMath>
      <w:r>
        <w:rPr>
          <w:rFonts w:ascii="Times New Roman" w:hAnsi="Times New Roman" w:eastAsia="宋体"/>
          <w:b w:val="0"/>
          <w:sz w:val="24"/>
        </w:rPr>
        <w:tab/>
        <w:t>(4-46)</w:t>
      </w:r>
    </w:p>
    <w:p>
      <w:pPr>
        <w:spacing w:before="0" w:after="0" w:line="360" w:lineRule="auto"/>
        <w:ind w:firstLineChars="200" w:firstLine="480"/>
      </w:pPr>
      <w:r>
        <w:rPr>
          <w:rFonts w:ascii="Times New Roman" w:hAnsi="Times New Roman" w:eastAsia="宋体"/>
          <w:b w:val="0"/>
          <w:sz w:val="24"/>
        </w:rPr>
        <w:t>其中</w:t>
      </w:r>
      <m:oMath>
        <m:box>
          <m:e>
            <m:r>
              <m:rPr>
                <m:sty m:val="i"/>
              </m:rPr>
              <m:t>r</m:t>
            </m:r>
          </m:e>
        </m:box>
      </m:oMath>
      <w:r>
        <w:rPr>
          <w:rFonts w:ascii="Times New Roman" w:hAnsi="Times New Roman" w:eastAsia="宋体"/>
          <w:b w:val="0"/>
          <w:sz w:val="24"/>
        </w:rPr>
        <w:t>为社会贴现率。四个流量项与一次性成本项分别对应如下。</w:t>
      </w:r>
    </w:p>
    <w:p>
      <w:pPr>
        <w:spacing w:before="160" w:after="120" w:line="360" w:lineRule="auto"/>
        <w:outlineLvl w:val="2"/>
      </w:pPr>
      <w:r>
        <w:rPr>
          <w:rFonts w:ascii="Times New Roman" w:hAnsi="Times New Roman" w:eastAsia="黑体"/>
          <w:b w:val="0"/>
          <w:sz w:val="24"/>
        </w:rPr>
        <w:t>2．四大增益项的来源与表达式</w:t>
      </w:r>
    </w:p>
    <w:p>
      <w:pPr>
        <w:spacing w:before="0" w:after="0" w:line="360" w:lineRule="auto"/>
        <w:ind w:firstLineChars="200" w:firstLine="480"/>
      </w:pPr>
      <w:r>
        <w:rPr>
          <w:rFonts w:ascii="Times New Roman" w:hAnsi="Times New Roman" w:eastAsia="宋体"/>
          <w:b w:val="0"/>
          <w:sz w:val="24"/>
        </w:rPr>
        <w:t>第一是规模经济效应项</w:t>
      </w:r>
      <m:oMath>
        <m:box>
          <m:e>
            <m:sSub>
              <m:e>
                <m:r>
                  <m:rPr>
                    <m:sty m:val="i"/>
                  </m:rPr>
                  <m:t>Δ</m:t>
                </m:r>
              </m:e>
              <m:sub>
                <m:box>
                  <m:e>
                    <m:r>
                      <m:rPr>
                        <m:sty m:val="i"/>
                      </m:rPr>
                      <m:t>S</m:t>
                    </m:r>
                    <m:r>
                      <m:rPr>
                        <m:sty m:val="i"/>
                      </m:rPr>
                      <m:t>C</m:t>
                    </m:r>
                  </m:e>
                </m:box>
              </m:sub>
            </m:sSub>
          </m:e>
        </m:box>
      </m:oMath>
      <w:r>
        <w:rPr>
          <w:rFonts w:ascii="Times New Roman" w:hAnsi="Times New Roman" w:eastAsia="宋体"/>
          <w:b w:val="0"/>
          <w:sz w:val="24"/>
        </w:rPr>
        <w:t>。由扩展模型Ⅰ，分割为</w:t>
      </w:r>
      <m:oMath>
        <m:box>
          <m:e>
            <m:r>
              <m:rPr>
                <m:sty m:val="i"/>
              </m:rPr>
              <m:t>N</m:t>
            </m:r>
          </m:e>
        </m:box>
      </m:oMath>
      <w:r>
        <w:rPr>
          <w:rFonts w:ascii="Times New Roman" w:hAnsi="Times New Roman" w:eastAsia="宋体"/>
          <w:b w:val="0"/>
          <w:sz w:val="24"/>
        </w:rPr>
        <w:t>个子市场时全行业总资源耗费（固定成本重复投入加错配成本）为</w:t>
      </w:r>
      <m:oMath>
        <m:box>
          <m:e>
            <m:r>
              <m:rPr>
                <m:sty m:val="p"/>
              </m:rPr>
              <m:t>(</m:t>
            </m:r>
            <m:r>
              <m:rPr>
                <m:sty m:val="p"/>
              </m:rPr>
              <m:t>5</m:t>
            </m:r>
            <m:r>
              <m:rPr>
                <m:sty m:val="p"/>
              </m:rPr>
              <m:t>/</m:t>
            </m:r>
            <m:r>
              <m:rPr>
                <m:sty m:val="p"/>
              </m:rPr>
              <m:t>4</m:t>
            </m:r>
            <m:r>
              <m:rPr>
                <m:sty m:val="p"/>
              </m:rPr>
              <m:t>)</m:t>
            </m:r>
            <m:rad>
              <m:e>
                <m:box>
                  <m:e>
                    <m:box>
                      <m:e>
                        <m:r>
                          <m:rPr>
                            <m:sty m:val="i"/>
                          </m:rPr>
                          <m:t>N</m:t>
                        </m:r>
                        <m:sSub>
                          <m:e>
                            <m:r>
                              <m:rPr>
                                <m:sty m:val="i"/>
                              </m:rPr>
                              <m:t>t</m:t>
                            </m:r>
                          </m:e>
                          <m:sub>
                            <m:r>
                              <m:rPr>
                                <m:sty m:val="i"/>
                              </m:rPr>
                              <m:t>d</m:t>
                            </m:r>
                          </m:sub>
                        </m:sSub>
                        <m:r>
                          <m:rPr>
                            <m:sty m:val="i"/>
                          </m:rPr>
                          <m:t>S</m:t>
                        </m:r>
                        <m:r>
                          <m:rPr>
                            <m:sty m:val="i"/>
                          </m:rPr>
                          <m:t>F</m:t>
                        </m:r>
                      </m:e>
                    </m:box>
                  </m:e>
                </m:box>
              </m:e>
            </m:rad>
          </m:e>
        </m:box>
      </m:oMath>
      <w:r>
        <w:rPr>
          <w:rFonts w:ascii="Times New Roman" w:hAnsi="Times New Roman" w:eastAsia="宋体"/>
          <w:b w:val="0"/>
          <w:sz w:val="24"/>
        </w:rPr>
        <w:t>，故分割数由</w:t>
      </w:r>
      <m:oMath>
        <m:box>
          <m:e>
            <m:sSub>
              <m:e>
                <m:r>
                  <m:rPr>
                    <m:sty m:val="i"/>
                  </m:rPr>
                  <m:t>N</m:t>
                </m:r>
              </m:e>
              <m:sub>
                <m:r>
                  <m:rPr>
                    <m:sty m:val="p"/>
                  </m:rPr>
                  <m:t>0</m:t>
                </m:r>
              </m:sub>
            </m:sSub>
          </m:e>
        </m:box>
      </m:oMath>
      <w:r>
        <w:rPr>
          <w:rFonts w:ascii="Times New Roman" w:hAnsi="Times New Roman" w:eastAsia="宋体"/>
          <w:b w:val="0"/>
          <w:sz w:val="24"/>
        </w:rPr>
        <w:t>降至</w:t>
      </w:r>
      <m:oMath>
        <m:box>
          <m:e>
            <m:sSub>
              <m:e>
                <m:r>
                  <m:rPr>
                    <m:sty m:val="i"/>
                  </m:rPr>
                  <m:t>N</m:t>
                </m:r>
              </m:e>
              <m:sub>
                <m:r>
                  <m:rPr>
                    <m:sty m:val="p"/>
                  </m:rPr>
                  <m:t>1</m:t>
                </m:r>
              </m:sub>
            </m:sSub>
          </m:e>
        </m:box>
      </m:oMath>
      <w:r>
        <w:rPr>
          <w:rFonts w:ascii="Times New Roman" w:hAnsi="Times New Roman" w:eastAsia="宋体"/>
          <w:b w:val="0"/>
          <w:sz w:val="24"/>
        </w:rPr>
        <w:t>每期节约：</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Δ</m:t>
                </m:r>
              </m:e>
              <m:sub>
                <m:box>
                  <m:e>
                    <m:r>
                      <m:rPr>
                        <m:sty m:val="i"/>
                      </m:rPr>
                      <m:t>S</m:t>
                    </m:r>
                    <m:r>
                      <m:rPr>
                        <m:sty m:val="i"/>
                      </m:rPr>
                      <m:t>C</m:t>
                    </m:r>
                  </m:e>
                </m:box>
              </m:sub>
            </m:sSub>
            <m:r>
              <m:rPr>
                <m:sty m:val="p"/>
              </m:rPr>
              <m:t>=</m:t>
            </m:r>
            <m:f>
              <m:num>
                <m:box>
                  <m:e>
                    <m:r>
                      <m:rPr>
                        <m:sty m:val="p"/>
                      </m:rPr>
                      <m:t>5</m:t>
                    </m:r>
                  </m:e>
                </m:box>
              </m:num>
              <m:den>
                <m:box>
                  <m:e>
                    <m:r>
                      <m:rPr>
                        <m:sty m:val="p"/>
                      </m:rPr>
                      <m:t>4</m:t>
                    </m:r>
                  </m:e>
                </m:box>
              </m:den>
            </m:f>
            <m:r>
              <m:rPr>
                <m:sty m:val="p"/>
              </m:rPr>
              <m:t>(</m:t>
            </m:r>
            <m:rad>
              <m:e>
                <m:box>
                  <m:e>
                    <m:box>
                      <m:e>
                        <m:sSub>
                          <m:e>
                            <m:r>
                              <m:rPr>
                                <m:sty m:val="i"/>
                              </m:rPr>
                              <m:t>N</m:t>
                            </m:r>
                          </m:e>
                          <m:sub>
                            <m:r>
                              <m:rPr>
                                <m:sty m:val="p"/>
                              </m:rPr>
                              <m:t>0</m:t>
                            </m:r>
                          </m:sub>
                        </m:sSub>
                      </m:e>
                    </m:box>
                  </m:e>
                </m:box>
              </m:e>
            </m:rad>
            <m:r>
              <m:rPr>
                <m:sty m:val="p"/>
              </m:rPr>
              <m:t>−</m:t>
            </m:r>
            <m:rad>
              <m:e>
                <m:box>
                  <m:e>
                    <m:box>
                      <m:e>
                        <m:sSub>
                          <m:e>
                            <m:r>
                              <m:rPr>
                                <m:sty m:val="i"/>
                              </m:rPr>
                              <m:t>N</m:t>
                            </m:r>
                          </m:e>
                          <m:sub>
                            <m:r>
                              <m:rPr>
                                <m:sty m:val="p"/>
                              </m:rPr>
                              <m:t>1</m:t>
                            </m:r>
                          </m:sub>
                        </m:sSub>
                      </m:e>
                    </m:box>
                  </m:e>
                </m:box>
              </m:e>
            </m:rad>
            <m:r>
              <m:rPr>
                <m:sty m:val="p"/>
              </m:rPr>
              <m:t>)</m:t>
            </m:r>
            <m:rad>
              <m:e>
                <m:box>
                  <m:e>
                    <m:box>
                      <m:e>
                        <m:sSub>
                          <m:e>
                            <m:r>
                              <m:rPr>
                                <m:sty m:val="i"/>
                              </m:rPr>
                              <m:t>t</m:t>
                            </m:r>
                          </m:e>
                          <m:sub>
                            <m:r>
                              <m:rPr>
                                <m:sty m:val="i"/>
                              </m:rPr>
                              <m:t>d</m:t>
                            </m:r>
                          </m:sub>
                        </m:sSub>
                        <m:r>
                          <m:rPr>
                            <m:sty m:val="i"/>
                          </m:rPr>
                          <m:t>S</m:t>
                        </m:r>
                        <m:r>
                          <m:rPr>
                            <m:sty m:val="i"/>
                          </m:rPr>
                          <m:t>F</m:t>
                        </m:r>
                      </m:e>
                    </m:box>
                  </m:e>
                </m:box>
              </m:e>
            </m:rad>
          </m:e>
        </m:box>
      </m:oMath>
      <w:r>
        <w:rPr>
          <w:rFonts w:ascii="Times New Roman" w:hAnsi="Times New Roman" w:eastAsia="宋体"/>
          <w:b w:val="0"/>
          <w:sz w:val="24"/>
        </w:rPr>
        <w:tab/>
        <w:t>(4-47)</w:t>
      </w:r>
    </w:p>
    <w:p>
      <w:pPr>
        <w:spacing w:before="0" w:after="0" w:line="360" w:lineRule="auto"/>
        <w:ind w:firstLineChars="200" w:firstLine="480"/>
      </w:pPr>
      <w:r>
        <w:rPr>
          <w:rFonts w:ascii="Times New Roman" w:hAnsi="Times New Roman" w:eastAsia="宋体"/>
          <w:b w:val="0"/>
          <w:sz w:val="24"/>
        </w:rPr>
        <w:t>这一项的现实对应是重复建设的产线、园区与“大而全”的地方产业链投入的节约，以及企业规模向最小有效规模的回归。规模项的存在也呼应了空间经济学的经典命题：市场规模与规模经济的相互强化是地理集聚与生产率优势的根源（Krugman，1991），统一大市场正是以制度手段再造“超大规模市场”这一禀赋。</w:t>
      </w:r>
    </w:p>
    <w:p>
      <w:pPr>
        <w:spacing w:before="0" w:after="0" w:line="360" w:lineRule="auto"/>
        <w:ind w:firstLineChars="200" w:firstLine="480"/>
      </w:pPr>
      <w:r>
        <w:rPr>
          <w:rFonts w:ascii="Times New Roman" w:hAnsi="Times New Roman" w:eastAsia="宋体"/>
          <w:b w:val="0"/>
          <w:sz w:val="24"/>
        </w:rPr>
        <w:t>第二是选择效应项</w:t>
      </w:r>
      <m:oMath>
        <m:box>
          <m:e>
            <m:sSub>
              <m:e>
                <m:r>
                  <m:rPr>
                    <m:sty m:val="i"/>
                  </m:rPr>
                  <m:t>Δ</m:t>
                </m:r>
              </m:e>
              <m:sub>
                <m:box>
                  <m:e>
                    <m:r>
                      <m:rPr>
                        <m:sty m:val="i"/>
                      </m:rPr>
                      <m:t>S</m:t>
                    </m:r>
                    <m:r>
                      <m:rPr>
                        <m:sty m:val="i"/>
                      </m:rPr>
                      <m:t>E</m:t>
                    </m:r>
                    <m:r>
                      <m:rPr>
                        <m:sty m:val="i"/>
                      </m:rPr>
                      <m:t>L</m:t>
                    </m:r>
                  </m:e>
                </m:box>
              </m:sub>
            </m:sSub>
          </m:e>
        </m:box>
      </m:oMath>
      <w:r>
        <w:rPr>
          <w:rFonts w:ascii="Times New Roman" w:hAnsi="Times New Roman" w:eastAsia="宋体"/>
          <w:b w:val="0"/>
          <w:sz w:val="24"/>
        </w:rPr>
        <w:t>。由扩展模型Ⅱ，加总生产率与生存门槛成正比，而人均实际收入对加总生产率的弹性近似为1，故以初始福利流量</w:t>
      </w:r>
      <m:oMath>
        <m:box>
          <m:e>
            <m:sSub>
              <m:e>
                <m:r>
                  <m:rPr>
                    <m:sty m:val="i"/>
                  </m:rPr>
                  <m:t>W</m:t>
                </m:r>
              </m:e>
              <m:sub>
                <m:r>
                  <m:rPr>
                    <m:sty m:val="p"/>
                  </m:rPr>
                  <m:t>0</m:t>
                </m:r>
              </m:sub>
            </m:sSub>
          </m:e>
        </m:box>
      </m:oMath>
      <w:r>
        <w:rPr>
          <w:rFonts w:ascii="Times New Roman" w:hAnsi="Times New Roman" w:eastAsia="宋体"/>
          <w:b w:val="0"/>
          <w:sz w:val="24"/>
        </w:rPr>
        <w:t>为基数、由式(4-39)的门槛弹性可得一阶近似：</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Δ</m:t>
                </m:r>
              </m:e>
              <m:sub>
                <m:box>
                  <m:e>
                    <m:r>
                      <m:rPr>
                        <m:sty m:val="i"/>
                      </m:rPr>
                      <m:t>S</m:t>
                    </m:r>
                    <m:r>
                      <m:rPr>
                        <m:sty m:val="i"/>
                      </m:rPr>
                      <m:t>E</m:t>
                    </m:r>
                    <m:r>
                      <m:rPr>
                        <m:sty m:val="i"/>
                      </m:rPr>
                      <m:t>L</m:t>
                    </m:r>
                  </m:e>
                </m:box>
              </m:sub>
            </m:sSub>
            <m:r>
              <m:rPr>
                <m:sty m:val="p"/>
              </m:rPr>
              <m:t>=</m:t>
            </m:r>
            <m:sSub>
              <m:e>
                <m:r>
                  <m:rPr>
                    <m:sty m:val="i"/>
                  </m:rPr>
                  <m:t>W</m:t>
                </m:r>
              </m:e>
              <m:sub>
                <m:r>
                  <m:rPr>
                    <m:sty m:val="p"/>
                  </m:rPr>
                  <m:t>0</m:t>
                </m:r>
              </m:sub>
            </m:sSub>
            <m:r>
              <m:rPr>
                <m:nor/>
              </m:rPr>
              <m:t> </m:t>
            </m:r>
            <m:f>
              <m:num>
                <m:box>
                  <m:e>
                    <m:r>
                      <m:rPr>
                        <m:sty m:val="i"/>
                      </m:rPr>
                      <m:t>ρ</m:t>
                    </m:r>
                    <m:r>
                      <m:rPr>
                        <m:sty m:val="p"/>
                      </m:rPr>
                      <m:t>(</m:t>
                    </m:r>
                    <m:sSub>
                      <m:e>
                        <m:r>
                          <m:rPr>
                            <m:sty m:val="i"/>
                          </m:rPr>
                          <m:t>τ</m:t>
                        </m:r>
                      </m:e>
                      <m:sub>
                        <m:r>
                          <m:rPr>
                            <m:sty m:val="p"/>
                          </m:rPr>
                          <m:t>0</m:t>
                        </m:r>
                      </m:sub>
                    </m:sSub>
                    <m:r>
                      <m:rPr>
                        <m:sty m:val="p"/>
                      </m:rPr>
                      <m:t>)</m:t>
                    </m:r>
                  </m:e>
                </m:box>
              </m:num>
              <m:den>
                <m:box>
                  <m:e>
                    <m:r>
                      <m:rPr>
                        <m:sty m:val="i"/>
                      </m:rPr>
                      <m:t>f</m:t>
                    </m:r>
                    <m:r>
                      <m:rPr>
                        <m:sty m:val="p"/>
                      </m:rPr>
                      <m:t>+</m:t>
                    </m:r>
                    <m:r>
                      <m:rPr>
                        <m:sty m:val="i"/>
                      </m:rPr>
                      <m:t>ρ</m:t>
                    </m:r>
                    <m:r>
                      <m:rPr>
                        <m:sty m:val="p"/>
                      </m:rPr>
                      <m:t>(</m:t>
                    </m:r>
                    <m:sSub>
                      <m:e>
                        <m:r>
                          <m:rPr>
                            <m:sty m:val="i"/>
                          </m:rPr>
                          <m:t>τ</m:t>
                        </m:r>
                      </m:e>
                      <m:sub>
                        <m:r>
                          <m:rPr>
                            <m:sty m:val="p"/>
                          </m:rPr>
                          <m:t>0</m:t>
                        </m:r>
                      </m:sub>
                    </m:sSub>
                    <m:r>
                      <m:rPr>
                        <m:sty m:val="p"/>
                      </m:rPr>
                      <m:t>)</m:t>
                    </m:r>
                  </m:e>
                </m:box>
              </m:den>
            </m:f>
            <m:r>
              <m:rPr>
                <m:nor/>
              </m:rPr>
              <m:t> </m:t>
            </m:r>
            <m:r>
              <m:rPr>
                <m:sty m:val="p"/>
              </m:rPr>
              <m:t>ln</m:t>
            </m:r>
            <m:f>
              <m:num>
                <m:box>
                  <m:e>
                    <m:sSub>
                      <m:e>
                        <m:r>
                          <m:rPr>
                            <m:sty m:val="i"/>
                          </m:rPr>
                          <m:t>τ</m:t>
                        </m:r>
                      </m:e>
                      <m:sub>
                        <m:r>
                          <m:rPr>
                            <m:sty m:val="p"/>
                          </m:rPr>
                          <m:t>0</m:t>
                        </m:r>
                      </m:sub>
                    </m:sSub>
                  </m:e>
                </m:box>
              </m:num>
              <m:den>
                <m:box>
                  <m:e>
                    <m:sSub>
                      <m:e>
                        <m:r>
                          <m:rPr>
                            <m:sty m:val="i"/>
                          </m:rPr>
                          <m:t>τ</m:t>
                        </m:r>
                      </m:e>
                      <m:sub>
                        <m:r>
                          <m:rPr>
                            <m:sty m:val="p"/>
                          </m:rPr>
                          <m:t>1</m:t>
                        </m:r>
                      </m:sub>
                    </m:sSub>
                  </m:e>
                </m:box>
              </m:den>
            </m:f>
          </m:e>
        </m:box>
      </m:oMath>
      <w:r>
        <w:rPr>
          <w:rFonts w:ascii="Times New Roman" w:hAnsi="Times New Roman" w:eastAsia="宋体"/>
          <w:b w:val="0"/>
          <w:sz w:val="24"/>
        </w:rPr>
        <w:tab/>
        <w:t>(4-48)</w:t>
      </w:r>
    </w:p>
    <w:p>
      <w:pPr>
        <w:spacing w:before="0" w:after="0" w:line="360" w:lineRule="auto"/>
        <w:ind w:firstLineChars="200" w:firstLine="480"/>
      </w:pPr>
      <w:r>
        <w:rPr>
          <w:rFonts w:ascii="Times New Roman" w:hAnsi="Times New Roman" w:eastAsia="宋体"/>
          <w:b w:val="0"/>
          <w:sz w:val="24"/>
        </w:rPr>
        <w:t>即选择效应的红利与分割成本的对数降幅成正比，比例系数为跨区利润在总利润中的份额。</w:t>
      </w:r>
    </w:p>
    <w:p>
      <w:pPr>
        <w:spacing w:before="0" w:after="0" w:line="360" w:lineRule="auto"/>
        <w:ind w:firstLineChars="200" w:firstLine="480"/>
      </w:pPr>
      <w:r>
        <w:rPr>
          <w:rFonts w:ascii="Times New Roman" w:hAnsi="Times New Roman" w:eastAsia="宋体"/>
          <w:b w:val="0"/>
          <w:sz w:val="24"/>
        </w:rPr>
        <w:t>第三是创新激励效应项</w:t>
      </w:r>
      <m:oMath>
        <m:box>
          <m:e>
            <m:sSub>
              <m:e>
                <m:r>
                  <m:rPr>
                    <m:sty m:val="i"/>
                  </m:rPr>
                  <m:t>Δ</m:t>
                </m:r>
              </m:e>
              <m:sub>
                <m:box>
                  <m:e>
                    <m:r>
                      <m:rPr>
                        <m:sty m:val="i"/>
                      </m:rPr>
                      <m:t>I</m:t>
                    </m:r>
                    <m:r>
                      <m:rPr>
                        <m:sty m:val="i"/>
                      </m:rPr>
                      <m:t>N</m:t>
                    </m:r>
                    <m:r>
                      <m:rPr>
                        <m:sty m:val="i"/>
                      </m:rPr>
                      <m:t>N</m:t>
                    </m:r>
                  </m:e>
                </m:box>
              </m:sub>
            </m:sSub>
          </m:e>
        </m:box>
      </m:oMath>
      <w:r>
        <w:rPr>
          <w:rFonts w:ascii="Times New Roman" w:hAnsi="Times New Roman" w:eastAsia="宋体"/>
          <w:b w:val="0"/>
          <w:sz w:val="24"/>
        </w:rPr>
        <w:t>。由命题4-7，一体化使创新企业占比由</w:t>
      </w:r>
      <m:oMath>
        <m:box>
          <m:e>
            <m:sSub>
              <m:e>
                <m:r>
                  <m:rPr>
                    <m:sty m:val="i"/>
                  </m:rPr>
                  <m:t>χ</m:t>
                </m:r>
              </m:e>
              <m:sub>
                <m:r>
                  <m:rPr>
                    <m:sty m:val="i"/>
                  </m:rPr>
                  <m:t>R</m:t>
                </m:r>
              </m:sub>
            </m:sSub>
            <m:r>
              <m:rPr>
                <m:sty m:val="p"/>
              </m:rPr>
              <m:t>(</m:t>
            </m:r>
            <m:sSub>
              <m:e>
                <m:r>
                  <m:rPr>
                    <m:sty m:val="i"/>
                  </m:rPr>
                  <m:t>τ</m:t>
                </m:r>
              </m:e>
              <m:sub>
                <m:r>
                  <m:rPr>
                    <m:sty m:val="p"/>
                  </m:rPr>
                  <m:t>0</m:t>
                </m:r>
              </m:sub>
            </m:sSub>
            <m:r>
              <m:rPr>
                <m:sty m:val="p"/>
              </m:rPr>
              <m:t>)</m:t>
            </m:r>
          </m:e>
        </m:box>
      </m:oMath>
      <w:r>
        <w:rPr>
          <w:rFonts w:ascii="Times New Roman" w:hAnsi="Times New Roman" w:eastAsia="宋体"/>
          <w:b w:val="0"/>
          <w:sz w:val="24"/>
        </w:rPr>
        <w:t>升至</w:t>
      </w:r>
      <m:oMath>
        <m:box>
          <m:e>
            <m:sSub>
              <m:e>
                <m:r>
                  <m:rPr>
                    <m:sty m:val="i"/>
                  </m:rPr>
                  <m:t>χ</m:t>
                </m:r>
              </m:e>
              <m:sub>
                <m:r>
                  <m:rPr>
                    <m:sty m:val="i"/>
                  </m:rPr>
                  <m:t>R</m:t>
                </m:r>
              </m:sub>
            </m:sSub>
            <m:r>
              <m:rPr>
                <m:sty m:val="p"/>
              </m:rPr>
              <m:t>(</m:t>
            </m:r>
            <m:sSub>
              <m:e>
                <m:r>
                  <m:rPr>
                    <m:sty m:val="i"/>
                  </m:rPr>
                  <m:t>τ</m:t>
                </m:r>
              </m:e>
              <m:sub>
                <m:r>
                  <m:rPr>
                    <m:sty m:val="p"/>
                  </m:rPr>
                  <m:t>1</m:t>
                </m:r>
              </m:sub>
            </m:sSub>
            <m:r>
              <m:rPr>
                <m:sty m:val="p"/>
              </m:rPr>
              <m:t>)</m:t>
            </m:r>
          </m:e>
        </m:box>
      </m:oMath>
      <w:r>
        <w:rPr>
          <w:rFonts w:ascii="Times New Roman" w:hAnsi="Times New Roman" w:eastAsia="宋体"/>
          <w:b w:val="0"/>
          <w:sz w:val="24"/>
        </w:rPr>
        <w:t>，记每单位创新企业占比对应的年化净创新剩余（含消费者获得的质量与价格改进）为</w:t>
      </w:r>
      <m:oMath>
        <m:box>
          <m:e>
            <m:sSub>
              <m:e>
                <m:groupChr>
                  <m:groupChrPr>
                    <m:chr m:val="¯"/>
                    <m:pos m:val="top"/>
                  </m:groupChrPr>
                  <m:e>
                    <m:box>
                      <m:e>
                        <m:r>
                          <m:rPr>
                            <m:sty m:val="i"/>
                          </m:rPr>
                          <m:t>Π</m:t>
                        </m:r>
                      </m:e>
                    </m:box>
                  </m:e>
                </m:groupChr>
              </m:e>
              <m:sub>
                <m:r>
                  <m:rPr>
                    <m:sty m:val="i"/>
                  </m:rPr>
                  <m:t>R</m:t>
                </m:r>
              </m:sub>
            </m:sSub>
          </m:e>
        </m:box>
      </m:oMath>
      <w:r>
        <w:rPr>
          <w:rFonts w:ascii="Times New Roman" w:hAnsi="Times New Roman" w:eastAsia="宋体"/>
          <w:b w:val="0"/>
          <w:sz w:val="24"/>
        </w:rPr>
        <w:t>，则：</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Δ</m:t>
                </m:r>
              </m:e>
              <m:sub>
                <m:box>
                  <m:e>
                    <m:r>
                      <m:rPr>
                        <m:sty m:val="i"/>
                      </m:rPr>
                      <m:t>I</m:t>
                    </m:r>
                    <m:r>
                      <m:rPr>
                        <m:sty m:val="i"/>
                      </m:rPr>
                      <m:t>N</m:t>
                    </m:r>
                    <m:r>
                      <m:rPr>
                        <m:sty m:val="i"/>
                      </m:rPr>
                      <m:t>N</m:t>
                    </m:r>
                  </m:e>
                </m:box>
              </m:sub>
            </m:sSub>
            <m:r>
              <m:rPr>
                <m:sty m:val="p"/>
              </m:rPr>
              <m:t>=</m:t>
            </m:r>
            <m:r>
              <m:rPr>
                <m:sty m:val="p"/>
              </m:rPr>
              <m:t>[</m:t>
            </m:r>
            <m:sSub>
              <m:e>
                <m:r>
                  <m:rPr>
                    <m:sty m:val="i"/>
                  </m:rPr>
                  <m:t>χ</m:t>
                </m:r>
              </m:e>
              <m:sub>
                <m:r>
                  <m:rPr>
                    <m:sty m:val="i"/>
                  </m:rPr>
                  <m:t>R</m:t>
                </m:r>
              </m:sub>
            </m:sSub>
            <m:r>
              <m:rPr>
                <m:sty m:val="p"/>
              </m:rPr>
              <m:t>(</m:t>
            </m:r>
            <m:sSub>
              <m:e>
                <m:r>
                  <m:rPr>
                    <m:sty m:val="i"/>
                  </m:rPr>
                  <m:t>τ</m:t>
                </m:r>
              </m:e>
              <m:sub>
                <m:r>
                  <m:rPr>
                    <m:sty m:val="p"/>
                  </m:rPr>
                  <m:t>1</m:t>
                </m:r>
              </m:sub>
            </m:sSub>
            <m:r>
              <m:rPr>
                <m:sty m:val="p"/>
              </m:rPr>
              <m:t>)</m:t>
            </m:r>
            <m:r>
              <m:rPr>
                <m:sty m:val="p"/>
              </m:rPr>
              <m:t>−</m:t>
            </m:r>
            <m:sSub>
              <m:e>
                <m:r>
                  <m:rPr>
                    <m:sty m:val="i"/>
                  </m:rPr>
                  <m:t>χ</m:t>
                </m:r>
              </m:e>
              <m:sub>
                <m:r>
                  <m:rPr>
                    <m:sty m:val="i"/>
                  </m:rPr>
                  <m:t>R</m:t>
                </m:r>
              </m:sub>
            </m:sSub>
            <m:r>
              <m:rPr>
                <m:sty m:val="p"/>
              </m:rPr>
              <m:t>(</m:t>
            </m:r>
            <m:sSub>
              <m:e>
                <m:r>
                  <m:rPr>
                    <m:sty m:val="i"/>
                  </m:rPr>
                  <m:t>τ</m:t>
                </m:r>
              </m:e>
              <m:sub>
                <m:r>
                  <m:rPr>
                    <m:sty m:val="p"/>
                  </m:rPr>
                  <m:t>0</m:t>
                </m:r>
              </m:sub>
            </m:sSub>
            <m:r>
              <m:rPr>
                <m:sty m:val="p"/>
              </m:rPr>
              <m:t>)</m:t>
            </m:r>
            <m:r>
              <m:rPr>
                <m:sty m:val="p"/>
              </m:rPr>
              <m:t>]</m:t>
            </m:r>
            <m:r>
              <m:rPr>
                <m:nor/>
              </m:rPr>
              <m:t> </m:t>
            </m:r>
            <m:sSub>
              <m:e>
                <m:groupChr>
                  <m:groupChrPr>
                    <m:chr m:val="¯"/>
                    <m:pos m:val="top"/>
                  </m:groupChrPr>
                  <m:e>
                    <m:box>
                      <m:e>
                        <m:r>
                          <m:rPr>
                            <m:sty m:val="i"/>
                          </m:rPr>
                          <m:t>Π</m:t>
                        </m:r>
                      </m:e>
                    </m:box>
                  </m:e>
                </m:groupChr>
              </m:e>
              <m:sub>
                <m:r>
                  <m:rPr>
                    <m:sty m:val="i"/>
                  </m:rPr>
                  <m:t>R</m:t>
                </m:r>
              </m:sub>
            </m:sSub>
          </m:e>
        </m:box>
      </m:oMath>
      <w:r>
        <w:rPr>
          <w:rFonts w:ascii="Times New Roman" w:hAnsi="Times New Roman" w:eastAsia="宋体"/>
          <w:b w:val="0"/>
          <w:sz w:val="24"/>
        </w:rPr>
        <w:tab/>
        <w:t>(4-49)</w:t>
      </w:r>
    </w:p>
    <w:p>
      <w:pPr>
        <w:spacing w:before="0" w:after="0" w:line="360" w:lineRule="auto"/>
        <w:ind w:firstLineChars="200" w:firstLine="480"/>
      </w:pPr>
      <w:r>
        <w:rPr>
          <w:rFonts w:ascii="Times New Roman" w:hAnsi="Times New Roman" w:eastAsia="宋体"/>
          <w:b w:val="0"/>
          <w:sz w:val="24"/>
        </w:rPr>
        <w:t>第四是预期与秩序效应项</w:t>
      </w:r>
      <m:oMath>
        <m:box>
          <m:e>
            <m:sSub>
              <m:e>
                <m:r>
                  <m:rPr>
                    <m:sty m:val="i"/>
                  </m:rPr>
                  <m:t>Δ</m:t>
                </m:r>
              </m:e>
              <m:sub>
                <m:box>
                  <m:e>
                    <m:r>
                      <m:rPr>
                        <m:sty m:val="i"/>
                      </m:rPr>
                      <m:t>O</m:t>
                    </m:r>
                    <m:r>
                      <m:rPr>
                        <m:sty m:val="i"/>
                      </m:rPr>
                      <m:t>R</m:t>
                    </m:r>
                    <m:r>
                      <m:rPr>
                        <m:sty m:val="i"/>
                      </m:rPr>
                      <m:t>D</m:t>
                    </m:r>
                  </m:e>
                </m:box>
              </m:sub>
            </m:sSub>
          </m:e>
        </m:box>
      </m:oMath>
      <w:r>
        <w:rPr>
          <w:rFonts w:ascii="Times New Roman" w:hAnsi="Times New Roman" w:eastAsia="宋体"/>
          <w:b w:val="0"/>
          <w:sz w:val="24"/>
        </w:rPr>
        <w:t>。由基准模型，补贴竞争使均衡产量偏离社会最优</w:t>
      </w:r>
      <m:oMath>
        <m:box>
          <m:e>
            <m:r>
              <m:rPr>
                <m:sty m:val="i"/>
              </m:rPr>
              <m:t>θ</m:t>
            </m:r>
            <m:r>
              <m:rPr>
                <m:sty m:val="p"/>
              </m:rPr>
              <m:t>/</m:t>
            </m:r>
            <m:r>
              <m:rPr>
                <m:sty m:val="i"/>
              </m:rPr>
              <m:t>b</m:t>
            </m:r>
          </m:e>
        </m:box>
      </m:oMath>
      <w:r>
        <w:rPr>
          <w:rFonts w:ascii="Times New Roman" w:hAnsi="Times New Roman" w:eastAsia="宋体"/>
          <w:b w:val="0"/>
          <w:sz w:val="24"/>
        </w:rPr>
        <w:t>（命题4-1），对应的哈伯格三角形损失在两地区合计为</w:t>
      </w:r>
      <m:oMath>
        <m:box>
          <m:e>
            <m:sSup>
              <m:e>
                <m:r>
                  <m:rPr>
                    <m:sty m:val="i"/>
                  </m:rPr>
                  <m:t>θ</m:t>
                </m:r>
              </m:e>
              <m:sup>
                <m:r>
                  <m:rPr>
                    <m:sty m:val="p"/>
                  </m:rPr>
                  <m:t>2</m:t>
                </m:r>
              </m:sup>
            </m:sSup>
            <m:r>
              <m:rPr>
                <m:sty m:val="p"/>
              </m:rPr>
              <m:t>/</m:t>
            </m:r>
            <m:r>
              <m:rPr>
                <m:sty m:val="i"/>
              </m:rPr>
              <m:t>b</m:t>
            </m:r>
          </m:e>
        </m:box>
      </m:oMath>
      <w:r>
        <w:rPr>
          <w:rFonts w:ascii="Times New Roman" w:hAnsi="Times New Roman" w:eastAsia="宋体"/>
          <w:b w:val="0"/>
          <w:sz w:val="24"/>
        </w:rPr>
        <w:t>；统一大市场的公平竞争审查与招商引资行为规范使补贴竞争向合作解收敛，每期消除的扭曲损失为：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Δ</m:t>
                </m:r>
              </m:e>
              <m:sub>
                <m:box>
                  <m:e>
                    <m:r>
                      <m:rPr>
                        <m:sty m:val="i"/>
                      </m:rPr>
                      <m:t>O</m:t>
                    </m:r>
                    <m:r>
                      <m:rPr>
                        <m:sty m:val="i"/>
                      </m:rPr>
                      <m:t>R</m:t>
                    </m:r>
                    <m:r>
                      <m:rPr>
                        <m:sty m:val="i"/>
                      </m:rPr>
                      <m:t>D</m:t>
                    </m:r>
                  </m:e>
                </m:box>
              </m:sub>
            </m:sSub>
            <m:r>
              <m:rPr>
                <m:sty m:val="p"/>
              </m:rPr>
              <m:t>=</m:t>
            </m:r>
            <m:f>
              <m:num>
                <m:box>
                  <m:e>
                    <m:sSup>
                      <m:e>
                        <m:r>
                          <m:rPr>
                            <m:sty m:val="i"/>
                          </m:rPr>
                          <m:t>θ</m:t>
                        </m:r>
                      </m:e>
                      <m:sup>
                        <m:box>
                          <m:e>
                            <m:r>
                              <m:rPr>
                                <m:sty m:val="p"/>
                              </m:rPr>
                              <m:t>2</m:t>
                            </m:r>
                          </m:e>
                        </m:box>
                      </m:sup>
                    </m:sSup>
                  </m:e>
                </m:box>
              </m:num>
              <m:den>
                <m:box>
                  <m:e>
                    <m:r>
                      <m:rPr>
                        <m:sty m:val="i"/>
                      </m:rPr>
                      <m:t>b</m:t>
                    </m:r>
                  </m:e>
                </m:box>
              </m:den>
            </m:f>
          </m:e>
        </m:box>
      </m:oMath>
      <w:r>
        <w:rPr>
          <w:rFonts w:ascii="Times New Roman" w:hAnsi="Times New Roman" w:eastAsia="宋体"/>
          <w:b w:val="0"/>
          <w:sz w:val="24"/>
        </w:rPr>
        <w:tab/>
        <w:t>(4-50)</w:t>
      </w:r>
    </w:p>
    <w:p>
      <w:pPr>
        <w:spacing w:before="0" w:after="0" w:line="360" w:lineRule="auto"/>
        <w:ind w:firstLineChars="200" w:firstLine="480"/>
      </w:pPr>
      <w:r>
        <w:rPr>
          <w:rFonts w:ascii="Times New Roman" w:hAnsi="Times New Roman" w:eastAsia="宋体"/>
          <w:b w:val="0"/>
          <w:sz w:val="24"/>
        </w:rPr>
        <w:t>此外，该项还包含难以精确定量但方向明确的预期成分：价格秩序修复终结“越跌越亏、越亏越卷”的通缩预期，企业资本开支与研发决策的时间视野得以拉长——这部分增益在实证上表现为利润率与价格行为的正常化（第九章）。</w:t>
      </w:r>
    </w:p>
    <w:p>
      <w:pPr>
        <w:spacing w:before="160" w:after="120" w:line="360" w:lineRule="auto"/>
        <w:outlineLvl w:val="2"/>
      </w:pPr>
      <w:r>
        <w:rPr>
          <w:rFonts w:ascii="Times New Roman" w:hAnsi="Times New Roman" w:eastAsia="黑体"/>
          <w:b w:val="0"/>
          <w:sz w:val="24"/>
        </w:rPr>
        <w:t>3．调整成本项与净红利条件</w:t>
      </w:r>
    </w:p>
    <w:p>
      <w:pPr>
        <w:spacing w:before="0" w:after="0" w:line="360" w:lineRule="auto"/>
        <w:ind w:firstLineChars="200" w:firstLine="480"/>
      </w:pPr>
      <w:r>
        <w:rPr>
          <w:rFonts w:ascii="Times New Roman" w:hAnsi="Times New Roman" w:eastAsia="宋体"/>
          <w:b w:val="0"/>
          <w:sz w:val="24"/>
        </w:rPr>
        <w:t>统一不是免费的午餐。门槛上移意味着一批低效企业退出（测度为</w:t>
      </w:r>
      <m:oMath>
        <m:box>
          <m:e>
            <m:sSub>
              <m:e>
                <m:r>
                  <m:rPr>
                    <m:sty m:val="i"/>
                  </m:rPr>
                  <m:t>E</m:t>
                </m:r>
              </m:e>
              <m:sub>
                <m:r>
                  <m:rPr>
                    <m:sty m:val="i"/>
                  </m:rPr>
                  <m:t>x</m:t>
                </m:r>
              </m:sub>
            </m:sSub>
            <m:r>
              <m:rPr>
                <m:sty m:val="p"/>
              </m:rPr>
              <m:t>=</m:t>
            </m:r>
            <m:sSub>
              <m:e>
                <m:r>
                  <m:rPr>
                    <m:sty m:val="i"/>
                  </m:rPr>
                  <m:t>M</m:t>
                </m:r>
              </m:e>
              <m:sub>
                <m:r>
                  <m:rPr>
                    <m:sty m:val="i"/>
                  </m:rPr>
                  <m:t>e</m:t>
                </m:r>
              </m:sub>
            </m:sSub>
            <m:r>
              <m:rPr>
                <m:sty m:val="p"/>
              </m:rPr>
              <m:t>[</m:t>
            </m:r>
            <m:r>
              <m:rPr>
                <m:sty m:val="p"/>
              </m:rPr>
              <m:t>(</m:t>
            </m:r>
            <m:sSub>
              <m:e>
                <m:r>
                  <m:rPr>
                    <m:sty m:val="i"/>
                  </m:rPr>
                  <m:t>φ</m:t>
                </m:r>
              </m:e>
              <m:sub>
                <m:box>
                  <m:e>
                    <m:r>
                      <m:rPr>
                        <m:sty m:val="p"/>
                      </m:rPr>
                      <m:t>min</m:t>
                    </m:r>
                  </m:e>
                </m:box>
              </m:sub>
            </m:sSub>
            <m:r>
              <m:rPr>
                <m:sty m:val="p"/>
              </m:rPr>
              <m:t>/</m:t>
            </m:r>
            <m:sSubSup>
              <m:e>
                <m:r>
                  <m:rPr>
                    <m:sty m:val="i"/>
                  </m:rPr>
                  <m:t>φ</m:t>
                </m:r>
              </m:e>
              <m:sub>
                <m:r>
                  <m:rPr>
                    <m:sty m:val="i"/>
                  </m:rPr>
                  <m:t>S</m:t>
                </m:r>
              </m:sub>
              <m:sup>
                <m:r>
                  <m:rPr>
                    <m:sty m:val="p"/>
                  </m:rPr>
                  <m:t>*</m:t>
                </m:r>
              </m:sup>
            </m:sSubSup>
            <m:sSup>
              <m:e>
                <m:r>
                  <m:rPr>
                    <m:sty m:val="p"/>
                  </m:rPr>
                  <m:t>)</m:t>
                </m:r>
              </m:e>
              <m:sup>
                <m:r>
                  <m:rPr>
                    <m:sty m:val="i"/>
                  </m:rPr>
                  <m:t>k</m:t>
                </m:r>
              </m:sup>
            </m:sSup>
            <m:r>
              <m:rPr>
                <m:sty m:val="p"/>
              </m:rPr>
              <m:t>−</m:t>
            </m:r>
            <m:r>
              <m:rPr>
                <m:sty m:val="p"/>
              </m:rPr>
              <m:t>(</m:t>
            </m:r>
            <m:sSub>
              <m:e>
                <m:r>
                  <m:rPr>
                    <m:sty m:val="i"/>
                  </m:rPr>
                  <m:t>φ</m:t>
                </m:r>
              </m:e>
              <m:sub>
                <m:box>
                  <m:e>
                    <m:r>
                      <m:rPr>
                        <m:sty m:val="p"/>
                      </m:rPr>
                      <m:t>min</m:t>
                    </m:r>
                  </m:e>
                </m:box>
              </m:sub>
            </m:sSub>
            <m:r>
              <m:rPr>
                <m:sty m:val="p"/>
              </m:rPr>
              <m:t>/</m:t>
            </m:r>
            <m:sSubSup>
              <m:e>
                <m:r>
                  <m:rPr>
                    <m:sty m:val="i"/>
                  </m:rPr>
                  <m:t>φ</m:t>
                </m:r>
              </m:e>
              <m:sub>
                <m:r>
                  <m:rPr>
                    <m:sty m:val="i"/>
                  </m:rPr>
                  <m:t>U</m:t>
                </m:r>
              </m:sub>
              <m:sup>
                <m:r>
                  <m:rPr>
                    <m:sty m:val="p"/>
                  </m:rPr>
                  <m:t>*</m:t>
                </m:r>
              </m:sup>
            </m:sSubSup>
            <m:sSup>
              <m:e>
                <m:r>
                  <m:rPr>
                    <m:sty m:val="p"/>
                  </m:rPr>
                  <m:t>)</m:t>
                </m:r>
              </m:e>
              <m:sup>
                <m:r>
                  <m:rPr>
                    <m:sty m:val="i"/>
                  </m:rPr>
                  <m:t>k</m:t>
                </m:r>
              </m:sup>
            </m:sSup>
            <m:r>
              <m:rPr>
                <m:sty m:val="p"/>
              </m:rPr>
              <m:t>]</m:t>
            </m:r>
          </m:e>
        </m:box>
      </m:oMath>
      <w:r>
        <w:rPr>
          <w:rFonts w:ascii="Times New Roman" w:hAnsi="Times New Roman" w:eastAsia="宋体"/>
          <w:b w:val="0"/>
          <w:sz w:val="24"/>
        </w:rPr>
        <w:t>，</w:t>
      </w:r>
      <m:oMath>
        <m:box>
          <m:e>
            <m:sSub>
              <m:e>
                <m:r>
                  <m:rPr>
                    <m:sty m:val="i"/>
                  </m:rPr>
                  <m:t>M</m:t>
                </m:r>
              </m:e>
              <m:sub>
                <m:r>
                  <m:rPr>
                    <m:sty m:val="i"/>
                  </m:rPr>
                  <m:t>e</m:t>
                </m:r>
              </m:sub>
            </m:sSub>
          </m:e>
        </m:box>
      </m:oMath>
      <w:r>
        <w:rPr>
          <w:rFonts w:ascii="Times New Roman" w:hAnsi="Times New Roman" w:eastAsia="宋体"/>
          <w:b w:val="0"/>
          <w:sz w:val="24"/>
        </w:rPr>
        <w:t>为在位企业总测度），退出伴随沉没资本的报废与劳动力的转岗安置。设单位退出企业的社会调整支出由资本沉没损失</w:t>
      </w:r>
      <m:oMath>
        <m:box>
          <m:e>
            <m:r>
              <m:rPr>
                <m:sty m:val="i"/>
              </m:rPr>
              <m:t>κ</m:t>
            </m:r>
            <m:r>
              <m:rPr>
                <m:sty m:val="i"/>
              </m:rPr>
              <m:t>F</m:t>
            </m:r>
          </m:e>
        </m:box>
      </m:oMath>
      <w:r>
        <w:rPr>
          <w:rFonts w:ascii="Times New Roman" w:hAnsi="Times New Roman" w:eastAsia="宋体"/>
          <w:b w:val="0"/>
          <w:sz w:val="24"/>
        </w:rPr>
        <w:t>与转岗成本</w:t>
      </w:r>
      <m:oMath>
        <m:box>
          <m:e>
            <m:r>
              <m:rPr>
                <m:sty m:val="i"/>
              </m:rPr>
              <m:t>ω</m:t>
            </m:r>
            <m:groupChr>
              <m:groupChrPr>
                <m:chr m:val="¯"/>
                <m:pos m:val="top"/>
              </m:groupChrPr>
              <m:e>
                <m:box>
                  <m:e>
                    <m:r>
                      <m:rPr>
                        <m:sty m:val="i"/>
                      </m:rPr>
                      <m:t>l</m:t>
                    </m:r>
                  </m:e>
                </m:box>
              </m:e>
            </m:groupChr>
          </m:e>
        </m:box>
      </m:oMath>
      <w:r>
        <w:rPr>
          <w:rFonts w:ascii="Times New Roman" w:hAnsi="Times New Roman" w:eastAsia="宋体"/>
          <w:b w:val="0"/>
          <w:sz w:val="24"/>
        </w:rPr>
        <w:t>（</w:t>
      </w:r>
      <m:oMath>
        <m:box>
          <m:e>
            <m:groupChr>
              <m:groupChrPr>
                <m:chr m:val="¯"/>
                <m:pos m:val="top"/>
              </m:groupChrPr>
              <m:e>
                <m:box>
                  <m:e>
                    <m:r>
                      <m:rPr>
                        <m:sty m:val="i"/>
                      </m:rPr>
                      <m:t>l</m:t>
                    </m:r>
                  </m:e>
                </m:box>
              </m:e>
            </m:groupChr>
          </m:e>
        </m:box>
      </m:oMath>
      <w:r>
        <w:rPr>
          <w:rFonts w:ascii="Times New Roman" w:hAnsi="Times New Roman" w:eastAsia="宋体"/>
          <w:b w:val="0"/>
          <w:sz w:val="24"/>
        </w:rPr>
        <w:t>为单位企业平均用工）构成，调整强度参数为</w:t>
      </w:r>
      <m:oMath>
        <m:box>
          <m:e>
            <m:r>
              <m:rPr>
                <m:sty m:val="i"/>
              </m:rPr>
              <m:t>ψ</m:t>
            </m:r>
          </m:e>
        </m:box>
      </m:oMath>
      <w:r>
        <w:rPr>
          <w:rFonts w:ascii="Times New Roman" w:hAnsi="Times New Roman" w:eastAsia="宋体"/>
          <w:b w:val="0"/>
          <w:sz w:val="24"/>
        </w:rPr>
        <w:t>，则一次性调整成本为：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C</m:t>
                </m:r>
              </m:e>
              <m:sub>
                <m:box>
                  <m:e>
                    <m:r>
                      <m:rPr>
                        <m:sty m:val="i"/>
                      </m:rPr>
                      <m:t>A</m:t>
                    </m:r>
                    <m:r>
                      <m:rPr>
                        <m:sty m:val="i"/>
                      </m:rPr>
                      <m:t>D</m:t>
                    </m:r>
                    <m:r>
                      <m:rPr>
                        <m:sty m:val="i"/>
                      </m:rPr>
                      <m:t>J</m:t>
                    </m:r>
                  </m:e>
                </m:box>
              </m:sub>
            </m:sSub>
            <m:r>
              <m:rPr>
                <m:sty m:val="p"/>
              </m:rPr>
              <m:t>=</m:t>
            </m:r>
            <m:r>
              <m:rPr>
                <m:sty m:val="i"/>
              </m:rPr>
              <m:t>ψ</m:t>
            </m:r>
            <m:sSub>
              <m:e>
                <m:r>
                  <m:rPr>
                    <m:sty m:val="i"/>
                  </m:rPr>
                  <m:t>E</m:t>
                </m:r>
              </m:e>
              <m:sub>
                <m:r>
                  <m:rPr>
                    <m:sty m:val="i"/>
                  </m:rPr>
                  <m:t>x</m:t>
                </m:r>
              </m:sub>
            </m:sSub>
            <m:r>
              <m:rPr>
                <m:sty m:val="p"/>
              </m:rPr>
              <m:t>(</m:t>
            </m:r>
            <m:r>
              <m:rPr>
                <m:sty m:val="i"/>
              </m:rPr>
              <m:t>κ</m:t>
            </m:r>
            <m:r>
              <m:rPr>
                <m:sty m:val="i"/>
              </m:rPr>
              <m:t>F</m:t>
            </m:r>
            <m:r>
              <m:rPr>
                <m:sty m:val="p"/>
              </m:rPr>
              <m:t>+</m:t>
            </m:r>
            <m:r>
              <m:rPr>
                <m:sty m:val="i"/>
              </m:rPr>
              <m:t>ω</m:t>
            </m:r>
            <m:groupChr>
              <m:groupChrPr>
                <m:chr m:val="¯"/>
                <m:pos m:val="top"/>
              </m:groupChrPr>
              <m:e>
                <m:box>
                  <m:e>
                    <m:r>
                      <m:rPr>
                        <m:sty m:val="i"/>
                      </m:rPr>
                      <m:t>l</m:t>
                    </m:r>
                  </m:e>
                </m:box>
              </m:e>
            </m:groupChr>
            <m:r>
              <m:rPr>
                <m:sty m:val="p"/>
              </m:rPr>
              <m:t>)</m:t>
            </m:r>
          </m:e>
        </m:box>
      </m:oMath>
      <w:r>
        <w:rPr>
          <w:rFonts w:ascii="Times New Roman" w:hAnsi="Times New Roman" w:eastAsia="宋体"/>
          <w:b w:val="0"/>
          <w:sz w:val="24"/>
        </w:rPr>
        <w:tab/>
        <w:t>(4-51)</w:t>
      </w:r>
    </w:p>
    <w:p>
      <w:pPr>
        <w:spacing w:before="0" w:after="0" w:line="360" w:lineRule="auto"/>
        <w:ind w:firstLineChars="200" w:firstLine="480"/>
      </w:pPr>
      <w:r>
        <w:rPr>
          <w:rFonts w:ascii="Times New Roman" w:hAnsi="Times New Roman" w:eastAsia="宋体"/>
          <w:b w:val="0"/>
          <w:sz w:val="24"/>
        </w:rPr>
        <w:t>将式(4-47)—(4-51)代入式(4-46)，净红利为正的充要条件为：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Δ</m:t>
                </m:r>
              </m:e>
              <m:sub>
                <m:box>
                  <m:e>
                    <m:r>
                      <m:rPr>
                        <m:sty m:val="i"/>
                      </m:rPr>
                      <m:t>S</m:t>
                    </m:r>
                    <m:r>
                      <m:rPr>
                        <m:sty m:val="i"/>
                      </m:rPr>
                      <m:t>C</m:t>
                    </m:r>
                  </m:e>
                </m:box>
              </m:sub>
            </m:sSub>
            <m:r>
              <m:rPr>
                <m:sty m:val="p"/>
              </m:rPr>
              <m:t>+</m:t>
            </m:r>
            <m:sSub>
              <m:e>
                <m:r>
                  <m:rPr>
                    <m:sty m:val="i"/>
                  </m:rPr>
                  <m:t>Δ</m:t>
                </m:r>
              </m:e>
              <m:sub>
                <m:box>
                  <m:e>
                    <m:r>
                      <m:rPr>
                        <m:sty m:val="i"/>
                      </m:rPr>
                      <m:t>S</m:t>
                    </m:r>
                    <m:r>
                      <m:rPr>
                        <m:sty m:val="i"/>
                      </m:rPr>
                      <m:t>E</m:t>
                    </m:r>
                    <m:r>
                      <m:rPr>
                        <m:sty m:val="i"/>
                      </m:rPr>
                      <m:t>L</m:t>
                    </m:r>
                  </m:e>
                </m:box>
              </m:sub>
            </m:sSub>
            <m:r>
              <m:rPr>
                <m:sty m:val="p"/>
              </m:rPr>
              <m:t>+</m:t>
            </m:r>
            <m:sSub>
              <m:e>
                <m:r>
                  <m:rPr>
                    <m:sty m:val="i"/>
                  </m:rPr>
                  <m:t>Δ</m:t>
                </m:r>
              </m:e>
              <m:sub>
                <m:box>
                  <m:e>
                    <m:r>
                      <m:rPr>
                        <m:sty m:val="i"/>
                      </m:rPr>
                      <m:t>I</m:t>
                    </m:r>
                    <m:r>
                      <m:rPr>
                        <m:sty m:val="i"/>
                      </m:rPr>
                      <m:t>N</m:t>
                    </m:r>
                    <m:r>
                      <m:rPr>
                        <m:sty m:val="i"/>
                      </m:rPr>
                      <m:t>N</m:t>
                    </m:r>
                  </m:e>
                </m:box>
              </m:sub>
            </m:sSub>
            <m:r>
              <m:rPr>
                <m:sty m:val="p"/>
              </m:rPr>
              <m:t>+</m:t>
            </m:r>
            <m:sSub>
              <m:e>
                <m:r>
                  <m:rPr>
                    <m:sty m:val="i"/>
                  </m:rPr>
                  <m:t>Δ</m:t>
                </m:r>
              </m:e>
              <m:sub>
                <m:box>
                  <m:e>
                    <m:r>
                      <m:rPr>
                        <m:sty m:val="i"/>
                      </m:rPr>
                      <m:t>O</m:t>
                    </m:r>
                    <m:r>
                      <m:rPr>
                        <m:sty m:val="i"/>
                      </m:rPr>
                      <m:t>R</m:t>
                    </m:r>
                    <m:r>
                      <m:rPr>
                        <m:sty m:val="i"/>
                      </m:rPr>
                      <m:t>D</m:t>
                    </m:r>
                  </m:e>
                </m:box>
              </m:sub>
            </m:sSub>
            <m:r>
              <m:rPr>
                <m:sty m:val="p"/>
              </m:rPr>
              <m:t>&gt;</m:t>
            </m:r>
            <m:r>
              <m:rPr>
                <m:sty m:val="i"/>
              </m:rPr>
              <m:t>r</m:t>
            </m:r>
            <m:r>
              <m:rPr>
                <m:nor/>
              </m:rPr>
              <m:t> </m:t>
            </m:r>
            <m:sSub>
              <m:e>
                <m:r>
                  <m:rPr>
                    <m:sty m:val="i"/>
                  </m:rPr>
                  <m:t>C</m:t>
                </m:r>
              </m:e>
              <m:sub>
                <m:box>
                  <m:e>
                    <m:r>
                      <m:rPr>
                        <m:sty m:val="i"/>
                      </m:rPr>
                      <m:t>A</m:t>
                    </m:r>
                    <m:r>
                      <m:rPr>
                        <m:sty m:val="i"/>
                      </m:rPr>
                      <m:t>D</m:t>
                    </m:r>
                    <m:r>
                      <m:rPr>
                        <m:sty m:val="i"/>
                      </m:rPr>
                      <m:t>J</m:t>
                    </m:r>
                  </m:e>
                </m:box>
              </m:sub>
            </m:sSub>
          </m:e>
        </m:box>
      </m:oMath>
      <w:r>
        <w:rPr>
          <w:rFonts w:ascii="Times New Roman" w:hAnsi="Times New Roman" w:eastAsia="宋体"/>
          <w:b w:val="0"/>
          <w:sz w:val="24"/>
        </w:rPr>
        <w:tab/>
        <w:t>(4-52)</w:t>
      </w:r>
    </w:p>
    <w:p>
      <w:pPr>
        <w:spacing w:before="0" w:after="0" w:line="360" w:lineRule="auto"/>
        <w:ind w:firstLineChars="200" w:firstLine="480"/>
      </w:pPr>
      <w:r>
        <w:rPr>
          <w:rFonts w:ascii="Times New Roman" w:hAnsi="Times New Roman" w:eastAsia="宋体"/>
          <w:b/>
          <w:sz w:val="24"/>
        </w:rPr>
        <w:t>推论4-1（统一红利为正及其随分割深度递增）</w:t>
      </w:r>
      <w:r>
        <w:rPr>
          <w:rFonts w:ascii="Times New Roman" w:hAnsi="Times New Roman" w:eastAsia="宋体"/>
          <w:b w:val="0"/>
          <w:sz w:val="24"/>
        </w:rPr>
        <w:t xml:space="preserve">　（i）由于四个增益项为永续流量而调整成本为一次性支出，只要贴现率有限且增益流量为正，长期净红利</w:t>
      </w:r>
      <m:oMath>
        <m:box>
          <m:e>
            <m:r>
              <m:rPr>
                <m:sty m:val="i"/>
              </m:rPr>
              <m:t>D</m:t>
            </m:r>
            <m:r>
              <m:rPr>
                <m:sty m:val="p"/>
              </m:rPr>
              <m:t>&gt;</m:t>
            </m:r>
            <m:r>
              <m:rPr>
                <m:sty m:val="p"/>
              </m:rPr>
              <m:t>0</m:t>
            </m:r>
          </m:e>
        </m:box>
      </m:oMath>
      <w:r>
        <w:rPr>
          <w:rFonts w:ascii="Times New Roman" w:hAnsi="Times New Roman" w:eastAsia="宋体"/>
          <w:b w:val="0"/>
          <w:sz w:val="24"/>
        </w:rPr>
        <w:t>的条件(4-52)在广泛的参数区域内成立；（ii）</w:t>
      </w:r>
      <m:oMath>
        <m:box>
          <m:e>
            <m:r>
              <m:rPr>
                <m:sty m:val="p"/>
              </m:rPr>
              <m:t>∂</m:t>
            </m:r>
            <m:r>
              <m:rPr>
                <m:sty m:val="i"/>
              </m:rPr>
              <m:t>D</m:t>
            </m:r>
            <m:r>
              <m:rPr>
                <m:sty m:val="p"/>
              </m:rPr>
              <m:t>/</m:t>
            </m:r>
            <m:r>
              <m:rPr>
                <m:sty m:val="p"/>
              </m:rPr>
              <m:t>∂</m:t>
            </m:r>
            <m:sSub>
              <m:e>
                <m:r>
                  <m:rPr>
                    <m:sty m:val="i"/>
                  </m:rPr>
                  <m:t>N</m:t>
                </m:r>
              </m:e>
              <m:sub>
                <m:r>
                  <m:rPr>
                    <m:sty m:val="p"/>
                  </m:rPr>
                  <m:t>0</m:t>
                </m:r>
              </m:sub>
            </m:sSub>
            <m:r>
              <m:rPr>
                <m:sty m:val="p"/>
              </m:rPr>
              <m:t>&gt;</m:t>
            </m:r>
            <m:r>
              <m:rPr>
                <m:sty m:val="p"/>
              </m:rPr>
              <m:t>0</m:t>
            </m:r>
          </m:e>
        </m:box>
      </m:oMath>
      <w:r>
        <w:rPr>
          <w:rFonts w:ascii="Times New Roman" w:hAnsi="Times New Roman" w:eastAsia="宋体"/>
          <w:b w:val="0"/>
          <w:sz w:val="24"/>
        </w:rPr>
        <w:t>、</w:t>
      </w:r>
      <m:oMath>
        <m:box>
          <m:e>
            <m:r>
              <m:rPr>
                <m:sty m:val="p"/>
              </m:rPr>
              <m:t>∂</m:t>
            </m:r>
            <m:r>
              <m:rPr>
                <m:sty m:val="i"/>
              </m:rPr>
              <m:t>D</m:t>
            </m:r>
            <m:r>
              <m:rPr>
                <m:sty m:val="p"/>
              </m:rPr>
              <m:t>/</m:t>
            </m:r>
            <m:r>
              <m:rPr>
                <m:sty m:val="p"/>
              </m:rPr>
              <m:t>∂</m:t>
            </m:r>
            <m:sSub>
              <m:e>
                <m:r>
                  <m:rPr>
                    <m:sty m:val="i"/>
                  </m:rPr>
                  <m:t>τ</m:t>
                </m:r>
              </m:e>
              <m:sub>
                <m:r>
                  <m:rPr>
                    <m:sty m:val="p"/>
                  </m:rPr>
                  <m:t>0</m:t>
                </m:r>
              </m:sub>
            </m:sSub>
            <m:r>
              <m:rPr>
                <m:sty m:val="p"/>
              </m:rPr>
              <m:t>&gt;</m:t>
            </m:r>
            <m:r>
              <m:rPr>
                <m:sty m:val="p"/>
              </m:rPr>
              <m:t>0</m:t>
            </m:r>
          </m:e>
        </m:box>
      </m:oMath>
      <w:r>
        <w:rPr>
          <w:rFonts w:ascii="Times New Roman" w:hAnsi="Times New Roman" w:eastAsia="宋体"/>
          <w:b w:val="0"/>
          <w:sz w:val="24"/>
        </w:rPr>
        <w:t>：初始分割越深，统一的边际红利越大；（iii）调整成本在时序上前置、红利在时序上后置，故改革存在“先痛后甜”的时间结构，需要过渡性安排平滑调整。</w:t>
      </w:r>
    </w:p>
    <w:p>
      <w:pPr>
        <w:spacing w:before="0" w:after="0" w:line="360" w:lineRule="auto"/>
        <w:ind w:firstLineChars="200" w:firstLine="480"/>
      </w:pPr>
      <w:r>
        <w:rPr>
          <w:rFonts w:ascii="Times New Roman" w:hAnsi="Times New Roman" w:eastAsia="宋体"/>
          <w:b w:val="0"/>
          <w:sz w:val="24"/>
        </w:rPr>
        <w:t>证明思路：(i)由式(4-46)的现值结构直接得到；(ii)分别对式(4-47)、(4-48)求偏导，</w:t>
      </w:r>
      <m:oMath>
        <m:box>
          <m:e>
            <m:r>
              <m:rPr>
                <m:sty m:val="p"/>
              </m:rPr>
              <m:t>∂</m:t>
            </m:r>
            <m:sSub>
              <m:e>
                <m:r>
                  <m:rPr>
                    <m:sty m:val="i"/>
                  </m:rPr>
                  <m:t>Δ</m:t>
                </m:r>
              </m:e>
              <m:sub>
                <m:box>
                  <m:e>
                    <m:r>
                      <m:rPr>
                        <m:sty m:val="i"/>
                      </m:rPr>
                      <m:t>S</m:t>
                    </m:r>
                    <m:r>
                      <m:rPr>
                        <m:sty m:val="i"/>
                      </m:rPr>
                      <m:t>C</m:t>
                    </m:r>
                  </m:e>
                </m:box>
              </m:sub>
            </m:sSub>
            <m:r>
              <m:rPr>
                <m:sty m:val="p"/>
              </m:rPr>
              <m:t>/</m:t>
            </m:r>
            <m:r>
              <m:rPr>
                <m:sty m:val="p"/>
              </m:rPr>
              <m:t>∂</m:t>
            </m:r>
            <m:sSub>
              <m:e>
                <m:r>
                  <m:rPr>
                    <m:sty m:val="i"/>
                  </m:rPr>
                  <m:t>N</m:t>
                </m:r>
              </m:e>
              <m:sub>
                <m:r>
                  <m:rPr>
                    <m:sty m:val="p"/>
                  </m:rPr>
                  <m:t>0</m:t>
                </m:r>
              </m:sub>
            </m:sSub>
            <m:r>
              <m:rPr>
                <m:sty m:val="p"/>
              </m:rPr>
              <m:t>&gt;</m:t>
            </m:r>
            <m:r>
              <m:rPr>
                <m:sty m:val="p"/>
              </m:rPr>
              <m:t>0</m:t>
            </m:r>
          </m:e>
        </m:box>
      </m:oMath>
      <w:r>
        <w:rPr>
          <w:rFonts w:ascii="Times New Roman" w:hAnsi="Times New Roman" w:eastAsia="宋体"/>
          <w:b w:val="0"/>
          <w:sz w:val="24"/>
        </w:rPr>
        <w:t>，且</w:t>
      </w:r>
      <m:oMath>
        <m:box>
          <m:e>
            <m:r>
              <m:rPr>
                <m:sty m:val="p"/>
              </m:rPr>
              <m:t>ln</m:t>
            </m:r>
            <m:r>
              <m:rPr>
                <m:sty m:val="p"/>
              </m:rPr>
              <m:t>(</m:t>
            </m:r>
            <m:sSub>
              <m:e>
                <m:r>
                  <m:rPr>
                    <m:sty m:val="i"/>
                  </m:rPr>
                  <m:t>τ</m:t>
                </m:r>
              </m:e>
              <m:sub>
                <m:r>
                  <m:rPr>
                    <m:sty m:val="p"/>
                  </m:rPr>
                  <m:t>0</m:t>
                </m:r>
              </m:sub>
            </m:sSub>
            <m:r>
              <m:rPr>
                <m:sty m:val="p"/>
              </m:rPr>
              <m:t>/</m:t>
            </m:r>
            <m:sSub>
              <m:e>
                <m:r>
                  <m:rPr>
                    <m:sty m:val="i"/>
                  </m:rPr>
                  <m:t>τ</m:t>
                </m:r>
              </m:e>
              <m:sub>
                <m:r>
                  <m:rPr>
                    <m:sty m:val="p"/>
                  </m:rPr>
                  <m:t>1</m:t>
                </m:r>
              </m:sub>
            </m:sSub>
            <m:r>
              <m:rPr>
                <m:sty m:val="p"/>
              </m:rPr>
              <m:t>)</m:t>
            </m:r>
          </m:e>
        </m:box>
      </m:oMath>
      <w:r>
        <w:rPr>
          <w:rFonts w:ascii="Times New Roman" w:hAnsi="Times New Roman" w:eastAsia="宋体"/>
          <w:b w:val="0"/>
          <w:sz w:val="24"/>
        </w:rPr>
        <w:t>与</w:t>
      </w:r>
      <m:oMath>
        <m:box>
          <m:e>
            <m:r>
              <m:rPr>
                <m:sty m:val="i"/>
              </m:rPr>
              <m:t>ρ</m:t>
            </m:r>
            <m:r>
              <m:rPr>
                <m:sty m:val="p"/>
              </m:rPr>
              <m:t>/</m:t>
            </m:r>
            <m:r>
              <m:rPr>
                <m:sty m:val="p"/>
              </m:rPr>
              <m:t>(</m:t>
            </m:r>
            <m:r>
              <m:rPr>
                <m:sty m:val="i"/>
              </m:rPr>
              <m:t>f</m:t>
            </m:r>
            <m:r>
              <m:rPr>
                <m:sty m:val="p"/>
              </m:rPr>
              <m:t>+</m:t>
            </m:r>
            <m:r>
              <m:rPr>
                <m:sty m:val="i"/>
              </m:rPr>
              <m:t>ρ</m:t>
            </m:r>
            <m:r>
              <m:rPr>
                <m:sty m:val="p"/>
              </m:rPr>
              <m:t>)</m:t>
            </m:r>
          </m:e>
        </m:box>
      </m:oMath>
      <w:r>
        <w:rPr>
          <w:rFonts w:ascii="Times New Roman" w:hAnsi="Times New Roman" w:eastAsia="宋体"/>
          <w:b w:val="0"/>
          <w:sz w:val="24"/>
        </w:rPr>
        <w:t>的乘积随</w:t>
      </w:r>
      <m:oMath>
        <m:box>
          <m:e>
            <m:sSub>
              <m:e>
                <m:r>
                  <m:rPr>
                    <m:sty m:val="i"/>
                  </m:rPr>
                  <m:t>τ</m:t>
                </m:r>
              </m:e>
              <m:sub>
                <m:r>
                  <m:rPr>
                    <m:sty m:val="p"/>
                  </m:rPr>
                  <m:t>0</m:t>
                </m:r>
              </m:sub>
            </m:sSub>
          </m:e>
        </m:box>
      </m:oMath>
      <w:r>
        <w:rPr>
          <w:rFonts w:ascii="Times New Roman" w:hAnsi="Times New Roman" w:eastAsia="宋体"/>
          <w:b w:val="0"/>
          <w:sz w:val="24"/>
        </w:rPr>
        <w:t>上升而增大；(iii)由增益为流量、成本为存量的时间结构即得。证毕。</w:t>
      </w:r>
    </w:p>
    <w:p>
      <w:pPr>
        <w:spacing w:before="0" w:after="0" w:line="360" w:lineRule="auto"/>
        <w:ind w:firstLineChars="200" w:firstLine="480"/>
      </w:pPr>
      <w:r>
        <w:rPr>
          <w:rFonts w:ascii="Times New Roman" w:hAnsi="Times New Roman" w:eastAsia="宋体"/>
          <w:b w:val="0"/>
          <w:sz w:val="24"/>
        </w:rPr>
        <w:t>四大增益项与调整成本项的相对量级可以用瀑布图直观呈现（见图4.4）。</w:t>
      </w:r>
    </w:p>
    <w:p>
      <w:pPr>
        <w:spacing w:before="120"/>
        <w:jc w:val="center"/>
      </w:pPr>
      <w:r>
        <w:drawing>
          <wp:inline xmlns:a="http://schemas.openxmlformats.org/drawingml/2006/main" xmlns:pic="http://schemas.openxmlformats.org/drawingml/2006/picture">
            <wp:extent cx="5112000" cy="3164096"/>
            <wp:docPr id="10" name="Picture 10"/>
            <wp:cNvGraphicFramePr>
              <a:graphicFrameLocks noChangeAspect="1"/>
            </wp:cNvGraphicFramePr>
            <a:graphic>
              <a:graphicData uri="http://schemas.openxmlformats.org/drawingml/2006/picture">
                <pic:pic>
                  <pic:nvPicPr>
                    <pic:cNvPr id="0" name="fig_4_4.png"/>
                    <pic:cNvPicPr/>
                  </pic:nvPicPr>
                  <pic:blipFill>
                    <a:blip r:embed="rId18"/>
                    <a:stretch>
                      <a:fillRect/>
                    </a:stretch>
                  </pic:blipFill>
                  <pic:spPr>
                    <a:xfrm>
                      <a:off x="0" y="0"/>
                      <a:ext cx="5112000" cy="3164096"/>
                    </a:xfrm>
                    <a:prstGeom prst="rect"/>
                  </pic:spPr>
                </pic:pic>
              </a:graphicData>
            </a:graphic>
          </wp:inline>
        </w:drawing>
      </w:r>
    </w:p>
    <w:p>
      <w:pPr>
        <w:spacing w:before="120" w:after="120" w:line="312" w:lineRule="auto"/>
        <w:jc w:val="center"/>
      </w:pPr>
      <w:r>
        <w:rPr>
          <w:rFonts w:ascii="Times New Roman" w:hAnsi="Times New Roman" w:eastAsia="黑体"/>
          <w:b w:val="0"/>
          <w:sz w:val="21"/>
        </w:rPr>
        <w:t>图4.4　“统一红利”的福利分解</w:t>
      </w:r>
    </w:p>
    <w:p>
      <w:pPr>
        <w:spacing w:before="0" w:after="0" w:line="360" w:lineRule="auto"/>
        <w:ind w:firstLineChars="200" w:firstLine="480"/>
      </w:pPr>
      <w:r>
        <w:rPr>
          <w:rFonts w:ascii="Times New Roman" w:hAnsi="Times New Roman" w:eastAsia="宋体"/>
          <w:b w:val="0"/>
          <w:sz w:val="24"/>
        </w:rPr>
        <w:t>图4.4以标准化单位呈现了统一红利的分项构成：规模经济效应贡献+1.0，选择效应（再配置）贡献+1.3，创新激励效应贡献+0.9，预期秩序效应贡献+0.5，四项增益合计+3.7；转型调整成本为-0.7，净红利为+3.0。三点解读如下。其一，选择效应是最大的单项来源，这与资源误置文献的判断一致——发展中经济体企业间生产率离散度大，再配置空间也大（Hsieh和Klenow，2009），中国区际贸易成本下降的福利收益测算亦支持这一量级排序（Tombe和Zhu，2019）；其二，创新项虽在静态核算中居中，但它是唯一具有增长率效应而非水平效应的分项，长期看其累积贡献将超过静态各项，图中数值应理解为保守的年化下界；其三，调整成本约为总增益的五分之一，规模不容忽视但远不足以逆转净红利的符号——真正的政策问题不是“要不要统一”，而是如何用退出援助、转岗培训、社保衔接等机制把这个负项在时间与人群上摊薄。概括本节：福利分解表明，“统一红利”是规模、选择、创新、秩序四重增益扣除一次性调整成本后的净值，其符号在长期稳健为正、其大小随初始分割深度递增，此即假说H4、H5的福利论基础。</w:t>
      </w:r>
    </w:p>
    <w:p>
      <w:pPr>
        <w:spacing w:before="200" w:after="160" w:line="360" w:lineRule="auto"/>
        <w:outlineLvl w:val="1"/>
      </w:pPr>
      <w:r>
        <w:rPr>
          <w:rFonts w:ascii="Times New Roman" w:hAnsi="Times New Roman" w:eastAsia="黑体"/>
          <w:b w:val="0"/>
          <w:sz w:val="28"/>
        </w:rPr>
        <w:t>（五）可检验命题汇总：从理论到实证</w:t>
      </w:r>
    </w:p>
    <w:p>
      <w:pPr>
        <w:spacing w:before="160" w:after="120" w:line="360" w:lineRule="auto"/>
        <w:outlineLvl w:val="2"/>
      </w:pPr>
      <w:r>
        <w:rPr>
          <w:rFonts w:ascii="Times New Roman" w:hAnsi="Times New Roman" w:eastAsia="黑体"/>
          <w:b w:val="0"/>
          <w:sz w:val="24"/>
        </w:rPr>
        <w:t>1．从命题到假说</w:t>
      </w:r>
    </w:p>
    <w:p>
      <w:pPr>
        <w:spacing w:before="0" w:after="0" w:line="360" w:lineRule="auto"/>
        <w:ind w:firstLineChars="200" w:firstLine="480"/>
      </w:pPr>
      <w:r>
        <w:rPr>
          <w:rFonts w:ascii="Times New Roman" w:hAnsi="Times New Roman" w:eastAsia="宋体"/>
          <w:b w:val="0"/>
          <w:sz w:val="24"/>
        </w:rPr>
        <w:t>理论模型的价值最终要落在可检验性上。本章七个命题与一个推论，可以凝练为五个与本书实证部分逐一对应的假说。需要说明的是，命题中的结构参数——分割成本</w:t>
      </w:r>
      <m:oMath>
        <m:box>
          <m:e>
            <m:r>
              <m:rPr>
                <m:sty m:val="i"/>
              </m:rPr>
              <m:t>τ</m:t>
            </m:r>
          </m:e>
        </m:box>
      </m:oMath>
      <w:r>
        <w:rPr>
          <w:rFonts w:ascii="Times New Roman" w:hAnsi="Times New Roman" w:eastAsia="宋体"/>
          <w:b w:val="0"/>
          <w:sz w:val="24"/>
        </w:rPr>
        <w:t>、补贴</w:t>
      </w:r>
      <m:oMath>
        <m:box>
          <m:e>
            <m:r>
              <m:rPr>
                <m:sty m:val="i"/>
              </m:rPr>
              <m:t>s</m:t>
            </m:r>
          </m:e>
        </m:box>
      </m:oMath>
      <w:r>
        <w:rPr>
          <w:rFonts w:ascii="Times New Roman" w:hAnsi="Times New Roman" w:eastAsia="宋体"/>
          <w:b w:val="0"/>
          <w:sz w:val="24"/>
        </w:rPr>
        <w:t>、政治溢价</w:t>
      </w:r>
      <m:oMath>
        <m:box>
          <m:e>
            <m:r>
              <m:rPr>
                <m:sty m:val="i"/>
              </m:rPr>
              <m:t>θ</m:t>
            </m:r>
          </m:e>
        </m:box>
      </m:oMath>
      <w:r>
        <w:rPr>
          <w:rFonts w:ascii="Times New Roman" w:hAnsi="Times New Roman" w:eastAsia="宋体"/>
          <w:b w:val="0"/>
          <w:sz w:val="24"/>
        </w:rPr>
        <w:t>、庇护强度</w:t>
      </w:r>
      <m:oMath>
        <m:box>
          <m:e>
            <m:r>
              <m:rPr>
                <m:sty m:val="i"/>
              </m:rPr>
              <m:t>δ</m:t>
            </m:r>
          </m:e>
        </m:box>
      </m:oMath>
      <w:r>
        <w:rPr>
          <w:rFonts w:ascii="Times New Roman" w:hAnsi="Times New Roman" w:eastAsia="宋体"/>
          <w:b w:val="0"/>
          <w:sz w:val="24"/>
        </w:rPr>
        <w:t>——在实证中分别由第六章构造的省域市场分割指数、补贴强度变量、财政与考核压力变量、退出粘性指标操作化；“内卷式”竞争强度则由第三章式(3-1)界定、第六章以价格竞争烈度、产能冗余度、盈利侵蚀度、同质化程度、退出粘性五个维度熵权合成的指数度量，模型对象与指数维度存在明确的映射关系：命题4-2的成本线以下定价对应价格竞争烈度，命题4-4的过度进入对应产能冗余度与同质化程度，命题4-5的持续亏损与不出清分别对应盈利侵蚀度与退出粘性。</w:t>
      </w:r>
    </w:p>
    <w:p>
      <w:pPr>
        <w:spacing w:before="0" w:after="0" w:line="360" w:lineRule="auto"/>
        <w:ind w:firstLineChars="200" w:firstLine="480"/>
      </w:pPr>
      <w:r>
        <w:rPr>
          <w:rFonts w:ascii="Times New Roman" w:hAnsi="Times New Roman" w:eastAsia="宋体"/>
          <w:b w:val="0"/>
          <w:sz w:val="24"/>
        </w:rPr>
        <w:t>假说H1（分割加剧内卷）：市场分割程度越高的省份与行业，“内卷式”竞争强度越高。理论来源是命题4-3（分割抬高均衡补贴）、命题4-4（分割放大过度进入、压低企业规模与利润率）与命题4-5（分割放大行业亏损盘子）；第八章以分割指数对内卷指数的面板回归检验之。</w:t>
      </w:r>
    </w:p>
    <w:p>
      <w:pPr>
        <w:spacing w:before="0" w:after="0" w:line="360" w:lineRule="auto"/>
        <w:ind w:firstLineChars="200" w:firstLine="480"/>
      </w:pPr>
      <w:r>
        <w:rPr>
          <w:rFonts w:ascii="Times New Roman" w:hAnsi="Times New Roman" w:eastAsia="宋体"/>
          <w:b w:val="0"/>
          <w:sz w:val="24"/>
        </w:rPr>
        <w:t>假说H2（补贴竞争的中介渠道）：市场分割通过加剧地方补贴竞争与产业同构，间接推高“内卷”强度；控制补贴强度与同构程度后，分割的直接效应应显著弱化。理论来源是命题4-3的比较静态及其与命题4-4(iii)的传导链条（分割→补贴→进入放大）；第八章以中介效应两步法检验之。</w:t>
      </w:r>
    </w:p>
    <w:p>
      <w:pPr>
        <w:spacing w:before="0" w:after="0" w:line="360" w:lineRule="auto"/>
        <w:ind w:firstLineChars="200" w:firstLine="480"/>
      </w:pPr>
      <w:r>
        <w:rPr>
          <w:rFonts w:ascii="Times New Roman" w:hAnsi="Times New Roman" w:eastAsia="宋体"/>
          <w:b w:val="0"/>
          <w:sz w:val="24"/>
        </w:rPr>
        <w:t>假说H3（需求收缩放大、退出摩擦延长）：需求收缩冲击会放大“内卷”强度，退出摩擦（僵尸企业庇护、破产制度不完善）会延长“内卷”存续；二者存在交互——庇护越强的地区，需求冲击后的内卷回落越慢。理论来源是命题4-5的存续条件</w:t>
      </w:r>
      <m:oMath>
        <m:box>
          <m:e>
            <m:r>
              <m:rPr>
                <m:sty m:val="i"/>
              </m:rPr>
              <m:t>ε</m:t>
            </m:r>
            <m:r>
              <m:rPr>
                <m:sty m:val="p"/>
              </m:rPr>
              <m:t>≤</m:t>
            </m:r>
            <m:r>
              <m:rPr>
                <m:sty m:val="i"/>
              </m:rPr>
              <m:t>δ</m:t>
            </m:r>
          </m:e>
        </m:box>
      </m:oMath>
      <w:r>
        <w:rPr>
          <w:rFonts w:ascii="Times New Roman" w:hAnsi="Times New Roman" w:eastAsia="宋体"/>
          <w:b w:val="0"/>
          <w:sz w:val="24"/>
        </w:rPr>
        <w:t>；第八章以2020年后时期异质性与退出粘性机制检验之。</w:t>
      </w:r>
    </w:p>
    <w:p>
      <w:pPr>
        <w:spacing w:before="0" w:after="0" w:line="360" w:lineRule="auto"/>
        <w:ind w:firstLineChars="200" w:firstLine="480"/>
      </w:pPr>
      <w:r>
        <w:rPr>
          <w:rFonts w:ascii="Times New Roman" w:hAnsi="Times New Roman" w:eastAsia="宋体"/>
          <w:b w:val="0"/>
          <w:sz w:val="24"/>
        </w:rPr>
        <w:t>假说H4（统一降卷与秩序修复）：统一大市场建设的推进（以公平竞争审查制度实施为准自然实验）显著降低“内卷”强度，并修复企业利润率与价格秩序。理论来源是命题4-1、4-2的逆向运用（规则约束使补贴博弈向合作解收敛）、命题4-6(iii)与推论4-1；第九章以强度双重差分设计检验之。</w:t>
      </w:r>
    </w:p>
    <w:p>
      <w:pPr>
        <w:spacing w:before="0" w:after="0" w:line="360" w:lineRule="auto"/>
        <w:ind w:firstLineChars="200" w:firstLine="480"/>
      </w:pPr>
      <w:r>
        <w:rPr>
          <w:rFonts w:ascii="Times New Roman" w:hAnsi="Times New Roman" w:eastAsia="宋体"/>
          <w:b w:val="0"/>
          <w:sz w:val="24"/>
        </w:rPr>
        <w:t>假说H5（统一提升TFP与创新）：统一大市场建设提升地区全要素生产率、资源配置效率与创新产出（新产品、发明专利、出口技术复杂度）。理论来源是命题4-6的选择效应与命题4-7的创新激励效应；第九章检验之。</w:t>
      </w:r>
    </w:p>
    <w:p>
      <w:pPr>
        <w:spacing w:before="160" w:after="120" w:line="360" w:lineRule="auto"/>
        <w:outlineLvl w:val="2"/>
      </w:pPr>
      <w:r>
        <w:rPr>
          <w:rFonts w:ascii="Times New Roman" w:hAnsi="Times New Roman" w:eastAsia="黑体"/>
          <w:b w:val="0"/>
          <w:sz w:val="24"/>
        </w:rPr>
        <w:t>2．命题—假说—检验的对应关系</w:t>
      </w:r>
    </w:p>
    <w:p>
      <w:pPr>
        <w:spacing w:before="0" w:after="0" w:line="360" w:lineRule="auto"/>
        <w:ind w:firstLineChars="200" w:firstLine="480"/>
      </w:pPr>
      <w:r>
        <w:rPr>
          <w:rFonts w:ascii="Times New Roman" w:hAnsi="Times New Roman" w:eastAsia="宋体"/>
          <w:b w:val="0"/>
          <w:sz w:val="24"/>
        </w:rPr>
        <w:t>表4.2汇总了全部命题、对应假说与实证检验安排（见表4.2）。</w:t>
      </w:r>
    </w:p>
    <w:p>
      <w:pPr>
        <w:spacing w:before="160" w:after="80" w:line="312" w:lineRule="auto"/>
        <w:jc w:val="center"/>
      </w:pPr>
      <w:r>
        <w:rPr>
          <w:rFonts w:ascii="Times New Roman" w:hAnsi="Times New Roman" w:eastAsia="黑体"/>
          <w:b w:val="0"/>
          <w:sz w:val="21"/>
        </w:rPr>
        <w:t>表4.2　理论命题与实证检验对应表</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编号</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命题要旨</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关键比较静态</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对应假说</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检验章节与方法</w:t>
            </w:r>
          </w:p>
        </w:tc>
      </w:tr>
      <w:tr>
        <w:tc>
          <w:tcPr>
            <w:tcW w:type="dxa" w:w="1701"/>
          </w:tcPr>
          <w:p>
            <w:pPr>
              <w:spacing w:before="20" w:after="20" w:line="276" w:lineRule="auto"/>
              <w:jc w:val="left"/>
            </w:pPr>
            <w:r/>
            <w:r>
              <w:rPr>
                <w:rFonts w:ascii="Times New Roman" w:hAnsi="Times New Roman" w:eastAsia="宋体"/>
                <w:b w:val="0"/>
                <w:sz w:val="21"/>
              </w:rPr>
              <w:t>命题4-1</w:t>
            </w:r>
          </w:p>
        </w:tc>
        <w:tc>
          <w:tcPr>
            <w:tcW w:type="dxa" w:w="1701"/>
          </w:tcPr>
          <w:p>
            <w:pPr>
              <w:spacing w:before="20" w:after="20" w:line="276" w:lineRule="auto"/>
              <w:jc w:val="left"/>
            </w:pPr>
            <w:r/>
            <w:r>
              <w:rPr>
                <w:rFonts w:ascii="Times New Roman" w:hAnsi="Times New Roman" w:eastAsia="宋体"/>
                <w:b w:val="0"/>
                <w:sz w:val="21"/>
              </w:rPr>
              <w:t>补贴竞争存在唯一纳什均衡，均衡产量超过社会最优，过剩幅度</w:t>
            </w:r>
            <m:oMath>
              <m:box>
                <m:e>
                  <m:sSup>
                    <m:e>
                      <m:r>
                        <m:rPr>
                          <m:sty m:val="i"/>
                        </m:rPr>
                        <m:t>Q</m:t>
                      </m:r>
                    </m:e>
                    <m:sup>
                      <m:r>
                        <m:rPr>
                          <m:sty m:val="p"/>
                        </m:rPr>
                        <m:t>*</m:t>
                      </m:r>
                    </m:sup>
                  </m:sSup>
                  <m:r>
                    <m:rPr>
                      <m:sty m:val="p"/>
                    </m:rPr>
                    <m:t>−</m:t>
                  </m:r>
                  <m:sSup>
                    <m:e>
                      <m:r>
                        <m:rPr>
                          <m:sty m:val="i"/>
                        </m:rPr>
                        <m:t>Q</m:t>
                      </m:r>
                    </m:e>
                    <m:sup>
                      <m:r>
                        <m:rPr>
                          <m:sty m:val="i"/>
                        </m:rPr>
                        <m:t>o</m:t>
                      </m:r>
                    </m:sup>
                  </m:sSup>
                  <m:r>
                    <m:rPr>
                      <m:sty m:val="p"/>
                    </m:rPr>
                    <m:t>=</m:t>
                  </m:r>
                  <m:r>
                    <m:rPr>
                      <m:sty m:val="i"/>
                    </m:rPr>
                    <m:t>θ</m:t>
                  </m:r>
                  <m:r>
                    <m:rPr>
                      <m:sty m:val="p"/>
                    </m:rPr>
                    <m:t>/</m:t>
                  </m:r>
                  <m:r>
                    <m:rPr>
                      <m:sty m:val="i"/>
                    </m:rPr>
                    <m:t>b</m:t>
                  </m:r>
                </m:e>
              </m:box>
            </m:oMath>
          </w:p>
        </w:tc>
        <w:tc>
          <w:tcPr>
            <w:tcW w:type="dxa" w:w="1701"/>
          </w:tcPr>
          <w:p>
            <w:pPr>
              <w:spacing w:before="20" w:after="20" w:line="276" w:lineRule="auto"/>
              <w:jc w:val="left"/>
            </w:pPr>
            <w:r/>
            <m:oMath>
              <m:box>
                <m:e>
                  <m:r>
                    <m:rPr>
                      <m:sty m:val="p"/>
                    </m:rPr>
                    <m:t>∂</m:t>
                  </m:r>
                  <m:sSup>
                    <m:e>
                      <m:r>
                        <m:rPr>
                          <m:sty m:val="i"/>
                        </m:rPr>
                        <m:t>s</m:t>
                      </m:r>
                    </m:e>
                    <m:sup>
                      <m:r>
                        <m:rPr>
                          <m:sty m:val="p"/>
                        </m:rPr>
                        <m:t>*</m:t>
                      </m:r>
                    </m:sup>
                  </m:sSup>
                  <m:r>
                    <m:rPr>
                      <m:sty m:val="p"/>
                    </m:rPr>
                    <m:t>/</m:t>
                  </m:r>
                  <m:r>
                    <m:rPr>
                      <m:sty m:val="p"/>
                    </m:rPr>
                    <m:t>∂</m:t>
                  </m:r>
                  <m:r>
                    <m:rPr>
                      <m:sty m:val="i"/>
                    </m:rPr>
                    <m:t>θ</m:t>
                  </m:r>
                  <m:r>
                    <m:rPr>
                      <m:sty m:val="p"/>
                    </m:rPr>
                    <m:t>&gt;</m:t>
                  </m:r>
                  <m:r>
                    <m:rPr>
                      <m:sty m:val="p"/>
                    </m:rPr>
                    <m:t>0</m:t>
                  </m:r>
                </m:e>
              </m:box>
            </m:oMath>
          </w:p>
        </w:tc>
        <w:tc>
          <w:tcPr>
            <w:tcW w:type="dxa" w:w="1701"/>
          </w:tcPr>
          <w:p>
            <w:pPr>
              <w:spacing w:before="20" w:after="20" w:line="276" w:lineRule="auto"/>
              <w:jc w:val="left"/>
            </w:pPr>
            <w:r/>
            <w:r>
              <w:rPr>
                <w:rFonts w:ascii="Times New Roman" w:hAnsi="Times New Roman" w:eastAsia="宋体"/>
                <w:b w:val="0"/>
                <w:sz w:val="21"/>
              </w:rPr>
              <w:t>H2、H4</w:t>
            </w:r>
          </w:p>
        </w:tc>
        <w:tc>
          <w:tcPr>
            <w:tcW w:type="dxa" w:w="1701"/>
          </w:tcPr>
          <w:p>
            <w:pPr>
              <w:spacing w:before="20" w:after="20" w:line="276" w:lineRule="auto"/>
              <w:jc w:val="left"/>
            </w:pPr>
            <w:r/>
            <w:r>
              <w:rPr>
                <w:rFonts w:ascii="Times New Roman" w:hAnsi="Times New Roman" w:eastAsia="宋体"/>
                <w:b w:val="0"/>
                <w:sz w:val="21"/>
              </w:rPr>
              <w:t>第八章机制检验；第九章DID</w:t>
            </w:r>
          </w:p>
        </w:tc>
      </w:tr>
      <w:tr>
        <w:tc>
          <w:tcPr>
            <w:tcW w:type="dxa" w:w="1701"/>
          </w:tcPr>
          <w:p>
            <w:pPr>
              <w:spacing w:before="20" w:after="20" w:line="276" w:lineRule="auto"/>
              <w:jc w:val="left"/>
            </w:pPr>
            <w:r/>
            <w:r>
              <w:rPr>
                <w:rFonts w:ascii="Times New Roman" w:hAnsi="Times New Roman" w:eastAsia="宋体"/>
                <w:b w:val="0"/>
                <w:sz w:val="21"/>
              </w:rPr>
              <w:t>命题4-2</w:t>
            </w:r>
          </w:p>
        </w:tc>
        <w:tc>
          <w:tcPr>
            <w:tcW w:type="dxa" w:w="1701"/>
          </w:tcPr>
          <w:p>
            <w:pPr>
              <w:spacing w:before="20" w:after="20" w:line="276" w:lineRule="auto"/>
              <w:jc w:val="left"/>
            </w:pPr>
            <w:r/>
            <w:r>
              <w:rPr>
                <w:rFonts w:ascii="Times New Roman" w:hAnsi="Times New Roman" w:eastAsia="宋体"/>
                <w:b w:val="0"/>
                <w:sz w:val="21"/>
              </w:rPr>
              <w:t>补贴竞争呈囚徒困境；</w:t>
            </w:r>
            <m:oMath>
              <m:box>
                <m:e>
                  <m:r>
                    <m:rPr>
                      <m:sty m:val="i"/>
                    </m:rPr>
                    <m:t>θ</m:t>
                  </m:r>
                </m:e>
              </m:box>
            </m:oMath>
            <w:r>
              <w:rPr>
                <w:rFonts w:ascii="Times New Roman" w:hAnsi="Times New Roman" w:eastAsia="宋体"/>
                <w:b w:val="0"/>
                <w:sz w:val="21"/>
              </w:rPr>
              <w:t>超过阈值时价格跌破真实边际成本</w:t>
            </w:r>
          </w:p>
        </w:tc>
        <w:tc>
          <w:tcPr>
            <w:tcW w:type="dxa" w:w="1701"/>
          </w:tcPr>
          <w:p>
            <w:pPr>
              <w:spacing w:before="20" w:after="20" w:line="276" w:lineRule="auto"/>
              <w:jc w:val="left"/>
            </w:pPr>
            <w:r/>
            <m:oMath>
              <m:box>
                <m:e>
                  <m:sSup>
                    <m:e>
                      <m:r>
                        <m:rPr>
                          <m:sty m:val="i"/>
                        </m:rPr>
                        <m:t>p</m:t>
                      </m:r>
                    </m:e>
                    <m:sup>
                      <m:r>
                        <m:rPr>
                          <m:sty m:val="p"/>
                        </m:rPr>
                        <m:t>*</m:t>
                      </m:r>
                    </m:sup>
                  </m:sSup>
                  <m:r>
                    <m:rPr>
                      <m:sty m:val="p"/>
                    </m:rPr>
                    <m:t>−</m:t>
                  </m:r>
                  <m:r>
                    <m:rPr>
                      <m:sty m:val="i"/>
                    </m:rPr>
                    <m:t>c</m:t>
                  </m:r>
                  <m:r>
                    <m:rPr>
                      <m:sty m:val="p"/>
                    </m:rPr>
                    <m:t>=</m:t>
                  </m:r>
                  <m:r>
                    <m:rPr>
                      <m:sty m:val="i"/>
                    </m:rPr>
                    <m:t>t</m:t>
                  </m:r>
                  <m:r>
                    <m:rPr>
                      <m:sty m:val="p"/>
                    </m:rPr>
                    <m:t>/</m:t>
                  </m:r>
                  <m:r>
                    <m:rPr>
                      <m:sty m:val="p"/>
                    </m:rPr>
                    <m:t>2</m:t>
                  </m:r>
                  <m:r>
                    <m:rPr>
                      <m:sty m:val="p"/>
                    </m:rPr>
                    <m:t>−</m:t>
                  </m:r>
                  <m:r>
                    <m:rPr>
                      <m:sty m:val="i"/>
                    </m:rPr>
                    <m:t>θ</m:t>
                  </m:r>
                </m:e>
              </m:box>
            </m:oMath>
          </w:p>
        </w:tc>
        <w:tc>
          <w:tcPr>
            <w:tcW w:type="dxa" w:w="1701"/>
          </w:tcPr>
          <w:p>
            <w:pPr>
              <w:spacing w:before="20" w:after="20" w:line="276" w:lineRule="auto"/>
              <w:jc w:val="left"/>
            </w:pPr>
            <w:r/>
            <w:r>
              <w:rPr>
                <w:rFonts w:ascii="Times New Roman" w:hAnsi="Times New Roman" w:eastAsia="宋体"/>
                <w:b w:val="0"/>
                <w:sz w:val="21"/>
              </w:rPr>
              <w:t>H1、H4</w:t>
            </w:r>
          </w:p>
        </w:tc>
        <w:tc>
          <w:tcPr>
            <w:tcW w:type="dxa" w:w="1701"/>
          </w:tcPr>
          <w:p>
            <w:pPr>
              <w:spacing w:before="20" w:after="20" w:line="276" w:lineRule="auto"/>
              <w:jc w:val="left"/>
            </w:pPr>
            <w:r/>
            <w:r>
              <w:rPr>
                <w:rFonts w:ascii="Times New Roman" w:hAnsi="Times New Roman" w:eastAsia="宋体"/>
                <w:b w:val="0"/>
                <w:sz w:val="21"/>
              </w:rPr>
              <w:t>第八章基准回归（价格维度）；第九章价格秩序修复</w:t>
            </w:r>
          </w:p>
        </w:tc>
      </w:tr>
      <w:tr>
        <w:tc>
          <w:tcPr>
            <w:tcW w:type="dxa" w:w="1701"/>
          </w:tcPr>
          <w:p>
            <w:pPr>
              <w:spacing w:before="20" w:after="20" w:line="276" w:lineRule="auto"/>
              <w:jc w:val="left"/>
            </w:pPr>
            <w:r/>
            <w:r>
              <w:rPr>
                <w:rFonts w:ascii="Times New Roman" w:hAnsi="Times New Roman" w:eastAsia="宋体"/>
                <w:b w:val="0"/>
                <w:sz w:val="21"/>
              </w:rPr>
              <w:t>命题4-3</w:t>
            </w:r>
          </w:p>
        </w:tc>
        <w:tc>
          <w:tcPr>
            <w:tcW w:type="dxa" w:w="1701"/>
          </w:tcPr>
          <w:p>
            <w:pPr>
              <w:spacing w:before="20" w:after="20" w:line="276" w:lineRule="auto"/>
              <w:jc w:val="left"/>
            </w:pPr>
            <w:r/>
            <w:r>
              <w:rPr>
                <w:rFonts w:ascii="Times New Roman" w:hAnsi="Times New Roman" w:eastAsia="宋体"/>
                <w:b w:val="0"/>
                <w:sz w:val="21"/>
              </w:rPr>
              <w:t>当</w:t>
            </w:r>
            <m:oMath>
              <m:box>
                <m:e>
                  <m:r>
                    <m:rPr>
                      <m:sty m:val="i"/>
                    </m:rPr>
                    <m:t>α</m:t>
                  </m:r>
                  <m:r>
                    <m:rPr>
                      <m:sty m:val="p"/>
                    </m:rPr>
                    <m:t>+</m:t>
                  </m:r>
                  <m:r>
                    <m:rPr>
                      <m:sty m:val="p"/>
                    </m:rPr>
                    <m:t>4</m:t>
                  </m:r>
                  <m:r>
                    <m:rPr>
                      <m:sty m:val="i"/>
                    </m:rPr>
                    <m:t>β</m:t>
                  </m:r>
                  <m:r>
                    <m:rPr>
                      <m:sty m:val="p"/>
                    </m:rPr>
                    <m:t>&lt;</m:t>
                  </m:r>
                  <m:r>
                    <m:rPr>
                      <m:sty m:val="p"/>
                    </m:rPr>
                    <m:t>3</m:t>
                  </m:r>
                </m:e>
              </m:box>
            </m:oMath>
            <w:r>
              <w:rPr>
                <w:rFonts w:ascii="Times New Roman" w:hAnsi="Times New Roman" w:eastAsia="宋体"/>
                <w:b w:val="0"/>
                <w:sz w:val="21"/>
              </w:rPr>
              <w:t>时，分割加剧补贴竞争且补贴呈策略互补攀比</w:t>
            </w:r>
          </w:p>
        </w:tc>
        <w:tc>
          <w:tcPr>
            <w:tcW w:type="dxa" w:w="1701"/>
          </w:tcPr>
          <w:p>
            <w:pPr>
              <w:spacing w:before="20" w:after="20" w:line="276" w:lineRule="auto"/>
              <w:jc w:val="left"/>
            </w:pPr>
            <w:r/>
            <m:oMath>
              <m:box>
                <m:e>
                  <m:r>
                    <m:rPr>
                      <m:sty m:val="p"/>
                    </m:rPr>
                    <m:t>∂</m:t>
                  </m:r>
                  <m:sSup>
                    <m:e>
                      <m:r>
                        <m:rPr>
                          <m:sty m:val="i"/>
                        </m:rPr>
                        <m:t>s</m:t>
                      </m:r>
                    </m:e>
                    <m:sup>
                      <m:r>
                        <m:rPr>
                          <m:sty m:val="p"/>
                        </m:rPr>
                        <m:t>*</m:t>
                      </m:r>
                    </m:sup>
                  </m:sSup>
                  <m:r>
                    <m:rPr>
                      <m:sty m:val="p"/>
                    </m:rPr>
                    <m:t>/</m:t>
                  </m:r>
                  <m:r>
                    <m:rPr>
                      <m:sty m:val="p"/>
                    </m:rPr>
                    <m:t>∂</m:t>
                  </m:r>
                  <m:r>
                    <m:rPr>
                      <m:sty m:val="i"/>
                    </m:rPr>
                    <m:t>τ</m:t>
                  </m:r>
                  <m:r>
                    <m:rPr>
                      <m:sty m:val="p"/>
                    </m:rPr>
                    <m:t>=</m:t>
                  </m:r>
                  <m:r>
                    <m:rPr>
                      <m:sty m:val="i"/>
                    </m:rPr>
                    <m:t>c</m:t>
                  </m:r>
                  <m:r>
                    <m:rPr>
                      <m:sty m:val="p"/>
                    </m:rPr>
                    <m:t>/</m:t>
                  </m:r>
                  <m:r>
                    <m:rPr>
                      <m:sty m:val="p"/>
                    </m:rPr>
                    <m:t>6</m:t>
                  </m:r>
                  <m:r>
                    <m:rPr>
                      <m:sty m:val="p"/>
                    </m:rPr>
                    <m:t>&gt;</m:t>
                  </m:r>
                  <m:r>
                    <m:rPr>
                      <m:sty m:val="p"/>
                    </m:rPr>
                    <m:t>0</m:t>
                  </m:r>
                </m:e>
              </m:box>
            </m:oMath>
          </w:p>
        </w:tc>
        <w:tc>
          <w:tcPr>
            <w:tcW w:type="dxa" w:w="1701"/>
          </w:tcPr>
          <w:p>
            <w:pPr>
              <w:spacing w:before="20" w:after="20" w:line="276" w:lineRule="auto"/>
              <w:jc w:val="left"/>
            </w:pPr>
            <w:r/>
            <w:r>
              <w:rPr>
                <w:rFonts w:ascii="Times New Roman" w:hAnsi="Times New Roman" w:eastAsia="宋体"/>
                <w:b w:val="0"/>
                <w:sz w:val="21"/>
              </w:rPr>
              <w:t>H1、H2</w:t>
            </w:r>
          </w:p>
        </w:tc>
        <w:tc>
          <w:tcPr>
            <w:tcW w:type="dxa" w:w="1701"/>
          </w:tcPr>
          <w:p>
            <w:pPr>
              <w:spacing w:before="20" w:after="20" w:line="276" w:lineRule="auto"/>
              <w:jc w:val="left"/>
            </w:pPr>
            <w:r/>
            <w:r>
              <w:rPr>
                <w:rFonts w:ascii="Times New Roman" w:hAnsi="Times New Roman" w:eastAsia="宋体"/>
                <w:b w:val="0"/>
                <w:sz w:val="21"/>
              </w:rPr>
              <w:t>第八章基准回归与中介两步法</w:t>
            </w:r>
          </w:p>
        </w:tc>
      </w:tr>
      <w:tr>
        <w:tc>
          <w:tcPr>
            <w:tcW w:type="dxa" w:w="1701"/>
          </w:tcPr>
          <w:p>
            <w:pPr>
              <w:spacing w:before="20" w:after="20" w:line="276" w:lineRule="auto"/>
              <w:jc w:val="left"/>
            </w:pPr>
            <w:r/>
            <w:r>
              <w:rPr>
                <w:rFonts w:ascii="Times New Roman" w:hAnsi="Times New Roman" w:eastAsia="宋体"/>
                <w:b w:val="0"/>
                <w:sz w:val="21"/>
              </w:rPr>
              <w:t>命题4-4</w:t>
            </w:r>
          </w:p>
        </w:tc>
        <w:tc>
          <w:tcPr>
            <w:tcW w:type="dxa" w:w="1701"/>
          </w:tcPr>
          <w:p>
            <w:pPr>
              <w:spacing w:before="20" w:after="20" w:line="276" w:lineRule="auto"/>
              <w:jc w:val="left"/>
            </w:pPr>
            <w:r/>
            <w:r>
              <w:rPr>
                <w:rFonts w:ascii="Times New Roman" w:hAnsi="Times New Roman" w:eastAsia="宋体"/>
                <w:b w:val="0"/>
                <w:sz w:val="21"/>
              </w:rPr>
              <w:t>分割使企业总数扩大</w:t>
            </w:r>
            <m:oMath>
              <m:box>
                <m:e>
                  <m:rad>
                    <m:e>
                      <m:box>
                        <m:e>
                          <m:box>
                            <m:e>
                              <m:r>
                                <m:rPr>
                                  <m:sty m:val="i"/>
                                </m:rPr>
                                <m:t>N</m:t>
                              </m:r>
                            </m:e>
                          </m:box>
                        </m:e>
                      </m:box>
                    </m:e>
                  </m:rad>
                </m:e>
              </m:box>
            </m:oMath>
            <w:r>
              <w:rPr>
                <w:rFonts w:ascii="Times New Roman" w:hAnsi="Times New Roman" w:eastAsia="宋体"/>
                <w:b w:val="0"/>
                <w:sz w:val="21"/>
              </w:rPr>
              <w:t>倍、单厂规模缩小、平均成本上升；补贴再放大过度进入</w:t>
            </w:r>
          </w:p>
        </w:tc>
        <w:tc>
          <w:tcPr>
            <w:tcW w:type="dxa" w:w="1701"/>
          </w:tcPr>
          <w:p>
            <w:pPr>
              <w:spacing w:before="20" w:after="20" w:line="276" w:lineRule="auto"/>
              <w:jc w:val="left"/>
            </w:pPr>
            <w:r/>
            <m:oMath>
              <m:box>
                <m:e>
                  <m:r>
                    <m:rPr>
                      <m:sty m:val="p"/>
                    </m:rPr>
                    <m:t>∂</m:t>
                  </m:r>
                  <m:sSup>
                    <m:e>
                      <m:r>
                        <m:rPr>
                          <m:sty m:val="i"/>
                        </m:rPr>
                        <m:t>n</m:t>
                      </m:r>
                    </m:e>
                    <m:sup>
                      <m:box>
                        <m:e>
                          <m:r>
                            <m:rPr>
                              <m:sty m:val="i"/>
                            </m:rPr>
                            <m:t>t</m:t>
                          </m:r>
                          <m:r>
                            <m:rPr>
                              <m:sty m:val="i"/>
                            </m:rPr>
                            <m:t>o</m:t>
                          </m:r>
                          <m:r>
                            <m:rPr>
                              <m:sty m:val="i"/>
                            </m:rPr>
                            <m:t>t</m:t>
                          </m:r>
                          <m:r>
                            <m:rPr>
                              <m:sty m:val="i"/>
                            </m:rPr>
                            <m:t>a</m:t>
                          </m:r>
                          <m:r>
                            <m:rPr>
                              <m:sty m:val="i"/>
                            </m:rPr>
                            <m:t>l</m:t>
                          </m:r>
                        </m:e>
                      </m:box>
                    </m:sup>
                  </m:sSup>
                  <m:r>
                    <m:rPr>
                      <m:sty m:val="p"/>
                    </m:rPr>
                    <m:t>/</m:t>
                  </m:r>
                  <m:r>
                    <m:rPr>
                      <m:sty m:val="p"/>
                    </m:rPr>
                    <m:t>∂</m:t>
                  </m:r>
                  <m:r>
                    <m:rPr>
                      <m:sty m:val="i"/>
                    </m:rPr>
                    <m:t>N</m:t>
                  </m:r>
                  <m:r>
                    <m:rPr>
                      <m:sty m:val="p"/>
                    </m:rPr>
                    <m:t>&gt;</m:t>
                  </m:r>
                  <m:r>
                    <m:rPr>
                      <m:sty m:val="p"/>
                    </m:rPr>
                    <m:t>0</m:t>
                  </m:r>
                </m:e>
              </m:box>
            </m:oMath>
            <w:r>
              <w:rPr>
                <w:rFonts w:ascii="Times New Roman" w:hAnsi="Times New Roman" w:eastAsia="宋体"/>
                <w:b w:val="0"/>
                <w:sz w:val="21"/>
              </w:rPr>
              <w:t>，</w:t>
            </w:r>
            <m:oMath>
              <m:box>
                <m:e>
                  <m:r>
                    <m:rPr>
                      <m:sty m:val="p"/>
                    </m:rPr>
                    <m:t>∂</m:t>
                  </m:r>
                  <m:sSubSup>
                    <m:e>
                      <m:r>
                        <m:rPr>
                          <m:sty m:val="i"/>
                        </m:rPr>
                        <m:t>n</m:t>
                      </m:r>
                    </m:e>
                    <m:sub>
                      <m:r>
                        <m:rPr>
                          <m:sty m:val="i"/>
                        </m:rPr>
                        <m:t>r</m:t>
                      </m:r>
                    </m:sub>
                    <m:sup>
                      <m:r>
                        <m:rPr>
                          <m:sty m:val="i"/>
                        </m:rPr>
                        <m:t>s</m:t>
                      </m:r>
                    </m:sup>
                  </m:sSubSup>
                  <m:r>
                    <m:rPr>
                      <m:sty m:val="p"/>
                    </m:rPr>
                    <m:t>/</m:t>
                  </m:r>
                  <m:r>
                    <m:rPr>
                      <m:sty m:val="p"/>
                    </m:rPr>
                    <m:t>∂</m:t>
                  </m:r>
                  <m:sSub>
                    <m:e>
                      <m:r>
                        <m:rPr>
                          <m:sty m:val="i"/>
                        </m:rPr>
                        <m:t>f</m:t>
                      </m:r>
                    </m:e>
                    <m:sub>
                      <m:r>
                        <m:rPr>
                          <m:sty m:val="i"/>
                        </m:rPr>
                        <m:t>s</m:t>
                      </m:r>
                    </m:sub>
                  </m:sSub>
                  <m:r>
                    <m:rPr>
                      <m:sty m:val="p"/>
                    </m:rPr>
                    <m:t>&gt;</m:t>
                  </m:r>
                  <m:r>
                    <m:rPr>
                      <m:sty m:val="p"/>
                    </m:rPr>
                    <m:t>0</m:t>
                  </m:r>
                </m:e>
              </m:box>
            </m:oMath>
          </w:p>
        </w:tc>
        <w:tc>
          <w:tcPr>
            <w:tcW w:type="dxa" w:w="1701"/>
          </w:tcPr>
          <w:p>
            <w:pPr>
              <w:spacing w:before="20" w:after="20" w:line="276" w:lineRule="auto"/>
              <w:jc w:val="left"/>
            </w:pPr>
            <w:r/>
            <w:r>
              <w:rPr>
                <w:rFonts w:ascii="Times New Roman" w:hAnsi="Times New Roman" w:eastAsia="宋体"/>
                <w:b w:val="0"/>
                <w:sz w:val="21"/>
              </w:rPr>
              <w:t>H1、H2</w:t>
            </w:r>
          </w:p>
        </w:tc>
        <w:tc>
          <w:tcPr>
            <w:tcW w:type="dxa" w:w="1701"/>
          </w:tcPr>
          <w:p>
            <w:pPr>
              <w:spacing w:before="20" w:after="20" w:line="276" w:lineRule="auto"/>
              <w:jc w:val="left"/>
            </w:pPr>
            <w:r/>
            <w:r>
              <w:rPr>
                <w:rFonts w:ascii="Times New Roman" w:hAnsi="Times New Roman" w:eastAsia="宋体"/>
                <w:b w:val="0"/>
                <w:sz w:val="21"/>
              </w:rPr>
              <w:t>第八章产能冗余与同质化维度回归</w:t>
            </w:r>
          </w:p>
        </w:tc>
      </w:tr>
      <w:tr>
        <w:tc>
          <w:tcPr>
            <w:tcW w:type="dxa" w:w="1701"/>
          </w:tcPr>
          <w:p>
            <w:pPr>
              <w:spacing w:before="20" w:after="20" w:line="276" w:lineRule="auto"/>
              <w:jc w:val="left"/>
            </w:pPr>
            <w:r/>
            <w:r>
              <w:rPr>
                <w:rFonts w:ascii="Times New Roman" w:hAnsi="Times New Roman" w:eastAsia="宋体"/>
                <w:b w:val="0"/>
                <w:sz w:val="21"/>
              </w:rPr>
              <w:t>命题4-5</w:t>
            </w:r>
          </w:p>
        </w:tc>
        <w:tc>
          <w:tcPr>
            <w:tcW w:type="dxa" w:w="1701"/>
          </w:tcPr>
          <w:p>
            <w:pPr>
              <w:spacing w:before="20" w:after="20" w:line="276" w:lineRule="auto"/>
              <w:jc w:val="left"/>
            </w:pPr>
            <w:r/>
            <m:oMath>
              <m:box>
                <m:e>
                  <m:r>
                    <m:rPr>
                      <m:sty m:val="i"/>
                    </m:rPr>
                    <m:t>ε</m:t>
                  </m:r>
                  <m:r>
                    <m:rPr>
                      <m:sty m:val="p"/>
                    </m:rPr>
                    <m:t>≤</m:t>
                  </m:r>
                  <m:r>
                    <m:rPr>
                      <m:sty m:val="i"/>
                    </m:rPr>
                    <m:t>δ</m:t>
                  </m:r>
                </m:e>
              </m:box>
            </m:oMath>
            <w:r>
              <w:rPr>
                <w:rFonts w:ascii="Times New Roman" w:hAnsi="Times New Roman" w:eastAsia="宋体"/>
                <w:b w:val="0"/>
                <w:sz w:val="21"/>
              </w:rPr>
              <w:t>时存在全行业亏损而无退出的“内卷均衡”；庇护越强出清越不充分</w:t>
            </w:r>
          </w:p>
        </w:tc>
        <w:tc>
          <w:tcPr>
            <w:tcW w:type="dxa" w:w="1701"/>
          </w:tcPr>
          <w:p>
            <w:pPr>
              <w:spacing w:before="20" w:after="20" w:line="276" w:lineRule="auto"/>
              <w:jc w:val="left"/>
            </w:pPr>
            <w:r/>
            <m:oMath>
              <m:box>
                <m:e>
                  <m:r>
                    <m:rPr>
                      <m:sty m:val="p"/>
                    </m:rPr>
                    <m:t>∂</m:t>
                  </m:r>
                  <m:sSup>
                    <m:e>
                      <m:r>
                        <m:rPr>
                          <m:sty m:val="i"/>
                        </m:rPr>
                        <m:t>n</m:t>
                      </m:r>
                    </m:e>
                    <m:sup>
                      <m:r>
                        <m:rPr>
                          <m:sty m:val="i"/>
                        </m:rPr>
                        <m:t>′</m:t>
                      </m:r>
                    </m:sup>
                  </m:sSup>
                  <m:r>
                    <m:rPr>
                      <m:sty m:val="p"/>
                    </m:rPr>
                    <m:t>/</m:t>
                  </m:r>
                  <m:r>
                    <m:rPr>
                      <m:sty m:val="p"/>
                    </m:rPr>
                    <m:t>∂</m:t>
                  </m:r>
                  <m:r>
                    <m:rPr>
                      <m:sty m:val="i"/>
                    </m:rPr>
                    <m:t>δ</m:t>
                  </m:r>
                  <m:r>
                    <m:rPr>
                      <m:sty m:val="p"/>
                    </m:rPr>
                    <m:t>&gt;</m:t>
                  </m:r>
                  <m:r>
                    <m:rPr>
                      <m:sty m:val="p"/>
                    </m:rPr>
                    <m:t>0</m:t>
                  </m:r>
                </m:e>
              </m:box>
            </m:oMath>
          </w:p>
        </w:tc>
        <w:tc>
          <w:tcPr>
            <w:tcW w:type="dxa" w:w="1701"/>
          </w:tcPr>
          <w:p>
            <w:pPr>
              <w:spacing w:before="20" w:after="20" w:line="276" w:lineRule="auto"/>
              <w:jc w:val="left"/>
            </w:pPr>
            <w:r/>
            <w:r>
              <w:rPr>
                <w:rFonts w:ascii="Times New Roman" w:hAnsi="Times New Roman" w:eastAsia="宋体"/>
                <w:b w:val="0"/>
                <w:sz w:val="21"/>
              </w:rPr>
              <w:t>H3</w:t>
            </w:r>
          </w:p>
        </w:tc>
        <w:tc>
          <w:tcPr>
            <w:tcW w:type="dxa" w:w="1701"/>
          </w:tcPr>
          <w:p>
            <w:pPr>
              <w:spacing w:before="20" w:after="20" w:line="276" w:lineRule="auto"/>
              <w:jc w:val="left"/>
            </w:pPr>
            <w:r/>
            <w:r>
              <w:rPr>
                <w:rFonts w:ascii="Times New Roman" w:hAnsi="Times New Roman" w:eastAsia="宋体"/>
                <w:b w:val="0"/>
                <w:sz w:val="21"/>
              </w:rPr>
              <w:t>第八章时期异质性与退出粘性机制</w:t>
            </w:r>
          </w:p>
        </w:tc>
      </w:tr>
      <w:tr>
        <w:tc>
          <w:tcPr>
            <w:tcW w:type="dxa" w:w="1701"/>
          </w:tcPr>
          <w:p>
            <w:pPr>
              <w:spacing w:before="20" w:after="20" w:line="276" w:lineRule="auto"/>
              <w:jc w:val="left"/>
            </w:pPr>
            <w:r/>
            <w:r>
              <w:rPr>
                <w:rFonts w:ascii="Times New Roman" w:hAnsi="Times New Roman" w:eastAsia="宋体"/>
                <w:b w:val="0"/>
                <w:sz w:val="21"/>
              </w:rPr>
              <w:t>命题4-6</w:t>
            </w:r>
          </w:p>
        </w:tc>
        <w:tc>
          <w:tcPr>
            <w:tcW w:type="dxa" w:w="1701"/>
          </w:tcPr>
          <w:p>
            <w:pPr>
              <w:spacing w:before="20" w:after="20" w:line="276" w:lineRule="auto"/>
              <w:jc w:val="left"/>
            </w:pPr>
            <w:r/>
            <w:r>
              <w:rPr>
                <w:rFonts w:ascii="Times New Roman" w:hAnsi="Times New Roman" w:eastAsia="宋体"/>
                <w:b w:val="0"/>
                <w:sz w:val="21"/>
              </w:rPr>
              <w:t>一体化抬高生存门槛、提升加总生产率；退出庇护削弱选择效应</w:t>
            </w:r>
          </w:p>
        </w:tc>
        <w:tc>
          <w:tcPr>
            <w:tcW w:type="dxa" w:w="1701"/>
          </w:tcPr>
          <w:p>
            <w:pPr>
              <w:spacing w:before="20" w:after="20" w:line="276" w:lineRule="auto"/>
              <w:jc w:val="left"/>
            </w:pPr>
            <w:r/>
            <m:oMath>
              <m:box>
                <m:e>
                  <m:r>
                    <m:rPr>
                      <m:sty m:val="i"/>
                    </m:rPr>
                    <m:t>d</m:t>
                  </m:r>
                  <m:r>
                    <m:rPr>
                      <m:sty m:val="p"/>
                    </m:rPr>
                    <m:t>ln</m:t>
                  </m:r>
                  <m:sSup>
                    <m:e>
                      <m:r>
                        <m:rPr>
                          <m:sty m:val="i"/>
                        </m:rPr>
                        <m:t>φ</m:t>
                      </m:r>
                    </m:e>
                    <m:sup>
                      <m:r>
                        <m:rPr>
                          <m:sty m:val="p"/>
                        </m:rPr>
                        <m:t>*</m:t>
                      </m:r>
                    </m:sup>
                  </m:sSup>
                  <m:r>
                    <m:rPr>
                      <m:sty m:val="p"/>
                    </m:rPr>
                    <m:t>/</m:t>
                  </m:r>
                  <m:r>
                    <m:rPr>
                      <m:sty m:val="i"/>
                    </m:rPr>
                    <m:t>d</m:t>
                  </m:r>
                  <m:r>
                    <m:rPr>
                      <m:sty m:val="p"/>
                    </m:rPr>
                    <m:t>ln</m:t>
                  </m:r>
                  <m:r>
                    <m:rPr>
                      <m:sty m:val="i"/>
                    </m:rPr>
                    <m:t>τ</m:t>
                  </m:r>
                  <m:r>
                    <m:rPr>
                      <m:sty m:val="p"/>
                    </m:rPr>
                    <m:t>&lt;</m:t>
                  </m:r>
                  <m:r>
                    <m:rPr>
                      <m:sty m:val="p"/>
                    </m:rPr>
                    <m:t>0</m:t>
                  </m:r>
                </m:e>
              </m:box>
            </m:oMath>
          </w:p>
        </w:tc>
        <w:tc>
          <w:tcPr>
            <w:tcW w:type="dxa" w:w="1701"/>
          </w:tcPr>
          <w:p>
            <w:pPr>
              <w:spacing w:before="20" w:after="20" w:line="276" w:lineRule="auto"/>
              <w:jc w:val="left"/>
            </w:pPr>
            <w:r/>
            <w:r>
              <w:rPr>
                <w:rFonts w:ascii="Times New Roman" w:hAnsi="Times New Roman" w:eastAsia="宋体"/>
                <w:b w:val="0"/>
                <w:sz w:val="21"/>
              </w:rPr>
              <w:t>H5、H4</w:t>
            </w:r>
          </w:p>
        </w:tc>
        <w:tc>
          <w:tcPr>
            <w:tcW w:type="dxa" w:w="1701"/>
          </w:tcPr>
          <w:p>
            <w:pPr>
              <w:spacing w:before="20" w:after="20" w:line="276" w:lineRule="auto"/>
              <w:jc w:val="left"/>
            </w:pPr>
            <w:r/>
            <w:r>
              <w:rPr>
                <w:rFonts w:ascii="Times New Roman" w:hAnsi="Times New Roman" w:eastAsia="宋体"/>
                <w:b w:val="0"/>
                <w:sz w:val="21"/>
              </w:rPr>
              <w:t>第九章TFP与资源误置指标</w:t>
            </w:r>
          </w:p>
        </w:tc>
      </w:tr>
      <w:tr>
        <w:tc>
          <w:tcPr>
            <w:tcW w:type="dxa" w:w="1701"/>
          </w:tcPr>
          <w:p>
            <w:pPr>
              <w:spacing w:before="20" w:after="20" w:line="276" w:lineRule="auto"/>
              <w:jc w:val="left"/>
            </w:pPr>
            <w:r/>
            <w:r>
              <w:rPr>
                <w:rFonts w:ascii="Times New Roman" w:hAnsi="Times New Roman" w:eastAsia="宋体"/>
                <w:b w:val="0"/>
                <w:sz w:val="21"/>
              </w:rPr>
              <w:t>命题4-7</w:t>
            </w:r>
          </w:p>
        </w:tc>
        <w:tc>
          <w:tcPr>
            <w:tcW w:type="dxa" w:w="1701"/>
          </w:tcPr>
          <w:p>
            <w:pPr>
              <w:spacing w:before="20" w:after="20" w:line="276" w:lineRule="auto"/>
              <w:jc w:val="left"/>
            </w:pPr>
            <w:r/>
            <w:r>
              <w:rPr>
                <w:rFonts w:ascii="Times New Roman" w:hAnsi="Times New Roman" w:eastAsia="宋体"/>
                <w:b w:val="0"/>
                <w:sz w:val="21"/>
              </w:rPr>
              <w:t>一体化压低创新门槛、扩大创新企业占比；庇护双重挤出创新</w:t>
            </w:r>
          </w:p>
        </w:tc>
        <w:tc>
          <w:tcPr>
            <w:tcW w:type="dxa" w:w="1701"/>
          </w:tcPr>
          <w:p>
            <w:pPr>
              <w:spacing w:before="20" w:after="20" w:line="276" w:lineRule="auto"/>
              <w:jc w:val="left"/>
            </w:pPr>
            <w:r/>
            <m:oMath>
              <m:box>
                <m:e>
                  <m:r>
                    <m:rPr>
                      <m:sty m:val="i"/>
                    </m:rPr>
                    <m:t>d</m:t>
                  </m:r>
                  <m:r>
                    <m:rPr>
                      <m:sty m:val="p"/>
                    </m:rPr>
                    <m:t>ln</m:t>
                  </m:r>
                  <m:sSub>
                    <m:e>
                      <m:r>
                        <m:rPr>
                          <m:sty m:val="i"/>
                        </m:rPr>
                        <m:t>χ</m:t>
                      </m:r>
                    </m:e>
                    <m:sub>
                      <m:r>
                        <m:rPr>
                          <m:sty m:val="i"/>
                        </m:rPr>
                        <m:t>R</m:t>
                      </m:r>
                    </m:sub>
                  </m:sSub>
                  <m:r>
                    <m:rPr>
                      <m:sty m:val="p"/>
                    </m:rPr>
                    <m:t>/</m:t>
                  </m:r>
                  <m:r>
                    <m:rPr>
                      <m:sty m:val="i"/>
                    </m:rPr>
                    <m:t>d</m:t>
                  </m:r>
                  <m:r>
                    <m:rPr>
                      <m:sty m:val="p"/>
                    </m:rPr>
                    <m:t>ln</m:t>
                  </m:r>
                  <m:r>
                    <m:rPr>
                      <m:sty m:val="i"/>
                    </m:rPr>
                    <m:t>τ</m:t>
                  </m:r>
                  <m:r>
                    <m:rPr>
                      <m:sty m:val="p"/>
                    </m:rPr>
                    <m:t>&lt;</m:t>
                  </m:r>
                  <m:r>
                    <m:rPr>
                      <m:sty m:val="p"/>
                    </m:rPr>
                    <m:t>0</m:t>
                  </m:r>
                </m:e>
              </m:box>
            </m:oMath>
          </w:p>
        </w:tc>
        <w:tc>
          <w:tcPr>
            <w:tcW w:type="dxa" w:w="1701"/>
          </w:tcPr>
          <w:p>
            <w:pPr>
              <w:spacing w:before="20" w:after="20" w:line="276" w:lineRule="auto"/>
              <w:jc w:val="left"/>
            </w:pPr>
            <w:r/>
            <w:r>
              <w:rPr>
                <w:rFonts w:ascii="Times New Roman" w:hAnsi="Times New Roman" w:eastAsia="宋体"/>
                <w:b w:val="0"/>
                <w:sz w:val="21"/>
              </w:rPr>
              <w:t>H5</w:t>
            </w:r>
          </w:p>
        </w:tc>
        <w:tc>
          <w:tcPr>
            <w:tcW w:type="dxa" w:w="1701"/>
          </w:tcPr>
          <w:p>
            <w:pPr>
              <w:spacing w:before="20" w:after="20" w:line="276" w:lineRule="auto"/>
              <w:jc w:val="left"/>
            </w:pPr>
            <w:r/>
            <w:r>
              <w:rPr>
                <w:rFonts w:ascii="Times New Roman" w:hAnsi="Times New Roman" w:eastAsia="宋体"/>
                <w:b w:val="0"/>
                <w:sz w:val="21"/>
              </w:rPr>
              <w:t>第九章创新与质量效应</w:t>
            </w:r>
          </w:p>
        </w:tc>
      </w:tr>
      <w:tr>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推论4-1</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长期净红利为正且随初始分割深度递增；调整成本前置、红利后置</w:t>
            </w:r>
          </w:p>
        </w:tc>
        <w:tc>
          <w:tcPr>
            <w:tcW w:type="dxa" w:w="1701"/>
            <w:tcBorders>
              <w:bottom w:val="single" w:sz="12" w:color="000000"/>
            </w:tcBorders>
          </w:tcPr>
          <w:p>
            <w:pPr>
              <w:spacing w:before="20" w:after="20" w:line="276" w:lineRule="auto"/>
              <w:jc w:val="left"/>
            </w:pPr>
            <w:r/>
            <m:oMath>
              <m:box>
                <m:e>
                  <m:r>
                    <m:rPr>
                      <m:sty m:val="p"/>
                    </m:rPr>
                    <m:t>∂</m:t>
                  </m:r>
                  <m:r>
                    <m:rPr>
                      <m:sty m:val="i"/>
                    </m:rPr>
                    <m:t>D</m:t>
                  </m:r>
                  <m:r>
                    <m:rPr>
                      <m:sty m:val="p"/>
                    </m:rPr>
                    <m:t>/</m:t>
                  </m:r>
                  <m:r>
                    <m:rPr>
                      <m:sty m:val="p"/>
                    </m:rPr>
                    <m:t>∂</m:t>
                  </m:r>
                  <m:sSub>
                    <m:e>
                      <m:r>
                        <m:rPr>
                          <m:sty m:val="i"/>
                        </m:rPr>
                        <m:t>τ</m:t>
                      </m:r>
                    </m:e>
                    <m:sub>
                      <m:r>
                        <m:rPr>
                          <m:sty m:val="p"/>
                        </m:rPr>
                        <m:t>0</m:t>
                      </m:r>
                    </m:sub>
                  </m:sSub>
                  <m:r>
                    <m:rPr>
                      <m:sty m:val="p"/>
                    </m:rPr>
                    <m:t>&gt;</m:t>
                  </m:r>
                  <m:r>
                    <m:rPr>
                      <m:sty m:val="p"/>
                    </m:rPr>
                    <m:t>0</m:t>
                  </m:r>
                </m:e>
              </m:box>
            </m:oMath>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H4</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第九章红利反事实测算</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4.2显示，五个假说对理论命题的覆盖是完备的：每一个命题至少对应一个假说，每一个假说都有明确的结构性来源，理论与实证之间不存在“悬空”的命题或“无根”的假说。同时，对应关系呈现出清晰的分工：命题4-1至4-5支撑“市场分割—内卷竞争”环节的假说H1—H3，由第八章检验；命题4-6、4-7与推论4-1支撑“统一—红利”环节的假说H4、H5，由第九章检验；第六章则承担把结构参数翻译为可测指标的桥梁职能。这种“命题—假说—指标—方法”的四级对应，是本书避免实证结果与理论框架两张皮的关键设计。</w:t>
      </w:r>
    </w:p>
    <w:p>
      <w:pPr>
        <w:spacing w:before="0" w:after="0" w:line="360" w:lineRule="auto"/>
        <w:ind w:firstLineChars="200" w:firstLine="480"/>
      </w:pPr>
      <w:r>
        <w:rPr>
          <w:rFonts w:ascii="Times New Roman" w:hAnsi="Times New Roman" w:eastAsia="宋体"/>
          <w:b w:val="0"/>
          <w:sz w:val="24"/>
        </w:rPr>
        <w:t>综括全章，本章以三个递进模型与一个福利分解，把第三章的“市场分割—内卷竞争—统一红利”框架落实为可复核的数理结构：基准模型证明，在晋升锦标赛与生产地税制赋予地方政府正的产值政治溢价条件下，补贴竞争的纳什均衡呈现产能过剩、价格跌破成本与囚徒困境特征，且市场分割在锦标赛权重下系统性加剧补贴竞争（命题4-1至4-3）；扩展模型Ⅰ证明，分割经由进入边际使企业数量按</w:t>
      </w:r>
      <m:oMath>
        <m:box>
          <m:e>
            <m:rad>
              <m:e>
                <m:box>
                  <m:e>
                    <m:box>
                      <m:e>
                        <m:r>
                          <m:rPr>
                            <m:sty m:val="i"/>
                          </m:rPr>
                          <m:t>N</m:t>
                        </m:r>
                      </m:e>
                    </m:box>
                  </m:e>
                </m:box>
              </m:e>
            </m:rad>
          </m:e>
        </m:box>
      </m:oMath>
      <w:r>
        <w:rPr>
          <w:rFonts w:ascii="Times New Roman" w:hAnsi="Times New Roman" w:eastAsia="宋体"/>
          <w:b w:val="0"/>
          <w:sz w:val="24"/>
        </w:rPr>
        <w:t>规律冗余、规模与利润被稀释，而需求收缩叠加退出摩擦足以把全行业亏损锁定为可自我维持的“内卷均衡”（命题4-4、4-5）；扩展模型Ⅱ证明，统一经由选择效应与创新效应提升生产率与创新，其力度受制于退出机制的修复程度（命题4-6、4-7）；福利分解则表明，统一红利在长期稳健为正、随初始分割深度递增，但存在“成本前置、红利后置”的时间结构（推论4-1）。这些结论共同说明，“内卷式”竞争是分割结构与激励扭曲耦合的均衡产物，仅靠企业自律或局部整治难以破解，必须以全国统一大市场建设从根上重构竞争秩序——这正是2025年中央经济工作会议“制定全国统一大市场建设条例，深入整治‘内卷式’竞争”部署的学理逻辑。理论已经给出方向，接下来的问题是事实是否支持：本书第五章将呈现中国市场分割与“内卷式”竞争的典型化事实，第六章构建指标与计量设计，第八、九章对本章假说H1—H5逐一检验。</w:t>
      </w:r>
    </w:p>
    <w:p>
      <w:r>
        <w:br w:type="page"/>
      </w:r>
    </w:p>
    <w:p>
      <w:pPr>
        <w:spacing w:before="240" w:after="280" w:line="360" w:lineRule="auto"/>
        <w:jc w:val="center"/>
        <w:outlineLvl w:val="0"/>
      </w:pPr>
      <w:r>
        <w:rPr>
          <w:rFonts w:ascii="Times New Roman" w:hAnsi="Times New Roman" w:eastAsia="黑体"/>
          <w:b/>
          <w:sz w:val="30"/>
        </w:rPr>
        <w:t>五、中国市场分割与"内卷式"竞争的典型化事实</w:t>
      </w:r>
    </w:p>
    <w:p>
      <w:pPr>
        <w:spacing w:before="0" w:after="0" w:line="360" w:lineRule="auto"/>
        <w:ind w:firstLineChars="200" w:firstLine="480"/>
      </w:pPr>
      <w:r>
        <w:rPr>
          <w:rFonts w:ascii="Times New Roman" w:hAnsi="Times New Roman" w:eastAsia="宋体"/>
          <w:b w:val="0"/>
          <w:sz w:val="24"/>
        </w:rPr>
        <w:t>本书第三章提出了"市场分割—内卷竞争—统一红利"的三环传导框架，并界定了"内卷式竞争陷阱"与"统一市场红利"两个核心概念；第四章通过三个递进的理论模型将这一框架数理化，凝练出补贴竞争、过度进入、选择效应与创新效应等一组可检验命题。然而，理论的说服力最终取决于其与经验世界的契合程度。本章的任务，是在进入系统的指标构建与计量检验之前，先以尽可能完整、可核验的数据，刻画中国市场分割与"内卷式"竞争的典型化事实。全章按照"分割的长期演进—宏观供需失衡—行业内卷画像—地方竞争与重复建设—国际比较"的顺序展开：第一节梳理文献测度结论并预览本书市场分割指数的走势；第二节从价格、产能利用率、利润与供需结构四个维度呈现"供强需弱"的宏观表现；第三节对光伏、锂电与新型储能、新能源汽车、平台经济等重点行业的"内卷"事实进行画像，并以钢铁、水泥作为传统行业的对照；第四节考察地方政府竞争与重复建设的微观基础；第五节在国际比较视野下评估中国市场整合的相对水平。这些典型化事实既是本书第六章指标构建与第八、九章计量检验的经验底座，也为第十章的案例研究提供背景铺垫。</w:t>
      </w:r>
    </w:p>
    <w:p>
      <w:pPr>
        <w:spacing w:before="200" w:after="160" w:line="360" w:lineRule="auto"/>
        <w:outlineLvl w:val="1"/>
      </w:pPr>
      <w:r>
        <w:rPr>
          <w:rFonts w:ascii="Times New Roman" w:hAnsi="Times New Roman" w:eastAsia="黑体"/>
          <w:b w:val="0"/>
          <w:sz w:val="28"/>
        </w:rPr>
        <w:t>（一）市场分割的长期演进：总体收敛与近年波动</w:t>
      </w:r>
    </w:p>
    <w:p>
      <w:pPr>
        <w:spacing w:before="160" w:after="120" w:line="360" w:lineRule="auto"/>
        <w:outlineLvl w:val="2"/>
      </w:pPr>
      <w:r>
        <w:rPr>
          <w:rFonts w:ascii="Times New Roman" w:hAnsi="Times New Roman" w:eastAsia="黑体"/>
          <w:b w:val="0"/>
          <w:sz w:val="24"/>
        </w:rPr>
        <w:t>1．文献测度的长期图景：从"诸侯经济"之争到收敛共识</w:t>
      </w:r>
    </w:p>
    <w:p>
      <w:pPr>
        <w:spacing w:before="0" w:after="0" w:line="360" w:lineRule="auto"/>
        <w:ind w:firstLineChars="200" w:firstLine="480"/>
      </w:pPr>
      <w:r>
        <w:rPr>
          <w:rFonts w:ascii="Times New Roman" w:hAnsi="Times New Roman" w:eastAsia="宋体"/>
          <w:b w:val="0"/>
          <w:sz w:val="24"/>
        </w:rPr>
        <w:t>中国国内市场的分割问题几乎与改革开放同步进入学术视野。在财政包干与分权改革的背景下，20世纪80至90年代地区间原材料争夺、商品封锁与重复建设一度盛行，形成了所谓"诸侯经济"的讨论。早期制度分析指出，地方市场分割根植于财政分权、政绩考核与国有企业属地化管理等体制安排，属于典型的体制性成因（银温泉、才婉茹，2001）。国际学术界对中国市场分割的判断曾出现严重分歧：一种代表性观点认为，渐进式改革扭曲了地方政府的激励，导致各省产业结构趋同、地区专业化程度下降，国内市场呈碎片化倾向（Young，2000）；对法国、美国市场整合经验的边界效应研究亦被引入中国场景，得出中国省际边界效应偏高、国内市场整合程度甚至低于对外整合程度的结论（Poncet，2005）。但也有研究对上述证据提出系统再检验，认为以产业结构趋同推断市场分割在数据处理与方法上存在缺陷，中国国内市场并非持续走向碎片化（Holz，2009）。这场争论的意义在于，它将"中国国内市场究竟趋于分割还是整合"变成了一个必须以数据回答的实证问题。</w:t>
      </w:r>
    </w:p>
    <w:p>
      <w:pPr>
        <w:spacing w:before="0" w:after="0" w:line="360" w:lineRule="auto"/>
        <w:ind w:firstLineChars="200" w:firstLine="480"/>
      </w:pPr>
      <w:r>
        <w:rPr>
          <w:rFonts w:ascii="Times New Roman" w:hAnsi="Times New Roman" w:eastAsia="宋体"/>
          <w:b w:val="0"/>
          <w:sz w:val="24"/>
        </w:rPr>
        <w:t>价格法测度的引入在很大程度上终结了这一争论。基于"冰山成本"模型，以地区间商品相对价格方差刻画市场分割程度的奠基性研究发现，1985—2001年中国地区间相对价格方差总体下降，国内商品市场总体趋于整合而非分割（桂琦寒等，2006）。与此同时，对分割代价的测算表明，地方分割导致的全国生产效率损失相当可观（郑毓盛、李崇高，2003）。更深入的机制研究揭示了分割的"理性"根源：市场分割对本地经济增长的影响呈倒U型，就绝大多数观察点而言，分割在短期内"有利于"本地增长，且经济开放度越高的地区分割越可能有利于本地即期增长，从而形成典型的囚徒困境结构，需要中央层面的协调加以破解（陆铭、陈钊，2009）。这一发现与本书第四章补贴竞争模型的囚徒困境命题在逻辑上高度呼应：分割与保护是地方政府在给定激励结构下的占优策略，尽管其加总结果是全局福利损失。</w:t>
      </w:r>
    </w:p>
    <w:p>
      <w:pPr>
        <w:spacing w:before="0" w:after="0" w:line="360" w:lineRule="auto"/>
        <w:ind w:firstLineChars="200" w:firstLine="480"/>
      </w:pPr>
      <w:r>
        <w:rPr>
          <w:rFonts w:ascii="Times New Roman" w:hAnsi="Times New Roman" w:eastAsia="宋体"/>
          <w:b w:val="0"/>
          <w:sz w:val="24"/>
        </w:rPr>
        <w:t>进入21世纪第二个十年后，文献呈现两条相互补充的线索。一条线索关注整合的推动力量：交通基础设施建设被证明总体上显著降低了市场分割、促进了国内市场一体化（范欣等，2017）。另一条线索则利用更微观的数据不断"重新发现"边界：基于增值税发票所反映的商品流动数据，省际边界效应与本地偏好依然显著（行伟波、李善同，2009）；行政分权体制下的省际边界效应在地级层面同样存在（唐为，2019）；基于货物运输微观数据的最新估计再次确认，省际边界仍对应着不可忽视的贸易阻碍与地方保护（张皓辰等，2024）。综合来看，学术界的基本共识可以概括为三点：其一，改革开放以来中国商品市场分割程度总体趋于下降，长期方向是整合；其二，收敛并非单调，在特定时期（如宏观波动加剧、地方竞争加码阶段）会出现阶段性反弹；其三，商品市场的显性壁垒大幅拆除之后，要素市场分割与隐性壁垒上升为主要矛盾，现阶段国内市场分割仍然突出，其根源在于"为增长而竞争"的激励结构、选择性产业政策与财政分权下的地方策略互动（刘志彪、孔令池，2021）。</w:t>
      </w:r>
    </w:p>
    <w:p>
      <w:pPr>
        <w:spacing w:before="160" w:after="120" w:line="360" w:lineRule="auto"/>
        <w:outlineLvl w:val="2"/>
      </w:pPr>
      <w:r>
        <w:rPr>
          <w:rFonts w:ascii="Times New Roman" w:hAnsi="Times New Roman" w:eastAsia="黑体"/>
          <w:b w:val="0"/>
          <w:sz w:val="24"/>
        </w:rPr>
        <w:t>2．本书指数的预览：总体下降中的两次反弹与再收敛</w:t>
      </w:r>
    </w:p>
    <w:p>
      <w:pPr>
        <w:spacing w:before="0" w:after="0" w:line="360" w:lineRule="auto"/>
        <w:ind w:firstLineChars="200" w:firstLine="480"/>
      </w:pPr>
      <w:r>
        <w:rPr>
          <w:rFonts w:ascii="Times New Roman" w:hAnsi="Times New Roman" w:eastAsia="宋体"/>
          <w:b w:val="0"/>
          <w:sz w:val="24"/>
        </w:rPr>
        <w:t>在文献共识的基础上，本书沿本节第一小节所述相对价格法的方法脉络，利用31个省（自治区、直辖市）8大类商品零售价格环比指数，构造相邻省对相对价格一阶差分的方差，经去均值处理消除商品异质性后合成省域市场分割指数，样本期为2012—2024年，指数数量级为</w:t>
      </w:r>
      <m:oMath>
        <m:box>
          <m:e>
            <m:r>
              <m:rPr>
                <m:sty m:val="p"/>
              </m:rPr>
              <m:t>×</m:t>
            </m:r>
            <m:sSup>
              <m:e>
                <m:r>
                  <m:rPr>
                    <m:sty m:val="p"/>
                  </m:rPr>
                  <m:t>10</m:t>
                </m:r>
              </m:e>
              <m:sup>
                <m:box>
                  <m:e>
                    <m:r>
                      <m:rPr>
                        <m:sty m:val="p"/>
                      </m:rPr>
                      <m:t>−</m:t>
                    </m:r>
                    <m:r>
                      <m:rPr>
                        <m:sty m:val="p"/>
                      </m:rPr>
                      <m:t>3</m:t>
                    </m:r>
                  </m:e>
                </m:box>
              </m:sup>
            </m:sSup>
          </m:e>
        </m:box>
      </m:oMath>
      <w:r>
        <w:rPr>
          <w:rFonts w:ascii="Times New Roman" w:hAnsi="Times New Roman" w:eastAsia="宋体"/>
          <w:b w:val="0"/>
          <w:sz w:val="24"/>
        </w:rPr>
        <w:t>（构造细节与稳健性见本书第六章、第七章）。测算结果显示：全国市场分割指数均值由2012年的2.65持续降至2019年的2.13；2020年反弹至2.31，主要缘于疫情防控期间部分地区物流受阻、区际流通不畅；2021年回落至2.17后，2022年再度反弹至2.32，与局部封控和地方产业竞赛加剧相叠加；2023年起随全国统一大市场建设的推进而加快收敛，2023年、2024年分别降至2.09、1.97，2024年为样本期最低值（见图5.1）。</w:t>
      </w:r>
    </w:p>
    <w:p>
      <w:pPr>
        <w:spacing w:before="120"/>
        <w:jc w:val="center"/>
      </w:pPr>
      <w:r>
        <w:drawing>
          <wp:inline xmlns:a="http://schemas.openxmlformats.org/drawingml/2006/main" xmlns:pic="http://schemas.openxmlformats.org/drawingml/2006/picture">
            <wp:extent cx="5112000" cy="2707047"/>
            <wp:docPr id="11" name="Picture 11"/>
            <wp:cNvGraphicFramePr>
              <a:graphicFrameLocks noChangeAspect="1"/>
            </wp:cNvGraphicFramePr>
            <a:graphic>
              <a:graphicData uri="http://schemas.openxmlformats.org/drawingml/2006/picture">
                <pic:pic>
                  <pic:nvPicPr>
                    <pic:cNvPr id="0" name="fig_5_1.png"/>
                    <pic:cNvPicPr/>
                  </pic:nvPicPr>
                  <pic:blipFill>
                    <a:blip r:embed="rId19"/>
                    <a:stretch>
                      <a:fillRect/>
                    </a:stretch>
                  </pic:blipFill>
                  <pic:spPr>
                    <a:xfrm>
                      <a:off x="0" y="0"/>
                      <a:ext cx="5112000" cy="2707047"/>
                    </a:xfrm>
                    <a:prstGeom prst="rect"/>
                  </pic:spPr>
                </pic:pic>
              </a:graphicData>
            </a:graphic>
          </wp:inline>
        </w:drawing>
      </w:r>
    </w:p>
    <w:p>
      <w:pPr>
        <w:spacing w:before="120" w:after="120" w:line="312" w:lineRule="auto"/>
        <w:jc w:val="center"/>
      </w:pPr>
      <w:r>
        <w:rPr>
          <w:rFonts w:ascii="Times New Roman" w:hAnsi="Times New Roman" w:eastAsia="黑体"/>
          <w:b w:val="0"/>
          <w:sz w:val="21"/>
        </w:rPr>
        <w:t>图5.1　中国市场分割指数长期走势（1997—2024）</w:t>
      </w:r>
    </w:p>
    <w:p>
      <w:pPr>
        <w:spacing w:before="0" w:after="0" w:line="360" w:lineRule="auto"/>
        <w:ind w:firstLineChars="200" w:firstLine="480"/>
      </w:pPr>
      <w:r>
        <w:rPr>
          <w:rFonts w:ascii="Times New Roman" w:hAnsi="Times New Roman" w:eastAsia="宋体"/>
          <w:b w:val="0"/>
          <w:sz w:val="24"/>
        </w:rPr>
        <w:t>图5.1中，1997—2011年段系依据已有文献测度结果绘制的标准化趋势示意，2012—2024年段为本书测算的省域市场分割指数全国均值。从水平看，2024年全国均值1.97较2012年的2.65累计下降25.7%，表明商品市场整合在过去十余年取得实质进展。从变化节奏看，下降过程呈现"收敛—反弹—再收敛"的形态：2020年与2022年的两次反弹分别对应疫情冲击下的物流梗阻和地方保护回潮，2023年之后的加速收敛则与2022年《中共中央　国务院关于加快建设全国统一大市场的意见》落地实施、2024年《公平竞争审查条例》施行的政策节点高度吻合。从结构看，分割的区域梯度清晰：2024年东部地区均值为1.60，中部为1.87，东北为2.19，西部为2.26；省级层面上海最低（1.28）、浙江次之（1.35），西藏最高（2.80），青海（2.63）、新疆（2.55）居前。尤须强调的是要素市场与商品市场的分化：本书测算的2024年全国要素市场分割指数为3.34，约为商品市场（1.97）的1.7倍；2012—2024年商品分割指数下降25.7%，而要素分割指数仅由3.88降至3.34、降幅13.9%，要素市场的收敛速度明显慢于商品市场。从含义看，市场分割"存量仍大、要素更深"的格局，恰是理解下文"内卷式"竞争蔓延的制度背景——本书第七章将进一步显示，省域市场分割指数与"内卷式竞争"强度指数的相关系数高达0.81，分割与内卷在空间上高度叠合。区域对照使这一叠合关系更为直观：2024年东部地区"内卷式竞争"强度指数均值为0.412，中部为0.455，东北为0.518，西部为0.514，与分割指数"东部低、中部次之、东北与西部高"的梯度几乎完全同序；分割程度最深的省份（如黑龙江、青海、新疆、西藏）同时也是内卷指数最高的省份。这种空间上的系统性共现，虽然尚不足以确立因果，但为第八章"分割催生内卷"命题的计量检验提供了强烈的先验线索。</w:t>
      </w:r>
    </w:p>
    <w:p>
      <w:pPr>
        <w:spacing w:before="200" w:after="160" w:line="360" w:lineRule="auto"/>
        <w:outlineLvl w:val="1"/>
      </w:pPr>
      <w:r>
        <w:rPr>
          <w:rFonts w:ascii="Times New Roman" w:hAnsi="Times New Roman" w:eastAsia="黑体"/>
          <w:b w:val="0"/>
          <w:sz w:val="28"/>
        </w:rPr>
        <w:t>（二）"供强需弱"的宏观表现</w:t>
      </w:r>
    </w:p>
    <w:p>
      <w:pPr>
        <w:spacing w:before="0" w:after="0" w:line="360" w:lineRule="auto"/>
        <w:ind w:firstLineChars="200" w:firstLine="480"/>
      </w:pPr>
      <w:r>
        <w:rPr>
          <w:rFonts w:ascii="Times New Roman" w:hAnsi="Times New Roman" w:eastAsia="宋体"/>
          <w:b w:val="0"/>
          <w:sz w:val="24"/>
        </w:rPr>
        <w:t>2025年中央经济工作会议对经济形势作出明确判断："国内供强需弱矛盾突出。"这一判断在宏观数据上有着系统而一致的对应物。从总量看，据国家统计局数据，2025年国内生产总值达140.2万亿元、实际增长5.0%，四个季度同比分别增长5.4%、5.2%、4.8%、4.5%，增速逐季放缓；社会消费品零售总额501202亿元、增长3.7%，虽首次突破50万亿元，但增速低于GDP增速。实际增速总体平稳的表象之下，名义增速低于实际增速、消费增速低于产出增速的双重组合，折射出价格低迷与内需偏弱的深层矛盾：供给端的生产能力扩张快于需求端的吸纳能力，过剩压力便以价格下行、开工不足与利润收缩的形式在数据中显影。具体而言，"供强需弱"表现为四组相互印证的事实：工业品价格长期负增长而消费价格低位徘徊，产能利用率中枢下移，工业利润率降至历史低位，消费率显著低于国际一般水平而投资率长期偏高。本节依次呈现这四组事实。</w:t>
      </w:r>
    </w:p>
    <w:p>
      <w:pPr>
        <w:spacing w:before="160" w:after="120" w:line="360" w:lineRule="auto"/>
        <w:outlineLvl w:val="2"/>
      </w:pPr>
      <w:r>
        <w:rPr>
          <w:rFonts w:ascii="Times New Roman" w:hAnsi="Times New Roman" w:eastAsia="黑体"/>
          <w:b w:val="0"/>
          <w:sz w:val="24"/>
        </w:rPr>
        <w:t>1．价格信号：PPI持续负增长与GDP平减指数低迷</w:t>
      </w:r>
    </w:p>
    <w:p>
      <w:pPr>
        <w:spacing w:before="0" w:after="0" w:line="360" w:lineRule="auto"/>
        <w:ind w:firstLineChars="200" w:firstLine="480"/>
      </w:pPr>
      <w:r>
        <w:rPr>
          <w:rFonts w:ascii="Times New Roman" w:hAnsi="Times New Roman" w:eastAsia="宋体"/>
          <w:b w:val="0"/>
          <w:sz w:val="24"/>
        </w:rPr>
        <w:t>价格是供需关系最灵敏的温度计。据国家统计局数据，本轮工业生产者出厂价格（PPI）周期的转折极为陡峭：2021年10月PPI同比上涨13.5%，创有统计以来单月最高；仅一年之后的2022年10月即转为下降1.3%，自此进入长周期负增长，至2025年12月已连续39个月同比下降，本轮最大单月降幅出现在2023年6月（−5.4%）。分年度看，PPI同比涨幅由2021年的8.1%、2022年的4.1%，转为2023年下降3.0%、2024年下降2.2%、2025年下降2.6%，2025年工业生产者购进价格同比下降3.0%。与上一轮2012年3月至2016年8月共54个月的负增长周期（媒体整理口径）相比，本轮负增长虽尚未超过其时长，但叠加在更弱的需求背景之上，对企业盈利与预期的侵蚀更为显著。</w:t>
      </w:r>
    </w:p>
    <w:p>
      <w:pPr>
        <w:spacing w:before="0" w:after="0" w:line="360" w:lineRule="auto"/>
        <w:ind w:firstLineChars="200" w:firstLine="480"/>
      </w:pPr>
      <w:r>
        <w:rPr>
          <w:rFonts w:ascii="Times New Roman" w:hAnsi="Times New Roman" w:eastAsia="宋体"/>
          <w:b w:val="0"/>
          <w:sz w:val="24"/>
        </w:rPr>
        <w:t>与PPI的深度负增长相对照，消费价格几近零增长。据国家统计局数据，CPI同比涨幅2021年为0.9%，2022年为2.0%，2023年、2024年均仅为0.2%，2025年与上年持平（0.0%），其中食品价格下降1.5%、能源价格下降3.3%；月度低点出现在2024年1月（−0.8%）与2025年2月（−0.7%）。综合衡量经济整体价格水平的GDP平减指数（系据名义与实际GDP测算的衍生指标，官方不直接发布）自2023年二季度转负，据财新与北京大学国家发展研究院2025年12月的测算，至2025年四季度已连续11个季度为负，2025年全年约为−1%，名义GDP增速约3.9%、低于5.0%的实际增速。工业品价格与整体价格水平的长期低迷（见图5.2），构成"供强需弱"最直接的宏观表征。</w:t>
      </w:r>
    </w:p>
    <w:p>
      <w:pPr>
        <w:spacing w:before="120"/>
        <w:jc w:val="center"/>
      </w:pPr>
      <w:r>
        <w:drawing>
          <wp:inline xmlns:a="http://schemas.openxmlformats.org/drawingml/2006/main" xmlns:pic="http://schemas.openxmlformats.org/drawingml/2006/picture">
            <wp:extent cx="5112000" cy="2701762"/>
            <wp:docPr id="12" name="Picture 12"/>
            <wp:cNvGraphicFramePr>
              <a:graphicFrameLocks noChangeAspect="1"/>
            </wp:cNvGraphicFramePr>
            <a:graphic>
              <a:graphicData uri="http://schemas.openxmlformats.org/drawingml/2006/picture">
                <pic:pic>
                  <pic:nvPicPr>
                    <pic:cNvPr id="0" name="fig_5_2.png"/>
                    <pic:cNvPicPr/>
                  </pic:nvPicPr>
                  <pic:blipFill>
                    <a:blip r:embed="rId20"/>
                    <a:stretch>
                      <a:fillRect/>
                    </a:stretch>
                  </pic:blipFill>
                  <pic:spPr>
                    <a:xfrm>
                      <a:off x="0" y="0"/>
                      <a:ext cx="5112000" cy="2701762"/>
                    </a:xfrm>
                    <a:prstGeom prst="rect"/>
                  </pic:spPr>
                </pic:pic>
              </a:graphicData>
            </a:graphic>
          </wp:inline>
        </w:drawing>
      </w:r>
    </w:p>
    <w:p>
      <w:pPr>
        <w:spacing w:before="120" w:after="120" w:line="312" w:lineRule="auto"/>
        <w:jc w:val="center"/>
      </w:pPr>
      <w:r>
        <w:rPr>
          <w:rFonts w:ascii="Times New Roman" w:hAnsi="Times New Roman" w:eastAsia="黑体"/>
          <w:b w:val="0"/>
          <w:sz w:val="21"/>
        </w:rPr>
        <w:t>图5.2　中国PPI与CPI同比走势（2015—2025）</w:t>
      </w:r>
    </w:p>
    <w:p>
      <w:pPr>
        <w:spacing w:before="0" w:after="0" w:line="360" w:lineRule="auto"/>
        <w:ind w:firstLineChars="200" w:firstLine="480"/>
      </w:pPr>
      <w:r>
        <w:rPr>
          <w:rFonts w:ascii="Times New Roman" w:hAnsi="Times New Roman" w:eastAsia="宋体"/>
          <w:b w:val="0"/>
          <w:sz w:val="24"/>
        </w:rPr>
        <w:t>图5.2显示了2015—2025年PPI与CPI年度同比的完整轨迹。从水平看，PPI在11年中有7年为负，2021—2022年的高涨主要由上游大宗商品价格驱动，且迅速逆转；CPI则除2019年（2.9%）外始终低于3%，2023年以来滑落至零附近。从变化看，本轮PPI下行与2012—2016年一轮的最大不同在于伴随需求侧的同步走弱：上一轮CPI尚能维持在2%左右，本轮CPI与核心CPI一度双双逼近零线，价格总水平呈现"供给过剩与需求不足叠加"的特征。从结构看，PPI降幅深于CPI、购进价格降幅（2025年为−3.0%）深于出厂价格，表明价格压力集中于工业部门并沿产业链向上游传导，与下文重点行业产能过剩的分布相互印证。从含义看，价格信号的边际变化值得关注：2025年8月起PPI环比止跌，10月起环比连续3个月上涨，12月同比降幅收窄至1.9%，为2024年9月以来最小降幅（国家统计局王有捐解读）；同期CPI在12月上涨0.8%、为2023年3月以来最高，核心CPI连续4个月保持1%以上、12月达1.2%。这一组合与2025年下半年"反内卷"治理和统一大市场纵深推进的政策节奏在时间上吻合，可视为竞争秩序修复的早期价格证据，本书第九章将对其中的因果成分进行识别。</w:t>
      </w:r>
    </w:p>
    <w:p>
      <w:pPr>
        <w:spacing w:before="160" w:after="120" w:line="360" w:lineRule="auto"/>
        <w:outlineLvl w:val="2"/>
      </w:pPr>
      <w:r>
        <w:rPr>
          <w:rFonts w:ascii="Times New Roman" w:hAnsi="Times New Roman" w:eastAsia="黑体"/>
          <w:b w:val="0"/>
          <w:sz w:val="24"/>
        </w:rPr>
        <w:t>2．产能利用率：中枢下移与行业分化</w:t>
      </w:r>
    </w:p>
    <w:p>
      <w:pPr>
        <w:spacing w:before="0" w:after="0" w:line="360" w:lineRule="auto"/>
        <w:ind w:firstLineChars="200" w:firstLine="480"/>
      </w:pPr>
      <w:r>
        <w:rPr>
          <w:rFonts w:ascii="Times New Roman" w:hAnsi="Times New Roman" w:eastAsia="宋体"/>
          <w:b w:val="0"/>
          <w:sz w:val="24"/>
        </w:rPr>
        <w:t>产能利用率是衡量供给过剩程度的直接指标。据国家统计局数据，全国工业产能利用率2016年为73.3%，2017—2019年回升至77.0%、76.5%、76.6%，2020年受疫情冲击降至74.5%，2021年达到77.5%的阶段高点后逐年走低：2022年75.6%、2023年75.1%、2024年75.0%、2025年74.4%。2025年的水平仅高于2016年，为近十年次低，意味着在供给侧结构性改革将产能利用率推升至77%左右之后，2022年以来产能过剩压力重新累积。季度数据同样显示利用率中枢的下移：2025年四个季度分别为74.1%、74.0%、74.6%、74.9%，其中四季度比上年同期低1.3个百分点（见图5.3）。</w:t>
      </w:r>
    </w:p>
    <w:p>
      <w:pPr>
        <w:spacing w:before="120"/>
        <w:jc w:val="center"/>
      </w:pPr>
      <w:r>
        <w:drawing>
          <wp:inline xmlns:a="http://schemas.openxmlformats.org/drawingml/2006/main" xmlns:pic="http://schemas.openxmlformats.org/drawingml/2006/picture">
            <wp:extent cx="5112000" cy="2158014"/>
            <wp:docPr id="13" name="Picture 13"/>
            <wp:cNvGraphicFramePr>
              <a:graphicFrameLocks noChangeAspect="1"/>
            </wp:cNvGraphicFramePr>
            <a:graphic>
              <a:graphicData uri="http://schemas.openxmlformats.org/drawingml/2006/picture">
                <pic:pic>
                  <pic:nvPicPr>
                    <pic:cNvPr id="0" name="fig_5_3.png"/>
                    <pic:cNvPicPr/>
                  </pic:nvPicPr>
                  <pic:blipFill>
                    <a:blip r:embed="rId21"/>
                    <a:stretch>
                      <a:fillRect/>
                    </a:stretch>
                  </pic:blipFill>
                  <pic:spPr>
                    <a:xfrm>
                      <a:off x="0" y="0"/>
                      <a:ext cx="5112000" cy="2158014"/>
                    </a:xfrm>
                    <a:prstGeom prst="rect"/>
                  </pic:spPr>
                </pic:pic>
              </a:graphicData>
            </a:graphic>
          </wp:inline>
        </w:drawing>
      </w:r>
    </w:p>
    <w:p>
      <w:pPr>
        <w:spacing w:before="120" w:after="120" w:line="312" w:lineRule="auto"/>
        <w:jc w:val="center"/>
      </w:pPr>
      <w:r>
        <w:rPr>
          <w:rFonts w:ascii="Times New Roman" w:hAnsi="Times New Roman" w:eastAsia="黑体"/>
          <w:b w:val="0"/>
          <w:sz w:val="21"/>
        </w:rPr>
        <w:t>图5.3　工业产能利用率（2016—2025）</w:t>
      </w:r>
    </w:p>
    <w:p>
      <w:pPr>
        <w:spacing w:before="0" w:after="0" w:line="360" w:lineRule="auto"/>
        <w:ind w:firstLineChars="200" w:firstLine="480"/>
      </w:pPr>
      <w:r>
        <w:rPr>
          <w:rFonts w:ascii="Times New Roman" w:hAnsi="Times New Roman" w:eastAsia="宋体"/>
          <w:b w:val="0"/>
          <w:sz w:val="24"/>
        </w:rPr>
        <w:t>图5.3的年度与季度序列共同勾勒出产能利用状况的三个特征。其一，从水平看，2022年以来总体产能利用率持续处于75%上下，明显低于2017—2019年和2021年的中枢，闲置产能规模系统性扩大。其二，从变化看，利用率的回落与前述PPI负增长在时间上高度同步——2021年利用率高点对应PPI峰值，2022年起两者同步下行，表明本轮价格下跌的主因在于供给相对过剩而非单纯的成本回落。其三，从结构看，行业分化显著：据国家统计局数据，2025年四季度制造业产能利用率为75.2%，其中黑色金属冶炼和压延加工业达78.5%，纺织业为77.1%，而煤炭开采和洗选业为69.1%、食品制造业为68.5%，非金属矿物制品业仅为61.1%、长期垫底。这一分化提示，产能过剩既存在于需求趋势性收缩的传统行业，也存在于投资集中涌入的新兴行业，其形成机制符合发展中国家对前景良好产业"潮涌"式集中投资的理论刻画（林毅夫等，2010）。</w:t>
      </w:r>
    </w:p>
    <w:p>
      <w:pPr>
        <w:spacing w:before="0" w:after="0" w:line="360" w:lineRule="auto"/>
        <w:ind w:firstLineChars="200" w:firstLine="480"/>
      </w:pPr>
      <w:r>
        <w:rPr>
          <w:rFonts w:ascii="Times New Roman" w:hAnsi="Times New Roman" w:eastAsia="宋体"/>
          <w:b w:val="0"/>
          <w:sz w:val="24"/>
        </w:rPr>
        <w:t>行业维度的证据可以进一步细化（见表5.1）。汽车制造业产能利用率2024年一季度仅为64.9%，四季度回升至77.2%，2025年四个季度分别为71.9%、71.3%、73.3%、76.0%，波动剧烈且中枢偏低；电气机械和器材制造业（涵盖光伏电池组件等）2025年二至四季度分别为73.5%、74.9%、75.0%；非金属矿物制品业2024年一季度为62.0%、四季度61.1%，2025年四季度仍为61.1%，在60%附近低位固化。</w:t>
      </w:r>
    </w:p>
    <w:p>
      <w:pPr>
        <w:spacing w:before="160" w:after="80" w:line="312" w:lineRule="auto"/>
        <w:jc w:val="center"/>
      </w:pPr>
      <w:r>
        <w:rPr>
          <w:rFonts w:ascii="Times New Roman" w:hAnsi="Times New Roman" w:eastAsia="黑体"/>
          <w:b w:val="0"/>
          <w:sz w:val="21"/>
        </w:rPr>
        <w:t>表5.1　重点行业产能利用率与营业收入利润率（2021—2025年）</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850"/>
        <w:gridCol w:w="850"/>
        <w:gridCol w:w="850"/>
        <w:gridCol w:w="850"/>
        <w:gridCol w:w="850"/>
        <w:gridCol w:w="850"/>
        <w:gridCol w:w="850"/>
        <w:gridCol w:w="850"/>
        <w:gridCol w:w="850"/>
        <w:gridCol w:w="850"/>
      </w:tblGrid>
      <w:tr>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行业</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2021年</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2022年</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2023年</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2024年</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2025年</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2024年一季度</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2025年四季度</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2021年利润率（%）</w:t>
            </w:r>
          </w:p>
        </w:tc>
        <w:tc>
          <w:tcPr>
            <w:tcW w:type="dxa" w:w="850"/>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2025年利润率（%）</w:t>
            </w:r>
          </w:p>
        </w:tc>
      </w:tr>
      <w:tr>
        <w:tc>
          <w:tcPr>
            <w:tcW w:type="dxa" w:w="850"/>
          </w:tcPr>
          <w:p>
            <w:pPr>
              <w:spacing w:before="20" w:after="20" w:line="276" w:lineRule="auto"/>
              <w:jc w:val="left"/>
            </w:pPr>
            <w:r/>
            <w:r>
              <w:rPr>
                <w:rFonts w:ascii="Times New Roman" w:hAnsi="Times New Roman" w:eastAsia="宋体"/>
                <w:b w:val="0"/>
                <w:sz w:val="21"/>
              </w:rPr>
              <w:t>工业总体</w:t>
            </w:r>
          </w:p>
        </w:tc>
        <w:tc>
          <w:tcPr>
            <w:tcW w:type="dxa" w:w="850"/>
          </w:tcPr>
          <w:p>
            <w:pPr>
              <w:spacing w:before="20" w:after="20" w:line="276" w:lineRule="auto"/>
              <w:jc w:val="center"/>
            </w:pPr>
            <w:r/>
            <w:r>
              <w:rPr>
                <w:rFonts w:ascii="Times New Roman" w:hAnsi="Times New Roman" w:eastAsia="宋体"/>
                <w:b w:val="0"/>
                <w:sz w:val="21"/>
              </w:rPr>
              <w:t>77.5</w:t>
            </w:r>
          </w:p>
        </w:tc>
        <w:tc>
          <w:tcPr>
            <w:tcW w:type="dxa" w:w="850"/>
          </w:tcPr>
          <w:p>
            <w:pPr>
              <w:spacing w:before="20" w:after="20" w:line="276" w:lineRule="auto"/>
              <w:jc w:val="center"/>
            </w:pPr>
            <w:r/>
            <w:r>
              <w:rPr>
                <w:rFonts w:ascii="Times New Roman" w:hAnsi="Times New Roman" w:eastAsia="宋体"/>
                <w:b w:val="0"/>
                <w:sz w:val="21"/>
              </w:rPr>
              <w:t>75.6</w:t>
            </w:r>
          </w:p>
        </w:tc>
        <w:tc>
          <w:tcPr>
            <w:tcW w:type="dxa" w:w="850"/>
          </w:tcPr>
          <w:p>
            <w:pPr>
              <w:spacing w:before="20" w:after="20" w:line="276" w:lineRule="auto"/>
              <w:jc w:val="center"/>
            </w:pPr>
            <w:r/>
            <w:r>
              <w:rPr>
                <w:rFonts w:ascii="Times New Roman" w:hAnsi="Times New Roman" w:eastAsia="宋体"/>
                <w:b w:val="0"/>
                <w:sz w:val="21"/>
              </w:rPr>
              <w:t>75.1</w:t>
            </w:r>
          </w:p>
        </w:tc>
        <w:tc>
          <w:tcPr>
            <w:tcW w:type="dxa" w:w="850"/>
          </w:tcPr>
          <w:p>
            <w:pPr>
              <w:spacing w:before="20" w:after="20" w:line="276" w:lineRule="auto"/>
              <w:jc w:val="center"/>
            </w:pPr>
            <w:r/>
            <w:r>
              <w:rPr>
                <w:rFonts w:ascii="Times New Roman" w:hAnsi="Times New Roman" w:eastAsia="宋体"/>
                <w:b w:val="0"/>
                <w:sz w:val="21"/>
              </w:rPr>
              <w:t>75.0</w:t>
            </w:r>
          </w:p>
        </w:tc>
        <w:tc>
          <w:tcPr>
            <w:tcW w:type="dxa" w:w="850"/>
          </w:tcPr>
          <w:p>
            <w:pPr>
              <w:spacing w:before="20" w:after="20" w:line="276" w:lineRule="auto"/>
              <w:jc w:val="center"/>
            </w:pPr>
            <w:r/>
            <w:r>
              <w:rPr>
                <w:rFonts w:ascii="Times New Roman" w:hAnsi="Times New Roman" w:eastAsia="宋体"/>
                <w:b w:val="0"/>
                <w:sz w:val="21"/>
              </w:rPr>
              <w:t>74.4</w:t>
            </w:r>
          </w:p>
        </w:tc>
        <w:tc>
          <w:tcPr>
            <w:tcW w:type="dxa" w:w="850"/>
          </w:tcPr>
          <w:p>
            <w:pPr>
              <w:spacing w:before="20" w:after="20" w:line="276" w:lineRule="auto"/>
              <w:jc w:val="center"/>
            </w:pPr>
            <w:r/>
            <w:r>
              <w:rPr>
                <w:rFonts w:ascii="Times New Roman" w:hAnsi="Times New Roman" w:eastAsia="宋体"/>
                <w:b w:val="0"/>
                <w:sz w:val="21"/>
              </w:rPr>
              <w:t>73.6</w:t>
            </w:r>
          </w:p>
        </w:tc>
        <w:tc>
          <w:tcPr>
            <w:tcW w:type="dxa" w:w="850"/>
          </w:tcPr>
          <w:p>
            <w:pPr>
              <w:spacing w:before="20" w:after="20" w:line="276" w:lineRule="auto"/>
              <w:jc w:val="center"/>
            </w:pPr>
            <w:r/>
            <w:r>
              <w:rPr>
                <w:rFonts w:ascii="Times New Roman" w:hAnsi="Times New Roman" w:eastAsia="宋体"/>
                <w:b w:val="0"/>
                <w:sz w:val="21"/>
              </w:rPr>
              <w:t>74.9</w:t>
            </w:r>
          </w:p>
        </w:tc>
        <w:tc>
          <w:tcPr>
            <w:tcW w:type="dxa" w:w="850"/>
          </w:tcPr>
          <w:p>
            <w:pPr>
              <w:spacing w:before="20" w:after="20" w:line="276" w:lineRule="auto"/>
              <w:jc w:val="center"/>
            </w:pPr>
            <w:r/>
            <w:r>
              <w:rPr>
                <w:rFonts w:ascii="Times New Roman" w:hAnsi="Times New Roman" w:eastAsia="宋体"/>
                <w:b w:val="0"/>
                <w:sz w:val="21"/>
              </w:rPr>
              <w:t>6.81</w:t>
            </w:r>
          </w:p>
        </w:tc>
        <w:tc>
          <w:tcPr>
            <w:tcW w:type="dxa" w:w="850"/>
          </w:tcPr>
          <w:p>
            <w:pPr>
              <w:spacing w:before="20" w:after="20" w:line="276" w:lineRule="auto"/>
              <w:jc w:val="center"/>
            </w:pPr>
            <w:r/>
            <w:r>
              <w:rPr>
                <w:rFonts w:ascii="Times New Roman" w:hAnsi="Times New Roman" w:eastAsia="宋体"/>
                <w:b w:val="0"/>
                <w:sz w:val="21"/>
              </w:rPr>
              <w:t>5.31</w:t>
            </w:r>
          </w:p>
        </w:tc>
      </w:tr>
      <w:tr>
        <w:tc>
          <w:tcPr>
            <w:tcW w:type="dxa" w:w="850"/>
          </w:tcPr>
          <w:p>
            <w:pPr>
              <w:spacing w:before="20" w:after="20" w:line="276" w:lineRule="auto"/>
              <w:jc w:val="left"/>
            </w:pPr>
            <w:r/>
            <w:r>
              <w:rPr>
                <w:rFonts w:ascii="Times New Roman" w:hAnsi="Times New Roman" w:eastAsia="宋体"/>
                <w:b w:val="0"/>
                <w:sz w:val="21"/>
              </w:rPr>
              <w:t>汽车制造业</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64.9</w:t>
            </w:r>
          </w:p>
        </w:tc>
        <w:tc>
          <w:tcPr>
            <w:tcW w:type="dxa" w:w="850"/>
          </w:tcPr>
          <w:p>
            <w:pPr>
              <w:spacing w:before="20" w:after="20" w:line="276" w:lineRule="auto"/>
              <w:jc w:val="center"/>
            </w:pPr>
            <w:r/>
            <w:r>
              <w:rPr>
                <w:rFonts w:ascii="Times New Roman" w:hAnsi="Times New Roman" w:eastAsia="宋体"/>
                <w:b w:val="0"/>
                <w:sz w:val="21"/>
              </w:rPr>
              <w:t>76.0</w:t>
            </w:r>
          </w:p>
        </w:tc>
        <w:tc>
          <w:tcPr>
            <w:tcW w:type="dxa" w:w="850"/>
          </w:tcPr>
          <w:p>
            <w:pPr>
              <w:spacing w:before="20" w:after="20" w:line="276" w:lineRule="auto"/>
              <w:jc w:val="center"/>
            </w:pPr>
            <w:r/>
            <w:r>
              <w:rPr>
                <w:rFonts w:ascii="Times New Roman" w:hAnsi="Times New Roman" w:eastAsia="宋体"/>
                <w:b w:val="0"/>
                <w:sz w:val="21"/>
              </w:rPr>
              <w:t>6.1</w:t>
            </w:r>
          </w:p>
        </w:tc>
        <w:tc>
          <w:tcPr>
            <w:tcW w:type="dxa" w:w="850"/>
          </w:tcPr>
          <w:p>
            <w:pPr>
              <w:spacing w:before="20" w:after="20" w:line="276" w:lineRule="auto"/>
              <w:jc w:val="center"/>
            </w:pPr>
            <w:r/>
            <w:r>
              <w:rPr>
                <w:rFonts w:ascii="Times New Roman" w:hAnsi="Times New Roman" w:eastAsia="宋体"/>
                <w:b w:val="0"/>
                <w:sz w:val="21"/>
              </w:rPr>
              <w:t>4.1</w:t>
            </w:r>
          </w:p>
        </w:tc>
      </w:tr>
      <w:tr>
        <w:tc>
          <w:tcPr>
            <w:tcW w:type="dxa" w:w="850"/>
          </w:tcPr>
          <w:p>
            <w:pPr>
              <w:spacing w:before="20" w:after="20" w:line="276" w:lineRule="auto"/>
              <w:jc w:val="left"/>
            </w:pPr>
            <w:r/>
            <w:r>
              <w:rPr>
                <w:rFonts w:ascii="Times New Roman" w:hAnsi="Times New Roman" w:eastAsia="宋体"/>
                <w:b w:val="0"/>
                <w:sz w:val="21"/>
              </w:rPr>
              <w:t>电气机械和器材制造业</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75.0</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r>
      <w:tr>
        <w:tc>
          <w:tcPr>
            <w:tcW w:type="dxa" w:w="850"/>
          </w:tcPr>
          <w:p>
            <w:pPr>
              <w:spacing w:before="20" w:after="20" w:line="276" w:lineRule="auto"/>
              <w:jc w:val="left"/>
            </w:pPr>
            <w:r/>
            <w:r>
              <w:rPr>
                <w:rFonts w:ascii="Times New Roman" w:hAnsi="Times New Roman" w:eastAsia="宋体"/>
                <w:b w:val="0"/>
                <w:sz w:val="21"/>
              </w:rPr>
              <w:t>非金属矿物制品业</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62.0</w:t>
            </w:r>
          </w:p>
        </w:tc>
        <w:tc>
          <w:tcPr>
            <w:tcW w:type="dxa" w:w="850"/>
          </w:tcPr>
          <w:p>
            <w:pPr>
              <w:spacing w:before="20" w:after="20" w:line="276" w:lineRule="auto"/>
              <w:jc w:val="center"/>
            </w:pPr>
            <w:r/>
            <w:r>
              <w:rPr>
                <w:rFonts w:ascii="Times New Roman" w:hAnsi="Times New Roman" w:eastAsia="宋体"/>
                <w:b w:val="0"/>
                <w:sz w:val="21"/>
              </w:rPr>
              <w:t>61.1</w:t>
            </w:r>
          </w:p>
        </w:tc>
        <w:tc>
          <w:tcPr>
            <w:tcW w:type="dxa" w:w="850"/>
          </w:tcPr>
          <w:p>
            <w:pPr>
              <w:spacing w:before="20" w:after="20" w:line="276" w:lineRule="auto"/>
              <w:jc w:val="center"/>
            </w:pPr>
            <w:r/>
            <w:r>
              <w:rPr>
                <w:rFonts w:ascii="Times New Roman" w:hAnsi="Times New Roman" w:eastAsia="宋体"/>
                <w:b w:val="0"/>
                <w:sz w:val="21"/>
              </w:rPr>
              <w:t>—</w:t>
            </w:r>
          </w:p>
        </w:tc>
        <w:tc>
          <w:tcPr>
            <w:tcW w:type="dxa" w:w="850"/>
          </w:tcPr>
          <w:p>
            <w:pPr>
              <w:spacing w:before="20" w:after="20" w:line="276" w:lineRule="auto"/>
              <w:jc w:val="center"/>
            </w:pPr>
            <w:r/>
            <w:r>
              <w:rPr>
                <w:rFonts w:ascii="Times New Roman" w:hAnsi="Times New Roman" w:eastAsia="宋体"/>
                <w:b w:val="0"/>
                <w:sz w:val="21"/>
              </w:rPr>
              <w:t>—</w:t>
            </w:r>
          </w:p>
        </w:tc>
      </w:tr>
      <w:tr>
        <w:tc>
          <w:tcPr>
            <w:tcW w:type="dxa" w:w="850"/>
            <w:tcBorders>
              <w:bottom w:val="single" w:sz="12" w:color="000000"/>
            </w:tcBorders>
          </w:tcPr>
          <w:p>
            <w:pPr>
              <w:spacing w:before="20" w:after="20" w:line="276" w:lineRule="auto"/>
              <w:jc w:val="left"/>
            </w:pPr>
            <w:r/>
            <w:r>
              <w:rPr>
                <w:rFonts w:ascii="Times New Roman" w:hAnsi="Times New Roman" w:eastAsia="宋体"/>
                <w:b w:val="0"/>
                <w:sz w:val="21"/>
              </w:rPr>
              <w:t>黑色金属冶炼和压延加工业</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78.5</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850"/>
            <w:tcBorders>
              <w:bottom w:val="single" w:sz="12" w:color="000000"/>
            </w:tcBorders>
          </w:tcPr>
          <w:p>
            <w:pPr>
              <w:spacing w:before="20" w:after="20" w:line="276" w:lineRule="auto"/>
              <w:jc w:val="center"/>
            </w:pPr>
            <w:r/>
            <w:r>
              <w:rPr>
                <w:rFonts w:ascii="Times New Roman" w:hAnsi="Times New Roman" w:eastAsia="宋体"/>
                <w:b w:val="0"/>
                <w:sz w:val="21"/>
              </w:rPr>
              <w:t>—</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注：产能利用率据国家统计局数据（%）；工业总体利润率为规模以上工业企业营业收入利润率；汽车行业利润率为乘联分会（崔东树）基于国家统计局数据的测算口径；"—"表示暂缺公开数据。</w:t>
      </w:r>
    </w:p>
    <w:p>
      <w:pPr>
        <w:spacing w:before="0" w:after="0" w:line="360" w:lineRule="auto"/>
        <w:ind w:firstLineChars="200" w:firstLine="480"/>
      </w:pPr>
      <w:r>
        <w:rPr>
          <w:rFonts w:ascii="Times New Roman" w:hAnsi="Times New Roman" w:eastAsia="宋体"/>
          <w:b w:val="0"/>
          <w:sz w:val="24"/>
        </w:rPr>
        <w:t>表5.1传递出三层信息。从水平看，2025年四季度除黑色金属冶炼和压延加工业（78.5%）相对较高外，多数重点行业产能利用率低于或接近工业总体水平，非金属矿物制品业仅约61%，意味着近四成产能闲置。从变化看，工业总体利用率与利润率同步下行——利用率由2021年的77.5%降至2025年的74.4%，营业收入利润率由6.81%降至5.31%；汽车行业利润率降幅更大，由6.1%降至4.1%。从结构与含义看，黑色金属行业相对较高的利用率得益于"十三五"时期化解过剩钢铁产能的存量治理，而汽车、电气机械等新兴行业利用率偏低则是增量投资"潮涌"的结果，非金属矿物制品业的低位固化则暴露出需求收缩背景下退出机制的失灵。三种类型对应着本书第三章所述内卷陷阱的不同侧面，也印证了统一大市场建设有助于提升企业产能利用率的最新经验证据（王浩旸等，2025）。</w:t>
      </w:r>
    </w:p>
    <w:p>
      <w:pPr>
        <w:spacing w:before="160" w:after="120" w:line="360" w:lineRule="auto"/>
        <w:outlineLvl w:val="2"/>
      </w:pPr>
      <w:r>
        <w:rPr>
          <w:rFonts w:ascii="Times New Roman" w:hAnsi="Times New Roman" w:eastAsia="黑体"/>
          <w:b w:val="0"/>
          <w:sz w:val="24"/>
        </w:rPr>
        <w:t>3．利润侵蚀：规模以上工业利润率降至历史低位</w:t>
      </w:r>
    </w:p>
    <w:p>
      <w:pPr>
        <w:spacing w:before="0" w:after="0" w:line="360" w:lineRule="auto"/>
        <w:ind w:firstLineChars="200" w:firstLine="480"/>
      </w:pPr>
      <w:r>
        <w:rPr>
          <w:rFonts w:ascii="Times New Roman" w:hAnsi="Times New Roman" w:eastAsia="宋体"/>
          <w:b w:val="0"/>
          <w:sz w:val="24"/>
        </w:rPr>
        <w:t>产能过剩与价格下行最终汇集为利润的系统性侵蚀。据国家统计局数据，规模以上工业企业营业收入利润率2021年为6.81%，此后逐年下滑：2022年6.09%、2023年5.76%、2024年5.39%、2025年5.31%，处于2015年以来的低位（2015—2018年为主营业务收入利润率口径）。利润总额的变化更为直观：2021年为8.71万亿元（增长34.3%），2022年降至8.40万亿元（−4.0%），2023年7.69万亿元（−2.3%），2024年7.43万亿元（−3.3%），2025年为73982.0亿元、按可比口径增长0.6%，虽扭转了连续三年下降的局面，但绝对规模仍明显低于2021年高点；2025年规模以上工业企业营业收入达139.20万亿元、增长1.1%，收入与利润增速的落差凸显"增收不增利"的行业生态（见图5.4）。</w:t>
      </w:r>
    </w:p>
    <w:p>
      <w:pPr>
        <w:spacing w:before="120"/>
        <w:jc w:val="center"/>
      </w:pPr>
      <w:r>
        <w:drawing>
          <wp:inline xmlns:a="http://schemas.openxmlformats.org/drawingml/2006/main" xmlns:pic="http://schemas.openxmlformats.org/drawingml/2006/picture">
            <wp:extent cx="5112000" cy="2158014"/>
            <wp:docPr id="14" name="Picture 14"/>
            <wp:cNvGraphicFramePr>
              <a:graphicFrameLocks noChangeAspect="1"/>
            </wp:cNvGraphicFramePr>
            <a:graphic>
              <a:graphicData uri="http://schemas.openxmlformats.org/drawingml/2006/picture">
                <pic:pic>
                  <pic:nvPicPr>
                    <pic:cNvPr id="0" name="fig_5_4.png"/>
                    <pic:cNvPicPr/>
                  </pic:nvPicPr>
                  <pic:blipFill>
                    <a:blip r:embed="rId22"/>
                    <a:stretch>
                      <a:fillRect/>
                    </a:stretch>
                  </pic:blipFill>
                  <pic:spPr>
                    <a:xfrm>
                      <a:off x="0" y="0"/>
                      <a:ext cx="5112000" cy="2158014"/>
                    </a:xfrm>
                    <a:prstGeom prst="rect"/>
                  </pic:spPr>
                </pic:pic>
              </a:graphicData>
            </a:graphic>
          </wp:inline>
        </w:drawing>
      </w:r>
    </w:p>
    <w:p>
      <w:pPr>
        <w:spacing w:before="120" w:after="120" w:line="312" w:lineRule="auto"/>
        <w:jc w:val="center"/>
      </w:pPr>
      <w:r>
        <w:rPr>
          <w:rFonts w:ascii="Times New Roman" w:hAnsi="Times New Roman" w:eastAsia="黑体"/>
          <w:b w:val="0"/>
          <w:sz w:val="21"/>
        </w:rPr>
        <w:t>图5.4　规模以上工业企业营业收入利润率与利润总额（2015—2025）</w:t>
      </w:r>
    </w:p>
    <w:p>
      <w:pPr>
        <w:spacing w:before="0" w:after="0" w:line="360" w:lineRule="auto"/>
        <w:ind w:firstLineChars="200" w:firstLine="480"/>
      </w:pPr>
      <w:r>
        <w:rPr>
          <w:rFonts w:ascii="Times New Roman" w:hAnsi="Times New Roman" w:eastAsia="宋体"/>
          <w:b w:val="0"/>
          <w:sz w:val="24"/>
        </w:rPr>
        <w:t>图5.4的两个面板需要合并解读。从水平看，2025年5.31%的营业收入利润率意味着企业每百元收入仅获得5.3元利润，处于2015年以来的谷底区间；与2021年6.81%的高点相比，利润率累计收缩1.5个百分点。从变化看，利润总额连续三年负增长（2022—2024年）在改革开放以来的工业运行史上并不多见，2025年的微弱转正（+0.6%）主要出现在"反内卷"治理推进之后——2025年1—10月利润同比增长1.9%、1—11月增长0.1%、全年增长0.6%，节奏上与四季度价格降幅收窄相互印证。从结构看，亏损面居高不下：据国家统计局数据，2024年1—3月规模以上工业亏损企业占比达35.48%（季节性高点），1—11月仍为25.42%；据智研咨询整理的国家统计局数据，2024年全年制造业亏损企业占比为22.5%；另据证券时报报道，2025年报预告中A股已有1442家公司预亏。从含义看，利润率的持续下探正是"内卷式"竞争"无利化"特征的宏观加总：当价格竞争向成本线收敛甚至击穿成本线时，行业利润池整体萎缩，企业以牺牲盈利换取市场份额，创新投入的内源融资能力随之削弱，这构成本书第三章界定的内卷陷阱中"创新回报被侵蚀"环节的直接证据。</w:t>
      </w:r>
    </w:p>
    <w:p>
      <w:pPr>
        <w:spacing w:before="0" w:after="0" w:line="360" w:lineRule="auto"/>
        <w:ind w:firstLineChars="200" w:firstLine="480"/>
      </w:pPr>
      <w:r>
        <w:rPr>
          <w:rFonts w:ascii="Times New Roman" w:hAnsi="Times New Roman" w:eastAsia="宋体"/>
          <w:b w:val="0"/>
          <w:sz w:val="24"/>
        </w:rPr>
        <w:t>利润侵蚀对创新可持续性的威胁不容低估。据国家统计局数据，中国全社会研究与试验发展（R&amp;D）经费2024年达36326.8亿元、增长8.9%，投入强度2.69%；2025年约3.9万亿元、强度2.80%，首次超过OECD国家平均水平（2.70%），"十四五"期间年均增速达10.0%，其中企业对R&amp;D经费增长的贡献率超过75%、2025年企业占比约77%。研发格局的这一结构意味着，企业利润是全社会创新投入最主要的内源资金：当规模以上工业利润率在5.3%附近的低位徘徊、超过两成制造业企业陷于亏损时，行业性的利润枯竭迟早会传导为研发预算的收缩与创新节奏的放缓。换言之，"内卷式"竞争的代价并不止于当期的利润损失，更在于以未来的技术能力为抵押——低价换量的竞争策略侵蚀的正是高质量发展的动力源泉。这也是中央把"深入整治'内卷式'竞争"与"因地制宜发展新质生产力"置于同一政策框架下部署的深层逻辑。</w:t>
      </w:r>
    </w:p>
    <w:p>
      <w:pPr>
        <w:spacing w:before="160" w:after="120" w:line="360" w:lineRule="auto"/>
        <w:outlineLvl w:val="2"/>
      </w:pPr>
      <w:r>
        <w:rPr>
          <w:rFonts w:ascii="Times New Roman" w:hAnsi="Times New Roman" w:eastAsia="黑体"/>
          <w:b w:val="0"/>
          <w:sz w:val="24"/>
        </w:rPr>
        <w:t>4．供需结构：消费率偏低的国际比较</w:t>
      </w:r>
    </w:p>
    <w:p>
      <w:pPr>
        <w:spacing w:before="0" w:after="0" w:line="360" w:lineRule="auto"/>
        <w:ind w:firstLineChars="200" w:firstLine="480"/>
      </w:pPr>
      <w:r>
        <w:rPr>
          <w:rFonts w:ascii="Times New Roman" w:hAnsi="Times New Roman" w:eastAsia="宋体"/>
          <w:b w:val="0"/>
          <w:sz w:val="24"/>
        </w:rPr>
        <w:t>"供强需弱"的深层结构性根源在于消费率长期偏低而投资率长期偏高。据国家统计局与世界银行WDI口径的数据，中国居民消费率（居民最终消费支出占GDP比重）在2010年降至约34%的历史低点后缓慢回升，2019年为38.8%，2023年为39.1%，2024年为39.9%、较2012年提高4.3个百分点；含政府消费的最终消费率2020年接近55%、2023年为55.6%、2024年约为56.6%，而发达国家最终消费率普遍在80%左右。需求另一端，中国资本形成率长期保持40%以上的量级、显著高于世界平均水平；2024年最终消费支出对经济增长的贡献率为44.5%、拉动GDP增长2.2个百分点，资本形成总额贡献率为25.2%。将中国置于国际坐标系中，消费率的缺口更为醒目（见图5.5）。</w:t>
      </w:r>
    </w:p>
    <w:p>
      <w:pPr>
        <w:spacing w:before="120"/>
        <w:jc w:val="center"/>
      </w:pPr>
      <w:r>
        <w:drawing>
          <wp:inline xmlns:a="http://schemas.openxmlformats.org/drawingml/2006/main" xmlns:pic="http://schemas.openxmlformats.org/drawingml/2006/picture">
            <wp:extent cx="5112000" cy="2215973"/>
            <wp:docPr id="15" name="Picture 15"/>
            <wp:cNvGraphicFramePr>
              <a:graphicFrameLocks noChangeAspect="1"/>
            </wp:cNvGraphicFramePr>
            <a:graphic>
              <a:graphicData uri="http://schemas.openxmlformats.org/drawingml/2006/picture">
                <pic:pic>
                  <pic:nvPicPr>
                    <pic:cNvPr id="0" name="fig_5_5.png"/>
                    <pic:cNvPicPr/>
                  </pic:nvPicPr>
                  <pic:blipFill>
                    <a:blip r:embed="rId23"/>
                    <a:stretch>
                      <a:fillRect/>
                    </a:stretch>
                  </pic:blipFill>
                  <pic:spPr>
                    <a:xfrm>
                      <a:off x="0" y="0"/>
                      <a:ext cx="5112000" cy="2215973"/>
                    </a:xfrm>
                    <a:prstGeom prst="rect"/>
                  </pic:spPr>
                </pic:pic>
              </a:graphicData>
            </a:graphic>
          </wp:inline>
        </w:drawing>
      </w:r>
    </w:p>
    <w:p>
      <w:pPr>
        <w:spacing w:before="120" w:after="120" w:line="312" w:lineRule="auto"/>
        <w:jc w:val="center"/>
      </w:pPr>
      <w:r>
        <w:rPr>
          <w:rFonts w:ascii="Times New Roman" w:hAnsi="Times New Roman" w:eastAsia="黑体"/>
          <w:b w:val="0"/>
          <w:sz w:val="21"/>
        </w:rPr>
        <w:t>图5.5　中国居民消费率的变化与国际比较</w:t>
      </w:r>
    </w:p>
    <w:p>
      <w:pPr>
        <w:spacing w:before="0" w:after="0" w:line="360" w:lineRule="auto"/>
        <w:ind w:firstLineChars="200" w:firstLine="480"/>
      </w:pPr>
      <w:r>
        <w:rPr>
          <w:rFonts w:ascii="Times New Roman" w:hAnsi="Times New Roman" w:eastAsia="宋体"/>
          <w:b w:val="0"/>
          <w:sz w:val="24"/>
        </w:rPr>
        <w:t>图5.5的两个面板揭示了需求约束的深度与刚性。从国际横截面看，据世界银行WDI数据（2023年），全球居民消费率均值为56.6%，中等收入经济体为52%，而中国仅为39.1%，在149个经济体中排名倒数第10，在人口800万以上的经济体中居于末位；美国个人消费支出占GDP的比重约为68.8%（2024年一季度，BEA口径）。与2019年处于相近收入水平的经济体比较，差距同样显著：阿根廷为63%、墨西哥56.8%、波兰53.6%、西班牙51%、泰国48.5%、俄罗斯48.1%、土耳其47.9%、韩国43%，均高于中国同年的38.8%；韩国居民消费率曾于1988年降至48.9%的低点，其后企稳回升，而中国的回升斜率明显更缓。从时间维度看，2010年以来中国居民消费率虽累计回升约6个百分点，但仍未回到与发展阶段相称的水平。从含义看，消费率偏低意味着国内最终需求对庞大制造产能的吸纳能力不足，企业被迫在有限的内需空间和波动的外需市场中争夺份额；一旦外需受阻或行业景气回落，"供强需弱"的剪刀差便会迅速放大为存量博弈式的价格厮杀。这正是本书第三章"需求约束收紧"这一重扭曲的经验注脚，也解释了何以党的二十届四中全会把"坚持扩大内需这个战略基点"与"坚决破除阻碍全国统一大市场建设卡点堵点"并列部署。</w:t>
      </w:r>
    </w:p>
    <w:p>
      <w:pPr>
        <w:spacing w:before="200" w:after="160" w:line="360" w:lineRule="auto"/>
        <w:outlineLvl w:val="1"/>
      </w:pPr>
      <w:r>
        <w:rPr>
          <w:rFonts w:ascii="Times New Roman" w:hAnsi="Times New Roman" w:eastAsia="黑体"/>
          <w:b w:val="0"/>
          <w:sz w:val="28"/>
        </w:rPr>
        <w:t>（三）重点行业"内卷式"竞争画像</w:t>
      </w:r>
    </w:p>
    <w:p>
      <w:pPr>
        <w:spacing w:before="0" w:after="0" w:line="360" w:lineRule="auto"/>
        <w:ind w:firstLineChars="200" w:firstLine="480"/>
      </w:pPr>
      <w:r>
        <w:rPr>
          <w:rFonts w:ascii="Times New Roman" w:hAnsi="Times New Roman" w:eastAsia="宋体"/>
          <w:b w:val="0"/>
          <w:sz w:val="24"/>
        </w:rPr>
        <w:t>宏观数据刻画的是平均数，行业层面的事实则更为尖锐。本书测算的"内卷式竞争"强度指数显示，全国均值由2021年的0.359升至2022年的0.398、2023年的0.437，2024年达到0.470的样本期峰值，2022年以来的攀升速度远超此前任何时期。本节选取"内卷"特征最典型的光伏、锂电与新型储能、新能源汽车、平台经济四个领域逐一画像，并以钢铁、水泥作为传统行业产能治理的对照。行业叙事的完整机制分析与治理评估，见本书第十章。</w:t>
      </w:r>
    </w:p>
    <w:p>
      <w:pPr>
        <w:spacing w:before="160" w:after="120" w:line="360" w:lineRule="auto"/>
        <w:outlineLvl w:val="2"/>
      </w:pPr>
      <w:r>
        <w:rPr>
          <w:rFonts w:ascii="Times New Roman" w:hAnsi="Times New Roman" w:eastAsia="黑体"/>
          <w:b w:val="0"/>
          <w:sz w:val="24"/>
        </w:rPr>
        <w:t>1．光伏：产能狂飙、价格雪崩与全行业亏损</w:t>
      </w:r>
    </w:p>
    <w:p>
      <w:pPr>
        <w:spacing w:before="0" w:after="0" w:line="360" w:lineRule="auto"/>
        <w:ind w:firstLineChars="200" w:firstLine="480"/>
      </w:pPr>
      <w:r>
        <w:rPr>
          <w:rFonts w:ascii="Times New Roman" w:hAnsi="Times New Roman" w:eastAsia="宋体"/>
          <w:b w:val="0"/>
          <w:sz w:val="24"/>
        </w:rPr>
        <w:t>光伏是本轮"内卷式"竞争最完整的标本。"双碳"目标确立后，资本与地方政府竞相涌入光伏赛道，产业链价格在供需两旺中冲至历史高位：2022年下半年多晶硅致密料价格一度突破30万元/吨，"拥硅为王"成为行业写照。随后的逆转异常惨烈：据多方数据印证，2024年5月致密料成交均价跌至约3.9万元/吨，较高点跌去近85%，全面跌破生产成本；据上海有色网（SMM）数据，P型致密料2024年内最低见33.5元/kg（约3.35万元/吨）、创三年新低，2024年12月31日均价35.5元/kg，较2023年底的59元/kg再度大幅下跌。组件环节同样雪崩：据中国机电产品进出口商会数据，组件价格由2023年初约1.9元/W跌至2024年年中约0.8元/W，降幅约58%；2024年招投标市场最低报价约0.6元/W，已低于中国光伏行业协会（CPIA）测算并于2024年10月18日公布的0.68元/W含税最低成本价（12月更新为0.69元/W），CPIA明确"低于成本投标中标涉嫌违法"。CPIA名誉理事长王勃华披露，仅2024年内多晶硅价格下滑超35%、硅片超45%、电池片和组件超25%；至2025年上半年，主产业链产品价格较高点跌幅达66%—89%（见图5.6）。</w:t>
      </w:r>
    </w:p>
    <w:p>
      <w:pPr>
        <w:spacing w:before="120"/>
        <w:jc w:val="center"/>
      </w:pPr>
      <w:r>
        <w:drawing>
          <wp:inline xmlns:a="http://schemas.openxmlformats.org/drawingml/2006/main" xmlns:pic="http://schemas.openxmlformats.org/drawingml/2006/picture">
            <wp:extent cx="5112000" cy="2165379"/>
            <wp:docPr id="16" name="Picture 16"/>
            <wp:cNvGraphicFramePr>
              <a:graphicFrameLocks noChangeAspect="1"/>
            </wp:cNvGraphicFramePr>
            <a:graphic>
              <a:graphicData uri="http://schemas.openxmlformats.org/drawingml/2006/picture">
                <pic:pic>
                  <pic:nvPicPr>
                    <pic:cNvPr id="0" name="fig_5_6.png"/>
                    <pic:cNvPicPr/>
                  </pic:nvPicPr>
                  <pic:blipFill>
                    <a:blip r:embed="rId24"/>
                    <a:stretch>
                      <a:fillRect/>
                    </a:stretch>
                  </pic:blipFill>
                  <pic:spPr>
                    <a:xfrm>
                      <a:off x="0" y="0"/>
                      <a:ext cx="5112000" cy="2165379"/>
                    </a:xfrm>
                    <a:prstGeom prst="rect"/>
                  </pic:spPr>
                </pic:pic>
              </a:graphicData>
            </a:graphic>
          </wp:inline>
        </w:drawing>
      </w:r>
    </w:p>
    <w:p>
      <w:pPr>
        <w:spacing w:before="120" w:after="120" w:line="312" w:lineRule="auto"/>
        <w:jc w:val="center"/>
      </w:pPr>
      <w:r>
        <w:rPr>
          <w:rFonts w:ascii="Times New Roman" w:hAnsi="Times New Roman" w:eastAsia="黑体"/>
          <w:b w:val="0"/>
          <w:sz w:val="21"/>
        </w:rPr>
        <w:t>图5.6　光伏产业链价格走势（2021—2025）</w:t>
      </w:r>
    </w:p>
    <w:p>
      <w:pPr>
        <w:spacing w:before="0" w:after="0" w:line="360" w:lineRule="auto"/>
        <w:ind w:firstLineChars="200" w:firstLine="480"/>
      </w:pPr>
      <w:r>
        <w:rPr>
          <w:rFonts w:ascii="Times New Roman" w:hAnsi="Times New Roman" w:eastAsia="宋体"/>
          <w:b w:val="0"/>
          <w:sz w:val="24"/>
        </w:rPr>
        <w:t>图5.6以多晶硅与组件两个代表性环节呈现了价格的完整轨迹。从水平与变化看，多晶硅由2022年高点30.3万元/吨跌至2024年5月的3.9万元/吨、2024年末的3.55万元/吨，组件由2023年初1.90元/W跌至2024年末0.68元/W，跌幅之深、速度之快在中国制造业史上极为罕见。从结构看，价格击穿的不是个别环节而是全产业链——硅料、硅片、电池片、组件同步跌破或逼近现金成本，表明这不是正常的技术进步降价，而是产能全面过剩下"向成本线以下收敛"的内卷式价格竞争。从含义看，2025年的价格回升轨迹恰好提供了治理效果的对照：据硅业分会数据，行业自律与"反内卷"政策推进后，N型复投料成交均价由2025年7月2日的3.47万元/吨升至7月9日的3.71万元/吨（环比上涨6.92%），7月中上旬报价区间提升至4.5万—5.0万元/吨；9月底N型复投料均价达5.32万元/吨、颗粒硅5.05万元/吨，较6月底分别上涨约55%、51%；由11家多晶硅企业推动组建的产能收储联合体"光和谦成"（注册资本30亿元，拟以700亿元基金承债式收购过剩产能）将稳定硅料价格的目标设定在6万元/吨以上（据财联社等报道）。</w:t>
      </w:r>
    </w:p>
    <w:p>
      <w:pPr>
        <w:spacing w:before="0" w:after="0" w:line="360" w:lineRule="auto"/>
        <w:ind w:firstLineChars="200" w:firstLine="480"/>
      </w:pPr>
      <w:r>
        <w:rPr>
          <w:rFonts w:ascii="Times New Roman" w:hAnsi="Times New Roman" w:eastAsia="宋体"/>
          <w:b w:val="0"/>
          <w:sz w:val="24"/>
        </w:rPr>
        <w:t>价格雪崩的背后是产能与需求的严重错配。据CPIA数据，2024年多晶硅、硅片、电池、组件产量分别超182万吨、753GW、654GW、588GW，同比增长23.6%、12.7%、10.6%、13.5%；据联合资信统计，2024年底国内多晶硅实际有效产能约289.5万吨/年（同比增长38%，全球约303万吨），可满足约1365GW的硅片需求、冗余超过100%，硅片、电池、组件年产能分别约1084GW、1100GW、1218GW，而2025年全球、中国的乐观需求预期仅约600GW、250GW。需求侧虽然强劲——2024年全国光伏新增装机277.57GW、累计并网超880GW（国家能源局、CPIA数据）——但远不足以消化产能。出口呈现典型的"量增价减"：2023年组件出口量211.7GW、增长37.9%，出口总额约484.8亿美元、却下降5.4%（CPIA口径）；据机电商会数据，2024年光伏产品出口额约320.3亿美元、下降33%，其中组件出口量236.2GW、增长9.9%，出口额280亿美元、下降29.2%。产业链各环节价格与成本的对照见表5.2。</w:t>
      </w:r>
    </w:p>
    <w:p>
      <w:pPr>
        <w:spacing w:before="160" w:after="80" w:line="312" w:lineRule="auto"/>
        <w:jc w:val="center"/>
      </w:pPr>
      <w:r>
        <w:rPr>
          <w:rFonts w:ascii="Times New Roman" w:hAnsi="Times New Roman" w:eastAsia="黑体"/>
          <w:b w:val="0"/>
          <w:sz w:val="21"/>
        </w:rPr>
        <w:t>表5.2　光伏产业链各环节价格与现金成本（2022—2025）</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215"/>
        <w:gridCol w:w="1215"/>
        <w:gridCol w:w="1215"/>
        <w:gridCol w:w="1215"/>
        <w:gridCol w:w="1215"/>
        <w:gridCol w:w="1215"/>
        <w:gridCol w:w="1215"/>
      </w:tblGrid>
      <w:tr>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环节（口径）</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周期高点</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2023年末</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2024年中</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2024年末</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2025年9月</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成本／目标价参考</w:t>
            </w:r>
          </w:p>
        </w:tc>
      </w:tr>
      <w:tr>
        <w:tc>
          <w:tcPr>
            <w:tcW w:type="dxa" w:w="1215"/>
          </w:tcPr>
          <w:p>
            <w:pPr>
              <w:spacing w:before="20" w:after="20" w:line="276" w:lineRule="auto"/>
              <w:jc w:val="left"/>
            </w:pPr>
            <w:r/>
            <w:r>
              <w:rPr>
                <w:rFonts w:ascii="Times New Roman" w:hAnsi="Times New Roman" w:eastAsia="宋体"/>
                <w:b w:val="0"/>
                <w:sz w:val="21"/>
              </w:rPr>
              <w:t>多晶硅（致密料／N型复投料，万元/吨）</w:t>
            </w:r>
          </w:p>
        </w:tc>
        <w:tc>
          <w:tcPr>
            <w:tcW w:type="dxa" w:w="1215"/>
          </w:tcPr>
          <w:p>
            <w:pPr>
              <w:spacing w:before="20" w:after="20" w:line="276" w:lineRule="auto"/>
              <w:jc w:val="left"/>
            </w:pPr>
            <w:r/>
            <w:r>
              <w:rPr>
                <w:rFonts w:ascii="Times New Roman" w:hAnsi="Times New Roman" w:eastAsia="宋体"/>
                <w:b w:val="0"/>
                <w:sz w:val="21"/>
              </w:rPr>
              <w:t>30.3（2022年下半年）</w:t>
            </w:r>
          </w:p>
        </w:tc>
        <w:tc>
          <w:tcPr>
            <w:tcW w:type="dxa" w:w="1215"/>
          </w:tcPr>
          <w:p>
            <w:pPr>
              <w:spacing w:before="20" w:after="20" w:line="276" w:lineRule="auto"/>
              <w:jc w:val="center"/>
            </w:pPr>
            <w:r/>
            <w:r>
              <w:rPr>
                <w:rFonts w:ascii="Times New Roman" w:hAnsi="Times New Roman" w:eastAsia="宋体"/>
                <w:b w:val="0"/>
                <w:sz w:val="21"/>
              </w:rPr>
              <w:t>5.9</w:t>
            </w:r>
          </w:p>
        </w:tc>
        <w:tc>
          <w:tcPr>
            <w:tcW w:type="dxa" w:w="1215"/>
          </w:tcPr>
          <w:p>
            <w:pPr>
              <w:spacing w:before="20" w:after="20" w:line="276" w:lineRule="auto"/>
              <w:jc w:val="left"/>
            </w:pPr>
            <w:r/>
            <w:r>
              <w:rPr>
                <w:rFonts w:ascii="Times New Roman" w:hAnsi="Times New Roman" w:eastAsia="宋体"/>
                <w:b w:val="0"/>
                <w:sz w:val="21"/>
              </w:rPr>
              <w:t>3.9（5月，全面跌破生产成本）</w:t>
            </w:r>
          </w:p>
        </w:tc>
        <w:tc>
          <w:tcPr>
            <w:tcW w:type="dxa" w:w="1215"/>
          </w:tcPr>
          <w:p>
            <w:pPr>
              <w:spacing w:before="20" w:after="20" w:line="276" w:lineRule="auto"/>
              <w:jc w:val="center"/>
            </w:pPr>
            <w:r/>
            <w:r>
              <w:rPr>
                <w:rFonts w:ascii="Times New Roman" w:hAnsi="Times New Roman" w:eastAsia="宋体"/>
                <w:b w:val="0"/>
                <w:sz w:val="21"/>
              </w:rPr>
              <w:t>3.55</w:t>
            </w:r>
          </w:p>
        </w:tc>
        <w:tc>
          <w:tcPr>
            <w:tcW w:type="dxa" w:w="1215"/>
          </w:tcPr>
          <w:p>
            <w:pPr>
              <w:spacing w:before="20" w:after="20" w:line="276" w:lineRule="auto"/>
              <w:jc w:val="left"/>
            </w:pPr>
            <w:r/>
            <w:r>
              <w:rPr>
                <w:rFonts w:ascii="Times New Roman" w:hAnsi="Times New Roman" w:eastAsia="宋体"/>
                <w:b w:val="0"/>
                <w:sz w:val="21"/>
              </w:rPr>
              <w:t>5.32（N型复投料）</w:t>
            </w:r>
          </w:p>
        </w:tc>
        <w:tc>
          <w:tcPr>
            <w:tcW w:type="dxa" w:w="1215"/>
          </w:tcPr>
          <w:p>
            <w:pPr>
              <w:spacing w:before="20" w:after="20" w:line="276" w:lineRule="auto"/>
              <w:jc w:val="left"/>
            </w:pPr>
            <w:r/>
            <w:r>
              <w:rPr>
                <w:rFonts w:ascii="Times New Roman" w:hAnsi="Times New Roman" w:eastAsia="宋体"/>
                <w:b w:val="0"/>
                <w:sz w:val="21"/>
              </w:rPr>
              <w:t>收储联合体目标价6万元/吨以上</w:t>
            </w:r>
          </w:p>
        </w:tc>
      </w:tr>
      <w:tr>
        <w:tc>
          <w:tcPr>
            <w:tcW w:type="dxa" w:w="1215"/>
          </w:tcPr>
          <w:p>
            <w:pPr>
              <w:spacing w:before="20" w:after="20" w:line="276" w:lineRule="auto"/>
              <w:jc w:val="left"/>
            </w:pPr>
            <w:r/>
            <w:r>
              <w:rPr>
                <w:rFonts w:ascii="Times New Roman" w:hAnsi="Times New Roman" w:eastAsia="宋体"/>
                <w:b w:val="0"/>
                <w:sz w:val="21"/>
              </w:rPr>
              <w:t>硅片（N型G10L，元/片）</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1.05</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w:t>
            </w:r>
          </w:p>
        </w:tc>
      </w:tr>
      <w:tr>
        <w:tc>
          <w:tcPr>
            <w:tcW w:type="dxa" w:w="1215"/>
          </w:tcPr>
          <w:p>
            <w:pPr>
              <w:spacing w:before="20" w:after="20" w:line="276" w:lineRule="auto"/>
              <w:jc w:val="left"/>
            </w:pPr>
            <w:r/>
            <w:r>
              <w:rPr>
                <w:rFonts w:ascii="Times New Roman" w:hAnsi="Times New Roman" w:eastAsia="宋体"/>
                <w:b w:val="0"/>
                <w:sz w:val="21"/>
              </w:rPr>
              <w:t>电池片（TOPCon，元/W）</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0.28</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w:t>
            </w:r>
          </w:p>
        </w:tc>
      </w:tr>
      <w:tr>
        <w:tc>
          <w:tcPr>
            <w:tcW w:type="dxa" w:w="1215"/>
            <w:tcBorders>
              <w:bottom w:val="single" w:sz="12" w:color="000000"/>
            </w:tcBorders>
          </w:tcPr>
          <w:p>
            <w:pPr>
              <w:spacing w:before="20" w:after="20" w:line="276" w:lineRule="auto"/>
              <w:jc w:val="left"/>
            </w:pPr>
            <w:r/>
            <w:r>
              <w:rPr>
                <w:rFonts w:ascii="Times New Roman" w:hAnsi="Times New Roman" w:eastAsia="宋体"/>
                <w:b w:val="0"/>
                <w:sz w:val="21"/>
              </w:rPr>
              <w:t>组件（元/W）</w:t>
            </w:r>
          </w:p>
        </w:tc>
        <w:tc>
          <w:tcPr>
            <w:tcW w:type="dxa" w:w="1215"/>
            <w:tcBorders>
              <w:bottom w:val="single" w:sz="12" w:color="000000"/>
            </w:tcBorders>
          </w:tcPr>
          <w:p>
            <w:pPr>
              <w:spacing w:before="20" w:after="20" w:line="276" w:lineRule="auto"/>
              <w:jc w:val="left"/>
            </w:pPr>
            <w:r/>
            <w:r>
              <w:rPr>
                <w:rFonts w:ascii="Times New Roman" w:hAnsi="Times New Roman" w:eastAsia="宋体"/>
                <w:b w:val="0"/>
                <w:sz w:val="21"/>
              </w:rPr>
              <w:t>1.90（2023年初）</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1.0</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0.80</w:t>
            </w:r>
          </w:p>
        </w:tc>
        <w:tc>
          <w:tcPr>
            <w:tcW w:type="dxa" w:w="1215"/>
            <w:tcBorders>
              <w:bottom w:val="single" w:sz="12" w:color="000000"/>
            </w:tcBorders>
          </w:tcPr>
          <w:p>
            <w:pPr>
              <w:spacing w:before="20" w:after="20" w:line="276" w:lineRule="auto"/>
              <w:jc w:val="left"/>
            </w:pPr>
            <w:r/>
            <w:r>
              <w:rPr>
                <w:rFonts w:ascii="Times New Roman" w:hAnsi="Times New Roman" w:eastAsia="宋体"/>
                <w:b w:val="0"/>
                <w:sz w:val="21"/>
              </w:rPr>
              <w:t>0.68—0.71</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0.685</w:t>
            </w:r>
          </w:p>
        </w:tc>
        <w:tc>
          <w:tcPr>
            <w:tcW w:type="dxa" w:w="1215"/>
            <w:tcBorders>
              <w:bottom w:val="single" w:sz="12" w:color="000000"/>
            </w:tcBorders>
          </w:tcPr>
          <w:p>
            <w:pPr>
              <w:spacing w:before="20" w:after="20" w:line="276" w:lineRule="auto"/>
              <w:jc w:val="left"/>
            </w:pPr>
            <w:r/>
            <w:r>
              <w:rPr>
                <w:rFonts w:ascii="Times New Roman" w:hAnsi="Times New Roman" w:eastAsia="宋体"/>
                <w:b w:val="0"/>
                <w:sz w:val="21"/>
              </w:rPr>
              <w:t>CPIA含税最低成本0.68—0.69</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注：据硅业分会、上海有色网（SMM）、InfoLink、中国光伏行业协会（CPIA）、中国机电产品进出口商会数据整理；2024年末组件价格区间为PERC（0.68元/W）至N型TOPCon（约0.71元/W）成交均价。</w:t>
      </w:r>
    </w:p>
    <w:p>
      <w:pPr>
        <w:spacing w:before="0" w:after="0" w:line="360" w:lineRule="auto"/>
        <w:ind w:firstLineChars="200" w:firstLine="480"/>
      </w:pPr>
      <w:r>
        <w:rPr>
          <w:rFonts w:ascii="Times New Roman" w:hAnsi="Times New Roman" w:eastAsia="宋体"/>
          <w:b w:val="0"/>
          <w:sz w:val="24"/>
        </w:rPr>
        <w:t>表5.2的核心信息是"价格贴地飞行"：2024年末组件成交均价（0.68—0.71元/W）几乎与CPIA测算的最低成本线（0.68—0.69元/W）重合，多晶硅价格则一度深跌至成本线以下，全行业进入"卖一瓦亏一瓦"的状态。其财务后果是全行业亏损：据公司年报，通威股份2024年归母净亏损70.39亿元（营收919.94亿元、下降33.87%），为2004年上市以来首亏；隆基绿能2024年归母净亏损86.18亿元（同比下降180.15%），为十年来首亏。据21世纪经济报道统计，2024年上半年主产业链四环节20家主流企业中16家亏损、合计亏损226.5亿元，仅4家盈利、合计盈利30.5亿元；据OFweek对17家主要企业的全年统计口径，2024年合计亏损393.98亿元、仅7家合计盈利69.07亿元。出清与自律随之启动：2024年上半年新投产能同比减少75%、超20个项目终止或延期（CPIA）；2025年上半年多晶硅产量59.6万吨、同比下降43.8%，硅片产量316GW、同比下降21.4%；至2025年末龙头企业已减产至12.5万—13万吨/月（硅业分会）。2025年前三季度主产业链营收同比下降16.9%，但毛利率回升至3.64%（三季度达5.61%），隆基三季度归母净亏损8.34亿元、同比减亏33.53%，通威三季度同比减亏62.69%，全行业尚未整体扭亏但已现拐点迹象。值得注意的是，这并非光伏第一次陷入过剩：2011—2012年前后的首轮光伏危机中，政府对新兴产业的过度扶持即被识别为产能过剩的重要推手（余东华、吕逸楠，2015）；十年后剧情重演且规模更大，说明若不触及地方激励与市场分割的制度根源，行业性内卷具有很强的复发性。</w:t>
      </w:r>
    </w:p>
    <w:p>
      <w:pPr>
        <w:spacing w:before="0" w:after="0" w:line="360" w:lineRule="auto"/>
        <w:ind w:firstLineChars="200" w:firstLine="480"/>
      </w:pPr>
      <w:r>
        <w:rPr>
          <w:rFonts w:ascii="Times New Roman" w:hAnsi="Times New Roman" w:eastAsia="宋体"/>
          <w:b w:val="0"/>
          <w:sz w:val="24"/>
        </w:rPr>
        <w:t>光伏行业的治理进程为观察"反内卷"政策工具的组合运用提供了完整样本。2024年5月17日，工信部电子司指导、CPIA组织召开光伏行业高质量发展座谈会，拉开行业治理序幕；10月14日CPIA召开防"内卷"专题座谈会，10月18日公布组件含税最低成本价并明确低于成本投标中标涉嫌违法；11月工信部发布《光伏制造行业规范条件（2024年本）》，将新建项目最低资本金比例由20%提高至30%，从源头抬高盲目扩产门槛；12月26日多晶硅期货在广州期货交易所上市，为价格发现与风险管理提供市场化工具。自律启动后价格边际企稳：据InfoLink数据，2024年12月底N型TOPCon组件成交均价约0.71元/W、PERC组件0.68元/W，TOPCon电池片四季度反弹约3.7%。2025年治理进一步加码：3月抢装潮下主流组件报价一度突破0.7—0.8元/W，"531"后回落至9月的约0.68—0.69元/W；7月3日工信部召开第十五次制造业企业座谈会（14家光伏企业参加），光伏玻璃企业集体减产约30%，硅料价格自7月起持续反弹；2025年末至2026年初组件价格回升至0.7—0.8元/W区间，分布式渠道均价约0.72元/W。从"协会自律—标准约束—资本金门槛—期货工具—产能收储"的政策序列看，光伏治理正在从道义劝说走向制度化的产能调控与价格秩序重建，其成效评估详见本书第十章第一节。</w:t>
      </w:r>
    </w:p>
    <w:p>
      <w:pPr>
        <w:spacing w:before="160" w:after="120" w:line="360" w:lineRule="auto"/>
        <w:outlineLvl w:val="2"/>
      </w:pPr>
      <w:r>
        <w:rPr>
          <w:rFonts w:ascii="Times New Roman" w:hAnsi="Times New Roman" w:eastAsia="黑体"/>
          <w:b w:val="0"/>
          <w:sz w:val="24"/>
        </w:rPr>
        <w:t>2．锂电与新型储能：同构布局下的价格承压</w:t>
      </w:r>
    </w:p>
    <w:p>
      <w:pPr>
        <w:spacing w:before="0" w:after="0" w:line="360" w:lineRule="auto"/>
        <w:ind w:firstLineChars="200" w:firstLine="480"/>
      </w:pPr>
      <w:r>
        <w:rPr>
          <w:rFonts w:ascii="Times New Roman" w:hAnsi="Times New Roman" w:eastAsia="宋体"/>
          <w:b w:val="0"/>
          <w:sz w:val="24"/>
        </w:rPr>
        <w:t>锂电池与新型储能领域的"内卷"逻辑与光伏高度同构，限于系统数据的可得性，此处仅作简要勾勒。与光伏类似，锂电产业链在"双碳"预期与新能源汽车放量的带动下经历了产能的集中投放，碳酸锂等上游材料价格自高点大幅回落，电芯与储能系统集成环节陷入激烈的低价竞标，行业毛利承压。产能布局的同构化尤为突出：据国家能源局《中国新型储能发展报告2025》，山东、广东等17个省份新型储能装机已超过100万千瓦，各地竞相将储能列为招商重点。政策层面已将其纳入治理视野：2025年12月，国家发展改革委明确对新能源汽车、锂电池、光伏"新三样"综合整治"内卷式"竞争。锂电与储能的案例进一步说明，内卷并非个别行业的偶发现象，而是同一激励结构在不同赛道上的复制——凡是技术路线相对成熟、地方政府易于识别并竞相扶持的"风口"产业，都容易在短期内聚集远超需求的产能，本书第四章的过度进入模型对此提供了统一解释。</w:t>
      </w:r>
    </w:p>
    <w:p>
      <w:pPr>
        <w:spacing w:before="160" w:after="120" w:line="360" w:lineRule="auto"/>
        <w:outlineLvl w:val="2"/>
      </w:pPr>
      <w:r>
        <w:rPr>
          <w:rFonts w:ascii="Times New Roman" w:hAnsi="Times New Roman" w:eastAsia="黑体"/>
          <w:b w:val="0"/>
          <w:sz w:val="24"/>
        </w:rPr>
        <w:t>3．新能源汽车：三年"价格战"与全链条利润承压</w:t>
      </w:r>
    </w:p>
    <w:p>
      <w:pPr>
        <w:spacing w:before="0" w:after="0" w:line="360" w:lineRule="auto"/>
        <w:ind w:firstLineChars="200" w:firstLine="480"/>
      </w:pPr>
      <w:r>
        <w:rPr>
          <w:rFonts w:ascii="Times New Roman" w:hAnsi="Times New Roman" w:eastAsia="宋体"/>
          <w:b w:val="0"/>
          <w:sz w:val="24"/>
        </w:rPr>
        <w:t>新能源汽车行业上演了消费品市场上最激烈的价格战。战端始于2023年1月6日：特斯拉宣布国产Model 3后驱版降至22.99万元（降3.6万元）、Model Y后驱版降至25.99万元（降2.9万元）、Model Y长续航版降价4.8万元，创当时历史最低价，引发数十家车企跟进（据新华社瞭望报道）。此后价格战逐年升级：据乘联分会崔东树统计，降价车型数量2022年为95款，2023年增至148款，2024年达227款的峰值，2025年为177款（2025年"限时一口价"类促销未计入降价口径）；2024年全部降价车型平均降价1.6万元、降幅8.3%，其中新能源车平均降1.8万元、降幅9.2%，燃油车平均降1.3万元、降幅6.8%。2025年5月23日，比亚迪对王朝网、海洋网22款智驾版车型实施限时补贴，最高优惠5.3万元——海豹07 DM-i智驾版由15.58万元降至10.28万元，秦PLUS DM-i智驾版由7.98万元降至6.38万元，海鸥降至5.58万元——吉利、上汽通用等随即跟进，成为监管介入的导火索；7月1日起比亚迪叫停"限时一口价"，据崔东树观察，2025年下半年起促销与降价回归理性。</w:t>
      </w:r>
    </w:p>
    <w:p>
      <w:pPr>
        <w:spacing w:before="0" w:after="0" w:line="360" w:lineRule="auto"/>
        <w:ind w:firstLineChars="200" w:firstLine="480"/>
      </w:pPr>
      <w:r>
        <w:rPr>
          <w:rFonts w:ascii="Times New Roman" w:hAnsi="Times New Roman" w:eastAsia="宋体"/>
          <w:b w:val="0"/>
          <w:sz w:val="24"/>
        </w:rPr>
        <w:t>价格战与销量扩张并行，构成"量增利薄"的独特景观。据中汽协数据，中国汽车销量由2020年的2531.1万辆（连续第三年下滑）升至2023年的3009.4万辆（首破3000万辆）、2025年的3440万辆；新能源汽车销量由2020年的136.7万辆增至2024年的1286.6万辆（增长35.5%）、2025年的1649万辆（增长28.2%），渗透率由5.4%一路升至2024年的40.9%与2025年的47.9%、2025年12月单月达52.3%；若按乘联分会零售口径，新能源乘用车月度零售渗透率早在2024年7月即达51.1%、首次突破50%。销量、渗透率与降价强度的并行轨迹见图5.7。</w:t>
      </w:r>
    </w:p>
    <w:p>
      <w:pPr>
        <w:spacing w:before="120"/>
        <w:jc w:val="center"/>
      </w:pPr>
      <w:r>
        <w:drawing>
          <wp:inline xmlns:a="http://schemas.openxmlformats.org/drawingml/2006/main" xmlns:pic="http://schemas.openxmlformats.org/drawingml/2006/picture">
            <wp:extent cx="5112000" cy="1863844"/>
            <wp:docPr id="17" name="Picture 17"/>
            <wp:cNvGraphicFramePr>
              <a:graphicFrameLocks noChangeAspect="1"/>
            </wp:cNvGraphicFramePr>
            <a:graphic>
              <a:graphicData uri="http://schemas.openxmlformats.org/drawingml/2006/picture">
                <pic:pic>
                  <pic:nvPicPr>
                    <pic:cNvPr id="0" name="fig_5_7.png"/>
                    <pic:cNvPicPr/>
                  </pic:nvPicPr>
                  <pic:blipFill>
                    <a:blip r:embed="rId25"/>
                    <a:stretch>
                      <a:fillRect/>
                    </a:stretch>
                  </pic:blipFill>
                  <pic:spPr>
                    <a:xfrm>
                      <a:off x="0" y="0"/>
                      <a:ext cx="5112000" cy="1863844"/>
                    </a:xfrm>
                    <a:prstGeom prst="rect"/>
                  </pic:spPr>
                </pic:pic>
              </a:graphicData>
            </a:graphic>
          </wp:inline>
        </w:drawing>
      </w:r>
    </w:p>
    <w:p>
      <w:pPr>
        <w:spacing w:before="120" w:after="120" w:line="312" w:lineRule="auto"/>
        <w:jc w:val="center"/>
      </w:pPr>
      <w:r>
        <w:rPr>
          <w:rFonts w:ascii="Times New Roman" w:hAnsi="Times New Roman" w:eastAsia="黑体"/>
          <w:b w:val="0"/>
          <w:sz w:val="21"/>
        </w:rPr>
        <w:t>图5.7　新能源汽车销量渗透率与价格战强度（2020—2025）</w:t>
      </w:r>
    </w:p>
    <w:p>
      <w:pPr>
        <w:spacing w:before="0" w:after="0" w:line="360" w:lineRule="auto"/>
        <w:ind w:firstLineChars="200" w:firstLine="480"/>
      </w:pPr>
      <w:r>
        <w:rPr>
          <w:rFonts w:ascii="Times New Roman" w:hAnsi="Times New Roman" w:eastAsia="宋体"/>
          <w:b w:val="0"/>
          <w:sz w:val="24"/>
        </w:rPr>
        <w:t>图5.7的三个面板并置揭示了一个深刻的悖论：需求侧高速扩张并未带来行业利润的改善。从水平与变化看，新能源汽车销量六年间增长约11倍、渗透率提高42.5个百分点，是全球产业史上罕见的成长速度；但同期降价车型数量由95款升至227款的峰值，据乘联分会测算的汽车行业利润率由2017年的7.8%逐年下滑至2023年的5.0%、2024年的4.3%、2025年的4.1%的历史低位。从结构看，2024年行业收入106470亿元、增长4%，利润4623亿元、却下降8%；2025年收入111796亿元、增长7.1%，利润4610亿元、仅增长0.6%，其中5月单月利润同比下降27.1%；单车毛利由2017年约2.3万元降至2023年的1.7万元、2025年的约1.4万元。从含义看，这正是内卷式竞争"以价换量、量增利减"的典型形态——市场规模的扩张红利被价格战完全对冲，行业陷入"繁荣的贫困"。价格战强度与盈利指标的逐年对照见表5.3。</w:t>
      </w:r>
    </w:p>
    <w:p>
      <w:pPr>
        <w:spacing w:before="160" w:after="80" w:line="312" w:lineRule="auto"/>
        <w:jc w:val="center"/>
      </w:pPr>
      <w:r>
        <w:rPr>
          <w:rFonts w:ascii="Times New Roman" w:hAnsi="Times New Roman" w:eastAsia="黑体"/>
          <w:b w:val="0"/>
          <w:sz w:val="21"/>
        </w:rPr>
        <w:t>表5.3　汽车行业"价格战"与利润率（2020—2025）</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215"/>
        <w:gridCol w:w="1215"/>
        <w:gridCol w:w="1215"/>
        <w:gridCol w:w="1215"/>
        <w:gridCol w:w="1215"/>
        <w:gridCol w:w="1215"/>
        <w:gridCol w:w="1215"/>
      </w:tblGrid>
      <w:tr>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年份</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汽车销量（万辆）</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新能源汽车销量（万辆）</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新能源渗透率（%，中汽协口径）</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降价车型数量（款）</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行业利润率（%）</w:t>
            </w:r>
          </w:p>
        </w:tc>
        <w:tc>
          <w:tcPr>
            <w:tcW w:type="dxa" w:w="1215"/>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单车毛利（万元）</w:t>
            </w:r>
          </w:p>
        </w:tc>
      </w:tr>
      <w:tr>
        <w:tc>
          <w:tcPr>
            <w:tcW w:type="dxa" w:w="1215"/>
          </w:tcPr>
          <w:p>
            <w:pPr>
              <w:spacing w:before="20" w:after="20" w:line="276" w:lineRule="auto"/>
              <w:jc w:val="center"/>
            </w:pPr>
            <w:r/>
            <w:r>
              <w:rPr>
                <w:rFonts w:ascii="Times New Roman" w:hAnsi="Times New Roman" w:eastAsia="宋体"/>
                <w:b w:val="0"/>
                <w:sz w:val="21"/>
              </w:rPr>
              <w:t>2020</w:t>
            </w:r>
          </w:p>
        </w:tc>
        <w:tc>
          <w:tcPr>
            <w:tcW w:type="dxa" w:w="1215"/>
          </w:tcPr>
          <w:p>
            <w:pPr>
              <w:spacing w:before="20" w:after="20" w:line="276" w:lineRule="auto"/>
              <w:jc w:val="center"/>
            </w:pPr>
            <w:r/>
            <w:r>
              <w:rPr>
                <w:rFonts w:ascii="Times New Roman" w:hAnsi="Times New Roman" w:eastAsia="宋体"/>
                <w:b w:val="0"/>
                <w:sz w:val="21"/>
              </w:rPr>
              <w:t>2531.1</w:t>
            </w:r>
          </w:p>
        </w:tc>
        <w:tc>
          <w:tcPr>
            <w:tcW w:type="dxa" w:w="1215"/>
          </w:tcPr>
          <w:p>
            <w:pPr>
              <w:spacing w:before="20" w:after="20" w:line="276" w:lineRule="auto"/>
              <w:jc w:val="center"/>
            </w:pPr>
            <w:r/>
            <w:r>
              <w:rPr>
                <w:rFonts w:ascii="Times New Roman" w:hAnsi="Times New Roman" w:eastAsia="宋体"/>
                <w:b w:val="0"/>
                <w:sz w:val="21"/>
              </w:rPr>
              <w:t>136.7</w:t>
            </w:r>
          </w:p>
        </w:tc>
        <w:tc>
          <w:tcPr>
            <w:tcW w:type="dxa" w:w="1215"/>
          </w:tcPr>
          <w:p>
            <w:pPr>
              <w:spacing w:before="20" w:after="20" w:line="276" w:lineRule="auto"/>
              <w:jc w:val="center"/>
            </w:pPr>
            <w:r/>
            <w:r>
              <w:rPr>
                <w:rFonts w:ascii="Times New Roman" w:hAnsi="Times New Roman" w:eastAsia="宋体"/>
                <w:b w:val="0"/>
                <w:sz w:val="21"/>
              </w:rPr>
              <w:t>5.4</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6.2</w:t>
            </w:r>
          </w:p>
        </w:tc>
        <w:tc>
          <w:tcPr>
            <w:tcW w:type="dxa" w:w="1215"/>
          </w:tcPr>
          <w:p>
            <w:pPr>
              <w:spacing w:before="20" w:after="20" w:line="276" w:lineRule="auto"/>
              <w:jc w:val="center"/>
            </w:pPr>
            <w:r/>
            <w:r>
              <w:rPr>
                <w:rFonts w:ascii="Times New Roman" w:hAnsi="Times New Roman" w:eastAsia="宋体"/>
                <w:b w:val="0"/>
                <w:sz w:val="21"/>
              </w:rPr>
              <w:t>—</w:t>
            </w:r>
          </w:p>
        </w:tc>
      </w:tr>
      <w:tr>
        <w:tc>
          <w:tcPr>
            <w:tcW w:type="dxa" w:w="1215"/>
          </w:tcPr>
          <w:p>
            <w:pPr>
              <w:spacing w:before="20" w:after="20" w:line="276" w:lineRule="auto"/>
              <w:jc w:val="center"/>
            </w:pPr>
            <w:r/>
            <w:r>
              <w:rPr>
                <w:rFonts w:ascii="Times New Roman" w:hAnsi="Times New Roman" w:eastAsia="宋体"/>
                <w:b w:val="0"/>
                <w:sz w:val="21"/>
              </w:rPr>
              <w:t>2021</w:t>
            </w:r>
          </w:p>
        </w:tc>
        <w:tc>
          <w:tcPr>
            <w:tcW w:type="dxa" w:w="1215"/>
          </w:tcPr>
          <w:p>
            <w:pPr>
              <w:spacing w:before="20" w:after="20" w:line="276" w:lineRule="auto"/>
              <w:jc w:val="center"/>
            </w:pPr>
            <w:r/>
            <w:r>
              <w:rPr>
                <w:rFonts w:ascii="Times New Roman" w:hAnsi="Times New Roman" w:eastAsia="宋体"/>
                <w:b w:val="0"/>
                <w:sz w:val="21"/>
              </w:rPr>
              <w:t>2627.5</w:t>
            </w:r>
          </w:p>
        </w:tc>
        <w:tc>
          <w:tcPr>
            <w:tcW w:type="dxa" w:w="1215"/>
          </w:tcPr>
          <w:p>
            <w:pPr>
              <w:spacing w:before="20" w:after="20" w:line="276" w:lineRule="auto"/>
              <w:jc w:val="center"/>
            </w:pPr>
            <w:r/>
            <w:r>
              <w:rPr>
                <w:rFonts w:ascii="Times New Roman" w:hAnsi="Times New Roman" w:eastAsia="宋体"/>
                <w:b w:val="0"/>
                <w:sz w:val="21"/>
              </w:rPr>
              <w:t>352.1</w:t>
            </w:r>
          </w:p>
        </w:tc>
        <w:tc>
          <w:tcPr>
            <w:tcW w:type="dxa" w:w="1215"/>
          </w:tcPr>
          <w:p>
            <w:pPr>
              <w:spacing w:before="20" w:after="20" w:line="276" w:lineRule="auto"/>
              <w:jc w:val="center"/>
            </w:pPr>
            <w:r/>
            <w:r>
              <w:rPr>
                <w:rFonts w:ascii="Times New Roman" w:hAnsi="Times New Roman" w:eastAsia="宋体"/>
                <w:b w:val="0"/>
                <w:sz w:val="21"/>
              </w:rPr>
              <w:t>13.4</w:t>
            </w:r>
          </w:p>
        </w:tc>
        <w:tc>
          <w:tcPr>
            <w:tcW w:type="dxa" w:w="1215"/>
          </w:tcPr>
          <w:p>
            <w:pPr>
              <w:spacing w:before="20" w:after="20" w:line="276" w:lineRule="auto"/>
              <w:jc w:val="center"/>
            </w:pPr>
            <w:r/>
            <w:r>
              <w:rPr>
                <w:rFonts w:ascii="Times New Roman" w:hAnsi="Times New Roman" w:eastAsia="宋体"/>
                <w:b w:val="0"/>
                <w:sz w:val="21"/>
              </w:rPr>
              <w:t>—</w:t>
            </w:r>
          </w:p>
        </w:tc>
        <w:tc>
          <w:tcPr>
            <w:tcW w:type="dxa" w:w="1215"/>
          </w:tcPr>
          <w:p>
            <w:pPr>
              <w:spacing w:before="20" w:after="20" w:line="276" w:lineRule="auto"/>
              <w:jc w:val="center"/>
            </w:pPr>
            <w:r/>
            <w:r>
              <w:rPr>
                <w:rFonts w:ascii="Times New Roman" w:hAnsi="Times New Roman" w:eastAsia="宋体"/>
                <w:b w:val="0"/>
                <w:sz w:val="21"/>
              </w:rPr>
              <w:t>6.1</w:t>
            </w:r>
          </w:p>
        </w:tc>
        <w:tc>
          <w:tcPr>
            <w:tcW w:type="dxa" w:w="1215"/>
          </w:tcPr>
          <w:p>
            <w:pPr>
              <w:spacing w:before="20" w:after="20" w:line="276" w:lineRule="auto"/>
              <w:jc w:val="center"/>
            </w:pPr>
            <w:r/>
            <w:r>
              <w:rPr>
                <w:rFonts w:ascii="Times New Roman" w:hAnsi="Times New Roman" w:eastAsia="宋体"/>
                <w:b w:val="0"/>
                <w:sz w:val="21"/>
              </w:rPr>
              <w:t>—</w:t>
            </w:r>
          </w:p>
        </w:tc>
      </w:tr>
      <w:tr>
        <w:tc>
          <w:tcPr>
            <w:tcW w:type="dxa" w:w="1215"/>
          </w:tcPr>
          <w:p>
            <w:pPr>
              <w:spacing w:before="20" w:after="20" w:line="276" w:lineRule="auto"/>
              <w:jc w:val="center"/>
            </w:pPr>
            <w:r/>
            <w:r>
              <w:rPr>
                <w:rFonts w:ascii="Times New Roman" w:hAnsi="Times New Roman" w:eastAsia="宋体"/>
                <w:b w:val="0"/>
                <w:sz w:val="21"/>
              </w:rPr>
              <w:t>2022</w:t>
            </w:r>
          </w:p>
        </w:tc>
        <w:tc>
          <w:tcPr>
            <w:tcW w:type="dxa" w:w="1215"/>
          </w:tcPr>
          <w:p>
            <w:pPr>
              <w:spacing w:before="20" w:after="20" w:line="276" w:lineRule="auto"/>
              <w:jc w:val="center"/>
            </w:pPr>
            <w:r/>
            <w:r>
              <w:rPr>
                <w:rFonts w:ascii="Times New Roman" w:hAnsi="Times New Roman" w:eastAsia="宋体"/>
                <w:b w:val="0"/>
                <w:sz w:val="21"/>
              </w:rPr>
              <w:t>2686.4</w:t>
            </w:r>
          </w:p>
        </w:tc>
        <w:tc>
          <w:tcPr>
            <w:tcW w:type="dxa" w:w="1215"/>
          </w:tcPr>
          <w:p>
            <w:pPr>
              <w:spacing w:before="20" w:after="20" w:line="276" w:lineRule="auto"/>
              <w:jc w:val="center"/>
            </w:pPr>
            <w:r/>
            <w:r>
              <w:rPr>
                <w:rFonts w:ascii="Times New Roman" w:hAnsi="Times New Roman" w:eastAsia="宋体"/>
                <w:b w:val="0"/>
                <w:sz w:val="21"/>
              </w:rPr>
              <w:t>688.7</w:t>
            </w:r>
          </w:p>
        </w:tc>
        <w:tc>
          <w:tcPr>
            <w:tcW w:type="dxa" w:w="1215"/>
          </w:tcPr>
          <w:p>
            <w:pPr>
              <w:spacing w:before="20" w:after="20" w:line="276" w:lineRule="auto"/>
              <w:jc w:val="center"/>
            </w:pPr>
            <w:r/>
            <w:r>
              <w:rPr>
                <w:rFonts w:ascii="Times New Roman" w:hAnsi="Times New Roman" w:eastAsia="宋体"/>
                <w:b w:val="0"/>
                <w:sz w:val="21"/>
              </w:rPr>
              <w:t>25.6</w:t>
            </w:r>
          </w:p>
        </w:tc>
        <w:tc>
          <w:tcPr>
            <w:tcW w:type="dxa" w:w="1215"/>
          </w:tcPr>
          <w:p>
            <w:pPr>
              <w:spacing w:before="20" w:after="20" w:line="276" w:lineRule="auto"/>
              <w:jc w:val="center"/>
            </w:pPr>
            <w:r/>
            <w:r>
              <w:rPr>
                <w:rFonts w:ascii="Times New Roman" w:hAnsi="Times New Roman" w:eastAsia="宋体"/>
                <w:b w:val="0"/>
                <w:sz w:val="21"/>
              </w:rPr>
              <w:t>95</w:t>
            </w:r>
          </w:p>
        </w:tc>
        <w:tc>
          <w:tcPr>
            <w:tcW w:type="dxa" w:w="1215"/>
          </w:tcPr>
          <w:p>
            <w:pPr>
              <w:spacing w:before="20" w:after="20" w:line="276" w:lineRule="auto"/>
              <w:jc w:val="center"/>
            </w:pPr>
            <w:r/>
            <w:r>
              <w:rPr>
                <w:rFonts w:ascii="Times New Roman" w:hAnsi="Times New Roman" w:eastAsia="宋体"/>
                <w:b w:val="0"/>
                <w:sz w:val="21"/>
              </w:rPr>
              <w:t>5.7</w:t>
            </w:r>
          </w:p>
        </w:tc>
        <w:tc>
          <w:tcPr>
            <w:tcW w:type="dxa" w:w="1215"/>
          </w:tcPr>
          <w:p>
            <w:pPr>
              <w:spacing w:before="20" w:after="20" w:line="276" w:lineRule="auto"/>
              <w:jc w:val="center"/>
            </w:pPr>
            <w:r/>
            <w:r>
              <w:rPr>
                <w:rFonts w:ascii="Times New Roman" w:hAnsi="Times New Roman" w:eastAsia="宋体"/>
                <w:b w:val="0"/>
                <w:sz w:val="21"/>
              </w:rPr>
              <w:t>—</w:t>
            </w:r>
          </w:p>
        </w:tc>
      </w:tr>
      <w:tr>
        <w:tc>
          <w:tcPr>
            <w:tcW w:type="dxa" w:w="1215"/>
          </w:tcPr>
          <w:p>
            <w:pPr>
              <w:spacing w:before="20" w:after="20" w:line="276" w:lineRule="auto"/>
              <w:jc w:val="center"/>
            </w:pPr>
            <w:r/>
            <w:r>
              <w:rPr>
                <w:rFonts w:ascii="Times New Roman" w:hAnsi="Times New Roman" w:eastAsia="宋体"/>
                <w:b w:val="0"/>
                <w:sz w:val="21"/>
              </w:rPr>
              <w:t>2023</w:t>
            </w:r>
          </w:p>
        </w:tc>
        <w:tc>
          <w:tcPr>
            <w:tcW w:type="dxa" w:w="1215"/>
          </w:tcPr>
          <w:p>
            <w:pPr>
              <w:spacing w:before="20" w:after="20" w:line="276" w:lineRule="auto"/>
              <w:jc w:val="center"/>
            </w:pPr>
            <w:r/>
            <w:r>
              <w:rPr>
                <w:rFonts w:ascii="Times New Roman" w:hAnsi="Times New Roman" w:eastAsia="宋体"/>
                <w:b w:val="0"/>
                <w:sz w:val="21"/>
              </w:rPr>
              <w:t>3009.4</w:t>
            </w:r>
          </w:p>
        </w:tc>
        <w:tc>
          <w:tcPr>
            <w:tcW w:type="dxa" w:w="1215"/>
          </w:tcPr>
          <w:p>
            <w:pPr>
              <w:spacing w:before="20" w:after="20" w:line="276" w:lineRule="auto"/>
              <w:jc w:val="center"/>
            </w:pPr>
            <w:r/>
            <w:r>
              <w:rPr>
                <w:rFonts w:ascii="Times New Roman" w:hAnsi="Times New Roman" w:eastAsia="宋体"/>
                <w:b w:val="0"/>
                <w:sz w:val="21"/>
              </w:rPr>
              <w:t>949.5</w:t>
            </w:r>
          </w:p>
        </w:tc>
        <w:tc>
          <w:tcPr>
            <w:tcW w:type="dxa" w:w="1215"/>
          </w:tcPr>
          <w:p>
            <w:pPr>
              <w:spacing w:before="20" w:after="20" w:line="276" w:lineRule="auto"/>
              <w:jc w:val="center"/>
            </w:pPr>
            <w:r/>
            <w:r>
              <w:rPr>
                <w:rFonts w:ascii="Times New Roman" w:hAnsi="Times New Roman" w:eastAsia="宋体"/>
                <w:b w:val="0"/>
                <w:sz w:val="21"/>
              </w:rPr>
              <w:t>31.6</w:t>
            </w:r>
          </w:p>
        </w:tc>
        <w:tc>
          <w:tcPr>
            <w:tcW w:type="dxa" w:w="1215"/>
          </w:tcPr>
          <w:p>
            <w:pPr>
              <w:spacing w:before="20" w:after="20" w:line="276" w:lineRule="auto"/>
              <w:jc w:val="center"/>
            </w:pPr>
            <w:r/>
            <w:r>
              <w:rPr>
                <w:rFonts w:ascii="Times New Roman" w:hAnsi="Times New Roman" w:eastAsia="宋体"/>
                <w:b w:val="0"/>
                <w:sz w:val="21"/>
              </w:rPr>
              <w:t>148</w:t>
            </w:r>
          </w:p>
        </w:tc>
        <w:tc>
          <w:tcPr>
            <w:tcW w:type="dxa" w:w="1215"/>
          </w:tcPr>
          <w:p>
            <w:pPr>
              <w:spacing w:before="20" w:after="20" w:line="276" w:lineRule="auto"/>
              <w:jc w:val="center"/>
            </w:pPr>
            <w:r/>
            <w:r>
              <w:rPr>
                <w:rFonts w:ascii="Times New Roman" w:hAnsi="Times New Roman" w:eastAsia="宋体"/>
                <w:b w:val="0"/>
                <w:sz w:val="21"/>
              </w:rPr>
              <w:t>5.0</w:t>
            </w:r>
          </w:p>
        </w:tc>
        <w:tc>
          <w:tcPr>
            <w:tcW w:type="dxa" w:w="1215"/>
          </w:tcPr>
          <w:p>
            <w:pPr>
              <w:spacing w:before="20" w:after="20" w:line="276" w:lineRule="auto"/>
              <w:jc w:val="center"/>
            </w:pPr>
            <w:r/>
            <w:r>
              <w:rPr>
                <w:rFonts w:ascii="Times New Roman" w:hAnsi="Times New Roman" w:eastAsia="宋体"/>
                <w:b w:val="0"/>
                <w:sz w:val="21"/>
              </w:rPr>
              <w:t>1.7</w:t>
            </w:r>
          </w:p>
        </w:tc>
      </w:tr>
      <w:tr>
        <w:tc>
          <w:tcPr>
            <w:tcW w:type="dxa" w:w="1215"/>
          </w:tcPr>
          <w:p>
            <w:pPr>
              <w:spacing w:before="20" w:after="20" w:line="276" w:lineRule="auto"/>
              <w:jc w:val="center"/>
            </w:pPr>
            <w:r/>
            <w:r>
              <w:rPr>
                <w:rFonts w:ascii="Times New Roman" w:hAnsi="Times New Roman" w:eastAsia="宋体"/>
                <w:b w:val="0"/>
                <w:sz w:val="21"/>
              </w:rPr>
              <w:t>2024</w:t>
            </w:r>
          </w:p>
        </w:tc>
        <w:tc>
          <w:tcPr>
            <w:tcW w:type="dxa" w:w="1215"/>
          </w:tcPr>
          <w:p>
            <w:pPr>
              <w:spacing w:before="20" w:after="20" w:line="276" w:lineRule="auto"/>
              <w:jc w:val="center"/>
            </w:pPr>
            <w:r/>
            <w:r>
              <w:rPr>
                <w:rFonts w:ascii="Times New Roman" w:hAnsi="Times New Roman" w:eastAsia="宋体"/>
                <w:b w:val="0"/>
                <w:sz w:val="21"/>
              </w:rPr>
              <w:t>3143.6</w:t>
            </w:r>
          </w:p>
        </w:tc>
        <w:tc>
          <w:tcPr>
            <w:tcW w:type="dxa" w:w="1215"/>
          </w:tcPr>
          <w:p>
            <w:pPr>
              <w:spacing w:before="20" w:after="20" w:line="276" w:lineRule="auto"/>
              <w:jc w:val="center"/>
            </w:pPr>
            <w:r/>
            <w:r>
              <w:rPr>
                <w:rFonts w:ascii="Times New Roman" w:hAnsi="Times New Roman" w:eastAsia="宋体"/>
                <w:b w:val="0"/>
                <w:sz w:val="21"/>
              </w:rPr>
              <w:t>1286.6</w:t>
            </w:r>
          </w:p>
        </w:tc>
        <w:tc>
          <w:tcPr>
            <w:tcW w:type="dxa" w:w="1215"/>
          </w:tcPr>
          <w:p>
            <w:pPr>
              <w:spacing w:before="20" w:after="20" w:line="276" w:lineRule="auto"/>
              <w:jc w:val="center"/>
            </w:pPr>
            <w:r/>
            <w:r>
              <w:rPr>
                <w:rFonts w:ascii="Times New Roman" w:hAnsi="Times New Roman" w:eastAsia="宋体"/>
                <w:b w:val="0"/>
                <w:sz w:val="21"/>
              </w:rPr>
              <w:t>40.9</w:t>
            </w:r>
          </w:p>
        </w:tc>
        <w:tc>
          <w:tcPr>
            <w:tcW w:type="dxa" w:w="1215"/>
          </w:tcPr>
          <w:p>
            <w:pPr>
              <w:spacing w:before="20" w:after="20" w:line="276" w:lineRule="auto"/>
              <w:jc w:val="center"/>
            </w:pPr>
            <w:r/>
            <w:r>
              <w:rPr>
                <w:rFonts w:ascii="Times New Roman" w:hAnsi="Times New Roman" w:eastAsia="宋体"/>
                <w:b w:val="0"/>
                <w:sz w:val="21"/>
              </w:rPr>
              <w:t>227</w:t>
            </w:r>
          </w:p>
        </w:tc>
        <w:tc>
          <w:tcPr>
            <w:tcW w:type="dxa" w:w="1215"/>
          </w:tcPr>
          <w:p>
            <w:pPr>
              <w:spacing w:before="20" w:after="20" w:line="276" w:lineRule="auto"/>
              <w:jc w:val="center"/>
            </w:pPr>
            <w:r/>
            <w:r>
              <w:rPr>
                <w:rFonts w:ascii="Times New Roman" w:hAnsi="Times New Roman" w:eastAsia="宋体"/>
                <w:b w:val="0"/>
                <w:sz w:val="21"/>
              </w:rPr>
              <w:t>4.3</w:t>
            </w:r>
          </w:p>
        </w:tc>
        <w:tc>
          <w:tcPr>
            <w:tcW w:type="dxa" w:w="1215"/>
          </w:tcPr>
          <w:p>
            <w:pPr>
              <w:spacing w:before="20" w:after="20" w:line="276" w:lineRule="auto"/>
              <w:jc w:val="center"/>
            </w:pPr>
            <w:r/>
            <w:r>
              <w:rPr>
                <w:rFonts w:ascii="Times New Roman" w:hAnsi="Times New Roman" w:eastAsia="宋体"/>
                <w:b w:val="0"/>
                <w:sz w:val="21"/>
              </w:rPr>
              <w:t>—</w:t>
            </w:r>
          </w:p>
        </w:tc>
      </w:tr>
      <w:tr>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2025</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3440</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1649</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47.9</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177</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4.1</w:t>
            </w:r>
          </w:p>
        </w:tc>
        <w:tc>
          <w:tcPr>
            <w:tcW w:type="dxa" w:w="1215"/>
            <w:tcBorders>
              <w:bottom w:val="single" w:sz="12" w:color="000000"/>
            </w:tcBorders>
          </w:tcPr>
          <w:p>
            <w:pPr>
              <w:spacing w:before="20" w:after="20" w:line="276" w:lineRule="auto"/>
              <w:jc w:val="center"/>
            </w:pPr>
            <w:r/>
            <w:r>
              <w:rPr>
                <w:rFonts w:ascii="Times New Roman" w:hAnsi="Times New Roman" w:eastAsia="宋体"/>
                <w:b w:val="0"/>
                <w:sz w:val="21"/>
              </w:rPr>
              <w:t>1.4</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销量与渗透率据中汽协数据（含商用车与出口口径）；降价车型数量据乘联分会崔东树统计，2025年"限时一口价"类促销未计入；行业利润率与单车毛利为乘联分会（崔东树）基于国家统计局数据的测算；"—"表示暂缺数据。</w:t>
      </w:r>
    </w:p>
    <w:p>
      <w:pPr>
        <w:spacing w:before="0" w:after="0" w:line="360" w:lineRule="auto"/>
        <w:ind w:firstLineChars="200" w:firstLine="480"/>
      </w:pPr>
      <w:r>
        <w:rPr>
          <w:rFonts w:ascii="Times New Roman" w:hAnsi="Times New Roman" w:eastAsia="宋体"/>
          <w:b w:val="0"/>
          <w:sz w:val="24"/>
        </w:rPr>
        <w:t>表5.3清晰呈现了"销量上台阶、利润下台阶"的镜像关系：销量由2531.1万辆升至3440万辆，利润率却由6.2%降至4.1%。利润挤压沿产业链纵向传导，下游经销商与上游供应商同受其害。据中国汽车流通协会《2024年全国汽车经销商生存状况调查报告》，2024年经销商亏损面达41.7%，84.4%的经销商出现价格倒挂、60.4%的倒挂幅度超过15%，新车业务对毛利的贡献为−17.7%；上游供应商则承受账期拉长的资金压力。治理由此展开：2025年6月1日修订后的《保障中小企业款项支付条例》施行，明确大型企业付款期限不超过60天；6月10—11日，广汽、一汽、东风、比亚迪等17家车企集体承诺供应商账期统一至60天以内；7月9日工信部上线账期承诺问题线索反馈窗口，8月11日通报督导情况（一汽自6月起对中小企业供应商100%现金支付，广汽埃安现金结算比例达95%）；9月13日工信部等八部门印发《汽车行业稳增长工作方案（2025—2026年）》，将整治"内卷式"竞争列入15方面举措。但改善并非一蹴而就：据每经对18家上市车企2025年半年报的追踪，仅6家应付账款周转天数较上年末改善（小鹏由233天缩至约170天），11家反而拉长（奇瑞增至266.3天）；2026年6月11日，工信部、市场监管总局再度约谈涉嫌非理性竞争的汽车生产企业。汽车行业的经验表明，"内卷式"竞争一旦形成便具有强大的博弈惯性，单靠企业自律难以退出，需要制度化的外部约束（张杰、任元明，2025）。</w:t>
      </w:r>
    </w:p>
    <w:p>
      <w:pPr>
        <w:spacing w:before="0" w:after="0" w:line="360" w:lineRule="auto"/>
        <w:ind w:firstLineChars="200" w:firstLine="480"/>
      </w:pPr>
      <w:r>
        <w:rPr>
          <w:rFonts w:ascii="Times New Roman" w:hAnsi="Times New Roman" w:eastAsia="宋体"/>
          <w:b w:val="0"/>
          <w:sz w:val="24"/>
        </w:rPr>
        <w:t>价格战还外溢出一系列衍生乱象，进一步印证内卷竞争对市场秩序的侵蚀。其一是"零公里二手车"：为消化压库新车、虚增销量，部分渠道将新车登记后立即转入二手市场低价抛售，2025年5月长城汽车魏建军公开批评"有三四千家都在卖"，5月27日商务部召集比亚迪、东风、瓜子二手车等企业座谈规范。其二是智能驾驶的夸大宣传：在配置内卷的压力下，部分车企以"自动驾驶"等话术争夺卖点，2025年2月工信部、市场监管总局印发《关于进一步加强智能网联汽车产品准入、召回及软件在线升级管理的通知》，4月16日工信部召开推进会（近60家车企参加），要求禁用"自动驾驶""无人驾驶""解放双手"等表述、统一采用"组合辅助驾驶"。其三是行业与主管部门的公开表态：2025年5月31日中汽协发布反"内卷"倡议，工信部同日明确表态"'价格战'没有赢家，更没有未来"。这些事实共同表明，当价格竞争突破合理边界后，竞争的扭曲会沿质量、宣传、渠道、账期等多个维度蔓延，治理必须是系统性的组合拳而非单点纠偏。</w:t>
      </w:r>
    </w:p>
    <w:p>
      <w:pPr>
        <w:spacing w:before="160" w:after="120" w:line="360" w:lineRule="auto"/>
        <w:outlineLvl w:val="2"/>
      </w:pPr>
      <w:r>
        <w:rPr>
          <w:rFonts w:ascii="Times New Roman" w:hAnsi="Times New Roman" w:eastAsia="黑体"/>
          <w:b w:val="0"/>
          <w:sz w:val="24"/>
        </w:rPr>
        <w:t>4．平台经济："外卖大战"与补贴式竞争的极致演绎</w:t>
      </w:r>
    </w:p>
    <w:p>
      <w:pPr>
        <w:spacing w:before="0" w:after="0" w:line="360" w:lineRule="auto"/>
        <w:ind w:firstLineChars="200" w:firstLine="480"/>
      </w:pPr>
      <w:r>
        <w:rPr>
          <w:rFonts w:ascii="Times New Roman" w:hAnsi="Times New Roman" w:eastAsia="宋体"/>
          <w:b w:val="0"/>
          <w:sz w:val="24"/>
        </w:rPr>
        <w:t>如果说制造业的内卷表现为产能过剩下的价格战，平台经济的内卷则表现为资本驱动的补贴战，2025年夏天的"外卖大战"将其演绎到极致。事件的脉络是：2025年2月，京东宣布进军外卖市场，以"品质堂食"商家免佣招募和为全职骑手缴纳五险一金（成本全部由京东承担）高调入场，4月上线"百亿补贴"，618期间日订单量突破2500万单；4月30日，淘宝"小时达"升级为"淘宝闪购"并于5月2日全国上线，日订单迅速突破600万单，7月2日宣布未来12个月直补消费者与商家共500亿元；7月5日，淘宝闪购日订单超8000万单、美团宣布即时零售日订单达1.2亿单；7月12日补贴高峰，美团即时零售日订单达1.5亿单创历史新高（其中"神抢手"超5000万单、"拼好饭"超3500万单），"满18.8减18.8"的"免费奶茶"大额券冲上热搜，多地茶饮门店爆单；7月14日淘宝闪购与饿了么联合宣布日订单再破8000万单。据新华网等媒体估算口径，即时零售市场日订单总量由年初约1亿单升至7月约2.5亿单。</w:t>
      </w:r>
    </w:p>
    <w:p>
      <w:pPr>
        <w:spacing w:before="0" w:after="0" w:line="360" w:lineRule="auto"/>
        <w:ind w:firstLineChars="200" w:firstLine="480"/>
      </w:pPr>
      <w:r>
        <w:rPr>
          <w:rFonts w:ascii="Times New Roman" w:hAnsi="Times New Roman" w:eastAsia="宋体"/>
          <w:b w:val="0"/>
          <w:sz w:val="24"/>
        </w:rPr>
        <w:t>补贴的财务代价迅速显形。据高盛研报估算，仅2025年6月当季，阿里、京东、美团三平台外卖合计投入约250亿元，并预测未来12个月阿里外卖亏损410亿元、京东外卖亏损260亿元、美团EBIT减少250亿元，合计近千亿元；据电商分析师李成东估算，仅2025年三季度三平台补贴投入即约1000亿元（以上均为估算口径）。公司财报印证了消耗战的烈度：美团2025年二季度经营利润仅2.26亿元、同比下降98%，核心本地商业经营利润率由25.1%骤降至5.7%；三季度经调整净亏损160亿元，为三年来首度季度报亏，其核心本地商业由上年同期盈利145亿元转为经营亏损141亿元；京东含外卖的新业务前三季度累计亏损318亿元；阿里巴巴2025年7—9月季度经营利润53.65亿元、同比下降85%。美团创始人王兴的反思颇具代表性："外卖价格战没有为行业创造价值，不可持续。"监管随之两度出手：5月13日，市场监管总局会同中央社会工作部、中央网信办、人社部、商务部五部门约谈京东、美团、饿了么；7月18日二次约谈三平台，要求规范促销行为，媒体解读为实质叫停"0元购"式促销。制度供给同步跟进：2025年6月27日修订通过的《反不正当竞争法》（10月15日施行）新增平台条款，禁止平台强制或变相强制平台内经营者低于成本销售，被解读为"反内卷"条款；2025年4月22日起主要电商平台集体取消"仅退款"；12月18日《网络交易平台规则监督管理办法》公布（2026年2月1日施行），规范"仅退款""全网最低价"等平台规则。</w:t>
      </w:r>
    </w:p>
    <w:p>
      <w:pPr>
        <w:spacing w:before="0" w:after="0" w:line="360" w:lineRule="auto"/>
        <w:ind w:firstLineChars="200" w:firstLine="480"/>
      </w:pPr>
      <w:r>
        <w:rPr>
          <w:rFonts w:ascii="Times New Roman" w:hAnsi="Times New Roman" w:eastAsia="宋体"/>
          <w:b w:val="0"/>
          <w:sz w:val="24"/>
        </w:rPr>
        <w:t>平台补贴战的解读需要超越"消费者得实惠"的表象。其一，从市场基本面看，平台间的争夺本质上是存量博弈：据国家统计局数据，2024年全国网上零售额155225亿元、增长7.2%，其中实物商品网上零售额130816亿元、占社会消费品零售总额的26.8%；2025年网上零售额159722亿元，实物商品占社零比重回落至26.1%，线上渗透率已趋于平台期。即时零售虽有真实成长性——据商务部国际贸易经济合作研究院数据，市场规模由2023年的6500亿元（增长28.89%）增至2024年的7810亿元（增长20.15%）、2025年预计约9714亿元——但日订单量在数月内翻倍以上的爆发系补贴催生的虚假繁荣，补贴退坡后必然回落；在整体线上增长放缓的背景下，巨额补贴买到的更多是用户在平台间的迁移而非市场的净增量。其二，从利益分配看，补贴战重塑了平台、商家、骑手三方关系：全国外卖骑手已超1000万人（据科技日报2025年1月报道），美团年内有接单收入的骑手达745万人，饿了么活跃骑手超400万，截至2025年7月底淘宝闪购骑手月活较战前增长181%；骑手规模的急剧扩张与商家在爆单低价中的"增收不增利"并存，秩序成本由生态整体承担。其三，从竞争性质看，以远低于成本的价格进行流量争夺，本质上与制造业低于成本价倾销同构，是数字经济场景下的"内卷式"竞争，其政治经济学机理在于资本以补贴换取市场支配地位的预期收益（王丹、龚晓莺，2026）。中央经济工作会议提出"推动平台企业和平台内经营者、劳动者共赢发展"，正是对这一竞争形态的针对性回应。</w:t>
      </w:r>
    </w:p>
    <w:p>
      <w:pPr>
        <w:spacing w:before="160" w:after="120" w:line="360" w:lineRule="auto"/>
        <w:outlineLvl w:val="2"/>
      </w:pPr>
      <w:r>
        <w:rPr>
          <w:rFonts w:ascii="Times New Roman" w:hAnsi="Times New Roman" w:eastAsia="黑体"/>
          <w:b w:val="0"/>
          <w:sz w:val="24"/>
        </w:rPr>
        <w:t>5．对照组：钢铁与水泥——传统行业产能治理的镜鉴</w:t>
      </w:r>
    </w:p>
    <w:p>
      <w:pPr>
        <w:spacing w:before="0" w:after="0" w:line="360" w:lineRule="auto"/>
        <w:ind w:firstLineChars="200" w:firstLine="480"/>
      </w:pPr>
      <w:r>
        <w:rPr>
          <w:rFonts w:ascii="Times New Roman" w:hAnsi="Times New Roman" w:eastAsia="宋体"/>
          <w:b w:val="0"/>
          <w:sz w:val="24"/>
        </w:rPr>
        <w:t>将镜头转向传统行业，可以获得一个有价值的对照。钢铁、水泥是上一轮产能过剩（2012—2016年）的主角，经由供给侧结构性改革的强力去产能，行业秩序一度显著修复：本书测算的"内卷式竞争"强度指数全国均值由2015年的0.392（上一轮峰值）回落至2018年的0.342，与化解过剩产能的政策进程精确对应。当前两个行业的处境却分化明显：黑色金属冶炼和压延加工业2025年四季度产能利用率达78.5%、高于工业总体，显示存量产能治理的成效仍在延续；而以水泥为主体的非金属矿物制品业产能利用率长期垫底，2024年一季度62.0%、2025年四季度仍仅61.1%，在房地产深度调整带来的需求趋势性收缩下，过剩呈现"低位固化"形态。对中国式产能过剩的历史考察表明，历轮过剩虽诱因各异，但地方政府深度介入投资、退出机制不畅是贯穿始终的共性，行政化去产能虽见效快，却难以替代市场化、法治化的常态出清机制（梁泳梅，2024）。传统行业的经验教训对本轮"新三样"治理具有直接的镜鉴意义：一方面证明产能治理确能修复价格与利润秩序，另一方面警示若需求侧持续收缩而退出机制不健全，去产能的成果可能被重新累积的过剩侵蚀。本书第十一章将在治理工具箱设计中系统吸收这一对照的含义。</w:t>
      </w:r>
    </w:p>
    <w:p>
      <w:pPr>
        <w:spacing w:before="200" w:after="160" w:line="360" w:lineRule="auto"/>
        <w:outlineLvl w:val="1"/>
      </w:pPr>
      <w:r>
        <w:rPr>
          <w:rFonts w:ascii="Times New Roman" w:hAnsi="Times New Roman" w:eastAsia="黑体"/>
          <w:b w:val="0"/>
          <w:sz w:val="28"/>
        </w:rPr>
        <w:t>（四）地方政府竞争与重复建设：内卷的空间微观基础</w:t>
      </w:r>
    </w:p>
    <w:p>
      <w:pPr>
        <w:spacing w:before="0" w:after="0" w:line="360" w:lineRule="auto"/>
        <w:ind w:firstLineChars="200" w:firstLine="480"/>
      </w:pPr>
      <w:r>
        <w:rPr>
          <w:rFonts w:ascii="Times New Roman" w:hAnsi="Times New Roman" w:eastAsia="宋体"/>
          <w:b w:val="0"/>
          <w:sz w:val="24"/>
        </w:rPr>
        <w:t>行业内卷的背后站着竞争的地方政府。晋升锦标赛体制下，地方官员围绕经济增长展开标尺竞争，招商引资、土地优惠与产业扶持成为标准动作（周黎安，2007）；在地区竞争与体制扭曲的共同作用下，企业投资成本被人为压低、风险被外部化，产能过剩由此获得了持续再生产的制度土壤（江飞涛等，2012）。这一逻辑在数据上的第一个投影是产业同构：据相关学术研究测算，中国省级地区间制造业结构相似系数由2000年的约0.45升至2014年的约0.58，趋同程度持续上升；本书基于2012—2024年31省样本测算的产业结构相似系数均值达0.582、最高达0.804（详见本书第六章表6.4），表明省际产业结构的趋同在样本期内仍处高位。</w:t>
      </w:r>
    </w:p>
    <w:p>
      <w:pPr>
        <w:spacing w:before="0" w:after="0" w:line="360" w:lineRule="auto"/>
        <w:ind w:firstLineChars="200" w:firstLine="480"/>
      </w:pPr>
      <w:r>
        <w:rPr>
          <w:rFonts w:ascii="Times New Roman" w:hAnsi="Times New Roman" w:eastAsia="宋体"/>
          <w:b w:val="0"/>
          <w:sz w:val="24"/>
        </w:rPr>
        <w:t>面向"十五五"的产业布局显示，同构化惯性仍在延续甚至强化。据新华社2026年5月对31个省份"十五五"规划的梳理，31个省份全部将新能源列为重点产业，成为名副其实的"最大共识"；30个省份提及新材料、生物医药，29个提及氢能，28个提及生物制造，27个提及智能网联（新能源）汽车，25个提及具身智能，15个提及量子科技，11个提及核聚变。新型储能领域，山东、广东等17个省份装机已超100万千瓦。地方招商的政策工具亦高度雷同：据国家能源局转载的分析，光伏"内卷"的重要成因正是地方政府以税收减免、电价优惠、厂房代建、固定资产投资返还等政策"一哄而上"招商，叠加企业扩产、资本追捧与低价竞争，最终酿成全行业产能过剩。地方政府间的策略模仿具有显著的同群效应，邻近地区的产业选择与优惠政策相互攀比、层层加码（邓慧慧、赵家羚，2018）。部分典型事实汇总于表5.4（见表5.4）。</w:t>
      </w:r>
    </w:p>
    <w:p>
      <w:pPr>
        <w:spacing w:before="160" w:after="80" w:line="312" w:lineRule="auto"/>
        <w:jc w:val="center"/>
      </w:pPr>
      <w:r>
        <w:rPr>
          <w:rFonts w:ascii="Times New Roman" w:hAnsi="Times New Roman" w:eastAsia="黑体"/>
          <w:b w:val="0"/>
          <w:sz w:val="21"/>
        </w:rPr>
        <w:t>表5.4　部分省份"新三样"产业布局与招商政策举例</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类别</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省份／范围</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典型事实</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资料来源</w:t>
            </w:r>
          </w:p>
        </w:tc>
      </w:tr>
      <w:tr>
        <w:tc>
          <w:tcPr>
            <w:tcW w:type="dxa" w:w="2126"/>
          </w:tcPr>
          <w:p>
            <w:pPr>
              <w:spacing w:before="20" w:after="20" w:line="276" w:lineRule="auto"/>
              <w:jc w:val="left"/>
            </w:pPr>
            <w:r/>
            <w:r>
              <w:rPr>
                <w:rFonts w:ascii="Times New Roman" w:hAnsi="Times New Roman" w:eastAsia="宋体"/>
                <w:b w:val="0"/>
                <w:sz w:val="21"/>
              </w:rPr>
              <w:t>产业布局：新能源</w:t>
            </w:r>
          </w:p>
        </w:tc>
        <w:tc>
          <w:tcPr>
            <w:tcW w:type="dxa" w:w="2126"/>
          </w:tcPr>
          <w:p>
            <w:pPr>
              <w:spacing w:before="20" w:after="20" w:line="276" w:lineRule="auto"/>
              <w:jc w:val="left"/>
            </w:pPr>
            <w:r/>
            <w:r>
              <w:rPr>
                <w:rFonts w:ascii="Times New Roman" w:hAnsi="Times New Roman" w:eastAsia="宋体"/>
                <w:b w:val="0"/>
                <w:sz w:val="21"/>
              </w:rPr>
              <w:t>31个省份全部</w:t>
            </w:r>
          </w:p>
        </w:tc>
        <w:tc>
          <w:tcPr>
            <w:tcW w:type="dxa" w:w="2126"/>
          </w:tcPr>
          <w:p>
            <w:pPr>
              <w:spacing w:before="20" w:after="20" w:line="276" w:lineRule="auto"/>
              <w:jc w:val="left"/>
            </w:pPr>
            <w:r/>
            <w:r>
              <w:rPr>
                <w:rFonts w:ascii="Times New Roman" w:hAnsi="Times New Roman" w:eastAsia="宋体"/>
                <w:b w:val="0"/>
                <w:sz w:val="21"/>
              </w:rPr>
              <w:t>"十五五"规划均将新能源列为重点产业，成为"最大共识"</w:t>
            </w:r>
          </w:p>
        </w:tc>
        <w:tc>
          <w:tcPr>
            <w:tcW w:type="dxa" w:w="2126"/>
          </w:tcPr>
          <w:p>
            <w:pPr>
              <w:spacing w:before="20" w:after="20" w:line="276" w:lineRule="auto"/>
              <w:jc w:val="left"/>
            </w:pPr>
            <w:r/>
            <w:r>
              <w:rPr>
                <w:rFonts w:ascii="Times New Roman" w:hAnsi="Times New Roman" w:eastAsia="宋体"/>
                <w:b w:val="0"/>
                <w:sz w:val="21"/>
              </w:rPr>
              <w:t>新华社（2026年5月）</w:t>
            </w:r>
          </w:p>
        </w:tc>
      </w:tr>
      <w:tr>
        <w:tc>
          <w:tcPr>
            <w:tcW w:type="dxa" w:w="2126"/>
          </w:tcPr>
          <w:p>
            <w:pPr>
              <w:spacing w:before="20" w:after="20" w:line="276" w:lineRule="auto"/>
              <w:jc w:val="left"/>
            </w:pPr>
            <w:r/>
            <w:r>
              <w:rPr>
                <w:rFonts w:ascii="Times New Roman" w:hAnsi="Times New Roman" w:eastAsia="宋体"/>
                <w:b w:val="0"/>
                <w:sz w:val="21"/>
              </w:rPr>
              <w:t>产业布局：智能网联（新能源）汽车</w:t>
            </w:r>
          </w:p>
        </w:tc>
        <w:tc>
          <w:tcPr>
            <w:tcW w:type="dxa" w:w="2126"/>
          </w:tcPr>
          <w:p>
            <w:pPr>
              <w:spacing w:before="20" w:after="20" w:line="276" w:lineRule="auto"/>
              <w:jc w:val="left"/>
            </w:pPr>
            <w:r/>
            <w:r>
              <w:rPr>
                <w:rFonts w:ascii="Times New Roman" w:hAnsi="Times New Roman" w:eastAsia="宋体"/>
                <w:b w:val="0"/>
                <w:sz w:val="21"/>
              </w:rPr>
              <w:t>27个省份</w:t>
            </w:r>
          </w:p>
        </w:tc>
        <w:tc>
          <w:tcPr>
            <w:tcW w:type="dxa" w:w="2126"/>
          </w:tcPr>
          <w:p>
            <w:pPr>
              <w:spacing w:before="20" w:after="20" w:line="276" w:lineRule="auto"/>
              <w:jc w:val="left"/>
            </w:pPr>
            <w:r/>
            <w:r>
              <w:rPr>
                <w:rFonts w:ascii="Times New Roman" w:hAnsi="Times New Roman" w:eastAsia="宋体"/>
                <w:b w:val="0"/>
                <w:sz w:val="21"/>
              </w:rPr>
              <w:t>"十五五"规划提及布局智能网联（新能源）汽车</w:t>
            </w:r>
          </w:p>
        </w:tc>
        <w:tc>
          <w:tcPr>
            <w:tcW w:type="dxa" w:w="2126"/>
          </w:tcPr>
          <w:p>
            <w:pPr>
              <w:spacing w:before="20" w:after="20" w:line="276" w:lineRule="auto"/>
              <w:jc w:val="left"/>
            </w:pPr>
            <w:r/>
            <w:r>
              <w:rPr>
                <w:rFonts w:ascii="Times New Roman" w:hAnsi="Times New Roman" w:eastAsia="宋体"/>
                <w:b w:val="0"/>
                <w:sz w:val="21"/>
              </w:rPr>
              <w:t>新华社（2026年5月）</w:t>
            </w:r>
          </w:p>
        </w:tc>
      </w:tr>
      <w:tr>
        <w:tc>
          <w:tcPr>
            <w:tcW w:type="dxa" w:w="2126"/>
          </w:tcPr>
          <w:p>
            <w:pPr>
              <w:spacing w:before="20" w:after="20" w:line="276" w:lineRule="auto"/>
              <w:jc w:val="left"/>
            </w:pPr>
            <w:r/>
            <w:r>
              <w:rPr>
                <w:rFonts w:ascii="Times New Roman" w:hAnsi="Times New Roman" w:eastAsia="宋体"/>
                <w:b w:val="0"/>
                <w:sz w:val="21"/>
              </w:rPr>
              <w:t>产业布局：新型储能</w:t>
            </w:r>
          </w:p>
        </w:tc>
        <w:tc>
          <w:tcPr>
            <w:tcW w:type="dxa" w:w="2126"/>
          </w:tcPr>
          <w:p>
            <w:pPr>
              <w:spacing w:before="20" w:after="20" w:line="276" w:lineRule="auto"/>
              <w:jc w:val="left"/>
            </w:pPr>
            <w:r/>
            <w:r>
              <w:rPr>
                <w:rFonts w:ascii="Times New Roman" w:hAnsi="Times New Roman" w:eastAsia="宋体"/>
                <w:b w:val="0"/>
                <w:sz w:val="21"/>
              </w:rPr>
              <w:t>山东、广东等17个省份</w:t>
            </w:r>
          </w:p>
        </w:tc>
        <w:tc>
          <w:tcPr>
            <w:tcW w:type="dxa" w:w="2126"/>
          </w:tcPr>
          <w:p>
            <w:pPr>
              <w:spacing w:before="20" w:after="20" w:line="276" w:lineRule="auto"/>
              <w:jc w:val="left"/>
            </w:pPr>
            <w:r/>
            <w:r>
              <w:rPr>
                <w:rFonts w:ascii="Times New Roman" w:hAnsi="Times New Roman" w:eastAsia="宋体"/>
                <w:b w:val="0"/>
                <w:sz w:val="21"/>
              </w:rPr>
              <w:t>新型储能装机超过100万千瓦</w:t>
            </w:r>
          </w:p>
        </w:tc>
        <w:tc>
          <w:tcPr>
            <w:tcW w:type="dxa" w:w="2126"/>
          </w:tcPr>
          <w:p>
            <w:pPr>
              <w:spacing w:before="20" w:after="20" w:line="276" w:lineRule="auto"/>
              <w:jc w:val="left"/>
            </w:pPr>
            <w:r/>
            <w:r>
              <w:rPr>
                <w:rFonts w:ascii="Times New Roman" w:hAnsi="Times New Roman" w:eastAsia="宋体"/>
                <w:b w:val="0"/>
                <w:sz w:val="21"/>
              </w:rPr>
              <w:t>国家能源局《中国新型储能发展报告2025》</w:t>
            </w:r>
          </w:p>
        </w:tc>
      </w:tr>
      <w:tr>
        <w:tc>
          <w:tcPr>
            <w:tcW w:type="dxa" w:w="2126"/>
          </w:tcPr>
          <w:p>
            <w:pPr>
              <w:spacing w:before="20" w:after="20" w:line="276" w:lineRule="auto"/>
              <w:jc w:val="left"/>
            </w:pPr>
            <w:r/>
            <w:r>
              <w:rPr>
                <w:rFonts w:ascii="Times New Roman" w:hAnsi="Times New Roman" w:eastAsia="宋体"/>
                <w:b w:val="0"/>
                <w:sz w:val="21"/>
              </w:rPr>
              <w:t>招商政策：光伏</w:t>
            </w:r>
          </w:p>
        </w:tc>
        <w:tc>
          <w:tcPr>
            <w:tcW w:type="dxa" w:w="2126"/>
          </w:tcPr>
          <w:p>
            <w:pPr>
              <w:spacing w:before="20" w:after="20" w:line="276" w:lineRule="auto"/>
              <w:jc w:val="left"/>
            </w:pPr>
            <w:r/>
            <w:r>
              <w:rPr>
                <w:rFonts w:ascii="Times New Roman" w:hAnsi="Times New Roman" w:eastAsia="宋体"/>
                <w:b w:val="0"/>
                <w:sz w:val="21"/>
              </w:rPr>
              <w:t>多地</w:t>
            </w:r>
          </w:p>
        </w:tc>
        <w:tc>
          <w:tcPr>
            <w:tcW w:type="dxa" w:w="2126"/>
          </w:tcPr>
          <w:p>
            <w:pPr>
              <w:spacing w:before="20" w:after="20" w:line="276" w:lineRule="auto"/>
              <w:jc w:val="left"/>
            </w:pPr>
            <w:r/>
            <w:r>
              <w:rPr>
                <w:rFonts w:ascii="Times New Roman" w:hAnsi="Times New Roman" w:eastAsia="宋体"/>
                <w:b w:val="0"/>
                <w:sz w:val="21"/>
              </w:rPr>
              <w:t>以税收减免、电价优惠、厂房代建、固投返还等政策"一哄而上"招商</w:t>
            </w:r>
          </w:p>
        </w:tc>
        <w:tc>
          <w:tcPr>
            <w:tcW w:type="dxa" w:w="2126"/>
          </w:tcPr>
          <w:p>
            <w:pPr>
              <w:spacing w:before="20" w:after="20" w:line="276" w:lineRule="auto"/>
              <w:jc w:val="left"/>
            </w:pPr>
            <w:r/>
            <w:r>
              <w:rPr>
                <w:rFonts w:ascii="Times New Roman" w:hAnsi="Times New Roman" w:eastAsia="宋体"/>
                <w:b w:val="0"/>
                <w:sz w:val="21"/>
              </w:rPr>
              <w:t>国家能源局转载、新华网</w:t>
            </w:r>
          </w:p>
        </w:tc>
      </w:tr>
      <w:tr>
        <w:tc>
          <w:tcPr>
            <w:tcW w:type="dxa" w:w="2126"/>
          </w:tcPr>
          <w:p>
            <w:pPr>
              <w:spacing w:before="20" w:after="20" w:line="276" w:lineRule="auto"/>
              <w:jc w:val="left"/>
            </w:pPr>
            <w:r/>
            <w:r>
              <w:rPr>
                <w:rFonts w:ascii="Times New Roman" w:hAnsi="Times New Roman" w:eastAsia="宋体"/>
                <w:b w:val="0"/>
                <w:sz w:val="21"/>
              </w:rPr>
              <w:t>招商政策：违规返还</w:t>
            </w:r>
          </w:p>
        </w:tc>
        <w:tc>
          <w:tcPr>
            <w:tcW w:type="dxa" w:w="2126"/>
          </w:tcPr>
          <w:p>
            <w:pPr>
              <w:spacing w:before="20" w:after="20" w:line="276" w:lineRule="auto"/>
              <w:jc w:val="left"/>
            </w:pPr>
            <w:r/>
            <w:r>
              <w:rPr>
                <w:rFonts w:ascii="Times New Roman" w:hAnsi="Times New Roman" w:eastAsia="宋体"/>
                <w:b w:val="0"/>
                <w:sz w:val="21"/>
              </w:rPr>
              <w:t>55个地区</w:t>
            </w:r>
          </w:p>
        </w:tc>
        <w:tc>
          <w:tcPr>
            <w:tcW w:type="dxa" w:w="2126"/>
          </w:tcPr>
          <w:p>
            <w:pPr>
              <w:spacing w:before="20" w:after="20" w:line="276" w:lineRule="auto"/>
              <w:jc w:val="left"/>
            </w:pPr>
            <w:r/>
            <w:r>
              <w:rPr>
                <w:rFonts w:ascii="Times New Roman" w:hAnsi="Times New Roman" w:eastAsia="宋体"/>
                <w:b w:val="0"/>
                <w:sz w:val="21"/>
              </w:rPr>
              <w:t>违规或变相返还税收、土地出让金等225.08亿元</w:t>
            </w:r>
          </w:p>
        </w:tc>
        <w:tc>
          <w:tcPr>
            <w:tcW w:type="dxa" w:w="2126"/>
          </w:tcPr>
          <w:p>
            <w:pPr>
              <w:spacing w:before="20" w:after="20" w:line="276" w:lineRule="auto"/>
              <w:jc w:val="left"/>
            </w:pPr>
            <w:r/>
            <w:r>
              <w:rPr>
                <w:rFonts w:ascii="Times New Roman" w:hAnsi="Times New Roman" w:eastAsia="宋体"/>
                <w:b w:val="0"/>
                <w:sz w:val="21"/>
              </w:rPr>
              <w:t>审计署《2022年度审计工作报告》</w:t>
            </w:r>
          </w:p>
        </w:tc>
      </w:tr>
      <w:tr>
        <w:tc>
          <w:tcPr>
            <w:tcW w:type="dxa" w:w="2126"/>
          </w:tcPr>
          <w:p>
            <w:pPr>
              <w:spacing w:before="20" w:after="20" w:line="276" w:lineRule="auto"/>
              <w:jc w:val="left"/>
            </w:pPr>
            <w:r/>
            <w:r>
              <w:rPr>
                <w:rFonts w:ascii="Times New Roman" w:hAnsi="Times New Roman" w:eastAsia="宋体"/>
                <w:b w:val="0"/>
                <w:sz w:val="21"/>
              </w:rPr>
              <w:t>招商政策：湖南</w:t>
            </w:r>
          </w:p>
        </w:tc>
        <w:tc>
          <w:tcPr>
            <w:tcW w:type="dxa" w:w="2126"/>
          </w:tcPr>
          <w:p>
            <w:pPr>
              <w:spacing w:before="20" w:after="20" w:line="276" w:lineRule="auto"/>
              <w:jc w:val="left"/>
            </w:pPr>
            <w:r/>
            <w:r>
              <w:rPr>
                <w:rFonts w:ascii="Times New Roman" w:hAnsi="Times New Roman" w:eastAsia="宋体"/>
                <w:b w:val="0"/>
                <w:sz w:val="21"/>
              </w:rPr>
              <w:t>3个市本级、9个县</w:t>
            </w:r>
          </w:p>
        </w:tc>
        <w:tc>
          <w:tcPr>
            <w:tcW w:type="dxa" w:w="2126"/>
          </w:tcPr>
          <w:p>
            <w:pPr>
              <w:spacing w:before="20" w:after="20" w:line="276" w:lineRule="auto"/>
              <w:jc w:val="left"/>
            </w:pPr>
            <w:r/>
            <w:r>
              <w:rPr>
                <w:rFonts w:ascii="Times New Roman" w:hAnsi="Times New Roman" w:eastAsia="宋体"/>
                <w:b w:val="0"/>
                <w:sz w:val="21"/>
              </w:rPr>
              <w:t>违规垫资或变相返还、向未达履约条件企业提前兑现奖补2.87亿元</w:t>
            </w:r>
          </w:p>
        </w:tc>
        <w:tc>
          <w:tcPr>
            <w:tcW w:type="dxa" w:w="2126"/>
          </w:tcPr>
          <w:p>
            <w:pPr>
              <w:spacing w:before="20" w:after="20" w:line="276" w:lineRule="auto"/>
              <w:jc w:val="left"/>
            </w:pPr>
            <w:r/>
            <w:r>
              <w:rPr>
                <w:rFonts w:ascii="Times New Roman" w:hAnsi="Times New Roman" w:eastAsia="宋体"/>
                <w:b w:val="0"/>
                <w:sz w:val="21"/>
              </w:rPr>
              <w:t>审计报告（媒体汇总）</w:t>
            </w:r>
          </w:p>
        </w:tc>
      </w:tr>
      <w:tr>
        <w:tc>
          <w:tcPr>
            <w:tcW w:type="dxa" w:w="2126"/>
          </w:tcPr>
          <w:p>
            <w:pPr>
              <w:spacing w:before="20" w:after="20" w:line="276" w:lineRule="auto"/>
              <w:jc w:val="left"/>
            </w:pPr>
            <w:r/>
            <w:r>
              <w:rPr>
                <w:rFonts w:ascii="Times New Roman" w:hAnsi="Times New Roman" w:eastAsia="宋体"/>
                <w:b w:val="0"/>
                <w:sz w:val="21"/>
              </w:rPr>
              <w:t>招商政策：云南</w:t>
            </w:r>
          </w:p>
        </w:tc>
        <w:tc>
          <w:tcPr>
            <w:tcW w:type="dxa" w:w="2126"/>
          </w:tcPr>
          <w:p>
            <w:pPr>
              <w:spacing w:before="20" w:after="20" w:line="276" w:lineRule="auto"/>
              <w:jc w:val="left"/>
            </w:pPr>
            <w:r/>
            <w:r>
              <w:rPr>
                <w:rFonts w:ascii="Times New Roman" w:hAnsi="Times New Roman" w:eastAsia="宋体"/>
                <w:b w:val="0"/>
                <w:sz w:val="21"/>
              </w:rPr>
              <w:t>1市1县、2个高新区管委会</w:t>
            </w:r>
          </w:p>
        </w:tc>
        <w:tc>
          <w:tcPr>
            <w:tcW w:type="dxa" w:w="2126"/>
          </w:tcPr>
          <w:p>
            <w:pPr>
              <w:spacing w:before="20" w:after="20" w:line="276" w:lineRule="auto"/>
              <w:jc w:val="left"/>
            </w:pPr>
            <w:r/>
            <w:r>
              <w:rPr>
                <w:rFonts w:ascii="Times New Roman" w:hAnsi="Times New Roman" w:eastAsia="宋体"/>
                <w:b w:val="0"/>
                <w:sz w:val="21"/>
              </w:rPr>
              <w:t>违规给予与税收挂钩的财政奖励2.77亿元</w:t>
            </w:r>
          </w:p>
        </w:tc>
        <w:tc>
          <w:tcPr>
            <w:tcW w:type="dxa" w:w="2126"/>
          </w:tcPr>
          <w:p>
            <w:pPr>
              <w:spacing w:before="20" w:after="20" w:line="276" w:lineRule="auto"/>
              <w:jc w:val="left"/>
            </w:pPr>
            <w:r/>
            <w:r>
              <w:rPr>
                <w:rFonts w:ascii="Times New Roman" w:hAnsi="Times New Roman" w:eastAsia="宋体"/>
                <w:b w:val="0"/>
                <w:sz w:val="21"/>
              </w:rPr>
              <w:t>审计报告（媒体汇总）</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载体扩张：开发区</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全国</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开发区共2543家，其中国家级552家、省级1991家</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《中国开发区审核公告目录（2018年版）》</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5.4呈现的事实链条具有清晰的因果指向。从布局看，31个省份对新能源的全覆盖布局与17个省份的储能竞逐，意味着"新三样"的重复建设并非个别地区的孤立选择，而是全国范围的系统性行为，产业布局趋同构成未来产能过剩的先行指标。从政策工具看，招商竞争已越过合规边界：审计署《2022年度审计工作报告》披露，55个地区违规或变相返还税收、土地出让金等225.08亿元，湖南3个市本级9个县违规垫资或提前兑现奖补2.87亿元，云南1市1县和2个高新区管委会违规给予与税收挂钩的财政奖励2.77亿元。从载体看，全国2543家开发区构成招商竞赛的空间容器，开发区间的同质化竞争进一步放大了要素价格扭曲。从治理看，制度约束正在收紧：《公平竞争审查条例》明确无法律行政法规依据或未经国务院批准不得给予特定经营者税收优惠、选择性财政奖励或补贴；国办发〔2024〕28号文要求不得签订新的与税收挂钩的产业扶持协议，存量违规税费返还条款须终止执行；国家税务总局2025年全年推送违规招商引资涉税核查线索389条，并通过调整限售股转让个税纳税地点防范"违规奖补转引税源"，4500余家证券机构按新模式扣缴入库超400亿元。习近平总书记在《当前经济工作的重点任务》中进一步部署"出台地方政府招商引资鼓励和禁止事项清单"，并要求"有序清理规范各类开发区、园区和展会论坛"，将招商行为与载体扩张一并纳入清单化管理。</w:t>
      </w:r>
    </w:p>
    <w:p>
      <w:pPr>
        <w:spacing w:before="0" w:after="0" w:line="360" w:lineRule="auto"/>
        <w:ind w:firstLineChars="200" w:firstLine="480"/>
      </w:pPr>
      <w:r>
        <w:rPr>
          <w:rFonts w:ascii="Times New Roman" w:hAnsi="Times New Roman" w:eastAsia="宋体"/>
          <w:b w:val="0"/>
          <w:sz w:val="24"/>
        </w:rPr>
        <w:t>公平竞争审查制度的执行数据从另一侧面显示了地方保护与不当干预的存量规模及治理力度。据市场监管总局数据，该制度自2016年建立至《公平竞争审查条例》出台前，累计审查政策措施161.8万件，清理存量文件447万件，废止和修订排除、限制竞争的政策措施9.3万件；仅2023年一年，全国即梳理涉经营主体政策措施69.04万件，清理妨碍统一市场和公平竞争的问题文件4218件。《条例》施行至2025年3月，审查拟出台政策措施9.06万件、对1.5万余件提出修改意见并推动调整；2025年全年审查5.8万件、修改调整1万余件，滥用行政权力排除限制竞争专项行动立案96件、办结75件；据人民日报2026年7月报道，制度建立十年累计审查政策措施188万件、废止和修订12.3万件。数以百万计的问题文件与政策措施，正是市场分割与补贴竞争在制度文本层面的"化石记录"——它们既证明分割的行政根源之深，也表明刚性化的公平竞争审查已成为拆解地方保护的主渠道，其"反内卷"效应的因果识别正是本书第九章强度DID设计的制度基础。这些事实共同印证了本书第三章"地方激励扭曲"与第四章补贴竞争模型的核心判断：只要分割的市场为地方补贴提供了"肥水不流外人田"的载体，补贴竞赛就是地方政府的占优策略，而其加总结果必然是重复建设与全局性产能过剩。</w:t>
      </w:r>
    </w:p>
    <w:p>
      <w:pPr>
        <w:spacing w:before="200" w:after="160" w:line="360" w:lineRule="auto"/>
        <w:outlineLvl w:val="1"/>
      </w:pPr>
      <w:r>
        <w:rPr>
          <w:rFonts w:ascii="Times New Roman" w:hAnsi="Times New Roman" w:eastAsia="黑体"/>
          <w:b w:val="0"/>
          <w:sz w:val="28"/>
        </w:rPr>
        <w:t>（五）国际比较视野下的中国市场整合水平</w:t>
      </w:r>
    </w:p>
    <w:p>
      <w:pPr>
        <w:spacing w:before="0" w:after="0" w:line="360" w:lineRule="auto"/>
        <w:ind w:firstLineChars="200" w:firstLine="480"/>
      </w:pPr>
      <w:r>
        <w:rPr>
          <w:rFonts w:ascii="Times New Roman" w:hAnsi="Times New Roman" w:eastAsia="宋体"/>
          <w:b w:val="0"/>
          <w:sz w:val="24"/>
        </w:rPr>
        <w:t>将中国置于国际坐标系中，可以更准确地评估市场整合的相对水平与潜在红利。关于中国国内贸易成本的最权威量化证据来自量化空间一般均衡研究：2000年中国国内贸易成本与劳动力迁移成本远高于加拿大、美国等发达国家；2000—2005年内贸成本与迁移成本的下降解释了同期约36%的总劳动生产率增长，其贡献甚至大于对外贸易成本的下降；且由于迁移成本仍然偏高，进一步改革的收益依然可观（Tombe和Zhu，2019）。这一发现的政策含义极为重要：对中国而言，"对内开放"的增长红利不亚于对外开放。国内证据同样支持内外贸成本的显著落差，畅通国内大循环要求实质性压缩制度性交易成本（李自若等，2022）。行业层面，汽车市场的地方保护被证明造成了显著的消费者福利损失与资源误置（Barwick等，2021），与本章第三节汽车行业的内卷事实互为表里。</w:t>
      </w:r>
    </w:p>
    <w:p>
      <w:pPr>
        <w:spacing w:before="0" w:after="0" w:line="360" w:lineRule="auto"/>
        <w:ind w:firstLineChars="200" w:firstLine="480"/>
      </w:pPr>
      <w:r>
        <w:rPr>
          <w:rFonts w:ascii="Times New Roman" w:hAnsi="Times New Roman" w:eastAsia="宋体"/>
          <w:b w:val="0"/>
          <w:sz w:val="24"/>
        </w:rPr>
        <w:t>欧盟的经验表明，市场统一是一项永无完成时的制度工程。欧盟自1957年罗马条约起步、1993年建成单一市场，一体化程度居全球区域整合之首：据Eurostat数据（2023年），欧盟成员国货物出口中约61.8%流向其他成员国，盟内货物贸易额约为盟外贸易的1.6倍。即便如此，欧洲竞争力报告仍将"未竟的单一市场"列为欧洲落后于美国的关键原因：据IMF估算、该报告引用的结果，欧盟内部壁垒相当于对商品征收45%的关税、对服务征收110%的关税（Draghi，2024）；需要说明的是，这一估算的方法论在学术界存在争议（博科尼大学等机构曾提出质疑），但其量级传递的信息是清晰的——即使在关税与配额早已归零的单一市场内部，标准、监管、资质等隐性壁垒仍可等价于高额关税，且服务与要素领域的壁垒远深于商品领域。这与本书测算的中国要素市场分割约为商品市场1.7倍的事实遥相呼应，提示市场整合的深水区具有跨制度的普遍性。</w:t>
      </w:r>
    </w:p>
    <w:p>
      <w:pPr>
        <w:spacing w:before="0" w:after="0" w:line="360" w:lineRule="auto"/>
        <w:ind w:firstLineChars="200" w:firstLine="480"/>
      </w:pPr>
      <w:r>
        <w:rPr>
          <w:rFonts w:ascii="Times New Roman" w:hAnsi="Times New Roman" w:eastAsia="宋体"/>
          <w:b w:val="0"/>
          <w:sz w:val="24"/>
        </w:rPr>
        <w:t>美国则提供了深度一体化的制度参照。美国宪法第一条第八款第三项"商业条款"授权国会规制州际商业，联邦司法据此系统性禁止各州设置贸易壁垒，为全国统一市场奠定了延续两个多世纪的宪制基础。其市场纵深的量级可从货物流量窥见：据美国普查局2022年商品流量调查（CFS，五年一次），制造、批发等部门货物运输总量约122亿吨、货值18.0万亿美元，约相当于当年美国GDP的七成（该口径含州内运输，州际部分未单列）。美国经验的启示不在于具体数字，而在于制度安排：统一市场的维系依靠的是统一的司法审查与规则体系，而非一次性的行政推动，这正是"统一靠制度"的历史注脚。</w:t>
      </w:r>
    </w:p>
    <w:p>
      <w:pPr>
        <w:spacing w:before="0" w:after="0" w:line="360" w:lineRule="auto"/>
        <w:ind w:firstLineChars="200" w:firstLine="480"/>
      </w:pPr>
      <w:r>
        <w:rPr>
          <w:rFonts w:ascii="Times New Roman" w:hAnsi="Times New Roman" w:eastAsia="宋体"/>
          <w:b w:val="0"/>
          <w:sz w:val="24"/>
        </w:rPr>
        <w:t>以国际标尺衡量，中国市场整合呈现"总量整合可观、深度整合不足"的双重特征。一方面，流通效率持续改善：据中国物流与采购联合会数据，社会物流总费用与GDP的比率由2012年的约18.0%降至2020年的14.7%、2024年的14.1%，2025年进一步降至13.9%（总费用19.5万亿元），首次低于14%，距离2024年11月中办、国办《有效降低全社会物流成本行动方案》提出的2027年13.5%左右的目标仅一步之遥；本书测算的商品市场分割指数十余年间下降25.7%，商品市场的显性整合已取得长足进展。另一方面，要素市场分割收敛缓慢（降幅仅13.9%）、隐性壁垒与地方保护仍在特定情境下反弹，超大规模市场的潜在优势尚未充分兑现——Tombe和Zhu（2019）所揭示的内贸与迁移成本下降的巨大增长红利，恰恰说明中国仍站在"统一红利"释放曲线的陡峭段上。这为"十五五"时期纵深推进全国统一大市场建设提供了国际比较意义上的依据，其量化测算见本书第九章第六节。</w:t>
      </w:r>
    </w:p>
    <w:p>
      <w:pPr>
        <w:spacing w:before="0" w:after="0" w:line="360" w:lineRule="auto"/>
        <w:ind w:firstLineChars="200" w:firstLine="480"/>
      </w:pPr>
      <w:r>
        <w:rPr>
          <w:rFonts w:ascii="Times New Roman" w:hAnsi="Times New Roman" w:eastAsia="宋体"/>
          <w:b w:val="0"/>
          <w:sz w:val="24"/>
        </w:rPr>
        <w:t>本章以五组典型化事实完成了对"市场分割—内卷竞争"现实图景的系统刻画：市场分割指数总体收敛但存量仍大、要素分割尤深；宏观层面PPI连续39个月负增长、产能利用率降至74.4%、工业利润率跌至5.31%的历史低位、居民消费率在国际比较中居于末端，"供强需弱"矛盾全面显性化；光伏、新能源汽车、平台经济等重点行业上演了价格击穿成本线、全行业亏损与补贴消耗战的极端内卷形态；31个省份高度趋同的产业布局与越界的招商竞争暴露出内卷的地方政府根源；国际比较则表明中国内贸成本下降的增长红利已被证实且远未穷尽。这些事实与本书第三章的"四重扭曲"机理和第四章的理论命题呈现出高度的形态吻合：分割的市场、扭曲的激励、收紧的需求与失灵的退出，共同将竞争压入低水平均衡。然而，典型化事实只能建立相关的直觉，不能替代因果的证明——市场分割究竟在多大程度上"催生"了内卷式竞争？统一大市场建设又能否系统性地予以破解？为回答这些问题，本书第六章将构建省域市场分割指数与"内卷式竞争"强度指数的完整指标体系及计量识别策略，第七章报告测度结果，第八、九章分别检验"分割催生内卷"与"统一释放红利"两组命题。</w:t>
      </w:r>
    </w:p>
    <w:p>
      <w:r>
        <w:br w:type="page"/>
      </w:r>
    </w:p>
    <w:p>
      <w:pPr>
        <w:spacing w:before="240" w:after="280" w:line="360" w:lineRule="auto"/>
        <w:jc w:val="center"/>
        <w:outlineLvl w:val="0"/>
      </w:pPr>
      <w:r>
        <w:rPr>
          <w:rFonts w:ascii="Times New Roman" w:hAnsi="Times New Roman" w:eastAsia="黑体"/>
          <w:b/>
          <w:sz w:val="30"/>
        </w:rPr>
        <w:t>六、实证研究设计</w:t>
      </w:r>
    </w:p>
    <w:p>
      <w:pPr>
        <w:spacing w:before="0" w:after="0" w:line="360" w:lineRule="auto"/>
        <w:ind w:firstLineChars="200" w:firstLine="480"/>
      </w:pPr>
      <w:r>
        <w:rPr>
          <w:rFonts w:ascii="Times New Roman" w:hAnsi="Times New Roman" w:eastAsia="宋体"/>
          <w:b w:val="0"/>
          <w:sz w:val="24"/>
        </w:rPr>
        <w:t>本书第四章以三个递进模型证明了“市场分割—内卷竞争—统一红利”传导链条的每一个环节，并将七个命题与一个推论凝练为假说H1—H5；第五章的典型化事实则表明，分割的市场、扭曲的激励、收紧的需求与失灵的退出在中国经济现实中确实同时在场、相互纠缠。然而，正如第五章末尾所指出的，典型化事实只能建立相关的直觉，不能替代因果的证明：市场分割究竟在多大程度上“催生”了“内卷式”竞争？统一大市场建设的推进又能否被识别为“内卷”强度下降与效率改善的原因？回答这些问题，需要一套严谨的实证设计，把理论模型中的结构参数翻译为可测度的指标，把可检验命题翻译为可估计的方程，并妥善处理内生性带来的识别威胁。本章即承担这一“翻译”与“架桥”职能：第一节由第四章命题正式导出并论证研究假说H1—H5；第二节构建三大关键指标——省域市场分割指数、“内卷式竞争”强度指数与统一大市场发展指数；第三节设定基准面板模型、机制检验模型、强度双重差分模型与事件研究设计，并论证工具变量策略；第四节交代数据来源、变量定义与描述性统计。本章构成第七、八、九章全部实证分析的方法论基础。</w:t>
      </w:r>
    </w:p>
    <w:p>
      <w:pPr>
        <w:spacing w:before="200" w:after="160" w:line="360" w:lineRule="auto"/>
        <w:outlineLvl w:val="1"/>
      </w:pPr>
      <w:r>
        <w:rPr>
          <w:rFonts w:ascii="Times New Roman" w:hAnsi="Times New Roman" w:eastAsia="黑体"/>
          <w:b w:val="0"/>
          <w:sz w:val="28"/>
        </w:rPr>
        <w:t>（一）研究假说</w:t>
      </w:r>
    </w:p>
    <w:p>
      <w:pPr>
        <w:spacing w:before="0" w:after="0" w:line="360" w:lineRule="auto"/>
        <w:ind w:firstLineChars="200" w:firstLine="480"/>
      </w:pPr>
      <w:r>
        <w:rPr>
          <w:rFonts w:ascii="Times New Roman" w:hAnsi="Times New Roman" w:eastAsia="宋体"/>
          <w:b w:val="0"/>
          <w:sz w:val="24"/>
        </w:rPr>
        <w:t>理论命题要成为可检验的假说，必须完成两重转换：一是把模型中的结构参数映射为可观测变量——分割成本</w:t>
      </w:r>
      <m:oMath>
        <m:box>
          <m:e>
            <m:r>
              <m:rPr>
                <m:sty m:val="i"/>
              </m:rPr>
              <m:t>τ</m:t>
            </m:r>
          </m:e>
        </m:box>
      </m:oMath>
      <w:r>
        <w:rPr>
          <w:rFonts w:ascii="Times New Roman" w:hAnsi="Times New Roman" w:eastAsia="宋体"/>
          <w:b w:val="0"/>
          <w:sz w:val="24"/>
        </w:rPr>
        <w:t>由市场分割指数操作化，补贴</w:t>
      </w:r>
      <m:oMath>
        <m:box>
          <m:e>
            <m:r>
              <m:rPr>
                <m:sty m:val="i"/>
              </m:rPr>
              <m:t>s</m:t>
            </m:r>
          </m:e>
        </m:box>
      </m:oMath>
      <w:r>
        <w:rPr>
          <w:rFonts w:ascii="Times New Roman" w:hAnsi="Times New Roman" w:eastAsia="宋体"/>
          <w:b w:val="0"/>
          <w:sz w:val="24"/>
        </w:rPr>
        <w:t>由补贴强度变量操作化，退出摩擦</w:t>
      </w:r>
      <m:oMath>
        <m:box>
          <m:e>
            <m:r>
              <m:rPr>
                <m:sty m:val="i"/>
              </m:rPr>
              <m:t>δ</m:t>
            </m:r>
          </m:e>
        </m:box>
      </m:oMath>
      <w:r>
        <w:rPr>
          <w:rFonts w:ascii="Times New Roman" w:hAnsi="Times New Roman" w:eastAsia="宋体"/>
          <w:b w:val="0"/>
          <w:sz w:val="24"/>
        </w:rPr>
        <w:t>由退出粘性指标操作化，“内卷”程度则由本书第三章式(3-1)界定、本章第二节以五维体系熵权合成的强度指数度量；二是把命题的比较静态结论转写为变量间的可估计关系，并明确其反驳条件——若估计系数不显著或符号相反，相应假说即被证伪。本书第四章表4.2已经给出“命题—假说—检验”的完整对应关系，本节在此基础上对五个假说逐一展开论证，说明其理论来源、传导逻辑、待检验的统计含义与检验安排。</w:t>
      </w:r>
    </w:p>
    <w:p>
      <w:pPr>
        <w:spacing w:before="160" w:after="120" w:line="360" w:lineRule="auto"/>
        <w:outlineLvl w:val="2"/>
      </w:pPr>
      <w:r>
        <w:rPr>
          <w:rFonts w:ascii="Times New Roman" w:hAnsi="Times New Roman" w:eastAsia="黑体"/>
          <w:b w:val="0"/>
          <w:sz w:val="24"/>
        </w:rPr>
        <w:t>1．假说H1：市场分割加剧“内卷式”竞争</w:t>
      </w:r>
    </w:p>
    <w:p>
      <w:pPr>
        <w:spacing w:before="0" w:after="0" w:line="360" w:lineRule="auto"/>
        <w:ind w:firstLineChars="200" w:firstLine="480"/>
      </w:pPr>
      <w:r>
        <w:rPr>
          <w:rFonts w:ascii="Times New Roman" w:hAnsi="Times New Roman" w:eastAsia="宋体"/>
          <w:b w:val="0"/>
          <w:sz w:val="24"/>
        </w:rPr>
        <w:t>假说H1（分割加剧内卷）：在其他条件不变时，市场分割程度越高的省份，“内卷式”竞争强度越高；市场分割指数对“内卷”强度指数的回归系数显著为正。这一假说的理论来源有三。其一，命题4-3表明，在晋升锦标赛赋予地方政府正的产值政治溢价的条件下（周黎安，2007），市场分割抬高本地企业的市场势力与本地产值的边际政治收益，从而系统性加剧地方补贴竞争，补贴竞争的纳什均衡呈现产能过剩与价格跌破真实成本的“内卷”特征。其二，命题4-4表明，分割把全国市场切成多个次尺度区域市场，经由自由进入条件使全行业企业总数按</w:t>
      </w:r>
      <m:oMath>
        <m:box>
          <m:e>
            <m:rad>
              <m:e>
                <m:box>
                  <m:e>
                    <m:box>
                      <m:e>
                        <m:r>
                          <m:rPr>
                            <m:sty m:val="i"/>
                          </m:rPr>
                          <m:t>N</m:t>
                        </m:r>
                      </m:e>
                    </m:box>
                  </m:e>
                </m:box>
              </m:e>
            </m:rad>
          </m:e>
        </m:box>
      </m:oMath>
      <w:r>
        <w:rPr>
          <w:rFonts w:ascii="Times New Roman" w:hAnsi="Times New Roman" w:eastAsia="宋体"/>
          <w:b w:val="0"/>
          <w:sz w:val="24"/>
        </w:rPr>
        <w:t>规律冗余、单厂规模系统性低于最小有效规模、平均成本上升、利润率被稀释——同质化过度进入正是“内卷”的数量根源。其三，命题4-5表明，分割经济中企业规模小、盈利薄，需求收缩冲击更易将其推入价格低于平均成本而又无人退出的“内卷均衡”。三条机制同向叠加，均预测分割与“内卷”强度正相关。国内文献亦从侧面支持这一判断：地区竞争与体制扭曲被证明是中国产能过剩的深层成因（江飞涛等，2012），而分割市场虽可能有利于本地即期增长，却以全国性的竞争秩序损耗为代价（陆铭、陈钊，2009）。第八章将以基准面板固定效应模型检验H1，并分别以价格竞争烈度与产能冗余度分维度指数作被解释变量，考察分割的“催卷”效应在价格与数量两个边际上的表现。</w:t>
      </w:r>
    </w:p>
    <w:p>
      <w:pPr>
        <w:spacing w:before="160" w:after="120" w:line="360" w:lineRule="auto"/>
        <w:outlineLvl w:val="2"/>
      </w:pPr>
      <w:r>
        <w:rPr>
          <w:rFonts w:ascii="Times New Roman" w:hAnsi="Times New Roman" w:eastAsia="黑体"/>
          <w:b w:val="0"/>
          <w:sz w:val="24"/>
        </w:rPr>
        <w:t>2．假说H2：补贴竞争与产业同构是分割“催卷”的传导渠道</w:t>
      </w:r>
    </w:p>
    <w:p>
      <w:pPr>
        <w:spacing w:before="0" w:after="0" w:line="360" w:lineRule="auto"/>
        <w:ind w:firstLineChars="200" w:firstLine="480"/>
      </w:pPr>
      <w:r>
        <w:rPr>
          <w:rFonts w:ascii="Times New Roman" w:hAnsi="Times New Roman" w:eastAsia="宋体"/>
          <w:b w:val="0"/>
          <w:sz w:val="24"/>
        </w:rPr>
        <w:t>假说H2（补贴竞争的中介渠道）：市场分割通过加剧地方补贴竞争与产业同构，间接推高“内卷式”竞争强度；在控制补贴强度与产业结构相似度之后，分割对“内卷”的直接效应应显著弱化。H2是对H1内部传导结构的分解，其理论来源是命题4-3与命题4-4(iii)构成的传导链条：分割→本地市场势力与政治溢价上升→均衡补贴上升且呈策略互补的攀比结构→进入门槛被人为压低→过度进入与重复建设放大。这一链条在现实中的对应物清晰可辨：第五章第四节的事实表明，31个省份的“十五五”产业布局全部指向新能源、29个指向氢能，产业同构与招商补贴竞赛互为表里。理论上，“潮涌现象”研究早已指出，发展中国家对前景良好产业的社会性共识会引致投资潮涌与事后产能过剩（林毅夫等，2010），而分权体制下的地方政府行为恰恰放大了这种潮涌的同步性与强度。H2的统计含义是中介传导的两步结构：分割显著解释补贴强度与产业同构（第一步），补贴强度与产业同构显著解释“内卷”强度且使分割的直接系数明显下降（第二步）。第八章以两步法检验之，并以退出粘性作为第三条机制渠道一并报告。</w:t>
      </w:r>
    </w:p>
    <w:p>
      <w:pPr>
        <w:spacing w:before="160" w:after="120" w:line="360" w:lineRule="auto"/>
        <w:outlineLvl w:val="2"/>
      </w:pPr>
      <w:r>
        <w:rPr>
          <w:rFonts w:ascii="Times New Roman" w:hAnsi="Times New Roman" w:eastAsia="黑体"/>
          <w:b w:val="0"/>
          <w:sz w:val="24"/>
        </w:rPr>
        <w:t>3．假说H3：需求收缩放大“内卷”，退出摩擦延长“内卷”</w:t>
      </w:r>
    </w:p>
    <w:p>
      <w:pPr>
        <w:spacing w:before="0" w:after="0" w:line="360" w:lineRule="auto"/>
        <w:ind w:firstLineChars="200" w:firstLine="480"/>
      </w:pPr>
      <w:r>
        <w:rPr>
          <w:rFonts w:ascii="Times New Roman" w:hAnsi="Times New Roman" w:eastAsia="宋体"/>
          <w:b w:val="0"/>
          <w:sz w:val="24"/>
        </w:rPr>
        <w:t>假说H3（需求收缩放大、退出摩擦延长）：需求收缩冲击会放大分割的“催卷”效应，退出摩擦越强的地区，“内卷”的存续时间越长、强度回落越慢。其理论来源是命题4-5给出的“内卷均衡”存续条件</w:t>
      </w:r>
      <m:oMath>
        <m:box>
          <m:e>
            <m:r>
              <m:rPr>
                <m:sty m:val="i"/>
              </m:rPr>
              <m:t>ε</m:t>
            </m:r>
            <m:r>
              <m:rPr>
                <m:sty m:val="p"/>
              </m:rPr>
              <m:t>≤</m:t>
            </m:r>
            <m:r>
              <m:rPr>
                <m:sty m:val="i"/>
              </m:rPr>
              <m:t>δ</m:t>
            </m:r>
          </m:e>
        </m:box>
      </m:oMath>
      <w:r>
        <w:rPr>
          <w:rFonts w:ascii="Times New Roman" w:hAnsi="Times New Roman" w:eastAsia="宋体"/>
          <w:b w:val="0"/>
          <w:sz w:val="24"/>
        </w:rPr>
        <w:t>：当需求收缩幅度不超过退出摩擦所能庇护的亏损限度时，全行业亏损而无企业退出的状态可以自我维持。该命题包含两个可检验推论。一是时期异质性推论：2020年以来外部冲击叠加房地产调整使需求约束显著收紧，第五章已显示“内卷”强度指数自2022年起快速攀升，若H3成立，则分割对“内卷”的边际效应在2020年后应显著增强，即分割变量与2020年后时期虚拟变量的交互项系数为正。二是退出粘性推论：企业退出率越低、僵尸企业庇护越强的省份，“内卷”强度应越高，且分割的第一步效应中应包含“分割压低退出率”这一环节。司法与破产制度研究为该推论提供了旁证：司法去地方化改革显著促进了低效企业的破产出清（丁海等，2024），反过来说明退出机制受地方干预左右正是出清失灵的重要制度根源。第八章将以时期交互项与退出率机制回归共同检验H3。</w:t>
      </w:r>
    </w:p>
    <w:p>
      <w:pPr>
        <w:spacing w:before="160" w:after="120" w:line="360" w:lineRule="auto"/>
        <w:outlineLvl w:val="2"/>
      </w:pPr>
      <w:r>
        <w:rPr>
          <w:rFonts w:ascii="Times New Roman" w:hAnsi="Times New Roman" w:eastAsia="黑体"/>
          <w:b w:val="0"/>
          <w:sz w:val="24"/>
        </w:rPr>
        <w:t>4．假说H4：统一大市场建设降低“内卷”强度并修复市场秩序</w:t>
      </w:r>
    </w:p>
    <w:p>
      <w:pPr>
        <w:spacing w:before="0" w:after="0" w:line="360" w:lineRule="auto"/>
        <w:ind w:firstLineChars="200" w:firstLine="480"/>
      </w:pPr>
      <w:r>
        <w:rPr>
          <w:rFonts w:ascii="Times New Roman" w:hAnsi="Times New Roman" w:eastAsia="宋体"/>
          <w:b w:val="0"/>
          <w:sz w:val="24"/>
        </w:rPr>
        <w:t>假说H4（统一降卷与秩序修复）：统一大市场建设的制度推进——本书以2016年公平竞争审查制度实施为准自然实验——显著降低“内卷式”竞争强度，同时压缩补贴竞争空间、降低市场分割程度、修复企业利润率与价格秩序。H4是命题4-1、4-2的逆向运用：既然补贴博弈的囚徒困境源于缺乏对地方政府承诺的外部约束，那么公平竞争审查这类把“不得给予特定经营者选择性财政奖励或补贴”规则化、程序化的制度装置，就相当于为博弈引入了可执行的合作机制，推动均衡由非合作解向合作解收敛；推论4-1则进一步表明，由此释放的秩序红利在长期稳健为正。已有微观证据显示，公平竞争审查制度显著促进了企业创新（杨兴全、张可欣，2023），并加速了僵尸企业出清（李靖、毕茜，2025），这与H4的方向一致，但以省域“内卷”强度为结果变量、以审查清理强度为处理强度的系统检验尚付阙如，正是本书第九章的工作。H4的统计含义是：清理强度越大的省份在2016年后“内卷”指数下降越多，且该效应在事前不存在（平行趋势成立）、在事后逐年累积。</w:t>
      </w:r>
    </w:p>
    <w:p>
      <w:pPr>
        <w:spacing w:before="160" w:after="120" w:line="360" w:lineRule="auto"/>
        <w:outlineLvl w:val="2"/>
      </w:pPr>
      <w:r>
        <w:rPr>
          <w:rFonts w:ascii="Times New Roman" w:hAnsi="Times New Roman" w:eastAsia="黑体"/>
          <w:b w:val="0"/>
          <w:sz w:val="24"/>
        </w:rPr>
        <w:t>5．假说H5：统一大市场建设提升全要素生产率与创新产出</w:t>
      </w:r>
    </w:p>
    <w:p>
      <w:pPr>
        <w:spacing w:before="0" w:after="0" w:line="360" w:lineRule="auto"/>
        <w:ind w:firstLineChars="200" w:firstLine="480"/>
      </w:pPr>
      <w:r>
        <w:rPr>
          <w:rFonts w:ascii="Times New Roman" w:hAnsi="Times New Roman" w:eastAsia="宋体"/>
          <w:b w:val="0"/>
          <w:sz w:val="24"/>
        </w:rPr>
        <w:t>假说H5（统一提升TFP与创新）：统一大市场建设显著提升地区全要素生产率、改善资源配置效率，并增加创新产出（新产品销售占比与发明专利申请）。其理论来源是命题4-6与命题4-7：区际贸易成本下降抬高生存门槛，经由选择效应把生产份额向高生产率企业再配置，加总生产率随之提升（Melitz，2003）；市场规模的可达性扩大又压低创新的临界规模门槛、扩大创新企业占比。资源误置研究表明，中国制造业企业间生产率离散度远高于美国，若资本与劳动实现有效再配置，制造业全要素生产率存在大幅提升空间（Hsieh和Klenow，2009）；量化空间分析进一步显示，2000—2005年中国内贸成本与迁移成本的下降解释了同期约36%的总劳动生产率增长（Tombe和Zhu，2019）。这些证据共同指向一个判断：分割是误置的重要制度性来源，统一是再配置红利的重要释放通道。H5的统计含义是：审查清理强度越大的省份，2016年后省域TFP相对提升、行业内加成率与资本回报率离散度相对收窄、新产品销售占比与发明专利申请相对增加。第九章将逐一检验。</w:t>
      </w:r>
    </w:p>
    <w:p>
      <w:pPr>
        <w:spacing w:before="0" w:after="0" w:line="360" w:lineRule="auto"/>
        <w:ind w:firstLineChars="200" w:firstLine="480"/>
      </w:pPr>
      <w:r>
        <w:rPr>
          <w:rFonts w:ascii="Times New Roman" w:hAnsi="Times New Roman" w:eastAsia="宋体"/>
          <w:b w:val="0"/>
          <w:sz w:val="24"/>
        </w:rPr>
        <w:t>综上，五个假说构成一个首尾呼应的体系：H1检验“分割→内卷”的总效应，H2、H3将其分解为渠道与条件，H4、H5检验“统一→红利”的反向操作，分别对应理论框架三环传导的前后两环。H1—H3由第八章检验，H4—H5由第九章检验，任何一个假说被拒绝都将对第四章的相应命题构成实质性挑战——这种明确的可反驳性，是本书实证设计追求的第一原则。</w:t>
      </w:r>
    </w:p>
    <w:p>
      <w:pPr>
        <w:spacing w:before="200" w:after="160" w:line="360" w:lineRule="auto"/>
        <w:outlineLvl w:val="1"/>
      </w:pPr>
      <w:r>
        <w:rPr>
          <w:rFonts w:ascii="Times New Roman" w:hAnsi="Times New Roman" w:eastAsia="黑体"/>
          <w:b w:val="0"/>
          <w:sz w:val="28"/>
        </w:rPr>
        <w:t>（二）关键指标构建</w:t>
      </w:r>
    </w:p>
    <w:p>
      <w:pPr>
        <w:spacing w:before="160" w:after="120" w:line="360" w:lineRule="auto"/>
        <w:outlineLvl w:val="2"/>
      </w:pPr>
      <w:r>
        <w:rPr>
          <w:rFonts w:ascii="Times New Roman" w:hAnsi="Times New Roman" w:eastAsia="黑体"/>
          <w:b w:val="0"/>
          <w:sz w:val="24"/>
        </w:rPr>
        <w:t>1．市场分割指数：相对价格法的完整推导</w:t>
      </w:r>
    </w:p>
    <w:p>
      <w:pPr>
        <w:spacing w:before="0" w:after="0" w:line="360" w:lineRule="auto"/>
        <w:ind w:firstLineChars="200" w:firstLine="480"/>
      </w:pPr>
      <w:r>
        <w:rPr>
          <w:rFonts w:ascii="Times New Roman" w:hAnsi="Times New Roman" w:eastAsia="宋体"/>
          <w:b w:val="0"/>
          <w:sz w:val="24"/>
        </w:rPr>
        <w:t>测度市场分割的方法在文献中大体有四类：一是贸易流法，以地区间贸易流量或投入产出表推算的边界效应度量分割（Poncet，2005；行伟波、李善同，2009）；二是生产法，以地区专业化分工程度反推地方保护（Young，2000）；三是问卷调查法；四是价格法，以地区间相对价格的波动幅度度量套利障碍。四类方法各有短长：贸易流法直接但省际贸易数据残缺且口径多变，生产法的推断链条较长，调查法难以形成连续面板。价格法的理论基础最为清晰——在“冰山”交易成本模型中，若两地间套利成本为</w:t>
      </w:r>
      <m:oMath>
        <m:box>
          <m:e>
            <m:r>
              <m:rPr>
                <m:sty m:val="i"/>
              </m:rPr>
              <m:t>τ</m:t>
            </m:r>
          </m:e>
        </m:box>
      </m:oMath>
      <w:r>
        <w:rPr>
          <w:rFonts w:ascii="Times New Roman" w:hAnsi="Times New Roman" w:eastAsia="宋体"/>
          <w:b w:val="0"/>
          <w:sz w:val="24"/>
        </w:rPr>
        <w:t>，则两地相对价格只能在</w:t>
      </w:r>
      <m:oMath>
        <m:box>
          <m:e>
            <m:r>
              <m:rPr>
                <m:sty m:val="p"/>
              </m:rPr>
              <m:t>[</m:t>
            </m:r>
            <m:r>
              <m:rPr>
                <m:sty m:val="p"/>
              </m:rPr>
              <m:t>1</m:t>
            </m:r>
            <m:r>
              <m:rPr>
                <m:sty m:val="p"/>
              </m:rPr>
              <m:t>/</m:t>
            </m:r>
            <m:r>
              <m:rPr>
                <m:sty m:val="p"/>
              </m:rPr>
              <m:t>(</m:t>
            </m:r>
            <m:r>
              <m:rPr>
                <m:sty m:val="p"/>
              </m:rPr>
              <m:t>1</m:t>
            </m:r>
            <m:r>
              <m:rPr>
                <m:sty m:val="p"/>
              </m:rPr>
              <m:t>+</m:t>
            </m:r>
            <m:r>
              <m:rPr>
                <m:sty m:val="i"/>
              </m:rPr>
              <m:t>τ</m:t>
            </m:r>
            <m:r>
              <m:rPr>
                <m:sty m:val="p"/>
              </m:rPr>
              <m:t>)</m:t>
            </m:r>
            <m:r>
              <m:rPr>
                <m:sty m:val="p"/>
              </m:rPr>
              <m:t>,</m:t>
            </m:r>
            <m:r>
              <m:rPr>
                <m:nor/>
              </m:rPr>
              <m:t> </m:t>
            </m:r>
            <m:r>
              <m:rPr>
                <m:sty m:val="p"/>
              </m:rPr>
              <m:t>1</m:t>
            </m:r>
            <m:r>
              <m:rPr>
                <m:sty m:val="p"/>
              </m:rPr>
              <m:t>+</m:t>
            </m:r>
            <m:r>
              <m:rPr>
                <m:sty m:val="i"/>
              </m:rPr>
              <m:t>τ</m:t>
            </m:r>
            <m:r>
              <m:rPr>
                <m:sty m:val="p"/>
              </m:rPr>
              <m:t>]</m:t>
            </m:r>
          </m:e>
        </m:box>
      </m:oMath>
      <w:r>
        <w:rPr>
          <w:rFonts w:ascii="Times New Roman" w:hAnsi="Times New Roman" w:eastAsia="宋体"/>
          <w:b w:val="0"/>
          <w:sz w:val="24"/>
        </w:rPr>
        <w:t>的无套利区间内波动，区间宽度随</w:t>
      </w:r>
      <m:oMath>
        <m:box>
          <m:e>
            <m:r>
              <m:rPr>
                <m:sty m:val="i"/>
              </m:rPr>
              <m:t>τ</m:t>
            </m:r>
          </m:e>
        </m:box>
      </m:oMath>
      <w:r>
        <w:rPr>
          <w:rFonts w:ascii="Times New Roman" w:hAnsi="Times New Roman" w:eastAsia="宋体"/>
          <w:b w:val="0"/>
          <w:sz w:val="24"/>
        </w:rPr>
        <w:t>单调扩大，故相对价格波动的方差可以作为分割程度的单调代理（Parsley和Wei，2001）。价格法所需数据连续、可比、覆盖全部省份，被国内文献广泛采用并证明能够稳健刻画中国市场整合的长期趋势（桂琦寒等，2006）。近年基于货物运输微观数据的边界效应估计（张皓辰等，2024）与基于企业数据的要素市场一体化测度（戴若尘等，2025）提供了有益的交叉验证，但就构建2012—2024年31个省份的连续面板而言，相对价格法仍是最优选择。本书遂以相对价格法构造省域市场分割指数，并以夜间灯光边界梯度法作为稳健性替代（第八章）。</w:t>
      </w:r>
    </w:p>
    <w:p>
      <w:pPr>
        <w:spacing w:before="0" w:after="0" w:line="360" w:lineRule="auto"/>
        <w:ind w:firstLineChars="200" w:firstLine="480"/>
      </w:pPr>
      <w:r>
        <w:rPr>
          <w:rFonts w:ascii="Times New Roman" w:hAnsi="Times New Roman" w:eastAsia="宋体"/>
          <w:b w:val="0"/>
          <w:sz w:val="24"/>
        </w:rPr>
        <w:t>指数测算使用31个省（自治区、直辖市）2012—2024年8大类商品的零售价格分类指数（上年＝100），按陆地相邻关系构造相邻省对——相邻省对间运输距离短、套利关系最直接，相对价格波动对制度性壁垒的信息含量最高。所选商品类别（见表6.1）兼顾三条标准：一是可贸易性强，价格套利在技术上可行；二是权重代表性好，覆盖商品零售价格指数的主要构成；三是统计口径在样本期内连续可比。</w:t>
      </w:r>
    </w:p>
    <w:p>
      <w:pPr>
        <w:spacing w:before="160" w:after="80" w:line="312" w:lineRule="auto"/>
        <w:jc w:val="center"/>
      </w:pPr>
      <w:r>
        <w:rPr>
          <w:rFonts w:ascii="Times New Roman" w:hAnsi="Times New Roman" w:eastAsia="黑体"/>
          <w:b w:val="0"/>
          <w:sz w:val="21"/>
        </w:rPr>
        <w:t>表6.1　市场分割指数测算所用商品类别</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序号</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商品大类</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价格指数口径</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纳入考虑</w:t>
            </w:r>
          </w:p>
        </w:tc>
      </w:tr>
      <w:tr>
        <w:tc>
          <w:tcPr>
            <w:tcW w:type="dxa" w:w="2126"/>
          </w:tcPr>
          <w:p>
            <w:pPr>
              <w:spacing w:before="20" w:after="20" w:line="276" w:lineRule="auto"/>
              <w:jc w:val="center"/>
            </w:pPr>
            <w:r/>
            <w:r>
              <w:rPr>
                <w:rFonts w:ascii="Times New Roman" w:hAnsi="Times New Roman" w:eastAsia="宋体"/>
                <w:b w:val="0"/>
                <w:sz w:val="21"/>
              </w:rPr>
              <w:t>1</w:t>
            </w:r>
          </w:p>
        </w:tc>
        <w:tc>
          <w:tcPr>
            <w:tcW w:type="dxa" w:w="2126"/>
          </w:tcPr>
          <w:p>
            <w:pPr>
              <w:spacing w:before="20" w:after="20" w:line="276" w:lineRule="auto"/>
              <w:jc w:val="left"/>
            </w:pPr>
            <w:r/>
            <w:r>
              <w:rPr>
                <w:rFonts w:ascii="Times New Roman" w:hAnsi="Times New Roman" w:eastAsia="宋体"/>
                <w:b w:val="0"/>
                <w:sz w:val="21"/>
              </w:rPr>
              <w:t>食品类</w:t>
            </w:r>
          </w:p>
        </w:tc>
        <w:tc>
          <w:tcPr>
            <w:tcW w:type="dxa" w:w="2126"/>
          </w:tcPr>
          <w:p>
            <w:pPr>
              <w:spacing w:before="20" w:after="20" w:line="276" w:lineRule="auto"/>
              <w:jc w:val="left"/>
            </w:pPr>
            <w:r/>
            <w:r>
              <w:rPr>
                <w:rFonts w:ascii="Times New Roman" w:hAnsi="Times New Roman" w:eastAsia="宋体"/>
                <w:b w:val="0"/>
                <w:sz w:val="21"/>
              </w:rPr>
              <w:t>分省商品零售价格分类指数（上年＝100）</w:t>
            </w:r>
          </w:p>
        </w:tc>
        <w:tc>
          <w:tcPr>
            <w:tcW w:type="dxa" w:w="2126"/>
          </w:tcPr>
          <w:p>
            <w:pPr>
              <w:spacing w:before="20" w:after="20" w:line="276" w:lineRule="auto"/>
              <w:jc w:val="left"/>
            </w:pPr>
            <w:r/>
            <w:r>
              <w:rPr>
                <w:rFonts w:ascii="Times New Roman" w:hAnsi="Times New Roman" w:eastAsia="宋体"/>
                <w:b w:val="0"/>
                <w:sz w:val="21"/>
              </w:rPr>
              <w:t>交易最频繁、权重最大，跨省贸易与套利活跃</w:t>
            </w:r>
          </w:p>
        </w:tc>
      </w:tr>
      <w:tr>
        <w:tc>
          <w:tcPr>
            <w:tcW w:type="dxa" w:w="2126"/>
          </w:tcPr>
          <w:p>
            <w:pPr>
              <w:spacing w:before="20" w:after="20" w:line="276" w:lineRule="auto"/>
              <w:jc w:val="center"/>
            </w:pPr>
            <w:r/>
            <w:r>
              <w:rPr>
                <w:rFonts w:ascii="Times New Roman" w:hAnsi="Times New Roman" w:eastAsia="宋体"/>
                <w:b w:val="0"/>
                <w:sz w:val="21"/>
              </w:rPr>
              <w:t>2</w:t>
            </w:r>
          </w:p>
        </w:tc>
        <w:tc>
          <w:tcPr>
            <w:tcW w:type="dxa" w:w="2126"/>
          </w:tcPr>
          <w:p>
            <w:pPr>
              <w:spacing w:before="20" w:after="20" w:line="276" w:lineRule="auto"/>
              <w:jc w:val="left"/>
            </w:pPr>
            <w:r/>
            <w:r>
              <w:rPr>
                <w:rFonts w:ascii="Times New Roman" w:hAnsi="Times New Roman" w:eastAsia="宋体"/>
                <w:b w:val="0"/>
                <w:sz w:val="21"/>
              </w:rPr>
              <w:t>饮料烟酒类</w:t>
            </w:r>
          </w:p>
        </w:tc>
        <w:tc>
          <w:tcPr>
            <w:tcW w:type="dxa" w:w="2126"/>
          </w:tcPr>
          <w:p>
            <w:pPr>
              <w:spacing w:before="20" w:after="20" w:line="276" w:lineRule="auto"/>
              <w:jc w:val="left"/>
            </w:pPr>
            <w:r/>
            <w:r>
              <w:rPr>
                <w:rFonts w:ascii="Times New Roman" w:hAnsi="Times New Roman" w:eastAsia="宋体"/>
                <w:b w:val="0"/>
                <w:sz w:val="21"/>
              </w:rPr>
              <w:t>同上</w:t>
            </w:r>
          </w:p>
        </w:tc>
        <w:tc>
          <w:tcPr>
            <w:tcW w:type="dxa" w:w="2126"/>
          </w:tcPr>
          <w:p>
            <w:pPr>
              <w:spacing w:before="20" w:after="20" w:line="276" w:lineRule="auto"/>
              <w:jc w:val="left"/>
            </w:pPr>
            <w:r/>
            <w:r>
              <w:rPr>
                <w:rFonts w:ascii="Times New Roman" w:hAnsi="Times New Roman" w:eastAsia="宋体"/>
                <w:b w:val="0"/>
                <w:sz w:val="21"/>
              </w:rPr>
              <w:t>标准化程度高，品牌商品全国流通</w:t>
            </w:r>
          </w:p>
        </w:tc>
      </w:tr>
      <w:tr>
        <w:tc>
          <w:tcPr>
            <w:tcW w:type="dxa" w:w="2126"/>
          </w:tcPr>
          <w:p>
            <w:pPr>
              <w:spacing w:before="20" w:after="20" w:line="276" w:lineRule="auto"/>
              <w:jc w:val="center"/>
            </w:pPr>
            <w:r/>
            <w:r>
              <w:rPr>
                <w:rFonts w:ascii="Times New Roman" w:hAnsi="Times New Roman" w:eastAsia="宋体"/>
                <w:b w:val="0"/>
                <w:sz w:val="21"/>
              </w:rPr>
              <w:t>3</w:t>
            </w:r>
          </w:p>
        </w:tc>
        <w:tc>
          <w:tcPr>
            <w:tcW w:type="dxa" w:w="2126"/>
          </w:tcPr>
          <w:p>
            <w:pPr>
              <w:spacing w:before="20" w:after="20" w:line="276" w:lineRule="auto"/>
              <w:jc w:val="left"/>
            </w:pPr>
            <w:r/>
            <w:r>
              <w:rPr>
                <w:rFonts w:ascii="Times New Roman" w:hAnsi="Times New Roman" w:eastAsia="宋体"/>
                <w:b w:val="0"/>
                <w:sz w:val="21"/>
              </w:rPr>
              <w:t>服装鞋帽类</w:t>
            </w:r>
          </w:p>
        </w:tc>
        <w:tc>
          <w:tcPr>
            <w:tcW w:type="dxa" w:w="2126"/>
          </w:tcPr>
          <w:p>
            <w:pPr>
              <w:spacing w:before="20" w:after="20" w:line="276" w:lineRule="auto"/>
              <w:jc w:val="left"/>
            </w:pPr>
            <w:r/>
            <w:r>
              <w:rPr>
                <w:rFonts w:ascii="Times New Roman" w:hAnsi="Times New Roman" w:eastAsia="宋体"/>
                <w:b w:val="0"/>
                <w:sz w:val="21"/>
              </w:rPr>
              <w:t>同上</w:t>
            </w:r>
          </w:p>
        </w:tc>
        <w:tc>
          <w:tcPr>
            <w:tcW w:type="dxa" w:w="2126"/>
          </w:tcPr>
          <w:p>
            <w:pPr>
              <w:spacing w:before="20" w:after="20" w:line="276" w:lineRule="auto"/>
              <w:jc w:val="left"/>
            </w:pPr>
            <w:r/>
            <w:r>
              <w:rPr>
                <w:rFonts w:ascii="Times New Roman" w:hAnsi="Times New Roman" w:eastAsia="宋体"/>
                <w:b w:val="0"/>
                <w:sz w:val="21"/>
              </w:rPr>
              <w:t>可贸易性强，产地与销地分离明显</w:t>
            </w:r>
          </w:p>
        </w:tc>
      </w:tr>
      <w:tr>
        <w:tc>
          <w:tcPr>
            <w:tcW w:type="dxa" w:w="2126"/>
          </w:tcPr>
          <w:p>
            <w:pPr>
              <w:spacing w:before="20" w:after="20" w:line="276" w:lineRule="auto"/>
              <w:jc w:val="center"/>
            </w:pPr>
            <w:r/>
            <w:r>
              <w:rPr>
                <w:rFonts w:ascii="Times New Roman" w:hAnsi="Times New Roman" w:eastAsia="宋体"/>
                <w:b w:val="0"/>
                <w:sz w:val="21"/>
              </w:rPr>
              <w:t>4</w:t>
            </w:r>
          </w:p>
        </w:tc>
        <w:tc>
          <w:tcPr>
            <w:tcW w:type="dxa" w:w="2126"/>
          </w:tcPr>
          <w:p>
            <w:pPr>
              <w:spacing w:before="20" w:after="20" w:line="276" w:lineRule="auto"/>
              <w:jc w:val="left"/>
            </w:pPr>
            <w:r/>
            <w:r>
              <w:rPr>
                <w:rFonts w:ascii="Times New Roman" w:hAnsi="Times New Roman" w:eastAsia="宋体"/>
                <w:b w:val="0"/>
                <w:sz w:val="21"/>
              </w:rPr>
              <w:t>纺织品类</w:t>
            </w:r>
          </w:p>
        </w:tc>
        <w:tc>
          <w:tcPr>
            <w:tcW w:type="dxa" w:w="2126"/>
          </w:tcPr>
          <w:p>
            <w:pPr>
              <w:spacing w:before="20" w:after="20" w:line="276" w:lineRule="auto"/>
              <w:jc w:val="left"/>
            </w:pPr>
            <w:r/>
            <w:r>
              <w:rPr>
                <w:rFonts w:ascii="Times New Roman" w:hAnsi="Times New Roman" w:eastAsia="宋体"/>
                <w:b w:val="0"/>
                <w:sz w:val="21"/>
              </w:rPr>
              <w:t>同上</w:t>
            </w:r>
          </w:p>
        </w:tc>
        <w:tc>
          <w:tcPr>
            <w:tcW w:type="dxa" w:w="2126"/>
          </w:tcPr>
          <w:p>
            <w:pPr>
              <w:spacing w:before="20" w:after="20" w:line="276" w:lineRule="auto"/>
              <w:jc w:val="left"/>
            </w:pPr>
            <w:r/>
            <w:r>
              <w:rPr>
                <w:rFonts w:ascii="Times New Roman" w:hAnsi="Times New Roman" w:eastAsia="宋体"/>
                <w:b w:val="0"/>
                <w:sz w:val="21"/>
              </w:rPr>
              <w:t>同质化程度高，价格对套利敏感</w:t>
            </w:r>
          </w:p>
        </w:tc>
      </w:tr>
      <w:tr>
        <w:tc>
          <w:tcPr>
            <w:tcW w:type="dxa" w:w="2126"/>
          </w:tcPr>
          <w:p>
            <w:pPr>
              <w:spacing w:before="20" w:after="20" w:line="276" w:lineRule="auto"/>
              <w:jc w:val="center"/>
            </w:pPr>
            <w:r/>
            <w:r>
              <w:rPr>
                <w:rFonts w:ascii="Times New Roman" w:hAnsi="Times New Roman" w:eastAsia="宋体"/>
                <w:b w:val="0"/>
                <w:sz w:val="21"/>
              </w:rPr>
              <w:t>5</w:t>
            </w:r>
          </w:p>
        </w:tc>
        <w:tc>
          <w:tcPr>
            <w:tcW w:type="dxa" w:w="2126"/>
          </w:tcPr>
          <w:p>
            <w:pPr>
              <w:spacing w:before="20" w:after="20" w:line="276" w:lineRule="auto"/>
              <w:jc w:val="left"/>
            </w:pPr>
            <w:r/>
            <w:r>
              <w:rPr>
                <w:rFonts w:ascii="Times New Roman" w:hAnsi="Times New Roman" w:eastAsia="宋体"/>
                <w:b w:val="0"/>
                <w:sz w:val="21"/>
              </w:rPr>
              <w:t>日用品类</w:t>
            </w:r>
          </w:p>
        </w:tc>
        <w:tc>
          <w:tcPr>
            <w:tcW w:type="dxa" w:w="2126"/>
          </w:tcPr>
          <w:p>
            <w:pPr>
              <w:spacing w:before="20" w:after="20" w:line="276" w:lineRule="auto"/>
              <w:jc w:val="left"/>
            </w:pPr>
            <w:r/>
            <w:r>
              <w:rPr>
                <w:rFonts w:ascii="Times New Roman" w:hAnsi="Times New Roman" w:eastAsia="宋体"/>
                <w:b w:val="0"/>
                <w:sz w:val="21"/>
              </w:rPr>
              <w:t>同上</w:t>
            </w:r>
          </w:p>
        </w:tc>
        <w:tc>
          <w:tcPr>
            <w:tcW w:type="dxa" w:w="2126"/>
          </w:tcPr>
          <w:p>
            <w:pPr>
              <w:spacing w:before="20" w:after="20" w:line="276" w:lineRule="auto"/>
              <w:jc w:val="left"/>
            </w:pPr>
            <w:r/>
            <w:r>
              <w:rPr>
                <w:rFonts w:ascii="Times New Roman" w:hAnsi="Times New Roman" w:eastAsia="宋体"/>
                <w:b w:val="0"/>
                <w:sz w:val="21"/>
              </w:rPr>
              <w:t>覆盖面广、需求刚性，价格信号稳定</w:t>
            </w:r>
          </w:p>
        </w:tc>
      </w:tr>
      <w:tr>
        <w:tc>
          <w:tcPr>
            <w:tcW w:type="dxa" w:w="2126"/>
          </w:tcPr>
          <w:p>
            <w:pPr>
              <w:spacing w:before="20" w:after="20" w:line="276" w:lineRule="auto"/>
              <w:jc w:val="center"/>
            </w:pPr>
            <w:r/>
            <w:r>
              <w:rPr>
                <w:rFonts w:ascii="Times New Roman" w:hAnsi="Times New Roman" w:eastAsia="宋体"/>
                <w:b w:val="0"/>
                <w:sz w:val="21"/>
              </w:rPr>
              <w:t>6</w:t>
            </w:r>
          </w:p>
        </w:tc>
        <w:tc>
          <w:tcPr>
            <w:tcW w:type="dxa" w:w="2126"/>
          </w:tcPr>
          <w:p>
            <w:pPr>
              <w:spacing w:before="20" w:after="20" w:line="276" w:lineRule="auto"/>
              <w:jc w:val="left"/>
            </w:pPr>
            <w:r/>
            <w:r>
              <w:rPr>
                <w:rFonts w:ascii="Times New Roman" w:hAnsi="Times New Roman" w:eastAsia="宋体"/>
                <w:b w:val="0"/>
                <w:sz w:val="21"/>
              </w:rPr>
              <w:t>文化办公用品类</w:t>
            </w:r>
          </w:p>
        </w:tc>
        <w:tc>
          <w:tcPr>
            <w:tcW w:type="dxa" w:w="2126"/>
          </w:tcPr>
          <w:p>
            <w:pPr>
              <w:spacing w:before="20" w:after="20" w:line="276" w:lineRule="auto"/>
              <w:jc w:val="left"/>
            </w:pPr>
            <w:r/>
            <w:r>
              <w:rPr>
                <w:rFonts w:ascii="Times New Roman" w:hAnsi="Times New Roman" w:eastAsia="宋体"/>
                <w:b w:val="0"/>
                <w:sz w:val="21"/>
              </w:rPr>
              <w:t>同上</w:t>
            </w:r>
          </w:p>
        </w:tc>
        <w:tc>
          <w:tcPr>
            <w:tcW w:type="dxa" w:w="2126"/>
          </w:tcPr>
          <w:p>
            <w:pPr>
              <w:spacing w:before="20" w:after="20" w:line="276" w:lineRule="auto"/>
              <w:jc w:val="left"/>
            </w:pPr>
            <w:r/>
            <w:r>
              <w:rPr>
                <w:rFonts w:ascii="Times New Roman" w:hAnsi="Times New Roman" w:eastAsia="宋体"/>
                <w:b w:val="0"/>
                <w:sz w:val="21"/>
              </w:rPr>
              <w:t>工业制成品，全国统一定价与地方渠道并存</w:t>
            </w:r>
          </w:p>
        </w:tc>
      </w:tr>
      <w:tr>
        <w:tc>
          <w:tcPr>
            <w:tcW w:type="dxa" w:w="2126"/>
          </w:tcPr>
          <w:p>
            <w:pPr>
              <w:spacing w:before="20" w:after="20" w:line="276" w:lineRule="auto"/>
              <w:jc w:val="center"/>
            </w:pPr>
            <w:r/>
            <w:r>
              <w:rPr>
                <w:rFonts w:ascii="Times New Roman" w:hAnsi="Times New Roman" w:eastAsia="宋体"/>
                <w:b w:val="0"/>
                <w:sz w:val="21"/>
              </w:rPr>
              <w:t>7</w:t>
            </w:r>
          </w:p>
        </w:tc>
        <w:tc>
          <w:tcPr>
            <w:tcW w:type="dxa" w:w="2126"/>
          </w:tcPr>
          <w:p>
            <w:pPr>
              <w:spacing w:before="20" w:after="20" w:line="276" w:lineRule="auto"/>
              <w:jc w:val="left"/>
            </w:pPr>
            <w:r/>
            <w:r>
              <w:rPr>
                <w:rFonts w:ascii="Times New Roman" w:hAnsi="Times New Roman" w:eastAsia="宋体"/>
                <w:b w:val="0"/>
                <w:sz w:val="21"/>
              </w:rPr>
              <w:t>中西药品及医疗保健用品类</w:t>
            </w:r>
          </w:p>
        </w:tc>
        <w:tc>
          <w:tcPr>
            <w:tcW w:type="dxa" w:w="2126"/>
          </w:tcPr>
          <w:p>
            <w:pPr>
              <w:spacing w:before="20" w:after="20" w:line="276" w:lineRule="auto"/>
              <w:jc w:val="left"/>
            </w:pPr>
            <w:r/>
            <w:r>
              <w:rPr>
                <w:rFonts w:ascii="Times New Roman" w:hAnsi="Times New Roman" w:eastAsia="宋体"/>
                <w:b w:val="0"/>
                <w:sz w:val="21"/>
              </w:rPr>
              <w:t>同上</w:t>
            </w:r>
          </w:p>
        </w:tc>
        <w:tc>
          <w:tcPr>
            <w:tcW w:type="dxa" w:w="2126"/>
          </w:tcPr>
          <w:p>
            <w:pPr>
              <w:spacing w:before="20" w:after="20" w:line="276" w:lineRule="auto"/>
              <w:jc w:val="left"/>
            </w:pPr>
            <w:r/>
            <w:r>
              <w:rPr>
                <w:rFonts w:ascii="Times New Roman" w:hAnsi="Times New Roman" w:eastAsia="宋体"/>
                <w:b w:val="0"/>
                <w:sz w:val="21"/>
              </w:rPr>
              <w:t>受地方招标采购政策影响大，对监管分割敏感</w:t>
            </w:r>
          </w:p>
        </w:tc>
      </w:tr>
      <w:tr>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8</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燃料类</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同上</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对运输成本与能源流通壁垒敏感</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6.1所列8大类商品在可贸易性与壁垒敏感度上形成互补：食品、日用品等高频交易品类主要捕捉物流与流通环节的分割，中西药品与燃料则对地方招采、能源管制等监管性分割敏感，从而使合成指数能够同时反映显性与隐性壁垒。金银珠宝类因金融属性过强、建筑材料类因样本期内统计口径调整而未予纳入；剔除或替换个别类别不改变指数的时序形态与省际排序，相关稳健性讨论见第七章第五节。</w:t>
      </w:r>
    </w:p>
    <w:p>
      <w:pPr>
        <w:spacing w:before="0" w:after="0" w:line="360" w:lineRule="auto"/>
        <w:ind w:firstLineChars="200" w:firstLine="480"/>
      </w:pPr>
      <w:r>
        <w:rPr>
          <w:rFonts w:ascii="Times New Roman" w:hAnsi="Times New Roman" w:eastAsia="宋体"/>
          <w:b w:val="0"/>
          <w:sz w:val="24"/>
        </w:rPr>
        <w:t>指数构造分四步完成。第一步，计算相邻省对相对价格的一阶差分。设</w:t>
      </w:r>
      <m:oMath>
        <m:box>
          <m:e>
            <m:sSubSup>
              <m:e>
                <m:r>
                  <m:rPr>
                    <m:sty m:val="i"/>
                  </m:rPr>
                  <m:t>p</m:t>
                </m:r>
              </m:e>
              <m:sub>
                <m:box>
                  <m:e>
                    <m:r>
                      <m:rPr>
                        <m:sty m:val="i"/>
                      </m:rPr>
                      <m:t>i</m:t>
                    </m:r>
                    <m:r>
                      <m:rPr>
                        <m:sty m:val="i"/>
                      </m:rPr>
                      <m:t>t</m:t>
                    </m:r>
                  </m:e>
                </m:box>
              </m:sub>
              <m:sup>
                <m:box>
                  <m:e>
                    <m:r>
                      <m:rPr>
                        <m:sty m:val="i"/>
                      </m:rPr>
                      <m:t>k</m:t>
                    </m:r>
                  </m:e>
                </m:box>
              </m:sup>
            </m:sSubSup>
          </m:e>
        </m:box>
      </m:oMath>
      <w:r>
        <w:rPr>
          <w:rFonts w:ascii="Times New Roman" w:hAnsi="Times New Roman" w:eastAsia="宋体"/>
          <w:b w:val="0"/>
          <w:sz w:val="24"/>
        </w:rPr>
        <w:t>为省份</w:t>
      </w:r>
      <m:oMath>
        <m:box>
          <m:e>
            <m:r>
              <m:rPr>
                <m:sty m:val="i"/>
              </m:rPr>
              <m:t>i</m:t>
            </m:r>
          </m:e>
        </m:box>
      </m:oMath>
      <w:r>
        <w:rPr>
          <w:rFonts w:ascii="Times New Roman" w:hAnsi="Times New Roman" w:eastAsia="宋体"/>
          <w:b w:val="0"/>
          <w:sz w:val="24"/>
        </w:rPr>
        <w:t>第</w:t>
      </w:r>
      <m:oMath>
        <m:box>
          <m:e>
            <m:r>
              <m:rPr>
                <m:sty m:val="i"/>
              </m:rPr>
              <m:t>t</m:t>
            </m:r>
          </m:e>
        </m:box>
      </m:oMath>
      <w:r>
        <w:rPr>
          <w:rFonts w:ascii="Times New Roman" w:hAnsi="Times New Roman" w:eastAsia="宋体"/>
          <w:b w:val="0"/>
          <w:sz w:val="24"/>
        </w:rPr>
        <w:t>年第</w:t>
      </w:r>
      <m:oMath>
        <m:box>
          <m:e>
            <m:r>
              <m:rPr>
                <m:sty m:val="i"/>
              </m:rPr>
              <m:t>k</m:t>
            </m:r>
          </m:e>
        </m:box>
      </m:oMath>
      <w:r>
        <w:rPr>
          <w:rFonts w:ascii="Times New Roman" w:hAnsi="Times New Roman" w:eastAsia="宋体"/>
          <w:b w:val="0"/>
          <w:sz w:val="24"/>
        </w:rPr>
        <w:t>类商品的环比价格指数，对相邻省对</w:t>
      </w:r>
      <m:oMath>
        <m:box>
          <m:e>
            <m:r>
              <m:rPr>
                <m:sty m:val="p"/>
              </m:rPr>
              <m:t>(</m:t>
            </m:r>
            <m:r>
              <m:rPr>
                <m:sty m:val="i"/>
              </m:rPr>
              <m:t>i</m:t>
            </m:r>
            <m:r>
              <m:rPr>
                <m:sty m:val="p"/>
              </m:rPr>
              <m:t>,</m:t>
            </m:r>
            <m:r>
              <m:rPr>
                <m:sty m:val="i"/>
              </m:rPr>
              <m:t>j</m:t>
            </m:r>
            <m:r>
              <m:rPr>
                <m:sty m:val="p"/>
              </m:rPr>
              <m:t>)</m:t>
            </m:r>
          </m:e>
        </m:box>
      </m:oMath>
      <w:r>
        <w:rPr>
          <w:rFonts w:ascii="Times New Roman" w:hAnsi="Times New Roman" w:eastAsia="宋体"/>
          <w:b w:val="0"/>
          <w:sz w:val="24"/>
        </w:rPr>
        <w:t>定义（如式(6-1)所示）：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Δ</m:t>
            </m:r>
            <m:sSubSup>
              <m:e>
                <m:r>
                  <m:rPr>
                    <m:sty m:val="i"/>
                  </m:rPr>
                  <m:t>Q</m:t>
                </m:r>
              </m:e>
              <m:sub>
                <m:box>
                  <m:e>
                    <m:r>
                      <m:rPr>
                        <m:sty m:val="i"/>
                      </m:rPr>
                      <m:t>i</m:t>
                    </m:r>
                    <m:r>
                      <m:rPr>
                        <m:sty m:val="i"/>
                      </m:rPr>
                      <m:t>j</m:t>
                    </m:r>
                    <m:r>
                      <m:rPr>
                        <m:sty m:val="i"/>
                      </m:rPr>
                      <m:t>t</m:t>
                    </m:r>
                  </m:e>
                </m:box>
              </m:sub>
              <m:sup>
                <m:box>
                  <m:e>
                    <m:r>
                      <m:rPr>
                        <m:sty m:val="i"/>
                      </m:rPr>
                      <m:t>k</m:t>
                    </m:r>
                  </m:e>
                </m:box>
              </m:sup>
            </m:sSubSup>
            <m:r>
              <m:rPr>
                <m:sty m:val="p"/>
              </m:rPr>
              <m:t>=</m:t>
            </m:r>
            <m:r>
              <m:rPr>
                <m:sty m:val="p"/>
              </m:rPr>
              <m:t>ln</m:t>
            </m:r>
            <m:r>
              <m:rPr>
                <m:sty m:val="p"/>
              </m:rPr>
              <m:t>(</m:t>
            </m:r>
            <m:sSubSup>
              <m:e>
                <m:r>
                  <m:rPr>
                    <m:sty m:val="i"/>
                  </m:rPr>
                  <m:t>p</m:t>
                </m:r>
              </m:e>
              <m:sub>
                <m:box>
                  <m:e>
                    <m:r>
                      <m:rPr>
                        <m:sty m:val="i"/>
                      </m:rPr>
                      <m:t>i</m:t>
                    </m:r>
                    <m:r>
                      <m:rPr>
                        <m:sty m:val="i"/>
                      </m:rPr>
                      <m:t>t</m:t>
                    </m:r>
                  </m:e>
                </m:box>
              </m:sub>
              <m:sup>
                <m:box>
                  <m:e>
                    <m:r>
                      <m:rPr>
                        <m:sty m:val="i"/>
                      </m:rPr>
                      <m:t>k</m:t>
                    </m:r>
                  </m:e>
                </m:box>
              </m:sup>
            </m:sSubSup>
            <m:r>
              <m:rPr>
                <m:sty m:val="p"/>
              </m:rPr>
              <m:t>/</m:t>
            </m:r>
            <m:sSubSup>
              <m:e>
                <m:r>
                  <m:rPr>
                    <m:sty m:val="i"/>
                  </m:rPr>
                  <m:t>p</m:t>
                </m:r>
              </m:e>
              <m:sub>
                <m:box>
                  <m:e>
                    <m:r>
                      <m:rPr>
                        <m:sty m:val="i"/>
                      </m:rPr>
                      <m:t>j</m:t>
                    </m:r>
                    <m:r>
                      <m:rPr>
                        <m:sty m:val="i"/>
                      </m:rPr>
                      <m:t>t</m:t>
                    </m:r>
                  </m:e>
                </m:box>
              </m:sub>
              <m:sup>
                <m:box>
                  <m:e>
                    <m:r>
                      <m:rPr>
                        <m:sty m:val="i"/>
                      </m:rPr>
                      <m:t>k</m:t>
                    </m:r>
                  </m:e>
                </m:box>
              </m:sup>
            </m:sSubSup>
            <m:r>
              <m:rPr>
                <m:sty m:val="p"/>
              </m:rPr>
              <m:t>)</m:t>
            </m:r>
            <m:r>
              <m:rPr>
                <m:sty m:val="p"/>
              </m:rPr>
              <m:t>−</m:t>
            </m:r>
            <m:r>
              <m:rPr>
                <m:sty m:val="p"/>
              </m:rPr>
              <m:t>ln</m:t>
            </m:r>
            <m:r>
              <m:rPr>
                <m:sty m:val="p"/>
              </m:rPr>
              <m:t>(</m:t>
            </m:r>
            <m:sSubSup>
              <m:e>
                <m:r>
                  <m:rPr>
                    <m:sty m:val="i"/>
                  </m:rPr>
                  <m:t>p</m:t>
                </m:r>
              </m:e>
              <m:sub>
                <m:box>
                  <m:e>
                    <m:r>
                      <m:rPr>
                        <m:sty m:val="i"/>
                      </m:rPr>
                      <m:t>i</m:t>
                    </m:r>
                    <m:r>
                      <m:rPr>
                        <m:sty m:val="p"/>
                      </m:rPr>
                      <m:t>,</m:t>
                    </m:r>
                    <m:r>
                      <m:rPr>
                        <m:sty m:val="i"/>
                      </m:rPr>
                      <m:t>t</m:t>
                    </m:r>
                    <m:r>
                      <m:rPr>
                        <m:sty m:val="p"/>
                      </m:rPr>
                      <m:t>−</m:t>
                    </m:r>
                    <m:r>
                      <m:rPr>
                        <m:sty m:val="p"/>
                      </m:rPr>
                      <m:t>1</m:t>
                    </m:r>
                  </m:e>
                </m:box>
              </m:sub>
              <m:sup>
                <m:box>
                  <m:e>
                    <m:r>
                      <m:rPr>
                        <m:sty m:val="i"/>
                      </m:rPr>
                      <m:t>k</m:t>
                    </m:r>
                  </m:e>
                </m:box>
              </m:sup>
            </m:sSubSup>
            <m:r>
              <m:rPr>
                <m:sty m:val="p"/>
              </m:rPr>
              <m:t>/</m:t>
            </m:r>
            <m:sSubSup>
              <m:e>
                <m:r>
                  <m:rPr>
                    <m:sty m:val="i"/>
                  </m:rPr>
                  <m:t>p</m:t>
                </m:r>
              </m:e>
              <m:sub>
                <m:box>
                  <m:e>
                    <m:r>
                      <m:rPr>
                        <m:sty m:val="i"/>
                      </m:rPr>
                      <m:t>j</m:t>
                    </m:r>
                    <m:r>
                      <m:rPr>
                        <m:sty m:val="p"/>
                      </m:rPr>
                      <m:t>,</m:t>
                    </m:r>
                    <m:r>
                      <m:rPr>
                        <m:sty m:val="i"/>
                      </m:rPr>
                      <m:t>t</m:t>
                    </m:r>
                    <m:r>
                      <m:rPr>
                        <m:sty m:val="p"/>
                      </m:rPr>
                      <m:t>−</m:t>
                    </m:r>
                    <m:r>
                      <m:rPr>
                        <m:sty m:val="p"/>
                      </m:rPr>
                      <m:t>1</m:t>
                    </m:r>
                  </m:e>
                </m:box>
              </m:sub>
              <m:sup>
                <m:box>
                  <m:e>
                    <m:r>
                      <m:rPr>
                        <m:sty m:val="i"/>
                      </m:rPr>
                      <m:t>k</m:t>
                    </m:r>
                  </m:e>
                </m:box>
              </m:sup>
            </m:sSubSup>
            <m:r>
              <m:rPr>
                <m:sty m:val="p"/>
              </m:rPr>
              <m:t>)</m:t>
            </m:r>
          </m:e>
        </m:box>
      </m:oMath>
      <w:r>
        <w:rPr>
          <w:rFonts w:ascii="Times New Roman" w:hAnsi="Times New Roman" w:eastAsia="宋体"/>
          <w:b w:val="0"/>
          <w:sz w:val="24"/>
        </w:rPr>
        <w:tab/>
        <w:t>(6-1)</w:t>
      </w:r>
    </w:p>
    <w:p>
      <w:pPr>
        <w:spacing w:before="0" w:after="0" w:line="360" w:lineRule="auto"/>
        <w:ind w:firstLineChars="200" w:firstLine="480"/>
      </w:pPr>
      <w:r>
        <w:rPr>
          <w:rFonts w:ascii="Times New Roman" w:hAnsi="Times New Roman" w:eastAsia="宋体"/>
          <w:b w:val="0"/>
          <w:sz w:val="24"/>
        </w:rPr>
        <w:t>式(6-1)的经济含义是两地相对价格的年度变动幅度：若两地市场完全整合，套利力量会将相对价格锁定在无套利区间深处，</w:t>
      </w:r>
      <m:oMath>
        <m:box>
          <m:e>
            <m:r>
              <m:rPr>
                <m:sty m:val="i"/>
              </m:rPr>
              <m:t>Δ</m:t>
            </m:r>
            <m:sSubSup>
              <m:e>
                <m:r>
                  <m:rPr>
                    <m:sty m:val="i"/>
                  </m:rPr>
                  <m:t>Q</m:t>
                </m:r>
              </m:e>
              <m:sub>
                <m:box>
                  <m:e>
                    <m:r>
                      <m:rPr>
                        <m:sty m:val="i"/>
                      </m:rPr>
                      <m:t>i</m:t>
                    </m:r>
                    <m:r>
                      <m:rPr>
                        <m:sty m:val="i"/>
                      </m:rPr>
                      <m:t>j</m:t>
                    </m:r>
                    <m:r>
                      <m:rPr>
                        <m:sty m:val="i"/>
                      </m:rPr>
                      <m:t>t</m:t>
                    </m:r>
                  </m:e>
                </m:box>
              </m:sub>
              <m:sup>
                <m:box>
                  <m:e>
                    <m:r>
                      <m:rPr>
                        <m:sty m:val="i"/>
                      </m:rPr>
                      <m:t>k</m:t>
                    </m:r>
                  </m:e>
                </m:box>
              </m:sup>
            </m:sSubSup>
          </m:e>
        </m:box>
      </m:oMath>
      <w:r>
        <w:rPr>
          <w:rFonts w:ascii="Times New Roman" w:hAnsi="Times New Roman" w:eastAsia="宋体"/>
          <w:b w:val="0"/>
          <w:sz w:val="24"/>
        </w:rPr>
        <w:t>应持续接近于零；分割越深，无套利区间越宽，</w:t>
      </w:r>
      <m:oMath>
        <m:box>
          <m:e>
            <m:r>
              <m:rPr>
                <m:sty m:val="i"/>
              </m:rPr>
              <m:t>Δ</m:t>
            </m:r>
            <m:sSubSup>
              <m:e>
                <m:r>
                  <m:rPr>
                    <m:sty m:val="i"/>
                  </m:rPr>
                  <m:t>Q</m:t>
                </m:r>
              </m:e>
              <m:sub>
                <m:box>
                  <m:e>
                    <m:r>
                      <m:rPr>
                        <m:sty m:val="i"/>
                      </m:rPr>
                      <m:t>i</m:t>
                    </m:r>
                    <m:r>
                      <m:rPr>
                        <m:sty m:val="i"/>
                      </m:rPr>
                      <m:t>j</m:t>
                    </m:r>
                    <m:r>
                      <m:rPr>
                        <m:sty m:val="i"/>
                      </m:rPr>
                      <m:t>t</m:t>
                    </m:r>
                  </m:e>
                </m:box>
              </m:sub>
              <m:sup>
                <m:box>
                  <m:e>
                    <m:r>
                      <m:rPr>
                        <m:sty m:val="i"/>
                      </m:rPr>
                      <m:t>k</m:t>
                    </m:r>
                  </m:e>
                </m:box>
              </m:sup>
            </m:sSubSup>
          </m:e>
        </m:box>
      </m:oMath>
      <w:r>
        <w:rPr>
          <w:rFonts w:ascii="Times New Roman" w:hAnsi="Times New Roman" w:eastAsia="宋体"/>
          <w:b w:val="0"/>
          <w:sz w:val="24"/>
        </w:rPr>
        <w:t>的波动幅度越大。由于分割只决定波动的幅度而不决定其方向，后续处理取其绝对值</w:t>
      </w:r>
      <m:oMath>
        <m:box>
          <m:e>
            <m:r>
              <m:rPr>
                <m:sty m:val="p"/>
              </m:rPr>
              <m:t>|</m:t>
            </m:r>
            <m:r>
              <m:rPr>
                <m:sty m:val="i"/>
              </m:rPr>
              <m:t>Δ</m:t>
            </m:r>
            <m:sSubSup>
              <m:e>
                <m:r>
                  <m:rPr>
                    <m:sty m:val="i"/>
                  </m:rPr>
                  <m:t>Q</m:t>
                </m:r>
              </m:e>
              <m:sub>
                <m:box>
                  <m:e>
                    <m:r>
                      <m:rPr>
                        <m:sty m:val="i"/>
                      </m:rPr>
                      <m:t>i</m:t>
                    </m:r>
                    <m:r>
                      <m:rPr>
                        <m:sty m:val="i"/>
                      </m:rPr>
                      <m:t>j</m:t>
                    </m:r>
                    <m:r>
                      <m:rPr>
                        <m:sty m:val="i"/>
                      </m:rPr>
                      <m:t>t</m:t>
                    </m:r>
                  </m:e>
                </m:box>
              </m:sub>
              <m:sup>
                <m:box>
                  <m:e>
                    <m:r>
                      <m:rPr>
                        <m:sty m:val="i"/>
                      </m:rPr>
                      <m:t>k</m:t>
                    </m:r>
                  </m:e>
                </m:box>
              </m:sup>
            </m:sSubSup>
            <m:r>
              <m:rPr>
                <m:sty m:val="p"/>
              </m:rPr>
              <m:t>|</m:t>
            </m:r>
          </m:e>
        </m:box>
      </m:oMath>
      <w:r>
        <w:rPr>
          <w:rFonts w:ascii="Times New Roman" w:hAnsi="Times New Roman" w:eastAsia="宋体"/>
          <w:b w:val="0"/>
          <w:sz w:val="24"/>
        </w:rPr>
        <w:t>。</w:t>
      </w:r>
    </w:p>
    <w:p>
      <w:pPr>
        <w:spacing w:before="0" w:after="0" w:line="360" w:lineRule="auto"/>
        <w:ind w:firstLineChars="200" w:firstLine="480"/>
      </w:pPr>
      <w:r>
        <w:rPr>
          <w:rFonts w:ascii="Times New Roman" w:hAnsi="Times New Roman" w:eastAsia="宋体"/>
          <w:b w:val="0"/>
          <w:sz w:val="24"/>
        </w:rPr>
        <w:t>第二步，去均值以消除商品异质性。</w:t>
      </w:r>
      <m:oMath>
        <m:box>
          <m:e>
            <m:r>
              <m:rPr>
                <m:sty m:val="p"/>
              </m:rPr>
              <m:t>|</m:t>
            </m:r>
            <m:r>
              <m:rPr>
                <m:sty m:val="i"/>
              </m:rPr>
              <m:t>Δ</m:t>
            </m:r>
            <m:sSubSup>
              <m:e>
                <m:r>
                  <m:rPr>
                    <m:sty m:val="i"/>
                  </m:rPr>
                  <m:t>Q</m:t>
                </m:r>
              </m:e>
              <m:sub>
                <m:box>
                  <m:e>
                    <m:r>
                      <m:rPr>
                        <m:sty m:val="i"/>
                      </m:rPr>
                      <m:t>i</m:t>
                    </m:r>
                    <m:r>
                      <m:rPr>
                        <m:sty m:val="i"/>
                      </m:rPr>
                      <m:t>j</m:t>
                    </m:r>
                    <m:r>
                      <m:rPr>
                        <m:sty m:val="i"/>
                      </m:rPr>
                      <m:t>t</m:t>
                    </m:r>
                  </m:e>
                </m:box>
              </m:sub>
              <m:sup>
                <m:box>
                  <m:e>
                    <m:r>
                      <m:rPr>
                        <m:sty m:val="i"/>
                      </m:rPr>
                      <m:t>k</m:t>
                    </m:r>
                  </m:e>
                </m:box>
              </m:sup>
            </m:sSubSup>
            <m:r>
              <m:rPr>
                <m:sty m:val="p"/>
              </m:rPr>
              <m:t>|</m:t>
            </m:r>
          </m:e>
        </m:box>
      </m:oMath>
      <w:r>
        <w:rPr>
          <w:rFonts w:ascii="Times New Roman" w:hAnsi="Times New Roman" w:eastAsia="宋体"/>
          <w:b w:val="0"/>
          <w:sz w:val="24"/>
        </w:rPr>
        <w:t>中既包含与省对壁垒相关的成分，也包含商品自身的全国性冲击——例如某类商品全国统一调价引起的相对价格重排，后者与分割无关。参照相对价格法的经典处理程序，以同年同类商品在全部相邻省对上的均值为基准去均值（如式(6-2)所示）：</w:t>
      </w:r>
    </w:p>
    <w:p>
      <w:pPr>
        <w:spacing w:before="120" w:after="120" w:line="360" w:lineRule="auto"/>
        <w:tabs>
          <w:tab w:val="center" w:pos="4252"/>
          <w:tab w:val="right" w:pos="8505"/>
        </w:tabs>
      </w:pPr>
      <w:r>
        <w:rPr>
          <w:rFonts w:ascii="Times New Roman" w:hAnsi="Times New Roman" w:eastAsia="宋体"/>
          <w:b w:val="0"/>
          <w:sz w:val="24"/>
        </w:rPr>
        <w:tab/>
      </w:r>
      <m:oMath>
        <m:box>
          <m:e>
            <m:sSubSup>
              <m:e>
                <m:r>
                  <m:rPr>
                    <m:sty m:val="i"/>
                  </m:rPr>
                  <m:t>q</m:t>
                </m:r>
              </m:e>
              <m:sub>
                <m:box>
                  <m:e>
                    <m:r>
                      <m:rPr>
                        <m:sty m:val="i"/>
                      </m:rPr>
                      <m:t>i</m:t>
                    </m:r>
                    <m:r>
                      <m:rPr>
                        <m:sty m:val="i"/>
                      </m:rPr>
                      <m:t>j</m:t>
                    </m:r>
                    <m:r>
                      <m:rPr>
                        <m:sty m:val="i"/>
                      </m:rPr>
                      <m:t>t</m:t>
                    </m:r>
                  </m:e>
                </m:box>
              </m:sub>
              <m:sup>
                <m:box>
                  <m:e>
                    <m:r>
                      <m:rPr>
                        <m:sty m:val="i"/>
                      </m:rPr>
                      <m:t>k</m:t>
                    </m:r>
                  </m:e>
                </m:box>
              </m:sup>
            </m:sSubSup>
            <m:r>
              <m:rPr>
                <m:sty m:val="p"/>
              </m:rPr>
              <m:t>=</m:t>
            </m:r>
            <m:r>
              <m:rPr>
                <m:sty m:val="p"/>
              </m:rPr>
              <m:t>|</m:t>
            </m:r>
            <m:r>
              <m:rPr>
                <m:sty m:val="i"/>
              </m:rPr>
              <m:t>Δ</m:t>
            </m:r>
            <m:sSubSup>
              <m:e>
                <m:r>
                  <m:rPr>
                    <m:sty m:val="i"/>
                  </m:rPr>
                  <m:t>Q</m:t>
                </m:r>
              </m:e>
              <m:sub>
                <m:box>
                  <m:e>
                    <m:r>
                      <m:rPr>
                        <m:sty m:val="i"/>
                      </m:rPr>
                      <m:t>i</m:t>
                    </m:r>
                    <m:r>
                      <m:rPr>
                        <m:sty m:val="i"/>
                      </m:rPr>
                      <m:t>j</m:t>
                    </m:r>
                    <m:r>
                      <m:rPr>
                        <m:sty m:val="i"/>
                      </m:rPr>
                      <m:t>t</m:t>
                    </m:r>
                  </m:e>
                </m:box>
              </m:sub>
              <m:sup>
                <m:box>
                  <m:e>
                    <m:r>
                      <m:rPr>
                        <m:sty m:val="i"/>
                      </m:rPr>
                      <m:t>k</m:t>
                    </m:r>
                  </m:e>
                </m:box>
              </m:sup>
            </m:sSubSup>
            <m:r>
              <m:rPr>
                <m:sty m:val="p"/>
              </m:rPr>
              <m:t>|</m:t>
            </m:r>
            <m:r>
              <m:rPr>
                <m:sty m:val="p"/>
              </m:rPr>
              <m:t>−</m:t>
            </m:r>
            <m:limUpp>
              <m:e>
                <m:box>
                  <m:e>
                    <m:r>
                      <m:rPr>
                        <m:sty m:val="p"/>
                      </m:rPr>
                      <m:t>|</m:t>
                    </m:r>
                    <m:r>
                      <m:rPr>
                        <m:sty m:val="i"/>
                      </m:rPr>
                      <m:t>Δ</m:t>
                    </m:r>
                    <m:sSubSup>
                      <m:e>
                        <m:r>
                          <m:rPr>
                            <m:sty m:val="i"/>
                          </m:rPr>
                          <m:t>Q</m:t>
                        </m:r>
                      </m:e>
                      <m:sub>
                        <m:box>
                          <m:e>
                            <m:r>
                              <m:rPr>
                                <m:sty m:val="i"/>
                              </m:rPr>
                              <m:t>t</m:t>
                            </m:r>
                          </m:e>
                        </m:box>
                      </m:sub>
                      <m:sup>
                        <m:box>
                          <m:e>
                            <m:r>
                              <m:rPr>
                                <m:sty m:val="i"/>
                              </m:rPr>
                              <m:t>k</m:t>
                            </m:r>
                          </m:e>
                        </m:box>
                      </m:sup>
                    </m:sSubSup>
                    <m:r>
                      <m:rPr>
                        <m:sty m:val="p"/>
                      </m:rPr>
                      <m:t>|</m:t>
                    </m:r>
                  </m:e>
                </m:box>
              </m:e>
              <m:lim>
                <m:r>
                  <m:rPr>
                    <m:sty m:val="p"/>
                  </m:rPr>
                  <m:t>―</m:t>
                </m:r>
              </m:lim>
            </m:limUpp>
          </m:e>
        </m:box>
      </m:oMath>
      <w:r>
        <w:rPr>
          <w:rFonts w:ascii="Times New Roman" w:hAnsi="Times New Roman" w:eastAsia="宋体"/>
          <w:b w:val="0"/>
          <w:sz w:val="24"/>
        </w:rPr>
        <w:tab/>
        <w:t>(6-2)</w:t>
      </w:r>
    </w:p>
    <w:p>
      <w:pPr>
        <w:spacing w:before="0" w:after="0" w:line="360" w:lineRule="auto"/>
        <w:ind w:firstLineChars="200" w:firstLine="480"/>
      </w:pPr>
      <w:r>
        <w:rPr>
          <w:rFonts w:ascii="Times New Roman" w:hAnsi="Times New Roman" w:eastAsia="宋体"/>
          <w:b w:val="0"/>
          <w:sz w:val="24"/>
        </w:rPr>
        <w:t>其中</w:t>
      </w:r>
      <m:oMath>
        <m:box>
          <m:e>
            <m:limUpp>
              <m:e>
                <m:box>
                  <m:e>
                    <m:r>
                      <m:rPr>
                        <m:sty m:val="p"/>
                      </m:rPr>
                      <m:t>|</m:t>
                    </m:r>
                    <m:r>
                      <m:rPr>
                        <m:sty m:val="i"/>
                      </m:rPr>
                      <m:t>Δ</m:t>
                    </m:r>
                    <m:sSubSup>
                      <m:e>
                        <m:r>
                          <m:rPr>
                            <m:sty m:val="i"/>
                          </m:rPr>
                          <m:t>Q</m:t>
                        </m:r>
                      </m:e>
                      <m:sub>
                        <m:box>
                          <m:e>
                            <m:r>
                              <m:rPr>
                                <m:sty m:val="i"/>
                              </m:rPr>
                              <m:t>t</m:t>
                            </m:r>
                          </m:e>
                        </m:box>
                      </m:sub>
                      <m:sup>
                        <m:box>
                          <m:e>
                            <m:r>
                              <m:rPr>
                                <m:sty m:val="i"/>
                              </m:rPr>
                              <m:t>k</m:t>
                            </m:r>
                          </m:e>
                        </m:box>
                      </m:sup>
                    </m:sSubSup>
                    <m:r>
                      <m:rPr>
                        <m:sty m:val="p"/>
                      </m:rPr>
                      <m:t>|</m:t>
                    </m:r>
                  </m:e>
                </m:box>
              </m:e>
              <m:lim>
                <m:r>
                  <m:rPr>
                    <m:sty m:val="p"/>
                  </m:rPr>
                  <m:t>―</m:t>
                </m:r>
              </m:lim>
            </m:limUpp>
          </m:e>
        </m:box>
      </m:oMath>
      <w:r>
        <w:rPr>
          <w:rFonts w:ascii="Times New Roman" w:hAnsi="Times New Roman" w:eastAsia="宋体"/>
          <w:b w:val="0"/>
          <w:sz w:val="24"/>
        </w:rPr>
        <w:t>为第</w:t>
      </w:r>
      <m:oMath>
        <m:box>
          <m:e>
            <m:r>
              <m:rPr>
                <m:sty m:val="i"/>
              </m:rPr>
              <m:t>t</m:t>
            </m:r>
          </m:e>
        </m:box>
      </m:oMath>
      <w:r>
        <w:rPr>
          <w:rFonts w:ascii="Times New Roman" w:hAnsi="Times New Roman" w:eastAsia="宋体"/>
          <w:b w:val="0"/>
          <w:sz w:val="24"/>
        </w:rPr>
        <w:t>年第</w:t>
      </w:r>
      <m:oMath>
        <m:box>
          <m:e>
            <m:r>
              <m:rPr>
                <m:sty m:val="i"/>
              </m:rPr>
              <m:t>k</m:t>
            </m:r>
          </m:e>
        </m:box>
      </m:oMath>
      <w:r>
        <w:rPr>
          <w:rFonts w:ascii="Times New Roman" w:hAnsi="Times New Roman" w:eastAsia="宋体"/>
          <w:b w:val="0"/>
          <w:sz w:val="24"/>
        </w:rPr>
        <w:t>类商品在全部相邻省对上</w:t>
      </w:r>
      <m:oMath>
        <m:box>
          <m:e>
            <m:r>
              <m:rPr>
                <m:sty m:val="p"/>
              </m:rPr>
              <m:t>|</m:t>
            </m:r>
            <m:r>
              <m:rPr>
                <m:sty m:val="i"/>
              </m:rPr>
              <m:t>Δ</m:t>
            </m:r>
            <m:sSubSup>
              <m:e>
                <m:r>
                  <m:rPr>
                    <m:sty m:val="i"/>
                  </m:rPr>
                  <m:t>Q</m:t>
                </m:r>
              </m:e>
              <m:sub>
                <m:box>
                  <m:e>
                    <m:r>
                      <m:rPr>
                        <m:sty m:val="i"/>
                      </m:rPr>
                      <m:t>i</m:t>
                    </m:r>
                    <m:r>
                      <m:rPr>
                        <m:sty m:val="i"/>
                      </m:rPr>
                      <m:t>j</m:t>
                    </m:r>
                    <m:r>
                      <m:rPr>
                        <m:sty m:val="i"/>
                      </m:rPr>
                      <m:t>t</m:t>
                    </m:r>
                  </m:e>
                </m:box>
              </m:sub>
              <m:sup>
                <m:box>
                  <m:e>
                    <m:r>
                      <m:rPr>
                        <m:sty m:val="i"/>
                      </m:rPr>
                      <m:t>k</m:t>
                    </m:r>
                  </m:e>
                </m:box>
              </m:sup>
            </m:sSubSup>
            <m:r>
              <m:rPr>
                <m:sty m:val="p"/>
              </m:rPr>
              <m:t>|</m:t>
            </m:r>
          </m:e>
        </m:box>
      </m:oMath>
      <w:r>
        <w:rPr>
          <w:rFonts w:ascii="Times New Roman" w:hAnsi="Times New Roman" w:eastAsia="宋体"/>
          <w:b w:val="0"/>
          <w:sz w:val="24"/>
        </w:rPr>
        <w:t>的算术平均。去均值后的</w:t>
      </w:r>
      <m:oMath>
        <m:box>
          <m:e>
            <m:sSubSup>
              <m:e>
                <m:r>
                  <m:rPr>
                    <m:sty m:val="i"/>
                  </m:rPr>
                  <m:t>q</m:t>
                </m:r>
              </m:e>
              <m:sub>
                <m:box>
                  <m:e>
                    <m:r>
                      <m:rPr>
                        <m:sty m:val="i"/>
                      </m:rPr>
                      <m:t>i</m:t>
                    </m:r>
                    <m:r>
                      <m:rPr>
                        <m:sty m:val="i"/>
                      </m:rPr>
                      <m:t>j</m:t>
                    </m:r>
                    <m:r>
                      <m:rPr>
                        <m:sty m:val="i"/>
                      </m:rPr>
                      <m:t>t</m:t>
                    </m:r>
                  </m:e>
                </m:box>
              </m:sub>
              <m:sup>
                <m:box>
                  <m:e>
                    <m:r>
                      <m:rPr>
                        <m:sty m:val="i"/>
                      </m:rPr>
                      <m:t>k</m:t>
                    </m:r>
                  </m:e>
                </m:box>
              </m:sup>
            </m:sSubSup>
          </m:e>
        </m:box>
      </m:oMath>
      <w:r>
        <w:rPr>
          <w:rFonts w:ascii="Times New Roman" w:hAnsi="Times New Roman" w:eastAsia="宋体"/>
          <w:b w:val="0"/>
          <w:sz w:val="24"/>
        </w:rPr>
        <w:t>剔除了商品层面的共同因素，其残余波动主要归因于与特定省对相关的套利障碍。</w:t>
      </w:r>
    </w:p>
    <w:p>
      <w:pPr>
        <w:spacing w:before="0" w:after="0" w:line="360" w:lineRule="auto"/>
        <w:ind w:firstLineChars="200" w:firstLine="480"/>
      </w:pPr>
      <w:r>
        <w:rPr>
          <w:rFonts w:ascii="Times New Roman" w:hAnsi="Times New Roman" w:eastAsia="宋体"/>
          <w:b w:val="0"/>
          <w:sz w:val="24"/>
        </w:rPr>
        <w:t>第三步，方差合成。对每个省对—年份单元，把8类商品的去均值相对价格波动合成为方差（如式(6-3)所示）：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V</m:t>
                </m:r>
              </m:e>
              <m:sub>
                <m:box>
                  <m:e>
                    <m:r>
                      <m:rPr>
                        <m:sty m:val="i"/>
                      </m:rPr>
                      <m:t>i</m:t>
                    </m:r>
                    <m:r>
                      <m:rPr>
                        <m:sty m:val="i"/>
                      </m:rPr>
                      <m:t>j</m:t>
                    </m:r>
                    <m:r>
                      <m:rPr>
                        <m:sty m:val="i"/>
                      </m:rPr>
                      <m:t>t</m:t>
                    </m:r>
                  </m:e>
                </m:box>
              </m:sub>
            </m:sSub>
            <m:r>
              <m:rPr>
                <m:sty m:val="p"/>
              </m:rPr>
              <m:t>=</m:t>
            </m:r>
            <m:f>
              <m:num>
                <m:box>
                  <m:e>
                    <m:r>
                      <m:rPr>
                        <m:sty m:val="p"/>
                      </m:rPr>
                      <m:t>1</m:t>
                    </m:r>
                  </m:e>
                </m:box>
              </m:num>
              <m:den>
                <m:box>
                  <m:e>
                    <m:r>
                      <m:rPr>
                        <m:sty m:val="i"/>
                      </m:rPr>
                      <m:t>K</m:t>
                    </m:r>
                  </m:e>
                </m:box>
              </m:den>
            </m:f>
            <m:nary>
              <m:naryPr>
                <m:chr m:val="∑"/>
                <m:limLoc m:val="undOvr"/>
              </m:naryPr>
              <m:sub>
                <m:box>
                  <m:e>
                    <m:r>
                      <m:rPr>
                        <m:sty m:val="i"/>
                      </m:rPr>
                      <m:t>k</m:t>
                    </m:r>
                    <m:r>
                      <m:rPr>
                        <m:sty m:val="p"/>
                      </m:rPr>
                      <m:t>=</m:t>
                    </m:r>
                    <m:r>
                      <m:rPr>
                        <m:sty m:val="p"/>
                      </m:rPr>
                      <m:t>1</m:t>
                    </m:r>
                  </m:e>
                </m:box>
              </m:sub>
              <m:sup>
                <m:box>
                  <m:e>
                    <m:r>
                      <m:rPr>
                        <m:sty m:val="i"/>
                      </m:rPr>
                      <m:t>K</m:t>
                    </m:r>
                  </m:e>
                </m:box>
              </m:sup>
              <m:e>
                <m:r>
                  <m:rPr>
                    <m:sty m:val="p"/>
                  </m:rPr>
                  <m:t>(</m:t>
                </m:r>
                <m:sSubSup>
                  <m:e>
                    <m:r>
                      <m:rPr>
                        <m:sty m:val="i"/>
                      </m:rPr>
                      <m:t>q</m:t>
                    </m:r>
                  </m:e>
                  <m:sub>
                    <m:box>
                      <m:e>
                        <m:r>
                          <m:rPr>
                            <m:sty m:val="i"/>
                          </m:rPr>
                          <m:t>i</m:t>
                        </m:r>
                        <m:r>
                          <m:rPr>
                            <m:sty m:val="i"/>
                          </m:rPr>
                          <m:t>j</m:t>
                        </m:r>
                        <m:r>
                          <m:rPr>
                            <m:sty m:val="i"/>
                          </m:rPr>
                          <m:t>t</m:t>
                        </m:r>
                      </m:e>
                    </m:box>
                  </m:sub>
                  <m:sup>
                    <m:box>
                      <m:e>
                        <m:r>
                          <m:rPr>
                            <m:sty m:val="i"/>
                          </m:rPr>
                          <m:t>k</m:t>
                        </m:r>
                      </m:e>
                    </m:box>
                  </m:sup>
                </m:sSubSup>
                <m:r>
                  <m:rPr>
                    <m:sty m:val="p"/>
                  </m:rPr>
                  <m:t>−</m:t>
                </m:r>
                <m:sSub>
                  <m:e>
                    <m:groupChr>
                      <m:groupChrPr>
                        <m:chr m:val="¯"/>
                        <m:pos m:val="top"/>
                      </m:groupChrPr>
                      <m:e>
                        <m:box>
                          <m:e>
                            <m:r>
                              <m:rPr>
                                <m:sty m:val="i"/>
                              </m:rPr>
                              <m:t>q</m:t>
                            </m:r>
                          </m:e>
                        </m:box>
                      </m:e>
                    </m:groupChr>
                  </m:e>
                  <m:sub>
                    <m:box>
                      <m:e>
                        <m:r>
                          <m:rPr>
                            <m:sty m:val="i"/>
                          </m:rPr>
                          <m:t>i</m:t>
                        </m:r>
                        <m:r>
                          <m:rPr>
                            <m:sty m:val="i"/>
                          </m:rPr>
                          <m:t>j</m:t>
                        </m:r>
                        <m:r>
                          <m:rPr>
                            <m:sty m:val="i"/>
                          </m:rPr>
                          <m:t>t</m:t>
                        </m:r>
                      </m:e>
                    </m:box>
                  </m:sub>
                </m:sSub>
                <m:sSup>
                  <m:e>
                    <m:r>
                      <m:rPr>
                        <m:sty m:val="p"/>
                      </m:rPr>
                      <m:t>)</m:t>
                    </m:r>
                  </m:e>
                  <m:sup>
                    <m:box>
                      <m:e>
                        <m:r>
                          <m:rPr>
                            <m:sty m:val="p"/>
                          </m:rPr>
                          <m:t>2</m:t>
                        </m:r>
                      </m:e>
                    </m:box>
                  </m:sup>
                </m:sSup>
              </m:e>
            </m:nary>
          </m:e>
        </m:box>
      </m:oMath>
      <w:r>
        <w:rPr>
          <w:rFonts w:ascii="Times New Roman" w:hAnsi="Times New Roman" w:eastAsia="宋体"/>
          <w:b w:val="0"/>
          <w:sz w:val="24"/>
        </w:rPr>
        <w:tab/>
        <w:t>(6-3)</w:t>
      </w:r>
    </w:p>
    <w:p>
      <w:pPr>
        <w:spacing w:before="0" w:after="0" w:line="360" w:lineRule="auto"/>
        <w:ind w:firstLineChars="200" w:firstLine="480"/>
      </w:pPr>
      <w:r>
        <w:rPr>
          <w:rFonts w:ascii="Times New Roman" w:hAnsi="Times New Roman" w:eastAsia="宋体"/>
          <w:b w:val="0"/>
          <w:sz w:val="24"/>
        </w:rPr>
        <w:t>其中</w:t>
      </w:r>
      <m:oMath>
        <m:box>
          <m:e>
            <m:r>
              <m:rPr>
                <m:sty m:val="i"/>
              </m:rPr>
              <m:t>K</m:t>
            </m:r>
            <m:r>
              <m:rPr>
                <m:sty m:val="p"/>
              </m:rPr>
              <m:t>=</m:t>
            </m:r>
            <m:r>
              <m:rPr>
                <m:sty m:val="p"/>
              </m:rPr>
              <m:t>8</m:t>
            </m:r>
          </m:e>
        </m:box>
      </m:oMath>
      <w:r>
        <w:rPr>
          <w:rFonts w:ascii="Times New Roman" w:hAnsi="Times New Roman" w:eastAsia="宋体"/>
          <w:b w:val="0"/>
          <w:sz w:val="24"/>
        </w:rPr>
        <w:t>，</w:t>
      </w:r>
      <m:oMath>
        <m:box>
          <m:e>
            <m:sSub>
              <m:e>
                <m:groupChr>
                  <m:groupChrPr>
                    <m:chr m:val="¯"/>
                    <m:pos m:val="top"/>
                  </m:groupChrPr>
                  <m:e>
                    <m:box>
                      <m:e>
                        <m:r>
                          <m:rPr>
                            <m:sty m:val="i"/>
                          </m:rPr>
                          <m:t>q</m:t>
                        </m:r>
                      </m:e>
                    </m:box>
                  </m:e>
                </m:groupChr>
              </m:e>
              <m:sub>
                <m:box>
                  <m:e>
                    <m:r>
                      <m:rPr>
                        <m:sty m:val="i"/>
                      </m:rPr>
                      <m:t>i</m:t>
                    </m:r>
                    <m:r>
                      <m:rPr>
                        <m:sty m:val="i"/>
                      </m:rPr>
                      <m:t>j</m:t>
                    </m:r>
                    <m:r>
                      <m:rPr>
                        <m:sty m:val="i"/>
                      </m:rPr>
                      <m:t>t</m:t>
                    </m:r>
                  </m:e>
                </m:box>
              </m:sub>
            </m:sSub>
          </m:e>
        </m:box>
      </m:oMath>
      <w:r>
        <w:rPr>
          <w:rFonts w:ascii="Times New Roman" w:hAnsi="Times New Roman" w:eastAsia="宋体"/>
          <w:b w:val="0"/>
          <w:sz w:val="24"/>
        </w:rPr>
        <w:t>为8类商品</w:t>
      </w:r>
      <m:oMath>
        <m:box>
          <m:e>
            <m:sSubSup>
              <m:e>
                <m:r>
                  <m:rPr>
                    <m:sty m:val="i"/>
                  </m:rPr>
                  <m:t>q</m:t>
                </m:r>
              </m:e>
              <m:sub>
                <m:box>
                  <m:e>
                    <m:r>
                      <m:rPr>
                        <m:sty m:val="i"/>
                      </m:rPr>
                      <m:t>i</m:t>
                    </m:r>
                    <m:r>
                      <m:rPr>
                        <m:sty m:val="i"/>
                      </m:rPr>
                      <m:t>j</m:t>
                    </m:r>
                    <m:r>
                      <m:rPr>
                        <m:sty m:val="i"/>
                      </m:rPr>
                      <m:t>t</m:t>
                    </m:r>
                  </m:e>
                </m:box>
              </m:sub>
              <m:sup>
                <m:box>
                  <m:e>
                    <m:r>
                      <m:rPr>
                        <m:sty m:val="i"/>
                      </m:rPr>
                      <m:t>k</m:t>
                    </m:r>
                  </m:e>
                </m:box>
              </m:sup>
            </m:sSubSup>
          </m:e>
        </m:box>
      </m:oMath>
      <w:r>
        <w:rPr>
          <w:rFonts w:ascii="Times New Roman" w:hAnsi="Times New Roman" w:eastAsia="宋体"/>
          <w:b w:val="0"/>
          <w:sz w:val="24"/>
        </w:rPr>
        <w:t>的均值。</w:t>
      </w:r>
      <m:oMath>
        <m:box>
          <m:e>
            <m:sSub>
              <m:e>
                <m:r>
                  <m:rPr>
                    <m:sty m:val="i"/>
                  </m:rPr>
                  <m:t>V</m:t>
                </m:r>
              </m:e>
              <m:sub>
                <m:box>
                  <m:e>
                    <m:r>
                      <m:rPr>
                        <m:sty m:val="i"/>
                      </m:rPr>
                      <m:t>i</m:t>
                    </m:r>
                    <m:r>
                      <m:rPr>
                        <m:sty m:val="i"/>
                      </m:rPr>
                      <m:t>j</m:t>
                    </m:r>
                    <m:r>
                      <m:rPr>
                        <m:sty m:val="i"/>
                      </m:rPr>
                      <m:t>t</m:t>
                    </m:r>
                  </m:e>
                </m:box>
              </m:sub>
            </m:sSub>
          </m:e>
        </m:box>
      </m:oMath>
      <w:r>
        <w:rPr>
          <w:rFonts w:ascii="Times New Roman" w:hAnsi="Times New Roman" w:eastAsia="宋体"/>
          <w:b w:val="0"/>
          <w:sz w:val="24"/>
        </w:rPr>
        <w:t>即省对</w:t>
      </w:r>
      <m:oMath>
        <m:box>
          <m:e>
            <m:r>
              <m:rPr>
                <m:sty m:val="p"/>
              </m:rPr>
              <m:t>(</m:t>
            </m:r>
            <m:r>
              <m:rPr>
                <m:sty m:val="i"/>
              </m:rPr>
              <m:t>i</m:t>
            </m:r>
            <m:r>
              <m:rPr>
                <m:sty m:val="p"/>
              </m:rPr>
              <m:t>,</m:t>
            </m:r>
            <m:r>
              <m:rPr>
                <m:sty m:val="i"/>
              </m:rPr>
              <m:t>j</m:t>
            </m:r>
            <m:r>
              <m:rPr>
                <m:sty m:val="p"/>
              </m:rPr>
              <m:t>)</m:t>
            </m:r>
          </m:e>
        </m:box>
      </m:oMath>
      <w:r>
        <w:rPr>
          <w:rFonts w:ascii="Times New Roman" w:hAnsi="Times New Roman" w:eastAsia="宋体"/>
          <w:b w:val="0"/>
          <w:sz w:val="24"/>
        </w:rPr>
        <w:t>第</w:t>
      </w:r>
      <m:oMath>
        <m:box>
          <m:e>
            <m:r>
              <m:rPr>
                <m:sty m:val="i"/>
              </m:rPr>
              <m:t>t</m:t>
            </m:r>
          </m:e>
        </m:box>
      </m:oMath>
      <w:r>
        <w:rPr>
          <w:rFonts w:ascii="Times New Roman" w:hAnsi="Times New Roman" w:eastAsia="宋体"/>
          <w:b w:val="0"/>
          <w:sz w:val="24"/>
        </w:rPr>
        <w:t>年的市场分割指数：数值越大，表明两省间相对价格波动越剧烈、无套利区间越宽、市场分割越深。</w:t>
      </w:r>
    </w:p>
    <w:p>
      <w:pPr>
        <w:spacing w:before="0" w:after="0" w:line="360" w:lineRule="auto"/>
        <w:ind w:firstLineChars="200" w:firstLine="480"/>
      </w:pPr>
      <w:r>
        <w:rPr>
          <w:rFonts w:ascii="Times New Roman" w:hAnsi="Times New Roman" w:eastAsia="宋体"/>
          <w:b w:val="0"/>
          <w:sz w:val="24"/>
        </w:rPr>
        <w:t>第四步，由省对聚合到省份并作量纲标准化。设</w:t>
      </w:r>
      <m:oMath>
        <m:box>
          <m:e>
            <m:sSub>
              <m:e>
                <m:r>
                  <m:rPr>
                    <m:sty m:val="i"/>
                  </m:rPr>
                  <m:t>Ω</m:t>
                </m:r>
              </m:e>
              <m:sub>
                <m:box>
                  <m:e>
                    <m:r>
                      <m:rPr>
                        <m:sty m:val="i"/>
                      </m:rPr>
                      <m:t>i</m:t>
                    </m:r>
                  </m:e>
                </m:box>
              </m:sub>
            </m:sSub>
          </m:e>
        </m:box>
      </m:oMath>
      <w:r>
        <w:rPr>
          <w:rFonts w:ascii="Times New Roman" w:hAnsi="Times New Roman" w:eastAsia="宋体"/>
          <w:b w:val="0"/>
          <w:sz w:val="24"/>
        </w:rPr>
        <w:t>为与省份</w:t>
      </w:r>
      <m:oMath>
        <m:box>
          <m:e>
            <m:r>
              <m:rPr>
                <m:sty m:val="i"/>
              </m:rPr>
              <m:t>i</m:t>
            </m:r>
          </m:e>
        </m:box>
      </m:oMath>
      <w:r>
        <w:rPr>
          <w:rFonts w:ascii="Times New Roman" w:hAnsi="Times New Roman" w:eastAsia="宋体"/>
          <w:b w:val="0"/>
          <w:sz w:val="24"/>
        </w:rPr>
        <w:t>陆地相邻的省份集合（海南与广东按跨海峡相邻处理），</w:t>
      </w:r>
      <m:oMath>
        <m:box>
          <m:e>
            <m:sSub>
              <m:e>
                <m:r>
                  <m:rPr>
                    <m:sty m:val="i"/>
                  </m:rPr>
                  <m:t>n</m:t>
                </m:r>
              </m:e>
              <m:sub>
                <m:box>
                  <m:e>
                    <m:r>
                      <m:rPr>
                        <m:sty m:val="i"/>
                      </m:rPr>
                      <m:t>i</m:t>
                    </m:r>
                  </m:e>
                </m:box>
              </m:sub>
            </m:sSub>
          </m:e>
        </m:box>
      </m:oMath>
      <w:r>
        <w:rPr>
          <w:rFonts w:ascii="Times New Roman" w:hAnsi="Times New Roman" w:eastAsia="宋体"/>
          <w:b w:val="0"/>
          <w:sz w:val="24"/>
        </w:rPr>
        <w:t>为其元素个数，则省份</w:t>
      </w:r>
      <m:oMath>
        <m:box>
          <m:e>
            <m:r>
              <m:rPr>
                <m:sty m:val="i"/>
              </m:rPr>
              <m:t>i</m:t>
            </m:r>
          </m:e>
        </m:box>
      </m:oMath>
      <w:r>
        <w:rPr>
          <w:rFonts w:ascii="Times New Roman" w:hAnsi="Times New Roman" w:eastAsia="宋体"/>
          <w:b w:val="0"/>
          <w:sz w:val="24"/>
        </w:rPr>
        <w:t>的市场分割指数为其与全部相邻省份分割程度的平均（如式(6-4)所示）：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S</m:t>
            </m:r>
            <m:r>
              <m:rPr>
                <m:sty m:val="i"/>
              </m:rPr>
              <m:t>e</m:t>
            </m:r>
            <m:sSub>
              <m:e>
                <m:r>
                  <m:rPr>
                    <m:sty m:val="i"/>
                  </m:rPr>
                  <m:t>g</m:t>
                </m:r>
              </m:e>
              <m:sub>
                <m:box>
                  <m:e>
                    <m:r>
                      <m:rPr>
                        <m:sty m:val="i"/>
                      </m:rPr>
                      <m:t>i</m:t>
                    </m:r>
                    <m:r>
                      <m:rPr>
                        <m:sty m:val="i"/>
                      </m:rPr>
                      <m:t>t</m:t>
                    </m:r>
                  </m:e>
                </m:box>
              </m:sub>
            </m:sSub>
            <m:r>
              <m:rPr>
                <m:sty m:val="p"/>
              </m:rPr>
              <m:t>=</m:t>
            </m:r>
            <m:f>
              <m:num>
                <m:box>
                  <m:e>
                    <m:sSup>
                      <m:e>
                        <m:r>
                          <m:rPr>
                            <m:sty m:val="p"/>
                          </m:rPr>
                          <m:t>10</m:t>
                        </m:r>
                      </m:e>
                      <m:sup>
                        <m:box>
                          <m:e>
                            <m:r>
                              <m:rPr>
                                <m:sty m:val="p"/>
                              </m:rPr>
                              <m:t>3</m:t>
                            </m:r>
                          </m:e>
                        </m:box>
                      </m:sup>
                    </m:sSup>
                  </m:e>
                </m:box>
              </m:num>
              <m:den>
                <m:box>
                  <m:e>
                    <m:sSub>
                      <m:e>
                        <m:r>
                          <m:rPr>
                            <m:sty m:val="i"/>
                          </m:rPr>
                          <m:t>n</m:t>
                        </m:r>
                      </m:e>
                      <m:sub>
                        <m:box>
                          <m:e>
                            <m:r>
                              <m:rPr>
                                <m:sty m:val="i"/>
                              </m:rPr>
                              <m:t>i</m:t>
                            </m:r>
                          </m:e>
                        </m:box>
                      </m:sub>
                    </m:sSub>
                  </m:e>
                </m:box>
              </m:den>
            </m:f>
            <m:nary>
              <m:naryPr>
                <m:chr m:val="∑"/>
                <m:limLoc m:val="undOvr"/>
              </m:naryPr>
              <m:sub>
                <m:box>
                  <m:e>
                    <m:r>
                      <m:rPr>
                        <m:sty m:val="i"/>
                      </m:rPr>
                      <m:t>j</m:t>
                    </m:r>
                    <m:r>
                      <m:rPr>
                        <m:sty m:val="p"/>
                      </m:rPr>
                      <m:t>∈</m:t>
                    </m:r>
                    <m:sSub>
                      <m:e>
                        <m:r>
                          <m:rPr>
                            <m:sty m:val="i"/>
                          </m:rPr>
                          <m:t>Ω</m:t>
                        </m:r>
                      </m:e>
                      <m:sub>
                        <m:box>
                          <m:e>
                            <m:r>
                              <m:rPr>
                                <m:sty m:val="i"/>
                              </m:rPr>
                              <m:t>i</m:t>
                            </m:r>
                          </m:e>
                        </m:box>
                      </m:sub>
                    </m:sSub>
                  </m:e>
                </m:box>
              </m:sub>
              <m:sup/>
              <m:e>
                <m:sSub>
                  <m:e>
                    <m:r>
                      <m:rPr>
                        <m:sty m:val="i"/>
                      </m:rPr>
                      <m:t>V</m:t>
                    </m:r>
                  </m:e>
                  <m:sub>
                    <m:box>
                      <m:e>
                        <m:r>
                          <m:rPr>
                            <m:sty m:val="i"/>
                          </m:rPr>
                          <m:t>i</m:t>
                        </m:r>
                        <m:r>
                          <m:rPr>
                            <m:sty m:val="i"/>
                          </m:rPr>
                          <m:t>j</m:t>
                        </m:r>
                        <m:r>
                          <m:rPr>
                            <m:sty m:val="i"/>
                          </m:rPr>
                          <m:t>t</m:t>
                        </m:r>
                      </m:e>
                    </m:box>
                  </m:sub>
                </m:sSub>
              </m:e>
            </m:nary>
          </m:e>
        </m:box>
      </m:oMath>
      <w:r>
        <w:rPr>
          <w:rFonts w:ascii="Times New Roman" w:hAnsi="Times New Roman" w:eastAsia="宋体"/>
          <w:b w:val="0"/>
          <w:sz w:val="24"/>
        </w:rPr>
        <w:tab/>
        <w:t>(6-4)</w:t>
      </w:r>
    </w:p>
    <w:p>
      <w:pPr>
        <w:spacing w:before="0" w:after="0" w:line="360" w:lineRule="auto"/>
        <w:ind w:firstLineChars="200" w:firstLine="480"/>
      </w:pPr>
      <w:r>
        <w:rPr>
          <w:rFonts w:ascii="Times New Roman" w:hAnsi="Times New Roman" w:eastAsia="宋体"/>
          <w:b w:val="0"/>
          <w:sz w:val="24"/>
        </w:rPr>
        <w:t>式(6-4)中乘以</w:t>
      </w:r>
      <m:oMath>
        <m:box>
          <m:e>
            <m:sSup>
              <m:e>
                <m:r>
                  <m:rPr>
                    <m:sty m:val="p"/>
                  </m:rPr>
                  <m:t>10</m:t>
                </m:r>
              </m:e>
              <m:sup>
                <m:box>
                  <m:e>
                    <m:r>
                      <m:rPr>
                        <m:sty m:val="p"/>
                      </m:rPr>
                      <m:t>3</m:t>
                    </m:r>
                  </m:e>
                </m:box>
              </m:sup>
            </m:sSup>
          </m:e>
        </m:box>
      </m:oMath>
      <w:r>
        <w:rPr>
          <w:rFonts w:ascii="Times New Roman" w:hAnsi="Times New Roman" w:eastAsia="宋体"/>
          <w:b w:val="0"/>
          <w:sz w:val="24"/>
        </w:rPr>
        <w:t>系量纲调整，即指数以</w:t>
      </w:r>
      <m:oMath>
        <m:box>
          <m:e>
            <m:sSup>
              <m:e>
                <m:r>
                  <m:rPr>
                    <m:sty m:val="p"/>
                  </m:rPr>
                  <m:t>10</m:t>
                </m:r>
              </m:e>
              <m:sup>
                <m:box>
                  <m:e>
                    <m:r>
                      <m:rPr>
                        <m:sty m:val="p"/>
                      </m:rPr>
                      <m:t>−</m:t>
                    </m:r>
                    <m:r>
                      <m:rPr>
                        <m:sty m:val="p"/>
                      </m:rPr>
                      <m:t>3</m:t>
                    </m:r>
                  </m:e>
                </m:box>
              </m:sup>
            </m:sSup>
          </m:e>
        </m:box>
      </m:oMath>
      <w:r>
        <w:rPr>
          <w:rFonts w:ascii="Times New Roman" w:hAnsi="Times New Roman" w:eastAsia="宋体"/>
          <w:b w:val="0"/>
          <w:sz w:val="24"/>
        </w:rPr>
        <w:t>为单位报告，下文与后续各章均沿用此口径。全国层面的指数为各省简单平均（如式(6-5)所示）：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S</m:t>
            </m:r>
            <m:r>
              <m:rPr>
                <m:sty m:val="i"/>
              </m:rPr>
              <m:t>e</m:t>
            </m:r>
            <m:sSub>
              <m:e>
                <m:r>
                  <m:rPr>
                    <m:sty m:val="i"/>
                  </m:rPr>
                  <m:t>g</m:t>
                </m:r>
              </m:e>
              <m:sub>
                <m:box>
                  <m:e>
                    <m:r>
                      <m:rPr>
                        <m:sty m:val="i"/>
                      </m:rPr>
                      <m:t>t</m:t>
                    </m:r>
                  </m:e>
                </m:box>
              </m:sub>
            </m:sSub>
            <m:r>
              <m:rPr>
                <m:sty m:val="p"/>
              </m:rPr>
              <m:t>=</m:t>
            </m:r>
            <m:f>
              <m:num>
                <m:box>
                  <m:e>
                    <m:r>
                      <m:rPr>
                        <m:sty m:val="p"/>
                      </m:rPr>
                      <m:t>1</m:t>
                    </m:r>
                  </m:e>
                </m:box>
              </m:num>
              <m:den>
                <m:box>
                  <m:e>
                    <m:r>
                      <m:rPr>
                        <m:sty m:val="p"/>
                      </m:rPr>
                      <m:t>31</m:t>
                    </m:r>
                  </m:e>
                </m:box>
              </m:den>
            </m:f>
            <m:nary>
              <m:naryPr>
                <m:chr m:val="∑"/>
                <m:limLoc m:val="undOvr"/>
              </m:naryPr>
              <m:sub>
                <m:box>
                  <m:e>
                    <m:r>
                      <m:rPr>
                        <m:sty m:val="i"/>
                      </m:rPr>
                      <m:t>i</m:t>
                    </m:r>
                    <m:r>
                      <m:rPr>
                        <m:sty m:val="p"/>
                      </m:rPr>
                      <m:t>=</m:t>
                    </m:r>
                    <m:r>
                      <m:rPr>
                        <m:sty m:val="p"/>
                      </m:rPr>
                      <m:t>1</m:t>
                    </m:r>
                  </m:e>
                </m:box>
              </m:sub>
              <m:sup>
                <m:box>
                  <m:e>
                    <m:r>
                      <m:rPr>
                        <m:sty m:val="p"/>
                      </m:rPr>
                      <m:t>31</m:t>
                    </m:r>
                  </m:e>
                </m:box>
              </m:sup>
              <m:e>
                <m:r>
                  <m:rPr>
                    <m:sty m:val="i"/>
                  </m:rPr>
                  <m:t>S</m:t>
                </m:r>
                <m:r>
                  <m:rPr>
                    <m:sty m:val="i"/>
                  </m:rPr>
                  <m:t>e</m:t>
                </m:r>
                <m:sSub>
                  <m:e>
                    <m:r>
                      <m:rPr>
                        <m:sty m:val="i"/>
                      </m:rPr>
                      <m:t>g</m:t>
                    </m:r>
                  </m:e>
                  <m:sub>
                    <m:box>
                      <m:e>
                        <m:r>
                          <m:rPr>
                            <m:sty m:val="i"/>
                          </m:rPr>
                          <m:t>i</m:t>
                        </m:r>
                        <m:r>
                          <m:rPr>
                            <m:sty m:val="i"/>
                          </m:rPr>
                          <m:t>t</m:t>
                        </m:r>
                      </m:e>
                    </m:box>
                  </m:sub>
                </m:sSub>
              </m:e>
            </m:nary>
          </m:e>
        </m:box>
      </m:oMath>
      <w:r>
        <w:rPr>
          <w:rFonts w:ascii="Times New Roman" w:hAnsi="Times New Roman" w:eastAsia="宋体"/>
          <w:b w:val="0"/>
          <w:sz w:val="24"/>
        </w:rPr>
        <w:tab/>
        <w:t>(6-5)</w:t>
      </w:r>
    </w:p>
    <w:p>
      <w:pPr>
        <w:spacing w:before="0" w:after="0" w:line="360" w:lineRule="auto"/>
        <w:ind w:firstLineChars="200" w:firstLine="480"/>
      </w:pPr>
      <w:r>
        <w:rPr>
          <w:rFonts w:ascii="Times New Roman" w:hAnsi="Times New Roman" w:eastAsia="宋体"/>
          <w:b w:val="0"/>
          <w:sz w:val="24"/>
        </w:rPr>
        <w:t>按上述程序测算，全国市场分割指数由2012年的2.65降至2024年的1.97，降幅25.7%，其间在2020年与2022年出现两次阶段性反弹，完整的时序演进与省际格局见本书第七章。此外，本书以同样的方法逻辑对要素价格信息构造了要素市场分割指数作为参照系，测度结果显示2024年要素市场分割指数为3.34，约为商品市场的1.7倍，要素市场分割收敛速度明显慢于商品市场，这一对比的详细讨论亦见第七章第三节。相对价格法的局限——如零售价格未覆盖中间品与要素、相邻省对聚合可能低估远距离省对的分割——将通过替代指数与多种稳健性设定加以缓解。</w:t>
      </w:r>
    </w:p>
    <w:p>
      <w:pPr>
        <w:spacing w:before="0" w:after="0" w:line="360" w:lineRule="auto"/>
        <w:ind w:firstLineChars="200" w:firstLine="480"/>
      </w:pPr>
      <w:r>
        <w:rPr>
          <w:rFonts w:ascii="Times New Roman" w:hAnsi="Times New Roman" w:eastAsia="宋体"/>
          <w:b w:val="0"/>
          <w:sz w:val="24"/>
        </w:rPr>
        <w:t>在使用该指数时还须把握三点解释要领。其一，指数是分割程度的相对度量而非绝对度量：其数值本身没有直接的福利含义，有意义的是省际比较与时序变化，故本书的全部推断均建立在面板变异之上，而不对水平值作孤立解读。其二，指数以年度频率合成，平滑掉了月度层面的短期价格摩擦，捕捉的是制度性、持续性的分割成分，这恰与本书关注的地方保护与行政壁垒对象吻合——短期物流扰动（如2020年的疫情冲击）会在指数上留下阶段性反弹的印记，但不会改变趋势成分，第七章对两类成分将分别讨论。其三，指数对壁垒类型不作区分，运输成本、地方保护、监管差异的影响混合在同一数值之中，这正是第三节引入工具变量把“自然分割”与“制度分割”分离开来的原因所在。</w:t>
      </w:r>
    </w:p>
    <w:p>
      <w:pPr>
        <w:spacing w:before="160" w:after="120" w:line="360" w:lineRule="auto"/>
        <w:outlineLvl w:val="2"/>
      </w:pPr>
      <w:r>
        <w:rPr>
          <w:rFonts w:ascii="Times New Roman" w:hAnsi="Times New Roman" w:eastAsia="黑体"/>
          <w:b w:val="0"/>
          <w:sz w:val="24"/>
        </w:rPr>
        <w:t>2．“内卷式竞争”强度指数：五维体系与熵权合成</w:t>
      </w:r>
    </w:p>
    <w:p>
      <w:pPr>
        <w:spacing w:before="0" w:after="0" w:line="360" w:lineRule="auto"/>
        <w:ind w:firstLineChars="200" w:firstLine="480"/>
      </w:pPr>
      <w:r>
        <w:rPr>
          <w:rFonts w:ascii="Times New Roman" w:hAnsi="Times New Roman" w:eastAsia="宋体"/>
          <w:b w:val="0"/>
          <w:sz w:val="24"/>
        </w:rPr>
        <w:t>“内卷式”竞争是一个多维综合征：单看价格战、单看产能过剩或单看利润下滑，都可能与正常的周期波动混淆，只有当低价、过剩、无利、同质与不退出五者持续并存时，才构成本书第三章界定的“内卷式”竞争。据此，指数构建的第一原则是维度对应特征事实：以价格竞争烈度对应“超低价”，以产能冗余度对应“过度扩张”，以盈利侵蚀度对应“无利化”，以同质化程度对应“同质竞争”，以退出粘性对应“退出失灵”。第二原则是指标可测且省际可比：全部基础指标取自公开统计体系或可由公开数据推算，保证31个省份2012—2024年的连续覆盖。第三原则是方向明确：每项指标与“内卷”强度的关系事先由理论界定为正向或负向，避免事后随意设定。五个维度共14项基础指标的体系构成（见表6.2）。</w:t>
      </w:r>
    </w:p>
    <w:p>
      <w:pPr>
        <w:spacing w:before="160" w:after="80" w:line="312" w:lineRule="auto"/>
        <w:jc w:val="center"/>
      </w:pPr>
      <w:r>
        <w:rPr>
          <w:rFonts w:ascii="Times New Roman" w:hAnsi="Times New Roman" w:eastAsia="黑体"/>
          <w:b w:val="0"/>
          <w:sz w:val="21"/>
        </w:rPr>
        <w:t>表6.2　“内卷式竞争”强度指数指标体系</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维度（权重小计）</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具体指标</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指标说明</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方向</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权重</w:t>
            </w:r>
          </w:p>
        </w:tc>
      </w:tr>
      <w:tr>
        <w:tc>
          <w:tcPr>
            <w:tcW w:type="dxa" w:w="1701"/>
          </w:tcPr>
          <w:p>
            <w:pPr>
              <w:spacing w:before="20" w:after="20" w:line="276" w:lineRule="auto"/>
              <w:jc w:val="left"/>
            </w:pPr>
            <w:r/>
            <w:r>
              <w:rPr>
                <w:rFonts w:ascii="Times New Roman" w:hAnsi="Times New Roman" w:eastAsia="宋体"/>
                <w:b w:val="0"/>
                <w:sz w:val="21"/>
              </w:rPr>
              <w:t>价格竞争烈度（0.200）</w:t>
            </w:r>
          </w:p>
        </w:tc>
        <w:tc>
          <w:tcPr>
            <w:tcW w:type="dxa" w:w="1701"/>
          </w:tcPr>
          <w:p>
            <w:pPr>
              <w:spacing w:before="20" w:after="20" w:line="276" w:lineRule="auto"/>
              <w:jc w:val="left"/>
            </w:pPr>
            <w:r/>
            <w:r>
              <w:rPr>
                <w:rFonts w:ascii="Times New Roman" w:hAnsi="Times New Roman" w:eastAsia="宋体"/>
                <w:b w:val="0"/>
                <w:sz w:val="21"/>
              </w:rPr>
              <w:t>PPI下行深度</w:t>
            </w:r>
          </w:p>
        </w:tc>
        <w:tc>
          <w:tcPr>
            <w:tcW w:type="dxa" w:w="1701"/>
          </w:tcPr>
          <w:p>
            <w:pPr>
              <w:spacing w:before="20" w:after="20" w:line="276" w:lineRule="auto"/>
              <w:jc w:val="left"/>
            </w:pPr>
            <w:r/>
            <w:r>
              <w:rPr>
                <w:rFonts w:ascii="Times New Roman" w:hAnsi="Times New Roman" w:eastAsia="宋体"/>
                <w:b w:val="0"/>
                <w:sz w:val="21"/>
              </w:rPr>
              <w:t>100与省域工业生产者出厂价格指数（上年＝100）之差</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0.068</w:t>
            </w:r>
          </w:p>
        </w:tc>
      </w:tr>
      <w:tr>
        <w:tc>
          <w:tcPr>
            <w:tcW w:type="dxa" w:w="1701"/>
          </w:tcPr>
          <w:p>
            <w:pPr>
              <w:spacing w:before="20" w:after="20" w:line="276" w:lineRule="auto"/>
              <w:jc w:val="left"/>
            </w:pPr>
            <w:r/>
            <w:r>
              <w:rPr>
                <w:rFonts w:ascii="Times New Roman" w:hAnsi="Times New Roman" w:eastAsia="宋体"/>
                <w:b w:val="0"/>
                <w:sz w:val="21"/>
              </w:rPr>
              <w:t>价格竞争烈度</w:t>
            </w:r>
          </w:p>
        </w:tc>
        <w:tc>
          <w:tcPr>
            <w:tcW w:type="dxa" w:w="1701"/>
          </w:tcPr>
          <w:p>
            <w:pPr>
              <w:spacing w:before="20" w:after="20" w:line="276" w:lineRule="auto"/>
              <w:jc w:val="left"/>
            </w:pPr>
            <w:r/>
            <w:r>
              <w:rPr>
                <w:rFonts w:ascii="Times New Roman" w:hAnsi="Times New Roman" w:eastAsia="宋体"/>
                <w:b w:val="0"/>
                <w:sz w:val="21"/>
              </w:rPr>
              <w:t>降价行业覆盖面</w:t>
            </w:r>
          </w:p>
        </w:tc>
        <w:tc>
          <w:tcPr>
            <w:tcW w:type="dxa" w:w="1701"/>
          </w:tcPr>
          <w:p>
            <w:pPr>
              <w:spacing w:before="20" w:after="20" w:line="276" w:lineRule="auto"/>
              <w:jc w:val="left"/>
            </w:pPr>
            <w:r/>
            <w:r>
              <w:rPr>
                <w:rFonts w:ascii="Times New Roman" w:hAnsi="Times New Roman" w:eastAsia="宋体"/>
                <w:b w:val="0"/>
                <w:sz w:val="21"/>
              </w:rPr>
              <w:t>出厂价格指数下降的工业大类行业占比</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0.072</w:t>
            </w:r>
          </w:p>
        </w:tc>
      </w:tr>
      <w:tr>
        <w:tc>
          <w:tcPr>
            <w:tcW w:type="dxa" w:w="1701"/>
          </w:tcPr>
          <w:p>
            <w:pPr>
              <w:spacing w:before="20" w:after="20" w:line="276" w:lineRule="auto"/>
              <w:jc w:val="left"/>
            </w:pPr>
            <w:r/>
            <w:r>
              <w:rPr>
                <w:rFonts w:ascii="Times New Roman" w:hAnsi="Times New Roman" w:eastAsia="宋体"/>
                <w:b w:val="0"/>
                <w:sz w:val="21"/>
              </w:rPr>
              <w:t>价格竞争烈度</w:t>
            </w:r>
          </w:p>
        </w:tc>
        <w:tc>
          <w:tcPr>
            <w:tcW w:type="dxa" w:w="1701"/>
          </w:tcPr>
          <w:p>
            <w:pPr>
              <w:spacing w:before="20" w:after="20" w:line="276" w:lineRule="auto"/>
              <w:jc w:val="left"/>
            </w:pPr>
            <w:r/>
            <w:r>
              <w:rPr>
                <w:rFonts w:ascii="Times New Roman" w:hAnsi="Times New Roman" w:eastAsia="宋体"/>
                <w:b w:val="0"/>
                <w:sz w:val="21"/>
              </w:rPr>
              <w:t>价格—成本挤压度</w:t>
            </w:r>
          </w:p>
        </w:tc>
        <w:tc>
          <w:tcPr>
            <w:tcW w:type="dxa" w:w="1701"/>
          </w:tcPr>
          <w:p>
            <w:pPr>
              <w:spacing w:before="20" w:after="20" w:line="276" w:lineRule="auto"/>
              <w:jc w:val="left"/>
            </w:pPr>
            <w:r/>
            <w:r>
              <w:rPr>
                <w:rFonts w:ascii="Times New Roman" w:hAnsi="Times New Roman" w:eastAsia="宋体"/>
                <w:b w:val="0"/>
                <w:sz w:val="21"/>
              </w:rPr>
              <w:t>工业生产者购进价格指数与出厂价格指数之差</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0.060</w:t>
            </w:r>
          </w:p>
        </w:tc>
      </w:tr>
      <w:tr>
        <w:tc>
          <w:tcPr>
            <w:tcW w:type="dxa" w:w="1701"/>
          </w:tcPr>
          <w:p>
            <w:pPr>
              <w:spacing w:before="20" w:after="20" w:line="276" w:lineRule="auto"/>
              <w:jc w:val="left"/>
            </w:pPr>
            <w:r/>
            <w:r>
              <w:rPr>
                <w:rFonts w:ascii="Times New Roman" w:hAnsi="Times New Roman" w:eastAsia="宋体"/>
                <w:b w:val="0"/>
                <w:sz w:val="21"/>
              </w:rPr>
              <w:t>产能冗余度（0.240）</w:t>
            </w:r>
          </w:p>
        </w:tc>
        <w:tc>
          <w:tcPr>
            <w:tcW w:type="dxa" w:w="1701"/>
          </w:tcPr>
          <w:p>
            <w:pPr>
              <w:spacing w:before="20" w:after="20" w:line="276" w:lineRule="auto"/>
              <w:jc w:val="left"/>
            </w:pPr>
            <w:r/>
            <w:r>
              <w:rPr>
                <w:rFonts w:ascii="Times New Roman" w:hAnsi="Times New Roman" w:eastAsia="宋体"/>
                <w:b w:val="0"/>
                <w:sz w:val="21"/>
              </w:rPr>
              <w:t>工业产能利用率</w:t>
            </w:r>
          </w:p>
        </w:tc>
        <w:tc>
          <w:tcPr>
            <w:tcW w:type="dxa" w:w="1701"/>
          </w:tcPr>
          <w:p>
            <w:pPr>
              <w:spacing w:before="20" w:after="20" w:line="276" w:lineRule="auto"/>
              <w:jc w:val="left"/>
            </w:pPr>
            <w:r/>
            <w:r>
              <w:rPr>
                <w:rFonts w:ascii="Times New Roman" w:hAnsi="Times New Roman" w:eastAsia="宋体"/>
                <w:b w:val="0"/>
                <w:sz w:val="21"/>
              </w:rPr>
              <w:t>规模以上工业综合产能利用率</w:t>
            </w:r>
          </w:p>
        </w:tc>
        <w:tc>
          <w:tcPr>
            <w:tcW w:type="dxa" w:w="1701"/>
          </w:tcPr>
          <w:p>
            <w:pPr>
              <w:spacing w:before="20" w:after="20" w:line="276" w:lineRule="auto"/>
              <w:jc w:val="left"/>
            </w:pPr>
            <w:r/>
            <w:r>
              <w:rPr>
                <w:rFonts w:ascii="Times New Roman" w:hAnsi="Times New Roman" w:eastAsia="宋体"/>
                <w:b w:val="0"/>
                <w:sz w:val="21"/>
              </w:rPr>
              <w:t>负向</w:t>
            </w:r>
          </w:p>
        </w:tc>
        <w:tc>
          <w:tcPr>
            <w:tcW w:type="dxa" w:w="1701"/>
          </w:tcPr>
          <w:p>
            <w:pPr>
              <w:spacing w:before="20" w:after="20" w:line="276" w:lineRule="auto"/>
              <w:jc w:val="center"/>
            </w:pPr>
            <w:r/>
            <w:r>
              <w:rPr>
                <w:rFonts w:ascii="Times New Roman" w:hAnsi="Times New Roman" w:eastAsia="宋体"/>
                <w:b w:val="0"/>
                <w:sz w:val="21"/>
              </w:rPr>
              <w:t>0.088</w:t>
            </w:r>
          </w:p>
        </w:tc>
      </w:tr>
      <w:tr>
        <w:tc>
          <w:tcPr>
            <w:tcW w:type="dxa" w:w="1701"/>
          </w:tcPr>
          <w:p>
            <w:pPr>
              <w:spacing w:before="20" w:after="20" w:line="276" w:lineRule="auto"/>
              <w:jc w:val="left"/>
            </w:pPr>
            <w:r/>
            <w:r>
              <w:rPr>
                <w:rFonts w:ascii="Times New Roman" w:hAnsi="Times New Roman" w:eastAsia="宋体"/>
                <w:b w:val="0"/>
                <w:sz w:val="21"/>
              </w:rPr>
              <w:t>产能冗余度</w:t>
            </w:r>
          </w:p>
        </w:tc>
        <w:tc>
          <w:tcPr>
            <w:tcW w:type="dxa" w:w="1701"/>
          </w:tcPr>
          <w:p>
            <w:pPr>
              <w:spacing w:before="20" w:after="20" w:line="276" w:lineRule="auto"/>
              <w:jc w:val="left"/>
            </w:pPr>
            <w:r/>
            <w:r>
              <w:rPr>
                <w:rFonts w:ascii="Times New Roman" w:hAnsi="Times New Roman" w:eastAsia="宋体"/>
                <w:b w:val="0"/>
                <w:sz w:val="21"/>
              </w:rPr>
              <w:t>投资—收入增速差</w:t>
            </w:r>
          </w:p>
        </w:tc>
        <w:tc>
          <w:tcPr>
            <w:tcW w:type="dxa" w:w="1701"/>
          </w:tcPr>
          <w:p>
            <w:pPr>
              <w:spacing w:before="20" w:after="20" w:line="276" w:lineRule="auto"/>
              <w:jc w:val="left"/>
            </w:pPr>
            <w:r/>
            <w:r>
              <w:rPr>
                <w:rFonts w:ascii="Times New Roman" w:hAnsi="Times New Roman" w:eastAsia="宋体"/>
                <w:b w:val="0"/>
                <w:sz w:val="21"/>
              </w:rPr>
              <w:t>制造业固定资产投资增速与规上工业营业收入增速之差</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0.076</w:t>
            </w:r>
          </w:p>
        </w:tc>
      </w:tr>
      <w:tr>
        <w:tc>
          <w:tcPr>
            <w:tcW w:type="dxa" w:w="1701"/>
          </w:tcPr>
          <w:p>
            <w:pPr>
              <w:spacing w:before="20" w:after="20" w:line="276" w:lineRule="auto"/>
              <w:jc w:val="left"/>
            </w:pPr>
            <w:r/>
            <w:r>
              <w:rPr>
                <w:rFonts w:ascii="Times New Roman" w:hAnsi="Times New Roman" w:eastAsia="宋体"/>
                <w:b w:val="0"/>
                <w:sz w:val="21"/>
              </w:rPr>
              <w:t>产能冗余度</w:t>
            </w:r>
          </w:p>
        </w:tc>
        <w:tc>
          <w:tcPr>
            <w:tcW w:type="dxa" w:w="1701"/>
          </w:tcPr>
          <w:p>
            <w:pPr>
              <w:spacing w:before="20" w:after="20" w:line="276" w:lineRule="auto"/>
              <w:jc w:val="left"/>
            </w:pPr>
            <w:r/>
            <w:r>
              <w:rPr>
                <w:rFonts w:ascii="Times New Roman" w:hAnsi="Times New Roman" w:eastAsia="宋体"/>
                <w:b w:val="0"/>
                <w:sz w:val="21"/>
              </w:rPr>
              <w:t>产成品存货率</w:t>
            </w:r>
          </w:p>
        </w:tc>
        <w:tc>
          <w:tcPr>
            <w:tcW w:type="dxa" w:w="1701"/>
          </w:tcPr>
          <w:p>
            <w:pPr>
              <w:spacing w:before="20" w:after="20" w:line="276" w:lineRule="auto"/>
              <w:jc w:val="left"/>
            </w:pPr>
            <w:r/>
            <w:r>
              <w:rPr>
                <w:rFonts w:ascii="Times New Roman" w:hAnsi="Times New Roman" w:eastAsia="宋体"/>
                <w:b w:val="0"/>
                <w:sz w:val="21"/>
              </w:rPr>
              <w:t>规上工业产成品存货与营业收入之比</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0.076</w:t>
            </w:r>
          </w:p>
        </w:tc>
      </w:tr>
      <w:tr>
        <w:tc>
          <w:tcPr>
            <w:tcW w:type="dxa" w:w="1701"/>
          </w:tcPr>
          <w:p>
            <w:pPr>
              <w:spacing w:before="20" w:after="20" w:line="276" w:lineRule="auto"/>
              <w:jc w:val="left"/>
            </w:pPr>
            <w:r/>
            <w:r>
              <w:rPr>
                <w:rFonts w:ascii="Times New Roman" w:hAnsi="Times New Roman" w:eastAsia="宋体"/>
                <w:b w:val="0"/>
                <w:sz w:val="21"/>
              </w:rPr>
              <w:t>盈利侵蚀度（0.220）</w:t>
            </w:r>
          </w:p>
        </w:tc>
        <w:tc>
          <w:tcPr>
            <w:tcW w:type="dxa" w:w="1701"/>
          </w:tcPr>
          <w:p>
            <w:pPr>
              <w:spacing w:before="20" w:after="20" w:line="276" w:lineRule="auto"/>
              <w:jc w:val="left"/>
            </w:pPr>
            <w:r/>
            <w:r>
              <w:rPr>
                <w:rFonts w:ascii="Times New Roman" w:hAnsi="Times New Roman" w:eastAsia="宋体"/>
                <w:b w:val="0"/>
                <w:sz w:val="21"/>
              </w:rPr>
              <w:t>营业收入利润率</w:t>
            </w:r>
          </w:p>
        </w:tc>
        <w:tc>
          <w:tcPr>
            <w:tcW w:type="dxa" w:w="1701"/>
          </w:tcPr>
          <w:p>
            <w:pPr>
              <w:spacing w:before="20" w:after="20" w:line="276" w:lineRule="auto"/>
              <w:jc w:val="left"/>
            </w:pPr>
            <w:r/>
            <w:r>
              <w:rPr>
                <w:rFonts w:ascii="Times New Roman" w:hAnsi="Times New Roman" w:eastAsia="宋体"/>
                <w:b w:val="0"/>
                <w:sz w:val="21"/>
              </w:rPr>
              <w:t>规上工业利润总额与营业收入之比</w:t>
            </w:r>
          </w:p>
        </w:tc>
        <w:tc>
          <w:tcPr>
            <w:tcW w:type="dxa" w:w="1701"/>
          </w:tcPr>
          <w:p>
            <w:pPr>
              <w:spacing w:before="20" w:after="20" w:line="276" w:lineRule="auto"/>
              <w:jc w:val="left"/>
            </w:pPr>
            <w:r/>
            <w:r>
              <w:rPr>
                <w:rFonts w:ascii="Times New Roman" w:hAnsi="Times New Roman" w:eastAsia="宋体"/>
                <w:b w:val="0"/>
                <w:sz w:val="21"/>
              </w:rPr>
              <w:t>负向</w:t>
            </w:r>
          </w:p>
        </w:tc>
        <w:tc>
          <w:tcPr>
            <w:tcW w:type="dxa" w:w="1701"/>
          </w:tcPr>
          <w:p>
            <w:pPr>
              <w:spacing w:before="20" w:after="20" w:line="276" w:lineRule="auto"/>
              <w:jc w:val="center"/>
            </w:pPr>
            <w:r/>
            <w:r>
              <w:rPr>
                <w:rFonts w:ascii="Times New Roman" w:hAnsi="Times New Roman" w:eastAsia="宋体"/>
                <w:b w:val="0"/>
                <w:sz w:val="21"/>
              </w:rPr>
              <w:t>0.080</w:t>
            </w:r>
          </w:p>
        </w:tc>
      </w:tr>
      <w:tr>
        <w:tc>
          <w:tcPr>
            <w:tcW w:type="dxa" w:w="1701"/>
          </w:tcPr>
          <w:p>
            <w:pPr>
              <w:spacing w:before="20" w:after="20" w:line="276" w:lineRule="auto"/>
              <w:jc w:val="left"/>
            </w:pPr>
            <w:r/>
            <w:r>
              <w:rPr>
                <w:rFonts w:ascii="Times New Roman" w:hAnsi="Times New Roman" w:eastAsia="宋体"/>
                <w:b w:val="0"/>
                <w:sz w:val="21"/>
              </w:rPr>
              <w:t>盈利侵蚀度</w:t>
            </w:r>
          </w:p>
        </w:tc>
        <w:tc>
          <w:tcPr>
            <w:tcW w:type="dxa" w:w="1701"/>
          </w:tcPr>
          <w:p>
            <w:pPr>
              <w:spacing w:before="20" w:after="20" w:line="276" w:lineRule="auto"/>
              <w:jc w:val="left"/>
            </w:pPr>
            <w:r/>
            <w:r>
              <w:rPr>
                <w:rFonts w:ascii="Times New Roman" w:hAnsi="Times New Roman" w:eastAsia="宋体"/>
                <w:b w:val="0"/>
                <w:sz w:val="21"/>
              </w:rPr>
              <w:t>亏损企业占比</w:t>
            </w:r>
          </w:p>
        </w:tc>
        <w:tc>
          <w:tcPr>
            <w:tcW w:type="dxa" w:w="1701"/>
          </w:tcPr>
          <w:p>
            <w:pPr>
              <w:spacing w:before="20" w:after="20" w:line="276" w:lineRule="auto"/>
              <w:jc w:val="left"/>
            </w:pPr>
            <w:r/>
            <w:r>
              <w:rPr>
                <w:rFonts w:ascii="Times New Roman" w:hAnsi="Times New Roman" w:eastAsia="宋体"/>
                <w:b w:val="0"/>
                <w:sz w:val="21"/>
              </w:rPr>
              <w:t>规上工业亏损企业单位数占比</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0.078</w:t>
            </w:r>
          </w:p>
        </w:tc>
      </w:tr>
      <w:tr>
        <w:tc>
          <w:tcPr>
            <w:tcW w:type="dxa" w:w="1701"/>
          </w:tcPr>
          <w:p>
            <w:pPr>
              <w:spacing w:before="20" w:after="20" w:line="276" w:lineRule="auto"/>
              <w:jc w:val="left"/>
            </w:pPr>
            <w:r/>
            <w:r>
              <w:rPr>
                <w:rFonts w:ascii="Times New Roman" w:hAnsi="Times New Roman" w:eastAsia="宋体"/>
                <w:b w:val="0"/>
                <w:sz w:val="21"/>
              </w:rPr>
              <w:t>盈利侵蚀度</w:t>
            </w:r>
          </w:p>
        </w:tc>
        <w:tc>
          <w:tcPr>
            <w:tcW w:type="dxa" w:w="1701"/>
          </w:tcPr>
          <w:p>
            <w:pPr>
              <w:spacing w:before="20" w:after="20" w:line="276" w:lineRule="auto"/>
              <w:jc w:val="left"/>
            </w:pPr>
            <w:r/>
            <w:r>
              <w:rPr>
                <w:rFonts w:ascii="Times New Roman" w:hAnsi="Times New Roman" w:eastAsia="宋体"/>
                <w:b w:val="0"/>
                <w:sz w:val="21"/>
              </w:rPr>
              <w:t>利息保障倍数</w:t>
            </w:r>
          </w:p>
        </w:tc>
        <w:tc>
          <w:tcPr>
            <w:tcW w:type="dxa" w:w="1701"/>
          </w:tcPr>
          <w:p>
            <w:pPr>
              <w:spacing w:before="20" w:after="20" w:line="276" w:lineRule="auto"/>
              <w:jc w:val="left"/>
            </w:pPr>
            <w:r/>
            <w:r>
              <w:rPr>
                <w:rFonts w:ascii="Times New Roman" w:hAnsi="Times New Roman" w:eastAsia="宋体"/>
                <w:b w:val="0"/>
                <w:sz w:val="21"/>
              </w:rPr>
              <w:t>规上工业息税前利润与利息费用之比</w:t>
            </w:r>
          </w:p>
        </w:tc>
        <w:tc>
          <w:tcPr>
            <w:tcW w:type="dxa" w:w="1701"/>
          </w:tcPr>
          <w:p>
            <w:pPr>
              <w:spacing w:before="20" w:after="20" w:line="276" w:lineRule="auto"/>
              <w:jc w:val="left"/>
            </w:pPr>
            <w:r/>
            <w:r>
              <w:rPr>
                <w:rFonts w:ascii="Times New Roman" w:hAnsi="Times New Roman" w:eastAsia="宋体"/>
                <w:b w:val="0"/>
                <w:sz w:val="21"/>
              </w:rPr>
              <w:t>负向</w:t>
            </w:r>
          </w:p>
        </w:tc>
        <w:tc>
          <w:tcPr>
            <w:tcW w:type="dxa" w:w="1701"/>
          </w:tcPr>
          <w:p>
            <w:pPr>
              <w:spacing w:before="20" w:after="20" w:line="276" w:lineRule="auto"/>
              <w:jc w:val="center"/>
            </w:pPr>
            <w:r/>
            <w:r>
              <w:rPr>
                <w:rFonts w:ascii="Times New Roman" w:hAnsi="Times New Roman" w:eastAsia="宋体"/>
                <w:b w:val="0"/>
                <w:sz w:val="21"/>
              </w:rPr>
              <w:t>0.062</w:t>
            </w:r>
          </w:p>
        </w:tc>
      </w:tr>
      <w:tr>
        <w:tc>
          <w:tcPr>
            <w:tcW w:type="dxa" w:w="1701"/>
          </w:tcPr>
          <w:p>
            <w:pPr>
              <w:spacing w:before="20" w:after="20" w:line="276" w:lineRule="auto"/>
              <w:jc w:val="left"/>
            </w:pPr>
            <w:r/>
            <w:r>
              <w:rPr>
                <w:rFonts w:ascii="Times New Roman" w:hAnsi="Times New Roman" w:eastAsia="宋体"/>
                <w:b w:val="0"/>
                <w:sz w:val="21"/>
              </w:rPr>
              <w:t>同质化程度（0.170）</w:t>
            </w:r>
          </w:p>
        </w:tc>
        <w:tc>
          <w:tcPr>
            <w:tcW w:type="dxa" w:w="1701"/>
          </w:tcPr>
          <w:p>
            <w:pPr>
              <w:spacing w:before="20" w:after="20" w:line="276" w:lineRule="auto"/>
              <w:jc w:val="left"/>
            </w:pPr>
            <w:r/>
            <w:r>
              <w:rPr>
                <w:rFonts w:ascii="Times New Roman" w:hAnsi="Times New Roman" w:eastAsia="宋体"/>
                <w:b w:val="0"/>
                <w:sz w:val="21"/>
              </w:rPr>
              <w:t>产业结构相似系数</w:t>
            </w:r>
          </w:p>
        </w:tc>
        <w:tc>
          <w:tcPr>
            <w:tcW w:type="dxa" w:w="1701"/>
          </w:tcPr>
          <w:p>
            <w:pPr>
              <w:spacing w:before="20" w:after="20" w:line="276" w:lineRule="auto"/>
              <w:jc w:val="left"/>
            </w:pPr>
            <w:r/>
            <w:r>
              <w:rPr>
                <w:rFonts w:ascii="Times New Roman" w:hAnsi="Times New Roman" w:eastAsia="宋体"/>
                <w:b w:val="0"/>
                <w:sz w:val="21"/>
              </w:rPr>
              <w:t>与其他省份两位数制造业行业结构相似系数的均值</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0.094</w:t>
            </w:r>
          </w:p>
        </w:tc>
      </w:tr>
      <w:tr>
        <w:tc>
          <w:tcPr>
            <w:tcW w:type="dxa" w:w="1701"/>
          </w:tcPr>
          <w:p>
            <w:pPr>
              <w:spacing w:before="20" w:after="20" w:line="276" w:lineRule="auto"/>
              <w:jc w:val="left"/>
            </w:pPr>
            <w:r/>
            <w:r>
              <w:rPr>
                <w:rFonts w:ascii="Times New Roman" w:hAnsi="Times New Roman" w:eastAsia="宋体"/>
                <w:b w:val="0"/>
                <w:sz w:val="21"/>
              </w:rPr>
              <w:t>同质化程度</w:t>
            </w:r>
          </w:p>
        </w:tc>
        <w:tc>
          <w:tcPr>
            <w:tcW w:type="dxa" w:w="1701"/>
          </w:tcPr>
          <w:p>
            <w:pPr>
              <w:spacing w:before="20" w:after="20" w:line="276" w:lineRule="auto"/>
              <w:jc w:val="left"/>
            </w:pPr>
            <w:r/>
            <w:r>
              <w:rPr>
                <w:rFonts w:ascii="Times New Roman" w:hAnsi="Times New Roman" w:eastAsia="宋体"/>
                <w:b w:val="0"/>
                <w:sz w:val="21"/>
              </w:rPr>
              <w:t>新产品销售收入占比</w:t>
            </w:r>
          </w:p>
        </w:tc>
        <w:tc>
          <w:tcPr>
            <w:tcW w:type="dxa" w:w="1701"/>
          </w:tcPr>
          <w:p>
            <w:pPr>
              <w:spacing w:before="20" w:after="20" w:line="276" w:lineRule="auto"/>
              <w:jc w:val="left"/>
            </w:pPr>
            <w:r/>
            <w:r>
              <w:rPr>
                <w:rFonts w:ascii="Times New Roman" w:hAnsi="Times New Roman" w:eastAsia="宋体"/>
                <w:b w:val="0"/>
                <w:sz w:val="21"/>
              </w:rPr>
              <w:t>规上工业新产品销售收入与营业收入之比</w:t>
            </w:r>
          </w:p>
        </w:tc>
        <w:tc>
          <w:tcPr>
            <w:tcW w:type="dxa" w:w="1701"/>
          </w:tcPr>
          <w:p>
            <w:pPr>
              <w:spacing w:before="20" w:after="20" w:line="276" w:lineRule="auto"/>
              <w:jc w:val="left"/>
            </w:pPr>
            <w:r/>
            <w:r>
              <w:rPr>
                <w:rFonts w:ascii="Times New Roman" w:hAnsi="Times New Roman" w:eastAsia="宋体"/>
                <w:b w:val="0"/>
                <w:sz w:val="21"/>
              </w:rPr>
              <w:t>负向</w:t>
            </w:r>
          </w:p>
        </w:tc>
        <w:tc>
          <w:tcPr>
            <w:tcW w:type="dxa" w:w="1701"/>
          </w:tcPr>
          <w:p>
            <w:pPr>
              <w:spacing w:before="20" w:after="20" w:line="276" w:lineRule="auto"/>
              <w:jc w:val="center"/>
            </w:pPr>
            <w:r/>
            <w:r>
              <w:rPr>
                <w:rFonts w:ascii="Times New Roman" w:hAnsi="Times New Roman" w:eastAsia="宋体"/>
                <w:b w:val="0"/>
                <w:sz w:val="21"/>
              </w:rPr>
              <w:t>0.076</w:t>
            </w:r>
          </w:p>
        </w:tc>
      </w:tr>
      <w:tr>
        <w:tc>
          <w:tcPr>
            <w:tcW w:type="dxa" w:w="1701"/>
          </w:tcPr>
          <w:p>
            <w:pPr>
              <w:spacing w:before="20" w:after="20" w:line="276" w:lineRule="auto"/>
              <w:jc w:val="left"/>
            </w:pPr>
            <w:r/>
            <w:r>
              <w:rPr>
                <w:rFonts w:ascii="Times New Roman" w:hAnsi="Times New Roman" w:eastAsia="宋体"/>
                <w:b w:val="0"/>
                <w:sz w:val="21"/>
              </w:rPr>
              <w:t>退出粘性（0.170）</w:t>
            </w:r>
          </w:p>
        </w:tc>
        <w:tc>
          <w:tcPr>
            <w:tcW w:type="dxa" w:w="1701"/>
          </w:tcPr>
          <w:p>
            <w:pPr>
              <w:spacing w:before="20" w:after="20" w:line="276" w:lineRule="auto"/>
              <w:jc w:val="left"/>
            </w:pPr>
            <w:r/>
            <w:r>
              <w:rPr>
                <w:rFonts w:ascii="Times New Roman" w:hAnsi="Times New Roman" w:eastAsia="宋体"/>
                <w:b w:val="0"/>
                <w:sz w:val="21"/>
              </w:rPr>
              <w:t>企业退出率</w:t>
            </w:r>
          </w:p>
        </w:tc>
        <w:tc>
          <w:tcPr>
            <w:tcW w:type="dxa" w:w="1701"/>
          </w:tcPr>
          <w:p>
            <w:pPr>
              <w:spacing w:before="20" w:after="20" w:line="276" w:lineRule="auto"/>
              <w:jc w:val="left"/>
            </w:pPr>
            <w:r/>
            <w:r>
              <w:rPr>
                <w:rFonts w:ascii="Times New Roman" w:hAnsi="Times New Roman" w:eastAsia="宋体"/>
                <w:b w:val="0"/>
                <w:sz w:val="21"/>
              </w:rPr>
              <w:t>当年注销、吊销企业数与上年末企业存量之比</w:t>
            </w:r>
          </w:p>
        </w:tc>
        <w:tc>
          <w:tcPr>
            <w:tcW w:type="dxa" w:w="1701"/>
          </w:tcPr>
          <w:p>
            <w:pPr>
              <w:spacing w:before="20" w:after="20" w:line="276" w:lineRule="auto"/>
              <w:jc w:val="left"/>
            </w:pPr>
            <w:r/>
            <w:r>
              <w:rPr>
                <w:rFonts w:ascii="Times New Roman" w:hAnsi="Times New Roman" w:eastAsia="宋体"/>
                <w:b w:val="0"/>
                <w:sz w:val="21"/>
              </w:rPr>
              <w:t>负向</w:t>
            </w:r>
          </w:p>
        </w:tc>
        <w:tc>
          <w:tcPr>
            <w:tcW w:type="dxa" w:w="1701"/>
          </w:tcPr>
          <w:p>
            <w:pPr>
              <w:spacing w:before="20" w:after="20" w:line="276" w:lineRule="auto"/>
              <w:jc w:val="center"/>
            </w:pPr>
            <w:r/>
            <w:r>
              <w:rPr>
                <w:rFonts w:ascii="Times New Roman" w:hAnsi="Times New Roman" w:eastAsia="宋体"/>
                <w:b w:val="0"/>
                <w:sz w:val="21"/>
              </w:rPr>
              <w:t>0.070</w:t>
            </w:r>
          </w:p>
        </w:tc>
      </w:tr>
      <w:tr>
        <w:tc>
          <w:tcPr>
            <w:tcW w:type="dxa" w:w="1701"/>
          </w:tcPr>
          <w:p>
            <w:pPr>
              <w:spacing w:before="20" w:after="20" w:line="276" w:lineRule="auto"/>
              <w:jc w:val="left"/>
            </w:pPr>
            <w:r/>
            <w:r>
              <w:rPr>
                <w:rFonts w:ascii="Times New Roman" w:hAnsi="Times New Roman" w:eastAsia="宋体"/>
                <w:b w:val="0"/>
                <w:sz w:val="21"/>
              </w:rPr>
              <w:t>退出粘性</w:t>
            </w:r>
          </w:p>
        </w:tc>
        <w:tc>
          <w:tcPr>
            <w:tcW w:type="dxa" w:w="1701"/>
          </w:tcPr>
          <w:p>
            <w:pPr>
              <w:spacing w:before="20" w:after="20" w:line="276" w:lineRule="auto"/>
              <w:jc w:val="left"/>
            </w:pPr>
            <w:r/>
            <w:r>
              <w:rPr>
                <w:rFonts w:ascii="Times New Roman" w:hAnsi="Times New Roman" w:eastAsia="宋体"/>
                <w:b w:val="0"/>
                <w:sz w:val="21"/>
              </w:rPr>
              <w:t>持续亏损未退出企业占比</w:t>
            </w:r>
          </w:p>
        </w:tc>
        <w:tc>
          <w:tcPr>
            <w:tcW w:type="dxa" w:w="1701"/>
          </w:tcPr>
          <w:p>
            <w:pPr>
              <w:spacing w:before="20" w:after="20" w:line="276" w:lineRule="auto"/>
              <w:jc w:val="left"/>
            </w:pPr>
            <w:r/>
            <w:r>
              <w:rPr>
                <w:rFonts w:ascii="Times New Roman" w:hAnsi="Times New Roman" w:eastAsia="宋体"/>
                <w:b w:val="0"/>
                <w:sz w:val="21"/>
              </w:rPr>
              <w:t>连续两年以上亏损且仍在营业的规上工业企业占比</w:t>
            </w:r>
          </w:p>
        </w:tc>
        <w:tc>
          <w:tcPr>
            <w:tcW w:type="dxa" w:w="1701"/>
          </w:tcPr>
          <w:p>
            <w:pPr>
              <w:spacing w:before="20" w:after="20" w:line="276" w:lineRule="auto"/>
              <w:jc w:val="left"/>
            </w:pPr>
            <w:r/>
            <w:r>
              <w:rPr>
                <w:rFonts w:ascii="Times New Roman" w:hAnsi="Times New Roman" w:eastAsia="宋体"/>
                <w:b w:val="0"/>
                <w:sz w:val="21"/>
              </w:rPr>
              <w:t>正向</w:t>
            </w:r>
          </w:p>
        </w:tc>
        <w:tc>
          <w:tcPr>
            <w:tcW w:type="dxa" w:w="1701"/>
          </w:tcPr>
          <w:p>
            <w:pPr>
              <w:spacing w:before="20" w:after="20" w:line="276" w:lineRule="auto"/>
              <w:jc w:val="center"/>
            </w:pPr>
            <w:r/>
            <w:r>
              <w:rPr>
                <w:rFonts w:ascii="Times New Roman" w:hAnsi="Times New Roman" w:eastAsia="宋体"/>
                <w:b w:val="0"/>
                <w:sz w:val="21"/>
              </w:rPr>
              <w:t>0.058</w:t>
            </w:r>
          </w:p>
        </w:tc>
      </w:tr>
      <w:tr>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退出粘性</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破产案件受理强度</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每万户企业破产案件受理数</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负向</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0.042</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6.2的指标体系有三点需要说明。其一，维度权重的分布与“内卷”的信息结构相匹配：产能冗余度（0.240）与盈利侵蚀度（0.220）权重最高，因为二者是“内卷式”竞争区别于正常价格竞争的核心判据——正常竞争同样压低价格，但不会长期并存高冗余与全行业微利；价格竞争烈度（0.200）居中；同质化程度与退出粘性（各0.170）刻画“内卷”的结构与制度侧面。单项指标中产业结构相似系数权重最高（0.094），这与同质化在“内卷”形成中的枢纽地位一致。需要强调的是，上述权重并非主观指定，而是熵权法在全样本上测算的结果，其量级分布恰与理论预期吻合，本身即是指标体系内在一致性的一个佐证。其二，方向设定均有明确的理论依据：产能利用率、利润率、退出率越低而存货率、亏损面、相似系数越高，“内卷”越深，与第三章五大特征事实一一对应。其三，个别指标（如持续亏损未退出企业占比、破产案件受理强度）在部分省份早期年份存在缺失，按维度内可得指标重新归一化处理，缺失单元占全部指标—省份—年份单元的比例很低，不影响指数的时序与截面性质。</w:t>
      </w:r>
    </w:p>
    <w:p>
      <w:pPr>
        <w:spacing w:before="0" w:after="0" w:line="360" w:lineRule="auto"/>
        <w:ind w:firstLineChars="200" w:firstLine="480"/>
      </w:pPr>
      <w:r>
        <w:rPr>
          <w:rFonts w:ascii="Times New Roman" w:hAnsi="Times New Roman" w:eastAsia="宋体"/>
          <w:b w:val="0"/>
          <w:sz w:val="24"/>
        </w:rPr>
        <w:t>指数合成采用熵权法。相对于主观赋权（专家打分、层次分析），熵权法依据指标自身的信息含量客观定权：某项指标在省际与时序上的离散度越大、区分能力越强，其信息熵越小、权重越高，从而避免了人为设定权重可能引入的先验偏误。合成分四步。第一步，极差标准化，正向与负向指标分别按式(6-6)处理：</w:t>
      </w:r>
    </w:p>
    <w:p>
      <w:pPr>
        <w:spacing w:before="120" w:after="120" w:line="360" w:lineRule="auto"/>
        <w:tabs>
          <w:tab w:val="center" w:pos="4252"/>
          <w:tab w:val="right" w:pos="8505"/>
        </w:tabs>
      </w:pPr>
      <w:r>
        <w:rPr>
          <w:rFonts w:ascii="Times New Roman" w:hAnsi="Times New Roman" w:eastAsia="宋体"/>
          <w:b w:val="0"/>
          <w:sz w:val="24"/>
        </w:rPr>
        <w:tab/>
      </w:r>
      <m:oMath>
        <m:box>
          <m:e>
            <m:sSubSup>
              <m:e>
                <m:r>
                  <m:rPr>
                    <m:sty m:val="i"/>
                  </m:rPr>
                  <m:t>x</m:t>
                </m:r>
              </m:e>
              <m:sub>
                <m:box>
                  <m:e>
                    <m:r>
                      <m:rPr>
                        <m:sty m:val="i"/>
                      </m:rPr>
                      <m:t>m</m:t>
                    </m:r>
                    <m:r>
                      <m:rPr>
                        <m:sty m:val="i"/>
                      </m:rPr>
                      <m:t>i</m:t>
                    </m:r>
                    <m:r>
                      <m:rPr>
                        <m:sty m:val="i"/>
                      </m:rPr>
                      <m:t>t</m:t>
                    </m:r>
                  </m:e>
                </m:box>
              </m:sub>
              <m:sup>
                <m:box>
                  <m:e>
                    <m:r>
                      <m:rPr>
                        <m:sty m:val="p"/>
                      </m:rPr>
                      <m:t>+</m:t>
                    </m:r>
                  </m:e>
                </m:box>
              </m:sup>
            </m:sSubSup>
            <m:r>
              <m:rPr>
                <m:sty m:val="p"/>
              </m:rPr>
              <m:t>=</m:t>
            </m:r>
            <m:f>
              <m:num>
                <m:box>
                  <m:e>
                    <m:sSub>
                      <m:e>
                        <m:r>
                          <m:rPr>
                            <m:sty m:val="i"/>
                          </m:rPr>
                          <m:t>x</m:t>
                        </m:r>
                      </m:e>
                      <m:sub>
                        <m:box>
                          <m:e>
                            <m:r>
                              <m:rPr>
                                <m:sty m:val="i"/>
                              </m:rPr>
                              <m:t>m</m:t>
                            </m:r>
                            <m:r>
                              <m:rPr>
                                <m:sty m:val="i"/>
                              </m:rPr>
                              <m:t>i</m:t>
                            </m:r>
                            <m:r>
                              <m:rPr>
                                <m:sty m:val="i"/>
                              </m:rPr>
                              <m:t>t</m:t>
                            </m:r>
                          </m:e>
                        </m:box>
                      </m:sub>
                    </m:sSub>
                    <m:r>
                      <m:rPr>
                        <m:sty m:val="p"/>
                      </m:rPr>
                      <m:t>−</m:t>
                    </m:r>
                    <m:r>
                      <m:rPr>
                        <m:sty m:val="p"/>
                      </m:rPr>
                      <m:t>min</m:t>
                    </m:r>
                    <m:r>
                      <m:rPr>
                        <m:sty m:val="p"/>
                      </m:rPr>
                      <m:t>(</m:t>
                    </m:r>
                    <m:sSub>
                      <m:e>
                        <m:r>
                          <m:rPr>
                            <m:sty m:val="i"/>
                          </m:rPr>
                          <m:t>x</m:t>
                        </m:r>
                      </m:e>
                      <m:sub>
                        <m:box>
                          <m:e>
                            <m:r>
                              <m:rPr>
                                <m:sty m:val="i"/>
                              </m:rPr>
                              <m:t>m</m:t>
                            </m:r>
                          </m:e>
                        </m:box>
                      </m:sub>
                    </m:sSub>
                    <m:r>
                      <m:rPr>
                        <m:sty m:val="p"/>
                      </m:rPr>
                      <m:t>)</m:t>
                    </m:r>
                  </m:e>
                </m:box>
              </m:num>
              <m:den>
                <m:box>
                  <m:e>
                    <m:r>
                      <m:rPr>
                        <m:sty m:val="p"/>
                      </m:rPr>
                      <m:t>max</m:t>
                    </m:r>
                    <m:r>
                      <m:rPr>
                        <m:sty m:val="p"/>
                      </m:rPr>
                      <m:t>(</m:t>
                    </m:r>
                    <m:sSub>
                      <m:e>
                        <m:r>
                          <m:rPr>
                            <m:sty m:val="i"/>
                          </m:rPr>
                          <m:t>x</m:t>
                        </m:r>
                      </m:e>
                      <m:sub>
                        <m:box>
                          <m:e>
                            <m:r>
                              <m:rPr>
                                <m:sty m:val="i"/>
                              </m:rPr>
                              <m:t>m</m:t>
                            </m:r>
                          </m:e>
                        </m:box>
                      </m:sub>
                    </m:sSub>
                    <m:r>
                      <m:rPr>
                        <m:sty m:val="p"/>
                      </m:rPr>
                      <m:t>)</m:t>
                    </m:r>
                    <m:r>
                      <m:rPr>
                        <m:sty m:val="p"/>
                      </m:rPr>
                      <m:t>−</m:t>
                    </m:r>
                    <m:r>
                      <m:rPr>
                        <m:sty m:val="p"/>
                      </m:rPr>
                      <m:t>min</m:t>
                    </m:r>
                    <m:r>
                      <m:rPr>
                        <m:sty m:val="p"/>
                      </m:rPr>
                      <m:t>(</m:t>
                    </m:r>
                    <m:sSub>
                      <m:e>
                        <m:r>
                          <m:rPr>
                            <m:sty m:val="i"/>
                          </m:rPr>
                          <m:t>x</m:t>
                        </m:r>
                      </m:e>
                      <m:sub>
                        <m:box>
                          <m:e>
                            <m:r>
                              <m:rPr>
                                <m:sty m:val="i"/>
                              </m:rPr>
                              <m:t>m</m:t>
                            </m:r>
                          </m:e>
                        </m:box>
                      </m:sub>
                    </m:sSub>
                    <m:r>
                      <m:rPr>
                        <m:sty m:val="p"/>
                      </m:rPr>
                      <m:t>)</m:t>
                    </m:r>
                  </m:e>
                </m:box>
              </m:den>
            </m:f>
            <m:r>
              <m:rPr>
                <m:sty m:val="p"/>
              </m:rPr>
              <m:t>,</m:t>
            </m:r>
            <m:r>
              <m:t/>
            </m:r>
            <m:sSubSup>
              <m:e>
                <m:r>
                  <m:rPr>
                    <m:sty m:val="i"/>
                  </m:rPr>
                  <m:t>x</m:t>
                </m:r>
              </m:e>
              <m:sub>
                <m:box>
                  <m:e>
                    <m:r>
                      <m:rPr>
                        <m:sty m:val="i"/>
                      </m:rPr>
                      <m:t>m</m:t>
                    </m:r>
                    <m:r>
                      <m:rPr>
                        <m:sty m:val="i"/>
                      </m:rPr>
                      <m:t>i</m:t>
                    </m:r>
                    <m:r>
                      <m:rPr>
                        <m:sty m:val="i"/>
                      </m:rPr>
                      <m:t>t</m:t>
                    </m:r>
                  </m:e>
                </m:box>
              </m:sub>
              <m:sup>
                <m:box>
                  <m:e>
                    <m:r>
                      <m:rPr>
                        <m:sty m:val="p"/>
                      </m:rPr>
                      <m:t>−</m:t>
                    </m:r>
                  </m:e>
                </m:box>
              </m:sup>
            </m:sSubSup>
            <m:r>
              <m:rPr>
                <m:sty m:val="p"/>
              </m:rPr>
              <m:t>=</m:t>
            </m:r>
            <m:f>
              <m:num>
                <m:box>
                  <m:e>
                    <m:r>
                      <m:rPr>
                        <m:sty m:val="p"/>
                      </m:rPr>
                      <m:t>max</m:t>
                    </m:r>
                    <m:r>
                      <m:rPr>
                        <m:sty m:val="p"/>
                      </m:rPr>
                      <m:t>(</m:t>
                    </m:r>
                    <m:sSub>
                      <m:e>
                        <m:r>
                          <m:rPr>
                            <m:sty m:val="i"/>
                          </m:rPr>
                          <m:t>x</m:t>
                        </m:r>
                      </m:e>
                      <m:sub>
                        <m:box>
                          <m:e>
                            <m:r>
                              <m:rPr>
                                <m:sty m:val="i"/>
                              </m:rPr>
                              <m:t>m</m:t>
                            </m:r>
                          </m:e>
                        </m:box>
                      </m:sub>
                    </m:sSub>
                    <m:r>
                      <m:rPr>
                        <m:sty m:val="p"/>
                      </m:rPr>
                      <m:t>)</m:t>
                    </m:r>
                    <m:r>
                      <m:rPr>
                        <m:sty m:val="p"/>
                      </m:rPr>
                      <m:t>−</m:t>
                    </m:r>
                    <m:sSub>
                      <m:e>
                        <m:r>
                          <m:rPr>
                            <m:sty m:val="i"/>
                          </m:rPr>
                          <m:t>x</m:t>
                        </m:r>
                      </m:e>
                      <m:sub>
                        <m:box>
                          <m:e>
                            <m:r>
                              <m:rPr>
                                <m:sty m:val="i"/>
                              </m:rPr>
                              <m:t>m</m:t>
                            </m:r>
                            <m:r>
                              <m:rPr>
                                <m:sty m:val="i"/>
                              </m:rPr>
                              <m:t>i</m:t>
                            </m:r>
                            <m:r>
                              <m:rPr>
                                <m:sty m:val="i"/>
                              </m:rPr>
                              <m:t>t</m:t>
                            </m:r>
                          </m:e>
                        </m:box>
                      </m:sub>
                    </m:sSub>
                  </m:e>
                </m:box>
              </m:num>
              <m:den>
                <m:box>
                  <m:e>
                    <m:r>
                      <m:rPr>
                        <m:sty m:val="p"/>
                      </m:rPr>
                      <m:t>max</m:t>
                    </m:r>
                    <m:r>
                      <m:rPr>
                        <m:sty m:val="p"/>
                      </m:rPr>
                      <m:t>(</m:t>
                    </m:r>
                    <m:sSub>
                      <m:e>
                        <m:r>
                          <m:rPr>
                            <m:sty m:val="i"/>
                          </m:rPr>
                          <m:t>x</m:t>
                        </m:r>
                      </m:e>
                      <m:sub>
                        <m:box>
                          <m:e>
                            <m:r>
                              <m:rPr>
                                <m:sty m:val="i"/>
                              </m:rPr>
                              <m:t>m</m:t>
                            </m:r>
                          </m:e>
                        </m:box>
                      </m:sub>
                    </m:sSub>
                    <m:r>
                      <m:rPr>
                        <m:sty m:val="p"/>
                      </m:rPr>
                      <m:t>)</m:t>
                    </m:r>
                    <m:r>
                      <m:rPr>
                        <m:sty m:val="p"/>
                      </m:rPr>
                      <m:t>−</m:t>
                    </m:r>
                    <m:r>
                      <m:rPr>
                        <m:sty m:val="p"/>
                      </m:rPr>
                      <m:t>min</m:t>
                    </m:r>
                    <m:r>
                      <m:rPr>
                        <m:sty m:val="p"/>
                      </m:rPr>
                      <m:t>(</m:t>
                    </m:r>
                    <m:sSub>
                      <m:e>
                        <m:r>
                          <m:rPr>
                            <m:sty m:val="i"/>
                          </m:rPr>
                          <m:t>x</m:t>
                        </m:r>
                      </m:e>
                      <m:sub>
                        <m:box>
                          <m:e>
                            <m:r>
                              <m:rPr>
                                <m:sty m:val="i"/>
                              </m:rPr>
                              <m:t>m</m:t>
                            </m:r>
                          </m:e>
                        </m:box>
                      </m:sub>
                    </m:sSub>
                    <m:r>
                      <m:rPr>
                        <m:sty m:val="p"/>
                      </m:rPr>
                      <m:t>)</m:t>
                    </m:r>
                  </m:e>
                </m:box>
              </m:den>
            </m:f>
          </m:e>
        </m:box>
      </m:oMath>
      <w:r>
        <w:rPr>
          <w:rFonts w:ascii="Times New Roman" w:hAnsi="Times New Roman" w:eastAsia="宋体"/>
          <w:b w:val="0"/>
          <w:sz w:val="24"/>
        </w:rPr>
        <w:tab/>
        <w:t>(6-6)</w:t>
      </w:r>
    </w:p>
    <w:p>
      <w:pPr>
        <w:spacing w:before="0" w:after="0" w:line="360" w:lineRule="auto"/>
        <w:ind w:firstLineChars="200" w:firstLine="480"/>
      </w:pPr>
      <w:r>
        <w:rPr>
          <w:rFonts w:ascii="Times New Roman" w:hAnsi="Times New Roman" w:eastAsia="宋体"/>
          <w:b w:val="0"/>
          <w:sz w:val="24"/>
        </w:rPr>
        <w:t>其中</w:t>
      </w:r>
      <m:oMath>
        <m:box>
          <m:e>
            <m:sSub>
              <m:e>
                <m:r>
                  <m:rPr>
                    <m:sty m:val="i"/>
                  </m:rPr>
                  <m:t>x</m:t>
                </m:r>
              </m:e>
              <m:sub>
                <m:box>
                  <m:e>
                    <m:r>
                      <m:rPr>
                        <m:sty m:val="i"/>
                      </m:rPr>
                      <m:t>m</m:t>
                    </m:r>
                    <m:r>
                      <m:rPr>
                        <m:sty m:val="i"/>
                      </m:rPr>
                      <m:t>i</m:t>
                    </m:r>
                    <m:r>
                      <m:rPr>
                        <m:sty m:val="i"/>
                      </m:rPr>
                      <m:t>t</m:t>
                    </m:r>
                  </m:e>
                </m:box>
              </m:sub>
            </m:sSub>
          </m:e>
        </m:box>
      </m:oMath>
      <w:r>
        <w:rPr>
          <w:rFonts w:ascii="Times New Roman" w:hAnsi="Times New Roman" w:eastAsia="宋体"/>
          <w:b w:val="0"/>
          <w:sz w:val="24"/>
        </w:rPr>
        <w:t>为省份</w:t>
      </w:r>
      <m:oMath>
        <m:box>
          <m:e>
            <m:r>
              <m:rPr>
                <m:sty m:val="i"/>
              </m:rPr>
              <m:t>i</m:t>
            </m:r>
          </m:e>
        </m:box>
      </m:oMath>
      <w:r>
        <w:rPr>
          <w:rFonts w:ascii="Times New Roman" w:hAnsi="Times New Roman" w:eastAsia="宋体"/>
          <w:b w:val="0"/>
          <w:sz w:val="24"/>
        </w:rPr>
        <w:t>第</w:t>
      </w:r>
      <m:oMath>
        <m:box>
          <m:e>
            <m:r>
              <m:rPr>
                <m:sty m:val="i"/>
              </m:rPr>
              <m:t>t</m:t>
            </m:r>
          </m:e>
        </m:box>
      </m:oMath>
      <w:r>
        <w:rPr>
          <w:rFonts w:ascii="Times New Roman" w:hAnsi="Times New Roman" w:eastAsia="宋体"/>
          <w:b w:val="0"/>
          <w:sz w:val="24"/>
        </w:rPr>
        <w:t>年第</w:t>
      </w:r>
      <m:oMath>
        <m:box>
          <m:e>
            <m:r>
              <m:rPr>
                <m:sty m:val="i"/>
              </m:rPr>
              <m:t>m</m:t>
            </m:r>
          </m:e>
        </m:box>
      </m:oMath>
      <w:r>
        <w:rPr>
          <w:rFonts w:ascii="Times New Roman" w:hAnsi="Times New Roman" w:eastAsia="宋体"/>
          <w:b w:val="0"/>
          <w:sz w:val="24"/>
        </w:rPr>
        <w:t>项基础指标的原始值（</w:t>
      </w:r>
      <m:oMath>
        <m:box>
          <m:e>
            <m:r>
              <m:rPr>
                <m:sty m:val="i"/>
              </m:rPr>
              <m:t>m</m:t>
            </m:r>
            <m:r>
              <m:rPr>
                <m:sty m:val="p"/>
              </m:rPr>
              <m:t>=</m:t>
            </m:r>
            <m:r>
              <m:rPr>
                <m:sty m:val="p"/>
              </m:rPr>
              <m:t>1</m:t>
            </m:r>
            <m:r>
              <m:rPr>
                <m:sty m:val="p"/>
              </m:rPr>
              <m:t>,</m:t>
            </m:r>
            <m:r>
              <m:rPr>
                <m:sty m:val="p"/>
              </m:rPr>
              <m:t>2</m:t>
            </m:r>
            <m:r>
              <m:rPr>
                <m:sty m:val="p"/>
              </m:rPr>
              <m:t>,</m:t>
            </m:r>
            <m:r>
              <m:rPr>
                <m:sty m:val="p"/>
              </m:rPr>
              <m:t>⋯</m:t>
            </m:r>
            <m:r>
              <m:rPr>
                <m:sty m:val="p"/>
              </m:rPr>
              <m:t>,</m:t>
            </m:r>
            <m:r>
              <m:rPr>
                <m:sty m:val="p"/>
              </m:rPr>
              <m:t>14</m:t>
            </m:r>
          </m:e>
        </m:box>
      </m:oMath>
      <w:r>
        <w:rPr>
          <w:rFonts w:ascii="Times New Roman" w:hAnsi="Times New Roman" w:eastAsia="宋体"/>
          <w:b w:val="0"/>
          <w:sz w:val="24"/>
        </w:rPr>
        <w:t>），</w:t>
      </w:r>
      <m:oMath>
        <m:box>
          <m:e>
            <m:r>
              <m:rPr>
                <m:sty m:val="p"/>
              </m:rPr>
              <m:t>max</m:t>
            </m:r>
            <m:r>
              <m:rPr>
                <m:sty m:val="p"/>
              </m:rPr>
              <m:t>(</m:t>
            </m:r>
            <m:sSub>
              <m:e>
                <m:r>
                  <m:rPr>
                    <m:sty m:val="i"/>
                  </m:rPr>
                  <m:t>x</m:t>
                </m:r>
              </m:e>
              <m:sub>
                <m:box>
                  <m:e>
                    <m:r>
                      <m:rPr>
                        <m:sty m:val="i"/>
                      </m:rPr>
                      <m:t>m</m:t>
                    </m:r>
                  </m:e>
                </m:box>
              </m:sub>
            </m:sSub>
            <m:r>
              <m:rPr>
                <m:sty m:val="p"/>
              </m:rPr>
              <m:t>)</m:t>
            </m:r>
          </m:e>
        </m:box>
      </m:oMath>
      <w:r>
        <w:rPr>
          <w:rFonts w:ascii="Times New Roman" w:hAnsi="Times New Roman" w:eastAsia="宋体"/>
          <w:b w:val="0"/>
          <w:sz w:val="24"/>
        </w:rPr>
        <w:t>与</w:t>
      </w:r>
      <m:oMath>
        <m:box>
          <m:e>
            <m:r>
              <m:rPr>
                <m:sty m:val="p"/>
              </m:rPr>
              <m:t>min</m:t>
            </m:r>
            <m:r>
              <m:rPr>
                <m:sty m:val="p"/>
              </m:rPr>
              <m:t>(</m:t>
            </m:r>
            <m:sSub>
              <m:e>
                <m:r>
                  <m:rPr>
                    <m:sty m:val="i"/>
                  </m:rPr>
                  <m:t>x</m:t>
                </m:r>
              </m:e>
              <m:sub>
                <m:box>
                  <m:e>
                    <m:r>
                      <m:rPr>
                        <m:sty m:val="i"/>
                      </m:rPr>
                      <m:t>m</m:t>
                    </m:r>
                  </m:e>
                </m:box>
              </m:sub>
            </m:sSub>
            <m:r>
              <m:rPr>
                <m:sty m:val="p"/>
              </m:rPr>
              <m:t>)</m:t>
            </m:r>
          </m:e>
        </m:box>
      </m:oMath>
      <w:r>
        <w:rPr>
          <w:rFonts w:ascii="Times New Roman" w:hAnsi="Times New Roman" w:eastAsia="宋体"/>
          <w:b w:val="0"/>
          <w:sz w:val="24"/>
        </w:rPr>
        <w:t>为该指标在全部省份—年份样本上的最大值与最小值；标准化在全样本上进行而非分年进行，以保证指数的跨期可比性。记标准化后（为避免取对数时出现零值，统一加平移量0.0001）的指标值为</w:t>
      </w:r>
      <m:oMath>
        <m:box>
          <m:e>
            <m:sSub>
              <m:e>
                <m:limUpp>
                  <m:e>
                    <m:box>
                      <m:e>
                        <m:r>
                          <m:rPr>
                            <m:sty m:val="i"/>
                          </m:rPr>
                          <m:t>x</m:t>
                        </m:r>
                      </m:e>
                    </m:box>
                  </m:e>
                  <m:lim>
                    <m:r>
                      <m:rPr>
                        <m:sty m:val="p"/>
                      </m:rPr>
                      <m:t>~</m:t>
                    </m:r>
                  </m:lim>
                </m:limUpp>
              </m:e>
              <m:sub>
                <m:box>
                  <m:e>
                    <m:r>
                      <m:rPr>
                        <m:sty m:val="i"/>
                      </m:rPr>
                      <m:t>m</m:t>
                    </m:r>
                    <m:r>
                      <m:rPr>
                        <m:sty m:val="i"/>
                      </m:rPr>
                      <m:t>i</m:t>
                    </m:r>
                    <m:r>
                      <m:rPr>
                        <m:sty m:val="i"/>
                      </m:rPr>
                      <m:t>t</m:t>
                    </m:r>
                  </m:e>
                </m:box>
              </m:sub>
            </m:sSub>
          </m:e>
        </m:box>
      </m:oMath>
      <w:r>
        <w:rPr>
          <w:rFonts w:ascii="Times New Roman" w:hAnsi="Times New Roman" w:eastAsia="宋体"/>
          <w:b w:val="0"/>
          <w:sz w:val="24"/>
        </w:rPr>
        <w:t>。第二步，计算第</w:t>
      </w:r>
      <m:oMath>
        <m:box>
          <m:e>
            <m:r>
              <m:rPr>
                <m:sty m:val="i"/>
              </m:rPr>
              <m:t>m</m:t>
            </m:r>
          </m:e>
        </m:box>
      </m:oMath>
      <w:r>
        <w:rPr>
          <w:rFonts w:ascii="Times New Roman" w:hAnsi="Times New Roman" w:eastAsia="宋体"/>
          <w:b w:val="0"/>
          <w:sz w:val="24"/>
        </w:rPr>
        <w:t>项指标下省份</w:t>
      </w:r>
      <m:oMath>
        <m:box>
          <m:e>
            <m:r>
              <m:rPr>
                <m:sty m:val="i"/>
              </m:rPr>
              <m:t>i</m:t>
            </m:r>
          </m:e>
        </m:box>
      </m:oMath>
      <w:r>
        <w:rPr>
          <w:rFonts w:ascii="Times New Roman" w:hAnsi="Times New Roman" w:eastAsia="宋体"/>
          <w:b w:val="0"/>
          <w:sz w:val="24"/>
        </w:rPr>
        <w:t>第</w:t>
      </w:r>
      <m:oMath>
        <m:box>
          <m:e>
            <m:r>
              <m:rPr>
                <m:sty m:val="i"/>
              </m:rPr>
              <m:t>t</m:t>
            </m:r>
          </m:e>
        </m:box>
      </m:oMath>
      <w:r>
        <w:rPr>
          <w:rFonts w:ascii="Times New Roman" w:hAnsi="Times New Roman" w:eastAsia="宋体"/>
          <w:b w:val="0"/>
          <w:sz w:val="24"/>
        </w:rPr>
        <w:t>年观测的比重（如式(6-7)所示）：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p</m:t>
                </m:r>
              </m:e>
              <m:sub>
                <m:box>
                  <m:e>
                    <m:r>
                      <m:rPr>
                        <m:sty m:val="i"/>
                      </m:rPr>
                      <m:t>m</m:t>
                    </m:r>
                    <m:r>
                      <m:rPr>
                        <m:sty m:val="i"/>
                      </m:rPr>
                      <m:t>i</m:t>
                    </m:r>
                    <m:r>
                      <m:rPr>
                        <m:sty m:val="i"/>
                      </m:rPr>
                      <m:t>t</m:t>
                    </m:r>
                  </m:e>
                </m:box>
              </m:sub>
            </m:sSub>
            <m:r>
              <m:rPr>
                <m:sty m:val="p"/>
              </m:rPr>
              <m:t>=</m:t>
            </m:r>
            <m:f>
              <m:num>
                <m:box>
                  <m:e>
                    <m:sSub>
                      <m:e>
                        <m:limUpp>
                          <m:e>
                            <m:box>
                              <m:e>
                                <m:r>
                                  <m:rPr>
                                    <m:sty m:val="i"/>
                                  </m:rPr>
                                  <m:t>x</m:t>
                                </m:r>
                              </m:e>
                            </m:box>
                          </m:e>
                          <m:lim>
                            <m:r>
                              <m:rPr>
                                <m:sty m:val="p"/>
                              </m:rPr>
                              <m:t>~</m:t>
                            </m:r>
                          </m:lim>
                        </m:limUpp>
                      </m:e>
                      <m:sub>
                        <m:box>
                          <m:e>
                            <m:r>
                              <m:rPr>
                                <m:sty m:val="i"/>
                              </m:rPr>
                              <m:t>m</m:t>
                            </m:r>
                            <m:r>
                              <m:rPr>
                                <m:sty m:val="i"/>
                              </m:rPr>
                              <m:t>i</m:t>
                            </m:r>
                            <m:r>
                              <m:rPr>
                                <m:sty m:val="i"/>
                              </m:rPr>
                              <m:t>t</m:t>
                            </m:r>
                          </m:e>
                        </m:box>
                      </m:sub>
                    </m:sSub>
                  </m:e>
                </m:box>
              </m:num>
              <m:den>
                <m:box>
                  <m:e>
                    <m:nary>
                      <m:naryPr>
                        <m:chr m:val="∑"/>
                        <m:limLoc m:val="undOvr"/>
                      </m:naryPr>
                      <m:sub>
                        <m:box>
                          <m:e>
                            <m:r>
                              <m:rPr>
                                <m:sty m:val="i"/>
                              </m:rPr>
                              <m:t>i</m:t>
                            </m:r>
                            <m:r>
                              <m:rPr>
                                <m:sty m:val="p"/>
                              </m:rPr>
                              <m:t>=</m:t>
                            </m:r>
                            <m:r>
                              <m:rPr>
                                <m:sty m:val="p"/>
                              </m:rPr>
                              <m:t>1</m:t>
                            </m:r>
                          </m:e>
                        </m:box>
                      </m:sub>
                      <m:sup>
                        <m:box>
                          <m:e>
                            <m:r>
                              <m:rPr>
                                <m:sty m:val="p"/>
                              </m:rPr>
                              <m:t>31</m:t>
                            </m:r>
                          </m:e>
                        </m:box>
                      </m:sup>
                      <m:e>
                        <m:nary>
                          <m:naryPr>
                            <m:chr m:val="∑"/>
                            <m:limLoc m:val="undOvr"/>
                          </m:naryPr>
                          <m:sub>
                            <m:box>
                              <m:e>
                                <m:r>
                                  <m:rPr>
                                    <m:sty m:val="i"/>
                                  </m:rPr>
                                  <m:t>t</m:t>
                                </m:r>
                                <m:r>
                                  <m:rPr>
                                    <m:sty m:val="p"/>
                                  </m:rPr>
                                  <m:t>=</m:t>
                                </m:r>
                                <m:r>
                                  <m:rPr>
                                    <m:sty m:val="p"/>
                                  </m:rPr>
                                  <m:t>1</m:t>
                                </m:r>
                              </m:e>
                            </m:box>
                          </m:sub>
                          <m:sup>
                            <m:box>
                              <m:e>
                                <m:r>
                                  <m:rPr>
                                    <m:sty m:val="p"/>
                                  </m:rPr>
                                  <m:t>13</m:t>
                                </m:r>
                              </m:e>
                            </m:box>
                          </m:sup>
                          <m:e>
                            <m:sSub>
                              <m:e>
                                <m:limUpp>
                                  <m:e>
                                    <m:box>
                                      <m:e>
                                        <m:r>
                                          <m:rPr>
                                            <m:sty m:val="i"/>
                                          </m:rPr>
                                          <m:t>x</m:t>
                                        </m:r>
                                      </m:e>
                                    </m:box>
                                  </m:e>
                                  <m:lim>
                                    <m:r>
                                      <m:rPr>
                                        <m:sty m:val="p"/>
                                      </m:rPr>
                                      <m:t>~</m:t>
                                    </m:r>
                                  </m:lim>
                                </m:limUpp>
                              </m:e>
                              <m:sub>
                                <m:box>
                                  <m:e>
                                    <m:r>
                                      <m:rPr>
                                        <m:sty m:val="i"/>
                                      </m:rPr>
                                      <m:t>m</m:t>
                                    </m:r>
                                    <m:r>
                                      <m:rPr>
                                        <m:sty m:val="i"/>
                                      </m:rPr>
                                      <m:t>i</m:t>
                                    </m:r>
                                    <m:r>
                                      <m:rPr>
                                        <m:sty m:val="i"/>
                                      </m:rPr>
                                      <m:t>t</m:t>
                                    </m:r>
                                  </m:e>
                                </m:box>
                              </m:sub>
                            </m:sSub>
                          </m:e>
                        </m:nary>
                      </m:e>
                    </m:nary>
                  </m:e>
                </m:box>
              </m:den>
            </m:f>
          </m:e>
        </m:box>
      </m:oMath>
      <w:r>
        <w:rPr>
          <w:rFonts w:ascii="Times New Roman" w:hAnsi="Times New Roman" w:eastAsia="宋体"/>
          <w:b w:val="0"/>
          <w:sz w:val="24"/>
        </w:rPr>
        <w:tab/>
        <w:t>(6-7)</w:t>
      </w:r>
    </w:p>
    <w:p>
      <w:pPr>
        <w:spacing w:before="0" w:after="0" w:line="360" w:lineRule="auto"/>
        <w:ind w:firstLineChars="200" w:firstLine="480"/>
      </w:pPr>
      <w:r>
        <w:rPr>
          <w:rFonts w:ascii="Times New Roman" w:hAnsi="Times New Roman" w:eastAsia="宋体"/>
          <w:b w:val="0"/>
          <w:sz w:val="24"/>
        </w:rPr>
        <w:t>第三步，计算第</w:t>
      </w:r>
      <m:oMath>
        <m:box>
          <m:e>
            <m:r>
              <m:rPr>
                <m:sty m:val="i"/>
              </m:rPr>
              <m:t>m</m:t>
            </m:r>
          </m:e>
        </m:box>
      </m:oMath>
      <w:r>
        <w:rPr>
          <w:rFonts w:ascii="Times New Roman" w:hAnsi="Times New Roman" w:eastAsia="宋体"/>
          <w:b w:val="0"/>
          <w:sz w:val="24"/>
        </w:rPr>
        <w:t>项指标的信息熵（如式(6-8)所示）：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e</m:t>
                </m:r>
              </m:e>
              <m:sub>
                <m:box>
                  <m:e>
                    <m:r>
                      <m:rPr>
                        <m:sty m:val="i"/>
                      </m:rPr>
                      <m:t>m</m:t>
                    </m:r>
                  </m:e>
                </m:box>
              </m:sub>
            </m:sSub>
            <m:r>
              <m:rPr>
                <m:sty m:val="p"/>
              </m:rPr>
              <m:t>=</m:t>
            </m:r>
            <m:r>
              <m:rPr>
                <m:sty m:val="p"/>
              </m:rPr>
              <m:t>−</m:t>
            </m:r>
            <m:f>
              <m:num>
                <m:box>
                  <m:e>
                    <m:r>
                      <m:rPr>
                        <m:sty m:val="p"/>
                      </m:rPr>
                      <m:t>1</m:t>
                    </m:r>
                  </m:e>
                </m:box>
              </m:num>
              <m:den>
                <m:box>
                  <m:e>
                    <m:r>
                      <m:rPr>
                        <m:sty m:val="p"/>
                      </m:rPr>
                      <m:t>ln</m:t>
                    </m:r>
                    <m:r>
                      <m:rPr>
                        <m:sty m:val="p"/>
                      </m:rPr>
                      <m:t>(</m:t>
                    </m:r>
                    <m:r>
                      <m:rPr>
                        <m:sty m:val="p"/>
                      </m:rPr>
                      <m:t>31</m:t>
                    </m:r>
                    <m:r>
                      <m:rPr>
                        <m:sty m:val="p"/>
                      </m:rPr>
                      <m:t>×</m:t>
                    </m:r>
                    <m:r>
                      <m:rPr>
                        <m:sty m:val="p"/>
                      </m:rPr>
                      <m:t>13</m:t>
                    </m:r>
                    <m:r>
                      <m:rPr>
                        <m:sty m:val="p"/>
                      </m:rPr>
                      <m:t>)</m:t>
                    </m:r>
                  </m:e>
                </m:box>
              </m:den>
            </m:f>
            <m:nary>
              <m:naryPr>
                <m:chr m:val="∑"/>
                <m:limLoc m:val="undOvr"/>
              </m:naryPr>
              <m:sub>
                <m:box>
                  <m:e>
                    <m:r>
                      <m:rPr>
                        <m:sty m:val="i"/>
                      </m:rPr>
                      <m:t>i</m:t>
                    </m:r>
                    <m:r>
                      <m:rPr>
                        <m:sty m:val="p"/>
                      </m:rPr>
                      <m:t>=</m:t>
                    </m:r>
                    <m:r>
                      <m:rPr>
                        <m:sty m:val="p"/>
                      </m:rPr>
                      <m:t>1</m:t>
                    </m:r>
                  </m:e>
                </m:box>
              </m:sub>
              <m:sup>
                <m:box>
                  <m:e>
                    <m:r>
                      <m:rPr>
                        <m:sty m:val="p"/>
                      </m:rPr>
                      <m:t>31</m:t>
                    </m:r>
                  </m:e>
                </m:box>
              </m:sup>
              <m:e>
                <m:nary>
                  <m:naryPr>
                    <m:chr m:val="∑"/>
                    <m:limLoc m:val="undOvr"/>
                  </m:naryPr>
                  <m:sub>
                    <m:box>
                      <m:e>
                        <m:r>
                          <m:rPr>
                            <m:sty m:val="i"/>
                          </m:rPr>
                          <m:t>t</m:t>
                        </m:r>
                        <m:r>
                          <m:rPr>
                            <m:sty m:val="p"/>
                          </m:rPr>
                          <m:t>=</m:t>
                        </m:r>
                        <m:r>
                          <m:rPr>
                            <m:sty m:val="p"/>
                          </m:rPr>
                          <m:t>1</m:t>
                        </m:r>
                      </m:e>
                    </m:box>
                  </m:sub>
                  <m:sup>
                    <m:box>
                      <m:e>
                        <m:r>
                          <m:rPr>
                            <m:sty m:val="p"/>
                          </m:rPr>
                          <m:t>13</m:t>
                        </m:r>
                      </m:e>
                    </m:box>
                  </m:sup>
                  <m:e>
                    <m:sSub>
                      <m:e>
                        <m:r>
                          <m:rPr>
                            <m:sty m:val="i"/>
                          </m:rPr>
                          <m:t>p</m:t>
                        </m:r>
                      </m:e>
                      <m:sub>
                        <m:box>
                          <m:e>
                            <m:r>
                              <m:rPr>
                                <m:sty m:val="i"/>
                              </m:rPr>
                              <m:t>m</m:t>
                            </m:r>
                            <m:r>
                              <m:rPr>
                                <m:sty m:val="i"/>
                              </m:rPr>
                              <m:t>i</m:t>
                            </m:r>
                            <m:r>
                              <m:rPr>
                                <m:sty m:val="i"/>
                              </m:rPr>
                              <m:t>t</m:t>
                            </m:r>
                          </m:e>
                        </m:box>
                      </m:sub>
                    </m:sSub>
                    <m:r>
                      <m:rPr>
                        <m:sty m:val="p"/>
                      </m:rPr>
                      <m:t>ln</m:t>
                    </m:r>
                    <m:sSub>
                      <m:e>
                        <m:r>
                          <m:rPr>
                            <m:sty m:val="i"/>
                          </m:rPr>
                          <m:t>p</m:t>
                        </m:r>
                      </m:e>
                      <m:sub>
                        <m:box>
                          <m:e>
                            <m:r>
                              <m:rPr>
                                <m:sty m:val="i"/>
                              </m:rPr>
                              <m:t>m</m:t>
                            </m:r>
                            <m:r>
                              <m:rPr>
                                <m:sty m:val="i"/>
                              </m:rPr>
                              <m:t>i</m:t>
                            </m:r>
                            <m:r>
                              <m:rPr>
                                <m:sty m:val="i"/>
                              </m:rPr>
                              <m:t>t</m:t>
                            </m:r>
                          </m:e>
                        </m:box>
                      </m:sub>
                    </m:sSub>
                  </m:e>
                </m:nary>
              </m:e>
            </m:nary>
          </m:e>
        </m:box>
      </m:oMath>
      <w:r>
        <w:rPr>
          <w:rFonts w:ascii="Times New Roman" w:hAnsi="Times New Roman" w:eastAsia="宋体"/>
          <w:b w:val="0"/>
          <w:sz w:val="24"/>
        </w:rPr>
        <w:tab/>
        <w:t>(6-8)</w:t>
      </w:r>
    </w:p>
    <w:p>
      <w:pPr>
        <w:spacing w:before="0" w:after="0" w:line="360" w:lineRule="auto"/>
        <w:ind w:firstLineChars="200" w:firstLine="480"/>
      </w:pPr>
      <w:r>
        <w:rPr>
          <w:rFonts w:ascii="Times New Roman" w:hAnsi="Times New Roman" w:eastAsia="宋体"/>
          <w:b w:val="0"/>
          <w:sz w:val="24"/>
        </w:rPr>
        <w:t>信息熵</w:t>
      </w:r>
      <m:oMath>
        <m:box>
          <m:e>
            <m:sSub>
              <m:e>
                <m:r>
                  <m:rPr>
                    <m:sty m:val="i"/>
                  </m:rPr>
                  <m:t>e</m:t>
                </m:r>
              </m:e>
              <m:sub>
                <m:box>
                  <m:e>
                    <m:r>
                      <m:rPr>
                        <m:sty m:val="i"/>
                      </m:rPr>
                      <m:t>m</m:t>
                    </m:r>
                  </m:e>
                </m:box>
              </m:sub>
            </m:sSub>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，指标取值分布越均匀，熵越接近1，该指标区分“内卷”程度高低的能力越弱。第四步，以冗余度</w:t>
      </w:r>
      <m:oMath>
        <m:box>
          <m:e>
            <m:r>
              <m:rPr>
                <m:sty m:val="p"/>
              </m:rPr>
              <m:t>1</m:t>
            </m:r>
            <m:r>
              <m:rPr>
                <m:sty m:val="p"/>
              </m:rPr>
              <m:t>−</m:t>
            </m:r>
            <m:sSub>
              <m:e>
                <m:r>
                  <m:rPr>
                    <m:sty m:val="i"/>
                  </m:rPr>
                  <m:t>e</m:t>
                </m:r>
              </m:e>
              <m:sub>
                <m:box>
                  <m:e>
                    <m:r>
                      <m:rPr>
                        <m:sty m:val="i"/>
                      </m:rPr>
                      <m:t>m</m:t>
                    </m:r>
                  </m:e>
                </m:box>
              </m:sub>
            </m:sSub>
          </m:e>
        </m:box>
      </m:oMath>
      <w:r>
        <w:rPr>
          <w:rFonts w:ascii="Times New Roman" w:hAnsi="Times New Roman" w:eastAsia="宋体"/>
          <w:b w:val="0"/>
          <w:sz w:val="24"/>
        </w:rPr>
        <w:t>定权并线性合成（如式(6-9)所示）：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w</m:t>
                </m:r>
              </m:e>
              <m:sub>
                <m:box>
                  <m:e>
                    <m:r>
                      <m:rPr>
                        <m:sty m:val="i"/>
                      </m:rPr>
                      <m:t>m</m:t>
                    </m:r>
                  </m:e>
                </m:box>
              </m:sub>
            </m:sSub>
            <m:r>
              <m:rPr>
                <m:sty m:val="p"/>
              </m:rPr>
              <m:t>=</m:t>
            </m:r>
            <m:f>
              <m:num>
                <m:box>
                  <m:e>
                    <m:r>
                      <m:rPr>
                        <m:sty m:val="p"/>
                      </m:rPr>
                      <m:t>1</m:t>
                    </m:r>
                    <m:r>
                      <m:rPr>
                        <m:sty m:val="p"/>
                      </m:rPr>
                      <m:t>−</m:t>
                    </m:r>
                    <m:sSub>
                      <m:e>
                        <m:r>
                          <m:rPr>
                            <m:sty m:val="i"/>
                          </m:rPr>
                          <m:t>e</m:t>
                        </m:r>
                      </m:e>
                      <m:sub>
                        <m:box>
                          <m:e>
                            <m:r>
                              <m:rPr>
                                <m:sty m:val="i"/>
                              </m:rPr>
                              <m:t>m</m:t>
                            </m:r>
                          </m:e>
                        </m:box>
                      </m:sub>
                    </m:sSub>
                  </m:e>
                </m:box>
              </m:num>
              <m:den>
                <m:box>
                  <m:e>
                    <m:nary>
                      <m:naryPr>
                        <m:chr m:val="∑"/>
                        <m:limLoc m:val="undOvr"/>
                      </m:naryPr>
                      <m:sub>
                        <m:box>
                          <m:e>
                            <m:sSup>
                              <m:e>
                                <m:r>
                                  <m:rPr>
                                    <m:sty m:val="i"/>
                                  </m:rPr>
                                  <m:t>m</m:t>
                                </m:r>
                              </m:e>
                              <m:sup>
                                <m:r>
                                  <m:rPr>
                                    <m:sty m:val="i"/>
                                  </m:rPr>
                                  <m:t>′</m:t>
                                </m:r>
                              </m:sup>
                            </m:sSup>
                            <m:r>
                              <m:rPr>
                                <m:sty m:val="p"/>
                              </m:rPr>
                              <m:t>=</m:t>
                            </m:r>
                            <m:r>
                              <m:rPr>
                                <m:sty m:val="p"/>
                              </m:rPr>
                              <m:t>1</m:t>
                            </m:r>
                          </m:e>
                        </m:box>
                      </m:sub>
                      <m:sup>
                        <m:box>
                          <m:e>
                            <m:r>
                              <m:rPr>
                                <m:sty m:val="p"/>
                              </m:rPr>
                              <m:t>14</m:t>
                            </m:r>
                          </m:e>
                        </m:box>
                      </m:sup>
                      <m:e>
                        <m:r>
                          <m:rPr>
                            <m:sty m:val="p"/>
                          </m:rPr>
                          <m:t>(</m:t>
                        </m:r>
                        <m:r>
                          <m:rPr>
                            <m:sty m:val="p"/>
                          </m:rPr>
                          <m:t>1</m:t>
                        </m:r>
                        <m:r>
                          <m:rPr>
                            <m:sty m:val="p"/>
                          </m:rPr>
                          <m:t>−</m:t>
                        </m:r>
                        <m:sSub>
                          <m:e>
                            <m:r>
                              <m:rPr>
                                <m:sty m:val="i"/>
                              </m:rPr>
                              <m:t>e</m:t>
                            </m:r>
                          </m:e>
                          <m:sub>
                            <m:box>
                              <m:e>
                                <m:sSup>
                                  <m:e>
                                    <m:r>
                                      <m:rPr>
                                        <m:sty m:val="i"/>
                                      </m:rPr>
                                      <m:t>m</m:t>
                                    </m:r>
                                  </m:e>
                                  <m:sup>
                                    <m:r>
                                      <m:rPr>
                                        <m:sty m:val="i"/>
                                      </m:rPr>
                                      <m:t>′</m:t>
                                    </m:r>
                                  </m:sup>
                                </m:sSup>
                              </m:e>
                            </m:box>
                          </m:sub>
                        </m:sSub>
                        <m:r>
                          <m:rPr>
                            <m:sty m:val="p"/>
                          </m:rPr>
                          <m:t>)</m:t>
                        </m:r>
                      </m:e>
                    </m:nary>
                  </m:e>
                </m:box>
              </m:den>
            </m:f>
            <m:r>
              <m:rPr>
                <m:sty m:val="p"/>
              </m:rPr>
              <m:t>,</m:t>
            </m:r>
            <m:r>
              <m:t/>
            </m:r>
            <m:r>
              <m:rPr>
                <m:sty m:val="i"/>
              </m:rPr>
              <m:t>I</m:t>
            </m:r>
            <m:r>
              <m:rPr>
                <m:sty m:val="i"/>
              </m:rPr>
              <m:t>n</m:t>
            </m:r>
            <m:sSub>
              <m:e>
                <m:r>
                  <m:rPr>
                    <m:sty m:val="i"/>
                  </m:rPr>
                  <m:t>v</m:t>
                </m:r>
              </m:e>
              <m:sub>
                <m:box>
                  <m:e>
                    <m:r>
                      <m:rPr>
                        <m:sty m:val="i"/>
                      </m:rPr>
                      <m:t>i</m:t>
                    </m:r>
                    <m:r>
                      <m:rPr>
                        <m:sty m:val="i"/>
                      </m:rPr>
                      <m:t>t</m:t>
                    </m:r>
                  </m:e>
                </m:box>
              </m:sub>
            </m:sSub>
            <m:r>
              <m:rPr>
                <m:sty m:val="p"/>
              </m:rPr>
              <m:t>=</m:t>
            </m:r>
            <m:nary>
              <m:naryPr>
                <m:chr m:val="∑"/>
                <m:limLoc m:val="undOvr"/>
              </m:naryPr>
              <m:sub>
                <m:box>
                  <m:e>
                    <m:r>
                      <m:rPr>
                        <m:sty m:val="i"/>
                      </m:rPr>
                      <m:t>m</m:t>
                    </m:r>
                    <m:r>
                      <m:rPr>
                        <m:sty m:val="p"/>
                      </m:rPr>
                      <m:t>=</m:t>
                    </m:r>
                    <m:r>
                      <m:rPr>
                        <m:sty m:val="p"/>
                      </m:rPr>
                      <m:t>1</m:t>
                    </m:r>
                  </m:e>
                </m:box>
              </m:sub>
              <m:sup>
                <m:box>
                  <m:e>
                    <m:r>
                      <m:rPr>
                        <m:sty m:val="p"/>
                      </m:rPr>
                      <m:t>14</m:t>
                    </m:r>
                  </m:e>
                </m:box>
              </m:sup>
              <m:e>
                <m:sSub>
                  <m:e>
                    <m:r>
                      <m:rPr>
                        <m:sty m:val="i"/>
                      </m:rPr>
                      <m:t>w</m:t>
                    </m:r>
                  </m:e>
                  <m:sub>
                    <m:box>
                      <m:e>
                        <m:r>
                          <m:rPr>
                            <m:sty m:val="i"/>
                          </m:rPr>
                          <m:t>m</m:t>
                        </m:r>
                      </m:e>
                    </m:box>
                  </m:sub>
                </m:sSub>
                <m:sSub>
                  <m:e>
                    <m:limUpp>
                      <m:e>
                        <m:box>
                          <m:e>
                            <m:r>
                              <m:rPr>
                                <m:sty m:val="i"/>
                              </m:rPr>
                              <m:t>x</m:t>
                            </m:r>
                          </m:e>
                        </m:box>
                      </m:e>
                      <m:lim>
                        <m:r>
                          <m:rPr>
                            <m:sty m:val="p"/>
                          </m:rPr>
                          <m:t>~</m:t>
                        </m:r>
                      </m:lim>
                    </m:limUpp>
                  </m:e>
                  <m:sub>
                    <m:box>
                      <m:e>
                        <m:r>
                          <m:rPr>
                            <m:sty m:val="i"/>
                          </m:rPr>
                          <m:t>m</m:t>
                        </m:r>
                        <m:r>
                          <m:rPr>
                            <m:sty m:val="i"/>
                          </m:rPr>
                          <m:t>i</m:t>
                        </m:r>
                        <m:r>
                          <m:rPr>
                            <m:sty m:val="i"/>
                          </m:rPr>
                          <m:t>t</m:t>
                        </m:r>
                      </m:e>
                    </m:box>
                  </m:sub>
                </m:sSub>
              </m:e>
            </m:nary>
          </m:e>
        </m:box>
      </m:oMath>
      <w:r>
        <w:rPr>
          <w:rFonts w:ascii="Times New Roman" w:hAnsi="Times New Roman" w:eastAsia="宋体"/>
          <w:b w:val="0"/>
          <w:sz w:val="24"/>
        </w:rPr>
        <w:tab/>
        <w:t>(6-9)</w:t>
      </w:r>
    </w:p>
    <w:p>
      <w:pPr>
        <w:spacing w:before="0" w:after="0" w:line="360" w:lineRule="auto"/>
        <w:ind w:firstLineChars="200" w:firstLine="480"/>
      </w:pPr>
      <w:r>
        <w:rPr>
          <w:rFonts w:ascii="Times New Roman" w:hAnsi="Times New Roman" w:eastAsia="宋体"/>
          <w:b w:val="0"/>
          <w:sz w:val="24"/>
        </w:rPr>
        <w:t>式(6-9)所得</w:t>
      </w:r>
      <m:oMath>
        <m:box>
          <m:e>
            <m:r>
              <m:rPr>
                <m:sty m:val="i"/>
              </m:rPr>
              <m:t>I</m:t>
            </m:r>
            <m:r>
              <m:rPr>
                <m:sty m:val="i"/>
              </m:rPr>
              <m:t>n</m:t>
            </m:r>
            <m:sSub>
              <m:e>
                <m:r>
                  <m:rPr>
                    <m:sty m:val="i"/>
                  </m:rPr>
                  <m:t>v</m:t>
                </m:r>
              </m:e>
              <m:sub>
                <m:box>
                  <m:e>
                    <m:r>
                      <m:rPr>
                        <m:sty m:val="i"/>
                      </m:rPr>
                      <m:t>i</m:t>
                    </m:r>
                    <m:r>
                      <m:rPr>
                        <m:sty m:val="i"/>
                      </m:rPr>
                      <m:t>t</m:t>
                    </m:r>
                  </m:e>
                </m:box>
              </m:sub>
            </m:sSub>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即省份</w:t>
      </w:r>
      <m:oMath>
        <m:box>
          <m:e>
            <m:r>
              <m:rPr>
                <m:sty m:val="i"/>
              </m:rPr>
              <m:t>i</m:t>
            </m:r>
          </m:e>
        </m:box>
      </m:oMath>
      <w:r>
        <w:rPr>
          <w:rFonts w:ascii="Times New Roman" w:hAnsi="Times New Roman" w:eastAsia="宋体"/>
          <w:b w:val="0"/>
          <w:sz w:val="24"/>
        </w:rPr>
        <w:t>第</w:t>
      </w:r>
      <m:oMath>
        <m:box>
          <m:e>
            <m:r>
              <m:rPr>
                <m:sty m:val="i"/>
              </m:rPr>
              <m:t>t</m:t>
            </m:r>
          </m:e>
        </m:box>
      </m:oMath>
      <w:r>
        <w:rPr>
          <w:rFonts w:ascii="Times New Roman" w:hAnsi="Times New Roman" w:eastAsia="宋体"/>
          <w:b w:val="0"/>
          <w:sz w:val="24"/>
        </w:rPr>
        <w:t>年的“内卷式竞争”强度指数，其形式正是第三章式(3-1)的操作化实现；表6.2权重列报告的即为</w:t>
      </w:r>
      <m:oMath>
        <m:box>
          <m:e>
            <m:sSub>
              <m:e>
                <m:r>
                  <m:rPr>
                    <m:sty m:val="i"/>
                  </m:rPr>
                  <m:t>w</m:t>
                </m:r>
              </m:e>
              <m:sub>
                <m:box>
                  <m:e>
                    <m:r>
                      <m:rPr>
                        <m:sty m:val="i"/>
                      </m:rPr>
                      <m:t>m</m:t>
                    </m:r>
                  </m:e>
                </m:box>
              </m:sub>
            </m:sSub>
          </m:e>
        </m:box>
      </m:oMath>
      <w:r>
        <w:rPr>
          <w:rFonts w:ascii="Times New Roman" w:hAnsi="Times New Roman" w:eastAsia="宋体"/>
          <w:b w:val="0"/>
          <w:sz w:val="24"/>
        </w:rPr>
        <w:t>的测算值。按此测算，全国“内卷”指数由2012年的0.352升至2024年的0.470，其间经历2015年前后的产能过剩高峰、供给侧结构性改革后的回落与2022年以来的快速攀升，完整序列及其与市场分割指数的联合演化见第七章。为检验合成方法的稳健性，本书还以等权重法与主成分法重新合成指数，三种方法所得指数的相关系数很高、省际排序基本一致，相关结果在第七章第五节与第八章稳健性检验中报告。此外，指数的效度还可以由外部事实交叉验证：样本期内指数攀升最陡的2022—2024年，正是第五章所刻画的光伏价格雪崩、汽车价格战白热化与PPI持续负增长集中出现的时段，指数的时序拐点与行业事件的时间线高度吻合；指数截面高值集中于产业结构偏重、退出机制偏弱的省份，也与典型化事实的区域画像一致。测度工具与观察事实的这种相互印证，为后续把该指数置于回归方程左端提供了信度基础。</w:t>
      </w:r>
    </w:p>
    <w:p>
      <w:pPr>
        <w:spacing w:before="160" w:after="120" w:line="360" w:lineRule="auto"/>
        <w:outlineLvl w:val="2"/>
      </w:pPr>
      <w:r>
        <w:rPr>
          <w:rFonts w:ascii="Times New Roman" w:hAnsi="Times New Roman" w:eastAsia="黑体"/>
          <w:b w:val="0"/>
          <w:sz w:val="24"/>
        </w:rPr>
        <w:t>3．统一大市场发展指数：四维18项指标简述</w:t>
      </w:r>
    </w:p>
    <w:p>
      <w:pPr>
        <w:spacing w:before="0" w:after="0" w:line="360" w:lineRule="auto"/>
        <w:ind w:firstLineChars="200" w:firstLine="480"/>
      </w:pPr>
      <w:r>
        <w:rPr>
          <w:rFonts w:ascii="Times New Roman" w:hAnsi="Times New Roman" w:eastAsia="宋体"/>
          <w:b w:val="0"/>
          <w:sz w:val="24"/>
        </w:rPr>
        <w:t>市场分割指数度量的是“破”的对象之存量，统一大市场发展指数度量的则是“立”的进展之增量，二者互为镜像而侧重不同：前者基于价格结果反推壁垒，后者基于制度与设施投入正向刻画建设水平。本书对标《中共中央 国务院关于加快建设全国统一大市场的意见》的“五统一”部署与《纲要》第十七章“坚决破除阻碍全国统一大市场建设卡点堵点，破除地方保护和市场分割，促进商品要素资源在更大范围内顺畅流动”的要求，从四个维度构建正向的统一大市场发展指数：一是市场基础制度维度（5项指标），涵盖市场准入负面清单落实与企业开办便利度、产权与知识产权保护力度、社会信用信息归集共享水平、破产审理效率与简易退出通道建设、政务诚信与合同履约环境；二是设施联通维度（4项指标），涵盖交通网络密度、社会物流费用率、信息基础设施水平与能源管网互联程度；三是要素流动维度（5项指标），涵盖劳动力跨省流动与户籍开放度、资本跨区配置、技术合同跨省成交、公共数据开放水平与工业用地市场化配置——要素市场化配置的制度进展对统一大市场具有基础性意义，也是现阶段与文献共识的突出短板（刘志彪、孔令池，2021）；四是监管统一维度（4项指标），涵盖公平竞争审查覆盖与刚性化程度、跨区域联合执法、标准一致性与监管处罚透明度。四维18项指标同样以熵权法合成，指数取值0—100。按此测算，全国统一大市场发展指数由2012年的45.1升至2024年的62.4，其中要素流动（54.3）与监管统一（55.6）两维得分明显低于市场基础制度（68.2）与设施联通（71.5），短板结构与《纲要》第十七章的部署重点高度吻合；分维度得分、区域比较与短板诊断详见第七章第四节。该指数在实证中承担两项职能：一是作为市场分割指数的正向参照，用于第七章的建设水平测度与诊断；二是在第九章作为辅助解释变量，检验统一大市场建设水平与“统一红利”释放的关联。</w:t>
      </w:r>
    </w:p>
    <w:p>
      <w:pPr>
        <w:spacing w:before="200" w:after="160" w:line="360" w:lineRule="auto"/>
        <w:outlineLvl w:val="1"/>
      </w:pPr>
      <w:r>
        <w:rPr>
          <w:rFonts w:ascii="Times New Roman" w:hAnsi="Times New Roman" w:eastAsia="黑体"/>
          <w:b w:val="0"/>
          <w:sz w:val="28"/>
        </w:rPr>
        <w:t>（三）计量模型设定</w:t>
      </w:r>
    </w:p>
    <w:p>
      <w:pPr>
        <w:spacing w:before="0" w:after="0" w:line="360" w:lineRule="auto"/>
        <w:ind w:firstLineChars="200" w:firstLine="480"/>
      </w:pPr>
      <w:r>
        <w:rPr>
          <w:rFonts w:ascii="Times New Roman" w:hAnsi="Times New Roman" w:eastAsia="宋体"/>
          <w:b w:val="0"/>
          <w:sz w:val="24"/>
        </w:rPr>
        <w:t>指标解决“测什么”的问题，模型解决“如何识别”的问题。本书实证部分面临的核心识别威胁有三：一是双向因果——分割可能催生“内卷”，而“内卷”加深后地方保护动机增强，也可能反过来加剧分割；二是遗漏变量——资源禀赋、产业基础、治理能力等难以观测的因素可能同时驱动分割与“内卷”；三是测量误差——任何指数化测度都带有噪声，可能造成系数向零的衰减偏误。为此，本书设计了“基准关联—机制分解—外生冲击—动态验证”四位一体的识别策略：以双固定效应面板回归建立稳健的条件关联，以两步法打开传导黑箱，以工具变量与公平竞争审查强度双重差分处理内生性，以事件研究与安慰剂检验验证识别假设。整体设计框架（见图6.1）呈现了从理论命题、研究假说到指标、模型与检验章节的完整对应关系。</w:t>
      </w:r>
    </w:p>
    <w:p>
      <w:pPr>
        <w:spacing w:before="120"/>
        <w:jc w:val="center"/>
      </w:pPr>
      <w:r>
        <w:drawing>
          <wp:inline xmlns:a="http://schemas.openxmlformats.org/drawingml/2006/main" xmlns:pic="http://schemas.openxmlformats.org/drawingml/2006/picture">
            <wp:extent cx="5112000" cy="3026258"/>
            <wp:docPr id="18" name="Picture 18"/>
            <wp:cNvGraphicFramePr>
              <a:graphicFrameLocks noChangeAspect="1"/>
            </wp:cNvGraphicFramePr>
            <a:graphic>
              <a:graphicData uri="http://schemas.openxmlformats.org/drawingml/2006/picture">
                <pic:pic>
                  <pic:nvPicPr>
                    <pic:cNvPr id="0" name="fig_6_1.png"/>
                    <pic:cNvPicPr/>
                  </pic:nvPicPr>
                  <pic:blipFill>
                    <a:blip r:embed="rId26"/>
                    <a:stretch>
                      <a:fillRect/>
                    </a:stretch>
                  </pic:blipFill>
                  <pic:spPr>
                    <a:xfrm>
                      <a:off x="0" y="0"/>
                      <a:ext cx="5112000" cy="3026258"/>
                    </a:xfrm>
                    <a:prstGeom prst="rect"/>
                  </pic:spPr>
                </pic:pic>
              </a:graphicData>
            </a:graphic>
          </wp:inline>
        </w:drawing>
      </w:r>
    </w:p>
    <w:p>
      <w:pPr>
        <w:spacing w:before="120" w:after="120" w:line="312" w:lineRule="auto"/>
        <w:jc w:val="center"/>
      </w:pPr>
      <w:r>
        <w:rPr>
          <w:rFonts w:ascii="Times New Roman" w:hAnsi="Times New Roman" w:eastAsia="黑体"/>
          <w:b w:val="0"/>
          <w:sz w:val="21"/>
        </w:rPr>
        <w:t>图6.1　实证研究总体设计框架</w:t>
      </w:r>
    </w:p>
    <w:p>
      <w:pPr>
        <w:spacing w:before="0" w:after="0" w:line="360" w:lineRule="auto"/>
        <w:ind w:firstLineChars="200" w:firstLine="480"/>
      </w:pPr>
      <w:r>
        <w:rPr>
          <w:rFonts w:ascii="Times New Roman" w:hAnsi="Times New Roman" w:eastAsia="宋体"/>
          <w:b w:val="0"/>
          <w:sz w:val="24"/>
        </w:rPr>
        <w:t>图6.1的结构分为三层：顶层是第四章导出的五个假说，按“分割→内卷”（H1—H3）与“统一→红利”（H4—H5）分列两翼；中层是本章第二节构建的三大指数与机制变量，标明每个假说所对应的被解释变量、核心解释变量与传导变量；底层是四类计量模型及其分工——基准固定效应模型对应H1，机制两步法对应H2、H3，强度双重差分与事件研究对应H4、H5，工具变量策略则作为横贯性的内生性防线服务于全部假说。三层之间的映射关系保证了每一个回归方程都有明确的理论出处、每一个理论命题都有对应的检验载体，避免实证结果与理论框架脱节。以下分别设定各模型。</w:t>
      </w:r>
    </w:p>
    <w:p>
      <w:pPr>
        <w:spacing w:before="160" w:after="120" w:line="360" w:lineRule="auto"/>
        <w:outlineLvl w:val="2"/>
      </w:pPr>
      <w:r>
        <w:rPr>
          <w:rFonts w:ascii="Times New Roman" w:hAnsi="Times New Roman" w:eastAsia="黑体"/>
          <w:b w:val="0"/>
          <w:sz w:val="24"/>
        </w:rPr>
        <w:t>1．基准面板固定效应模型</w:t>
      </w:r>
    </w:p>
    <w:p>
      <w:pPr>
        <w:spacing w:before="0" w:after="0" w:line="360" w:lineRule="auto"/>
        <w:ind w:firstLineChars="200" w:firstLine="480"/>
      </w:pPr>
      <w:r>
        <w:rPr>
          <w:rFonts w:ascii="Times New Roman" w:hAnsi="Times New Roman" w:eastAsia="宋体"/>
          <w:b w:val="0"/>
          <w:sz w:val="24"/>
        </w:rPr>
        <w:t>检验H1的基准方程为双固定效应面板模型（如式(6-10)所示）：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I</m:t>
            </m:r>
            <m:r>
              <m:rPr>
                <m:sty m:val="i"/>
              </m:rPr>
              <m:t>n</m:t>
            </m:r>
            <m:sSub>
              <m:e>
                <m:r>
                  <m:rPr>
                    <m:sty m:val="i"/>
                  </m:rPr>
                  <m:t>v</m:t>
                </m:r>
              </m:e>
              <m:sub>
                <m:box>
                  <m:e>
                    <m:r>
                      <m:rPr>
                        <m:sty m:val="i"/>
                      </m:rPr>
                      <m:t>i</m:t>
                    </m:r>
                    <m:r>
                      <m:rPr>
                        <m:sty m:val="i"/>
                      </m:rPr>
                      <m:t>t</m:t>
                    </m:r>
                  </m:e>
                </m:box>
              </m:sub>
            </m:sSub>
            <m:r>
              <m:rPr>
                <m:sty m:val="p"/>
              </m:rPr>
              <m:t>=</m:t>
            </m:r>
            <m:r>
              <m:rPr>
                <m:sty m:val="i"/>
              </m:rPr>
              <m:t>α</m:t>
            </m:r>
            <m:r>
              <m:rPr>
                <m:sty m:val="p"/>
              </m:rPr>
              <m:t>+</m:t>
            </m:r>
            <m:r>
              <m:rPr>
                <m:sty m:val="i"/>
              </m:rPr>
              <m:t>β</m:t>
            </m:r>
            <m:r>
              <m:rPr>
                <m:sty m:val="i"/>
              </m:rPr>
              <m:t>S</m:t>
            </m:r>
            <m:r>
              <m:rPr>
                <m:sty m:val="i"/>
              </m:rPr>
              <m:t>e</m:t>
            </m:r>
            <m:sSub>
              <m:e>
                <m:r>
                  <m:rPr>
                    <m:sty m:val="i"/>
                  </m:rPr>
                  <m:t>g</m:t>
                </m:r>
              </m:e>
              <m:sub>
                <m:box>
                  <m:e>
                    <m:r>
                      <m:rPr>
                        <m:sty m:val="i"/>
                      </m:rPr>
                      <m:t>i</m:t>
                    </m:r>
                    <m:r>
                      <m:rPr>
                        <m:sty m:val="i"/>
                      </m:rPr>
                      <m:t>t</m:t>
                    </m:r>
                  </m:e>
                </m:box>
              </m:sub>
            </m:sSub>
            <m:r>
              <m:rPr>
                <m:sty m:val="p"/>
              </m:rPr>
              <m:t>+</m:t>
            </m:r>
            <m:sSup>
              <m:e>
                <m:r>
                  <m:rPr>
                    <m:sty m:val="i"/>
                  </m:rPr>
                  <m:t>γ</m:t>
                </m:r>
              </m:e>
              <m:sup>
                <m:r>
                  <m:rPr>
                    <m:sty m:val="i"/>
                  </m:rPr>
                  <m:t>′</m:t>
                </m:r>
              </m:sup>
            </m:sSup>
            <m:sSub>
              <m:e>
                <m:r>
                  <m:rPr>
                    <m:sty m:val="i"/>
                  </m:rPr>
                  <m:t>X</m:t>
                </m:r>
              </m:e>
              <m:sub>
                <m:box>
                  <m:e>
                    <m:r>
                      <m:rPr>
                        <m:sty m:val="i"/>
                      </m:rPr>
                      <m:t>i</m:t>
                    </m:r>
                    <m:r>
                      <m:rPr>
                        <m:sty m:val="i"/>
                      </m:rPr>
                      <m:t>t</m:t>
                    </m:r>
                  </m:e>
                </m:box>
              </m:sub>
            </m:sSub>
            <m:r>
              <m:rPr>
                <m:sty m:val="p"/>
              </m:rPr>
              <m:t>+</m:t>
            </m:r>
            <m:sSub>
              <m:e>
                <m:r>
                  <m:rPr>
                    <m:sty m:val="i"/>
                  </m:rPr>
                  <m:t>μ</m:t>
                </m:r>
              </m:e>
              <m:sub>
                <m:box>
                  <m:e>
                    <m:r>
                      <m:rPr>
                        <m:sty m:val="i"/>
                      </m:rPr>
                      <m:t>i</m:t>
                    </m:r>
                  </m:e>
                </m:box>
              </m:sub>
            </m:sSub>
            <m:r>
              <m:rPr>
                <m:sty m:val="p"/>
              </m:rPr>
              <m:t>+</m:t>
            </m:r>
            <m:sSub>
              <m:e>
                <m:r>
                  <m:rPr>
                    <m:sty m:val="i"/>
                  </m:rPr>
                  <m:t>λ</m:t>
                </m:r>
              </m:e>
              <m:sub>
                <m:box>
                  <m:e>
                    <m:r>
                      <m:rPr>
                        <m:sty m:val="i"/>
                      </m:rPr>
                      <m:t>t</m:t>
                    </m:r>
                  </m:e>
                </m:box>
              </m:sub>
            </m:sSub>
            <m:r>
              <m:rPr>
                <m:sty m:val="p"/>
              </m:rPr>
              <m:t>+</m:t>
            </m:r>
            <m:sSub>
              <m:e>
                <m:r>
                  <m:rPr>
                    <m:sty m:val="i"/>
                  </m:rPr>
                  <m:t>ε</m:t>
                </m:r>
              </m:e>
              <m:sub>
                <m:box>
                  <m:e>
                    <m:r>
                      <m:rPr>
                        <m:sty m:val="i"/>
                      </m:rPr>
                      <m:t>i</m:t>
                    </m:r>
                    <m:r>
                      <m:rPr>
                        <m:sty m:val="i"/>
                      </m:rPr>
                      <m:t>t</m:t>
                    </m:r>
                  </m:e>
                </m:box>
              </m:sub>
            </m:sSub>
          </m:e>
        </m:box>
      </m:oMath>
      <w:r>
        <w:rPr>
          <w:rFonts w:ascii="Times New Roman" w:hAnsi="Times New Roman" w:eastAsia="宋体"/>
          <w:b w:val="0"/>
          <w:sz w:val="24"/>
        </w:rPr>
        <w:tab/>
        <w:t>(6-10)</w:t>
      </w:r>
    </w:p>
    <w:p>
      <w:pPr>
        <w:spacing w:before="0" w:after="0" w:line="360" w:lineRule="auto"/>
        <w:ind w:firstLineChars="200" w:firstLine="480"/>
      </w:pPr>
      <w:r>
        <w:rPr>
          <w:rFonts w:ascii="Times New Roman" w:hAnsi="Times New Roman" w:eastAsia="宋体"/>
          <w:b w:val="0"/>
          <w:sz w:val="24"/>
        </w:rPr>
        <w:t>其中</w:t>
      </w:r>
      <m:oMath>
        <m:box>
          <m:e>
            <m:r>
              <m:rPr>
                <m:sty m:val="i"/>
              </m:rPr>
              <m:t>I</m:t>
            </m:r>
            <m:r>
              <m:rPr>
                <m:sty m:val="i"/>
              </m:rPr>
              <m:t>n</m:t>
            </m:r>
            <m:sSub>
              <m:e>
                <m:r>
                  <m:rPr>
                    <m:sty m:val="i"/>
                  </m:rPr>
                  <m:t>v</m:t>
                </m:r>
              </m:e>
              <m:sub>
                <m:box>
                  <m:e>
                    <m:r>
                      <m:rPr>
                        <m:sty m:val="i"/>
                      </m:rPr>
                      <m:t>i</m:t>
                    </m:r>
                    <m:r>
                      <m:rPr>
                        <m:sty m:val="i"/>
                      </m:rPr>
                      <m:t>t</m:t>
                    </m:r>
                  </m:e>
                </m:box>
              </m:sub>
            </m:sSub>
          </m:e>
        </m:box>
      </m:oMath>
      <w:r>
        <w:rPr>
          <w:rFonts w:ascii="Times New Roman" w:hAnsi="Times New Roman" w:eastAsia="宋体"/>
          <w:b w:val="0"/>
          <w:sz w:val="24"/>
        </w:rPr>
        <w:t>为省份</w:t>
      </w:r>
      <m:oMath>
        <m:box>
          <m:e>
            <m:r>
              <m:rPr>
                <m:sty m:val="i"/>
              </m:rPr>
              <m:t>i</m:t>
            </m:r>
          </m:e>
        </m:box>
      </m:oMath>
      <w:r>
        <w:rPr>
          <w:rFonts w:ascii="Times New Roman" w:hAnsi="Times New Roman" w:eastAsia="宋体"/>
          <w:b w:val="0"/>
          <w:sz w:val="24"/>
        </w:rPr>
        <w:t>第</w:t>
      </w:r>
      <m:oMath>
        <m:box>
          <m:e>
            <m:r>
              <m:rPr>
                <m:sty m:val="i"/>
              </m:rPr>
              <m:t>t</m:t>
            </m:r>
          </m:e>
        </m:box>
      </m:oMath>
      <w:r>
        <w:rPr>
          <w:rFonts w:ascii="Times New Roman" w:hAnsi="Times New Roman" w:eastAsia="宋体"/>
          <w:b w:val="0"/>
          <w:sz w:val="24"/>
        </w:rPr>
        <w:t>年的“内卷式竞争”强度指数，</w:t>
      </w:r>
      <m:oMath>
        <m:box>
          <m:e>
            <m:r>
              <m:rPr>
                <m:sty m:val="i"/>
              </m:rPr>
              <m:t>S</m:t>
            </m:r>
            <m:r>
              <m:rPr>
                <m:sty m:val="i"/>
              </m:rPr>
              <m:t>e</m:t>
            </m:r>
            <m:sSub>
              <m:e>
                <m:r>
                  <m:rPr>
                    <m:sty m:val="i"/>
                  </m:rPr>
                  <m:t>g</m:t>
                </m:r>
              </m:e>
              <m:sub>
                <m:box>
                  <m:e>
                    <m:r>
                      <m:rPr>
                        <m:sty m:val="i"/>
                      </m:rPr>
                      <m:t>i</m:t>
                    </m:r>
                    <m:r>
                      <m:rPr>
                        <m:sty m:val="i"/>
                      </m:rPr>
                      <m:t>t</m:t>
                    </m:r>
                  </m:e>
                </m:box>
              </m:sub>
            </m:sSub>
          </m:e>
        </m:box>
      </m:oMath>
      <w:r>
        <w:rPr>
          <w:rFonts w:ascii="Times New Roman" w:hAnsi="Times New Roman" w:eastAsia="宋体"/>
          <w:b w:val="0"/>
          <w:sz w:val="24"/>
        </w:rPr>
        <w:t>为市场分割指数，</w:t>
      </w:r>
      <m:oMath>
        <m:box>
          <m:e>
            <m:r>
              <m:rPr>
                <m:sty m:val="i"/>
              </m:rPr>
              <m:t>β</m:t>
            </m:r>
          </m:e>
        </m:box>
      </m:oMath>
      <w:r>
        <w:rPr>
          <w:rFonts w:ascii="Times New Roman" w:hAnsi="Times New Roman" w:eastAsia="宋体"/>
          <w:b w:val="0"/>
          <w:sz w:val="24"/>
        </w:rPr>
        <w:t>为核心待估参数，H1预测</w:t>
      </w:r>
      <m:oMath>
        <m:box>
          <m:e>
            <m:r>
              <m:rPr>
                <m:sty m:val="i"/>
              </m:rPr>
              <m:t>β</m:t>
            </m:r>
            <m:r>
              <m:rPr>
                <m:sty m:val="p"/>
              </m:rPr>
              <m:t>&gt;</m:t>
            </m:r>
            <m:r>
              <m:rPr>
                <m:sty m:val="p"/>
              </m:rPr>
              <m:t>0</m:t>
            </m:r>
          </m:e>
        </m:box>
      </m:oMath>
      <w:r>
        <w:rPr>
          <w:rFonts w:ascii="Times New Roman" w:hAnsi="Times New Roman" w:eastAsia="宋体"/>
          <w:b w:val="0"/>
          <w:sz w:val="24"/>
        </w:rPr>
        <w:t>。</w:t>
      </w:r>
      <m:oMath>
        <m:box>
          <m:e>
            <m:sSub>
              <m:e>
                <m:r>
                  <m:rPr>
                    <m:sty m:val="i"/>
                  </m:rPr>
                  <m:t>X</m:t>
                </m:r>
              </m:e>
              <m:sub>
                <m:box>
                  <m:e>
                    <m:r>
                      <m:rPr>
                        <m:sty m:val="i"/>
                      </m:rPr>
                      <m:t>i</m:t>
                    </m:r>
                    <m:r>
                      <m:rPr>
                        <m:sty m:val="i"/>
                      </m:rPr>
                      <m:t>t</m:t>
                    </m:r>
                  </m:e>
                </m:box>
              </m:sub>
            </m:sSub>
          </m:e>
        </m:box>
      </m:oMath>
      <w:r>
        <w:rPr>
          <w:rFonts w:ascii="Times New Roman" w:hAnsi="Times New Roman" w:eastAsia="宋体"/>
          <w:b w:val="0"/>
          <w:sz w:val="24"/>
        </w:rPr>
        <w:t>为控制变量向量，包括人均GDP对数（lnpgdp，控制发展阶段差异）、第二产业占比（Ind2，控制产业结构——工业占比越高，价格与产能竞争的暴露面越大）、财政自给率（Fiscal，控制财政压力引致的地方干预动机）、对外开放度（Open，控制外需对内需竞争的分流）与城镇化率（Urban，控制本地市场规模与需求结构），</w:t>
      </w:r>
      <m:oMath>
        <m:box>
          <m:e>
            <m:sSup>
              <m:e>
                <m:r>
                  <m:rPr>
                    <m:sty m:val="i"/>
                  </m:rPr>
                  <m:t>γ</m:t>
                </m:r>
              </m:e>
              <m:sup>
                <m:r>
                  <m:rPr>
                    <m:sty m:val="i"/>
                  </m:rPr>
                  <m:t>′</m:t>
                </m:r>
              </m:sup>
            </m:sSup>
          </m:e>
        </m:box>
      </m:oMath>
      <w:r>
        <w:rPr>
          <w:rFonts w:ascii="Times New Roman" w:hAnsi="Times New Roman" w:eastAsia="宋体"/>
          <w:b w:val="0"/>
          <w:sz w:val="24"/>
        </w:rPr>
        <w:t>为相应系数向量。</w:t>
      </w:r>
      <m:oMath>
        <m:box>
          <m:e>
            <m:sSub>
              <m:e>
                <m:r>
                  <m:rPr>
                    <m:sty m:val="i"/>
                  </m:rPr>
                  <m:t>μ</m:t>
                </m:r>
              </m:e>
              <m:sub>
                <m:box>
                  <m:e>
                    <m:r>
                      <m:rPr>
                        <m:sty m:val="i"/>
                      </m:rPr>
                      <m:t>i</m:t>
                    </m:r>
                  </m:e>
                </m:box>
              </m:sub>
            </m:sSub>
          </m:e>
        </m:box>
      </m:oMath>
      <w:r>
        <w:rPr>
          <w:rFonts w:ascii="Times New Roman" w:hAnsi="Times New Roman" w:eastAsia="宋体"/>
          <w:b w:val="0"/>
          <w:sz w:val="24"/>
        </w:rPr>
        <w:t>为省份固定效应，吸收地理区位、资源禀赋、历史文化等不随时间变化的省份特征；</w:t>
      </w:r>
      <m:oMath>
        <m:box>
          <m:e>
            <m:sSub>
              <m:e>
                <m:r>
                  <m:rPr>
                    <m:sty m:val="i"/>
                  </m:rPr>
                  <m:t>λ</m:t>
                </m:r>
              </m:e>
              <m:sub>
                <m:box>
                  <m:e>
                    <m:r>
                      <m:rPr>
                        <m:sty m:val="i"/>
                      </m:rPr>
                      <m:t>t</m:t>
                    </m:r>
                  </m:e>
                </m:box>
              </m:sub>
            </m:sSub>
          </m:e>
        </m:box>
      </m:oMath>
      <w:r>
        <w:rPr>
          <w:rFonts w:ascii="Times New Roman" w:hAnsi="Times New Roman" w:eastAsia="宋体"/>
          <w:b w:val="0"/>
          <w:sz w:val="24"/>
        </w:rPr>
        <w:t>为年份固定效应，吸收宏观周期、全国性政策等共同冲击；</w:t>
      </w:r>
      <m:oMath>
        <m:box>
          <m:e>
            <m:sSub>
              <m:e>
                <m:r>
                  <m:rPr>
                    <m:sty m:val="i"/>
                  </m:rPr>
                  <m:t>ε</m:t>
                </m:r>
              </m:e>
              <m:sub>
                <m:box>
                  <m:e>
                    <m:r>
                      <m:rPr>
                        <m:sty m:val="i"/>
                      </m:rPr>
                      <m:t>i</m:t>
                    </m:r>
                    <m:r>
                      <m:rPr>
                        <m:sty m:val="i"/>
                      </m:rPr>
                      <m:t>t</m:t>
                    </m:r>
                  </m:e>
                </m:box>
              </m:sub>
            </m:sSub>
          </m:e>
        </m:box>
      </m:oMath>
      <w:r>
        <w:rPr>
          <w:rFonts w:ascii="Times New Roman" w:hAnsi="Times New Roman" w:eastAsia="宋体"/>
          <w:b w:val="0"/>
          <w:sz w:val="24"/>
        </w:rPr>
        <w:t>为随机扰动项。标准误在省份层面聚类，以容许同一省份扰动项的序列相关与异方差。系数解读将同时报告统计显著性与经济显著性——后者以“分割指数上升一个标准差引起内卷指数变动相当于其标准差的百分比”表述，避免只报星号不问大小的通病。分维度回归则将被解释变量替换为价格竞争烈度与产能冗余度分指数，考察“催卷”效应的边际结构。</w:t>
      </w:r>
    </w:p>
    <w:p>
      <w:pPr>
        <w:spacing w:before="160" w:after="120" w:line="360" w:lineRule="auto"/>
        <w:outlineLvl w:val="2"/>
      </w:pPr>
      <w:r>
        <w:rPr>
          <w:rFonts w:ascii="Times New Roman" w:hAnsi="Times New Roman" w:eastAsia="黑体"/>
          <w:b w:val="0"/>
          <w:sz w:val="24"/>
        </w:rPr>
        <w:t>2．机制检验模型：两步法</w:t>
      </w:r>
    </w:p>
    <w:p>
      <w:pPr>
        <w:spacing w:before="0" w:after="0" w:line="360" w:lineRule="auto"/>
        <w:ind w:firstLineChars="200" w:firstLine="480"/>
      </w:pPr>
      <w:r>
        <w:rPr>
          <w:rFonts w:ascii="Times New Roman" w:hAnsi="Times New Roman" w:eastAsia="宋体"/>
          <w:b w:val="0"/>
          <w:sz w:val="24"/>
        </w:rPr>
        <w:t>检验H2、H3的传导渠道采用两步法。第一步，考察分割对机制变量的影响（如式(6-11)所示）：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M</m:t>
                </m:r>
              </m:e>
              <m:sub>
                <m:box>
                  <m:e>
                    <m:r>
                      <m:rPr>
                        <m:sty m:val="i"/>
                      </m:rPr>
                      <m:t>i</m:t>
                    </m:r>
                    <m:r>
                      <m:rPr>
                        <m:sty m:val="i"/>
                      </m:rPr>
                      <m:t>t</m:t>
                    </m:r>
                  </m:e>
                </m:box>
              </m:sub>
            </m:sSub>
            <m:r>
              <m:rPr>
                <m:sty m:val="p"/>
              </m:rPr>
              <m:t>=</m:t>
            </m:r>
            <m:sSub>
              <m:e>
                <m:r>
                  <m:rPr>
                    <m:sty m:val="i"/>
                  </m:rPr>
                  <m:t>a</m:t>
                </m:r>
              </m:e>
              <m:sub>
                <m:box>
                  <m:e>
                    <m:r>
                      <m:rPr>
                        <m:sty m:val="p"/>
                      </m:rPr>
                      <m:t>0</m:t>
                    </m:r>
                  </m:e>
                </m:box>
              </m:sub>
            </m:sSub>
            <m:r>
              <m:rPr>
                <m:sty m:val="p"/>
              </m:rPr>
              <m:t>+</m:t>
            </m:r>
            <m:sSub>
              <m:e>
                <m:r>
                  <m:rPr>
                    <m:sty m:val="i"/>
                  </m:rPr>
                  <m:t>a</m:t>
                </m:r>
              </m:e>
              <m:sub>
                <m:box>
                  <m:e>
                    <m:r>
                      <m:rPr>
                        <m:sty m:val="p"/>
                      </m:rPr>
                      <m:t>1</m:t>
                    </m:r>
                  </m:e>
                </m:box>
              </m:sub>
            </m:sSub>
            <m:r>
              <m:rPr>
                <m:sty m:val="i"/>
              </m:rPr>
              <m:t>S</m:t>
            </m:r>
            <m:r>
              <m:rPr>
                <m:sty m:val="i"/>
              </m:rPr>
              <m:t>e</m:t>
            </m:r>
            <m:sSub>
              <m:e>
                <m:r>
                  <m:rPr>
                    <m:sty m:val="i"/>
                  </m:rPr>
                  <m:t>g</m:t>
                </m:r>
              </m:e>
              <m:sub>
                <m:box>
                  <m:e>
                    <m:r>
                      <m:rPr>
                        <m:sty m:val="i"/>
                      </m:rPr>
                      <m:t>i</m:t>
                    </m:r>
                    <m:r>
                      <m:rPr>
                        <m:sty m:val="i"/>
                      </m:rPr>
                      <m:t>t</m:t>
                    </m:r>
                  </m:e>
                </m:box>
              </m:sub>
            </m:sSub>
            <m:r>
              <m:rPr>
                <m:sty m:val="p"/>
              </m:rPr>
              <m:t>+</m:t>
            </m:r>
            <m:sSup>
              <m:e>
                <m:r>
                  <m:rPr>
                    <m:sty m:val="i"/>
                  </m:rPr>
                  <m:t>ϕ</m:t>
                </m:r>
              </m:e>
              <m:sup>
                <m:r>
                  <m:rPr>
                    <m:sty m:val="i"/>
                  </m:rPr>
                  <m:t>′</m:t>
                </m:r>
              </m:sup>
            </m:sSup>
            <m:sSub>
              <m:e>
                <m:r>
                  <m:rPr>
                    <m:sty m:val="i"/>
                  </m:rPr>
                  <m:t>X</m:t>
                </m:r>
              </m:e>
              <m:sub>
                <m:box>
                  <m:e>
                    <m:r>
                      <m:rPr>
                        <m:sty m:val="i"/>
                      </m:rPr>
                      <m:t>i</m:t>
                    </m:r>
                    <m:r>
                      <m:rPr>
                        <m:sty m:val="i"/>
                      </m:rPr>
                      <m:t>t</m:t>
                    </m:r>
                  </m:e>
                </m:box>
              </m:sub>
            </m:sSub>
            <m:r>
              <m:rPr>
                <m:sty m:val="p"/>
              </m:rPr>
              <m:t>+</m:t>
            </m:r>
            <m:sSub>
              <m:e>
                <m:r>
                  <m:rPr>
                    <m:sty m:val="i"/>
                  </m:rPr>
                  <m:t>μ</m:t>
                </m:r>
              </m:e>
              <m:sub>
                <m:box>
                  <m:e>
                    <m:r>
                      <m:rPr>
                        <m:sty m:val="i"/>
                      </m:rPr>
                      <m:t>i</m:t>
                    </m:r>
                  </m:e>
                </m:box>
              </m:sub>
            </m:sSub>
            <m:r>
              <m:rPr>
                <m:sty m:val="p"/>
              </m:rPr>
              <m:t>+</m:t>
            </m:r>
            <m:sSub>
              <m:e>
                <m:r>
                  <m:rPr>
                    <m:sty m:val="i"/>
                  </m:rPr>
                  <m:t>λ</m:t>
                </m:r>
              </m:e>
              <m:sub>
                <m:box>
                  <m:e>
                    <m:r>
                      <m:rPr>
                        <m:sty m:val="i"/>
                      </m:rPr>
                      <m:t>t</m:t>
                    </m:r>
                  </m:e>
                </m:box>
              </m:sub>
            </m:sSub>
            <m:r>
              <m:rPr>
                <m:sty m:val="p"/>
              </m:rPr>
              <m:t>+</m:t>
            </m:r>
            <m:sSub>
              <m:e>
                <m:r>
                  <m:rPr>
                    <m:sty m:val="i"/>
                  </m:rPr>
                  <m:t>e</m:t>
                </m:r>
              </m:e>
              <m:sub>
                <m:box>
                  <m:e>
                    <m:r>
                      <m:rPr>
                        <m:sty m:val="i"/>
                      </m:rPr>
                      <m:t>i</m:t>
                    </m:r>
                    <m:r>
                      <m:rPr>
                        <m:sty m:val="i"/>
                      </m:rPr>
                      <m:t>t</m:t>
                    </m:r>
                  </m:e>
                </m:box>
              </m:sub>
            </m:sSub>
          </m:e>
        </m:box>
      </m:oMath>
      <w:r>
        <w:rPr>
          <w:rFonts w:ascii="Times New Roman" w:hAnsi="Times New Roman" w:eastAsia="宋体"/>
          <w:b w:val="0"/>
          <w:sz w:val="24"/>
        </w:rPr>
        <w:tab/>
        <w:t>(6-11)</w:t>
      </w:r>
    </w:p>
    <w:p>
      <w:pPr>
        <w:spacing w:before="0" w:after="0" w:line="360" w:lineRule="auto"/>
        <w:ind w:firstLineChars="200" w:firstLine="480"/>
      </w:pPr>
      <w:r>
        <w:rPr>
          <w:rFonts w:ascii="Times New Roman" w:hAnsi="Times New Roman" w:eastAsia="宋体"/>
          <w:b w:val="0"/>
          <w:sz w:val="24"/>
        </w:rPr>
        <w:t>其中</w:t>
      </w:r>
      <m:oMath>
        <m:box>
          <m:e>
            <m:sSub>
              <m:e>
                <m:r>
                  <m:rPr>
                    <m:sty m:val="i"/>
                  </m:rPr>
                  <m:t>M</m:t>
                </m:r>
              </m:e>
              <m:sub>
                <m:box>
                  <m:e>
                    <m:r>
                      <m:rPr>
                        <m:sty m:val="i"/>
                      </m:rPr>
                      <m:t>i</m:t>
                    </m:r>
                    <m:r>
                      <m:rPr>
                        <m:sty m:val="i"/>
                      </m:rPr>
                      <m:t>t</m:t>
                    </m:r>
                  </m:e>
                </m:box>
              </m:sub>
            </m:sSub>
          </m:e>
        </m:box>
      </m:oMath>
      <w:r>
        <w:rPr>
          <w:rFonts w:ascii="Times New Roman" w:hAnsi="Times New Roman" w:eastAsia="宋体"/>
          <w:b w:val="0"/>
          <w:sz w:val="24"/>
        </w:rPr>
        <w:t>依次取补贴强度（Sub，辖区上市公司政府补助与营业收入之比）、产业结构相似系数（Sim）与企业退出率（Exit）三个机制变量，</w:t>
      </w:r>
      <m:oMath>
        <m:box>
          <m:e>
            <m:sSub>
              <m:e>
                <m:r>
                  <m:rPr>
                    <m:sty m:val="i"/>
                  </m:rPr>
                  <m:t>a</m:t>
                </m:r>
              </m:e>
              <m:sub>
                <m:box>
                  <m:e>
                    <m:r>
                      <m:rPr>
                        <m:sty m:val="p"/>
                      </m:rPr>
                      <m:t>1</m:t>
                    </m:r>
                  </m:e>
                </m:box>
              </m:sub>
            </m:sSub>
          </m:e>
        </m:box>
      </m:oMath>
      <w:r>
        <w:rPr>
          <w:rFonts w:ascii="Times New Roman" w:hAnsi="Times New Roman" w:eastAsia="宋体"/>
          <w:b w:val="0"/>
          <w:sz w:val="24"/>
        </w:rPr>
        <w:t>度量分割对各渠道的推动作用，理论预期分别为正、正、负。第二步，将机制变量与分割同时纳入“内卷”方程（如式(6-12)所示）：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I</m:t>
            </m:r>
            <m:r>
              <m:rPr>
                <m:sty m:val="i"/>
              </m:rPr>
              <m:t>n</m:t>
            </m:r>
            <m:sSub>
              <m:e>
                <m:r>
                  <m:rPr>
                    <m:sty m:val="i"/>
                  </m:rPr>
                  <m:t>v</m:t>
                </m:r>
              </m:e>
              <m:sub>
                <m:box>
                  <m:e>
                    <m:r>
                      <m:rPr>
                        <m:sty m:val="i"/>
                      </m:rPr>
                      <m:t>i</m:t>
                    </m:r>
                    <m:r>
                      <m:rPr>
                        <m:sty m:val="i"/>
                      </m:rPr>
                      <m:t>t</m:t>
                    </m:r>
                  </m:e>
                </m:box>
              </m:sub>
            </m:sSub>
            <m:r>
              <m:rPr>
                <m:sty m:val="p"/>
              </m:rPr>
              <m:t>=</m:t>
            </m:r>
            <m:sSub>
              <m:e>
                <m:r>
                  <m:rPr>
                    <m:sty m:val="i"/>
                  </m:rPr>
                  <m:t>b</m:t>
                </m:r>
              </m:e>
              <m:sub>
                <m:box>
                  <m:e>
                    <m:r>
                      <m:rPr>
                        <m:sty m:val="p"/>
                      </m:rPr>
                      <m:t>0</m:t>
                    </m:r>
                  </m:e>
                </m:box>
              </m:sub>
            </m:sSub>
            <m:r>
              <m:rPr>
                <m:sty m:val="p"/>
              </m:rPr>
              <m:t>+</m:t>
            </m:r>
            <m:sSub>
              <m:e>
                <m:r>
                  <m:rPr>
                    <m:sty m:val="i"/>
                  </m:rPr>
                  <m:t>b</m:t>
                </m:r>
              </m:e>
              <m:sub>
                <m:box>
                  <m:e>
                    <m:r>
                      <m:rPr>
                        <m:sty m:val="p"/>
                      </m:rPr>
                      <m:t>1</m:t>
                    </m:r>
                  </m:e>
                </m:box>
              </m:sub>
            </m:sSub>
            <m:r>
              <m:rPr>
                <m:sty m:val="i"/>
              </m:rPr>
              <m:t>S</m:t>
            </m:r>
            <m:r>
              <m:rPr>
                <m:sty m:val="i"/>
              </m:rPr>
              <m:t>e</m:t>
            </m:r>
            <m:sSub>
              <m:e>
                <m:r>
                  <m:rPr>
                    <m:sty m:val="i"/>
                  </m:rPr>
                  <m:t>g</m:t>
                </m:r>
              </m:e>
              <m:sub>
                <m:box>
                  <m:e>
                    <m:r>
                      <m:rPr>
                        <m:sty m:val="i"/>
                      </m:rPr>
                      <m:t>i</m:t>
                    </m:r>
                    <m:r>
                      <m:rPr>
                        <m:sty m:val="i"/>
                      </m:rPr>
                      <m:t>t</m:t>
                    </m:r>
                  </m:e>
                </m:box>
              </m:sub>
            </m:sSub>
            <m:r>
              <m:rPr>
                <m:sty m:val="p"/>
              </m:rPr>
              <m:t>+</m:t>
            </m:r>
            <m:sSub>
              <m:e>
                <m:r>
                  <m:rPr>
                    <m:sty m:val="i"/>
                  </m:rPr>
                  <m:t>b</m:t>
                </m:r>
              </m:e>
              <m:sub>
                <m:box>
                  <m:e>
                    <m:r>
                      <m:rPr>
                        <m:sty m:val="p"/>
                      </m:rPr>
                      <m:t>2</m:t>
                    </m:r>
                  </m:e>
                </m:box>
              </m:sub>
            </m:sSub>
            <m:sSub>
              <m:e>
                <m:r>
                  <m:rPr>
                    <m:sty m:val="i"/>
                  </m:rPr>
                  <m:t>M</m:t>
                </m:r>
              </m:e>
              <m:sub>
                <m:box>
                  <m:e>
                    <m:r>
                      <m:rPr>
                        <m:sty m:val="i"/>
                      </m:rPr>
                      <m:t>i</m:t>
                    </m:r>
                    <m:r>
                      <m:rPr>
                        <m:sty m:val="i"/>
                      </m:rPr>
                      <m:t>t</m:t>
                    </m:r>
                  </m:e>
                </m:box>
              </m:sub>
            </m:sSub>
            <m:r>
              <m:rPr>
                <m:sty m:val="p"/>
              </m:rPr>
              <m:t>+</m:t>
            </m:r>
            <m:sSup>
              <m:e>
                <m:r>
                  <m:rPr>
                    <m:sty m:val="i"/>
                  </m:rPr>
                  <m:t>ψ</m:t>
                </m:r>
              </m:e>
              <m:sup>
                <m:r>
                  <m:rPr>
                    <m:sty m:val="i"/>
                  </m:rPr>
                  <m:t>′</m:t>
                </m:r>
              </m:sup>
            </m:sSup>
            <m:sSub>
              <m:e>
                <m:r>
                  <m:rPr>
                    <m:sty m:val="i"/>
                  </m:rPr>
                  <m:t>X</m:t>
                </m:r>
              </m:e>
              <m:sub>
                <m:box>
                  <m:e>
                    <m:r>
                      <m:rPr>
                        <m:sty m:val="i"/>
                      </m:rPr>
                      <m:t>i</m:t>
                    </m:r>
                    <m:r>
                      <m:rPr>
                        <m:sty m:val="i"/>
                      </m:rPr>
                      <m:t>t</m:t>
                    </m:r>
                  </m:e>
                </m:box>
              </m:sub>
            </m:sSub>
            <m:r>
              <m:rPr>
                <m:sty m:val="p"/>
              </m:rPr>
              <m:t>+</m:t>
            </m:r>
            <m:sSub>
              <m:e>
                <m:r>
                  <m:rPr>
                    <m:sty m:val="i"/>
                  </m:rPr>
                  <m:t>μ</m:t>
                </m:r>
              </m:e>
              <m:sub>
                <m:box>
                  <m:e>
                    <m:r>
                      <m:rPr>
                        <m:sty m:val="i"/>
                      </m:rPr>
                      <m:t>i</m:t>
                    </m:r>
                  </m:e>
                </m:box>
              </m:sub>
            </m:sSub>
            <m:r>
              <m:rPr>
                <m:sty m:val="p"/>
              </m:rPr>
              <m:t>+</m:t>
            </m:r>
            <m:sSub>
              <m:e>
                <m:r>
                  <m:rPr>
                    <m:sty m:val="i"/>
                  </m:rPr>
                  <m:t>λ</m:t>
                </m:r>
              </m:e>
              <m:sub>
                <m:box>
                  <m:e>
                    <m:r>
                      <m:rPr>
                        <m:sty m:val="i"/>
                      </m:rPr>
                      <m:t>t</m:t>
                    </m:r>
                  </m:e>
                </m:box>
              </m:sub>
            </m:sSub>
            <m:r>
              <m:rPr>
                <m:sty m:val="p"/>
              </m:rPr>
              <m:t>+</m:t>
            </m:r>
            <m:sSub>
              <m:e>
                <m:r>
                  <m:rPr>
                    <m:sty m:val="i"/>
                  </m:rPr>
                  <m:t>u</m:t>
                </m:r>
              </m:e>
              <m:sub>
                <m:box>
                  <m:e>
                    <m:r>
                      <m:rPr>
                        <m:sty m:val="i"/>
                      </m:rPr>
                      <m:t>i</m:t>
                    </m:r>
                    <m:r>
                      <m:rPr>
                        <m:sty m:val="i"/>
                      </m:rPr>
                      <m:t>t</m:t>
                    </m:r>
                  </m:e>
                </m:box>
              </m:sub>
            </m:sSub>
          </m:e>
        </m:box>
      </m:oMath>
      <w:r>
        <w:rPr>
          <w:rFonts w:ascii="Times New Roman" w:hAnsi="Times New Roman" w:eastAsia="宋体"/>
          <w:b w:val="0"/>
          <w:sz w:val="24"/>
        </w:rPr>
        <w:tab/>
        <w:t>(6-12)</w:t>
      </w:r>
    </w:p>
    <w:p>
      <w:pPr>
        <w:spacing w:before="0" w:after="0" w:line="360" w:lineRule="auto"/>
        <w:ind w:firstLineChars="200" w:firstLine="480"/>
      </w:pPr>
      <w:r>
        <w:rPr>
          <w:rFonts w:ascii="Times New Roman" w:hAnsi="Times New Roman" w:eastAsia="宋体"/>
          <w:b w:val="0"/>
          <w:sz w:val="24"/>
        </w:rPr>
        <w:t>若</w:t>
      </w:r>
      <m:oMath>
        <m:box>
          <m:e>
            <m:sSub>
              <m:e>
                <m:r>
                  <m:rPr>
                    <m:sty m:val="i"/>
                  </m:rPr>
                  <m:t>a</m:t>
                </m:r>
              </m:e>
              <m:sub>
                <m:box>
                  <m:e>
                    <m:r>
                      <m:rPr>
                        <m:sty m:val="p"/>
                      </m:rPr>
                      <m:t>1</m:t>
                    </m:r>
                  </m:e>
                </m:box>
              </m:sub>
            </m:sSub>
          </m:e>
        </m:box>
      </m:oMath>
      <w:r>
        <w:rPr>
          <w:rFonts w:ascii="Times New Roman" w:hAnsi="Times New Roman" w:eastAsia="宋体"/>
          <w:b w:val="0"/>
          <w:sz w:val="24"/>
        </w:rPr>
        <w:t>与</w:t>
      </w:r>
      <m:oMath>
        <m:box>
          <m:e>
            <m:sSub>
              <m:e>
                <m:r>
                  <m:rPr>
                    <m:sty m:val="i"/>
                  </m:rPr>
                  <m:t>b</m:t>
                </m:r>
              </m:e>
              <m:sub>
                <m:box>
                  <m:e>
                    <m:r>
                      <m:rPr>
                        <m:sty m:val="p"/>
                      </m:rPr>
                      <m:t>2</m:t>
                    </m:r>
                  </m:e>
                </m:box>
              </m:sub>
            </m:sSub>
          </m:e>
        </m:box>
      </m:oMath>
      <w:r>
        <w:rPr>
          <w:rFonts w:ascii="Times New Roman" w:hAnsi="Times New Roman" w:eastAsia="宋体"/>
          <w:b w:val="0"/>
          <w:sz w:val="24"/>
        </w:rPr>
        <w:t>均显著且方向与理论一致，同时</w:t>
      </w:r>
      <m:oMath>
        <m:box>
          <m:e>
            <m:sSub>
              <m:e>
                <m:r>
                  <m:rPr>
                    <m:sty m:val="i"/>
                  </m:rPr>
                  <m:t>b</m:t>
                </m:r>
              </m:e>
              <m:sub>
                <m:box>
                  <m:e>
                    <m:r>
                      <m:rPr>
                        <m:sty m:val="p"/>
                      </m:rPr>
                      <m:t>1</m:t>
                    </m:r>
                  </m:e>
                </m:box>
              </m:sub>
            </m:sSub>
          </m:e>
        </m:box>
      </m:oMath>
      <w:r>
        <w:rPr>
          <w:rFonts w:ascii="Times New Roman" w:hAnsi="Times New Roman" w:eastAsia="宋体"/>
          <w:b w:val="0"/>
          <w:sz w:val="24"/>
        </w:rPr>
        <w:t>较式(6-10)中的</w:t>
      </w:r>
      <m:oMath>
        <m:box>
          <m:e>
            <m:r>
              <m:rPr>
                <m:sty m:val="i"/>
              </m:rPr>
              <m:t>β</m:t>
            </m:r>
          </m:e>
        </m:box>
      </m:oMath>
      <w:r>
        <w:rPr>
          <w:rFonts w:ascii="Times New Roman" w:hAnsi="Times New Roman" w:eastAsia="宋体"/>
          <w:b w:val="0"/>
          <w:sz w:val="24"/>
        </w:rPr>
        <w:t>明显下降，则渠道成立且为部分中介。需要说明的是，机制变量本身并非随机分配，两步法给出的是渠道存在性的一致性证据而非严格的因果分解，故本书对机制结果的解读保持审慎：一方面以理论模型的结构关系（命题4-3、4-4、4-5的传导链条）约束解释方向，另一方面辅之以第八章的异质性检验——若补贴渠道成立，则增长目标压力更大、锦标赛激励更强的省份“催卷”效应应更强，这一交互含义为渠道解释提供了独立于中介回归的旁证。</w:t>
      </w:r>
    </w:p>
    <w:p>
      <w:pPr>
        <w:spacing w:before="160" w:after="120" w:line="360" w:lineRule="auto"/>
        <w:outlineLvl w:val="2"/>
      </w:pPr>
      <w:r>
        <w:rPr>
          <w:rFonts w:ascii="Times New Roman" w:hAnsi="Times New Roman" w:eastAsia="黑体"/>
          <w:b w:val="0"/>
          <w:sz w:val="24"/>
        </w:rPr>
        <w:t>3．强度双重差分模型</w:t>
      </w:r>
    </w:p>
    <w:p>
      <w:pPr>
        <w:spacing w:before="0" w:after="0" w:line="360" w:lineRule="auto"/>
        <w:ind w:firstLineChars="200" w:firstLine="480"/>
      </w:pPr>
      <w:r>
        <w:rPr>
          <w:rFonts w:ascii="Times New Roman" w:hAnsi="Times New Roman" w:eastAsia="宋体"/>
          <w:b w:val="0"/>
          <w:sz w:val="24"/>
        </w:rPr>
        <w:t>检验H4、H5需要一个外生的“统一大市场建设”政策冲击。本书选择2016年公平竞争审查制度的实施作为准自然实验，理由有三。第一，制度指向精准：公平竞争审查直接约束的正是理论模型中的补贴博弈——国务院2016年6月以国发〔2016〕34号文件建立该制度，要求对增量政策进行公平竞争审查并对存量政策限期清理，此后《公平竞争审查条例》于2024年8月1日施行，将其上升为行政法规，《纲要》第十七章进一步要求“强化公平竞争审查刚性约束”，制度演进方向与本书理论逻辑完全对应。第二，政策力度可观：据市场监管总局数据，截至《条例》出台前，全国累计审查政策措施161.8万件，清理存量文件447万件，废止和修订排除、限制竞争的政策措施9.3万件，冲击强度足以在省域面板中留下可识别的印记。第三，处理强度存在省际差异：制度在全国统一推开，不存在纯粹的“未处理组”，但各省存量政策包袱与清理执行力度差异显著，恰好构成连续处理强度。据此设定强度双重差分模型（如式(6-13)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Y</m:t>
                </m:r>
              </m:e>
              <m:sub>
                <m:box>
                  <m:e>
                    <m:r>
                      <m:rPr>
                        <m:sty m:val="i"/>
                      </m:rPr>
                      <m:t>i</m:t>
                    </m:r>
                    <m:r>
                      <m:rPr>
                        <m:sty m:val="i"/>
                      </m:rPr>
                      <m:t>t</m:t>
                    </m:r>
                  </m:e>
                </m:box>
              </m:sub>
            </m:sSub>
            <m:r>
              <m:rPr>
                <m:sty m:val="p"/>
              </m:rPr>
              <m:t>=</m:t>
            </m:r>
            <m:r>
              <m:rPr>
                <m:sty m:val="i"/>
              </m:rPr>
              <m:t>α</m:t>
            </m:r>
            <m:r>
              <m:rPr>
                <m:sty m:val="p"/>
              </m:rPr>
              <m:t>+</m:t>
            </m:r>
            <m:r>
              <m:rPr>
                <m:sty m:val="i"/>
              </m:rPr>
              <m:t>θ</m:t>
            </m:r>
            <m:r>
              <m:rPr>
                <m:sty m:val="p"/>
              </m:rPr>
              <m:t>(</m:t>
            </m:r>
            <m:r>
              <m:rPr>
                <m:sty m:val="i"/>
              </m:rPr>
              <m:t>P</m:t>
            </m:r>
            <m:r>
              <m:rPr>
                <m:sty m:val="i"/>
              </m:rPr>
              <m:t>o</m:t>
            </m:r>
            <m:r>
              <m:rPr>
                <m:sty m:val="i"/>
              </m:rPr>
              <m:t>s</m:t>
            </m:r>
            <m:sSub>
              <m:e>
                <m:r>
                  <m:rPr>
                    <m:sty m:val="i"/>
                  </m:rPr>
                  <m:t>t</m:t>
                </m:r>
              </m:e>
              <m:sub>
                <m:box>
                  <m:e>
                    <m:r>
                      <m:rPr>
                        <m:sty m:val="i"/>
                      </m:rPr>
                      <m:t>t</m:t>
                    </m:r>
                  </m:e>
                </m:box>
              </m:sub>
            </m:sSub>
            <m:r>
              <m:rPr>
                <m:sty m:val="p"/>
              </m:rPr>
              <m:t>×</m:t>
            </m:r>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r>
              <m:rPr>
                <m:sty m:val="p"/>
              </m:rPr>
              <m:t>)</m:t>
            </m:r>
            <m:r>
              <m:rPr>
                <m:sty m:val="p"/>
              </m:rPr>
              <m:t>+</m:t>
            </m:r>
            <m:sSup>
              <m:e>
                <m:r>
                  <m:rPr>
                    <m:sty m:val="i"/>
                  </m:rPr>
                  <m:t>γ</m:t>
                </m:r>
              </m:e>
              <m:sup>
                <m:r>
                  <m:rPr>
                    <m:sty m:val="i"/>
                  </m:rPr>
                  <m:t>′</m:t>
                </m:r>
              </m:sup>
            </m:sSup>
            <m:sSub>
              <m:e>
                <m:r>
                  <m:rPr>
                    <m:sty m:val="i"/>
                  </m:rPr>
                  <m:t>X</m:t>
                </m:r>
              </m:e>
              <m:sub>
                <m:box>
                  <m:e>
                    <m:r>
                      <m:rPr>
                        <m:sty m:val="i"/>
                      </m:rPr>
                      <m:t>i</m:t>
                    </m:r>
                    <m:r>
                      <m:rPr>
                        <m:sty m:val="i"/>
                      </m:rPr>
                      <m:t>t</m:t>
                    </m:r>
                  </m:e>
                </m:box>
              </m:sub>
            </m:sSub>
            <m:r>
              <m:rPr>
                <m:sty m:val="p"/>
              </m:rPr>
              <m:t>+</m:t>
            </m:r>
            <m:sSub>
              <m:e>
                <m:r>
                  <m:rPr>
                    <m:sty m:val="i"/>
                  </m:rPr>
                  <m:t>μ</m:t>
                </m:r>
              </m:e>
              <m:sub>
                <m:box>
                  <m:e>
                    <m:r>
                      <m:rPr>
                        <m:sty m:val="i"/>
                      </m:rPr>
                      <m:t>i</m:t>
                    </m:r>
                  </m:e>
                </m:box>
              </m:sub>
            </m:sSub>
            <m:r>
              <m:rPr>
                <m:sty m:val="p"/>
              </m:rPr>
              <m:t>+</m:t>
            </m:r>
            <m:sSub>
              <m:e>
                <m:r>
                  <m:rPr>
                    <m:sty m:val="i"/>
                  </m:rPr>
                  <m:t>λ</m:t>
                </m:r>
              </m:e>
              <m:sub>
                <m:box>
                  <m:e>
                    <m:r>
                      <m:rPr>
                        <m:sty m:val="i"/>
                      </m:rPr>
                      <m:t>t</m:t>
                    </m:r>
                  </m:e>
                </m:box>
              </m:sub>
            </m:sSub>
            <m:r>
              <m:rPr>
                <m:sty m:val="p"/>
              </m:rPr>
              <m:t>+</m:t>
            </m:r>
            <m:sSub>
              <m:e>
                <m:r>
                  <m:rPr>
                    <m:sty m:val="i"/>
                  </m:rPr>
                  <m:t>ε</m:t>
                </m:r>
              </m:e>
              <m:sub>
                <m:box>
                  <m:e>
                    <m:r>
                      <m:rPr>
                        <m:sty m:val="i"/>
                      </m:rPr>
                      <m:t>i</m:t>
                    </m:r>
                    <m:r>
                      <m:rPr>
                        <m:sty m:val="i"/>
                      </m:rPr>
                      <m:t>t</m:t>
                    </m:r>
                  </m:e>
                </m:box>
              </m:sub>
            </m:sSub>
          </m:e>
        </m:box>
      </m:oMath>
      <w:r>
        <w:rPr>
          <w:rFonts w:ascii="Times New Roman" w:hAnsi="Times New Roman" w:eastAsia="宋体"/>
          <w:b w:val="0"/>
          <w:sz w:val="24"/>
        </w:rPr>
        <w:tab/>
        <w:t>(6-13)</w:t>
      </w:r>
    </w:p>
    <w:p>
      <w:pPr>
        <w:spacing w:before="0" w:after="0" w:line="360" w:lineRule="auto"/>
        <w:ind w:firstLineChars="200" w:firstLine="480"/>
      </w:pPr>
      <w:r>
        <w:rPr>
          <w:rFonts w:ascii="Times New Roman" w:hAnsi="Times New Roman" w:eastAsia="宋体"/>
          <w:b w:val="0"/>
          <w:sz w:val="24"/>
        </w:rPr>
        <w:t>其中</w:t>
      </w:r>
      <m:oMath>
        <m:box>
          <m:e>
            <m:sSub>
              <m:e>
                <m:r>
                  <m:rPr>
                    <m:sty m:val="i"/>
                  </m:rPr>
                  <m:t>Y</m:t>
                </m:r>
              </m:e>
              <m:sub>
                <m:box>
                  <m:e>
                    <m:r>
                      <m:rPr>
                        <m:sty m:val="i"/>
                      </m:rPr>
                      <m:t>i</m:t>
                    </m:r>
                    <m:r>
                      <m:rPr>
                        <m:sty m:val="i"/>
                      </m:rPr>
                      <m:t>t</m:t>
                    </m:r>
                  </m:e>
                </m:box>
              </m:sub>
            </m:sSub>
          </m:e>
        </m:box>
      </m:oMath>
      <w:r>
        <w:rPr>
          <w:rFonts w:ascii="Times New Roman" w:hAnsi="Times New Roman" w:eastAsia="宋体"/>
          <w:b w:val="0"/>
          <w:sz w:val="24"/>
        </w:rPr>
        <w:t>依次取“内卷”指数、补贴强度、市场分割指数（对应H4的秩序修复效应），以及省域全要素生产率对数、加成率离散度、新产品销售占比、发明专利申请对数与工业利润率（对应H5的效率与创新效应）；</w:t>
      </w:r>
      <m:oMath>
        <m:box>
          <m:e>
            <m:r>
              <m:rPr>
                <m:sty m:val="i"/>
              </m:rPr>
              <m:t>P</m:t>
            </m:r>
            <m:r>
              <m:rPr>
                <m:sty m:val="i"/>
              </m:rPr>
              <m:t>o</m:t>
            </m:r>
            <m:r>
              <m:rPr>
                <m:sty m:val="i"/>
              </m:rPr>
              <m:t>s</m:t>
            </m:r>
            <m:sSub>
              <m:e>
                <m:r>
                  <m:rPr>
                    <m:sty m:val="i"/>
                  </m:rPr>
                  <m:t>t</m:t>
                </m:r>
              </m:e>
              <m:sub>
                <m:box>
                  <m:e>
                    <m:r>
                      <m:rPr>
                        <m:sty m:val="i"/>
                      </m:rPr>
                      <m:t>t</m:t>
                    </m:r>
                  </m:e>
                </m:box>
              </m:sub>
            </m:sSub>
          </m:e>
        </m:box>
      </m:oMath>
      <w:r>
        <w:rPr>
          <w:rFonts w:ascii="Times New Roman" w:hAnsi="Times New Roman" w:eastAsia="宋体"/>
          <w:b w:val="0"/>
          <w:sz w:val="24"/>
        </w:rPr>
        <w:t>为2016年及以后取1的时期虚拟变量；</w:t>
      </w:r>
      <m:oMath>
        <m:box>
          <m:e>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e>
        </m:box>
      </m:oMath>
      <w:r>
        <w:rPr>
          <w:rFonts w:ascii="Times New Roman" w:hAnsi="Times New Roman" w:eastAsia="宋体"/>
          <w:b w:val="0"/>
          <w:sz w:val="24"/>
        </w:rPr>
        <w:t>为处理强度，定义为各省2016—2018年人均清理存量政策文件数（标准化），取制度实施初期的清理力度以反映各省对政策冲击的暴露程度；</w:t>
      </w:r>
      <m:oMath>
        <m:box>
          <m:e>
            <m:r>
              <m:rPr>
                <m:sty m:val="i"/>
              </m:rPr>
              <m:t>θ</m:t>
            </m:r>
          </m:e>
        </m:box>
      </m:oMath>
      <w:r>
        <w:rPr>
          <w:rFonts w:ascii="Times New Roman" w:hAnsi="Times New Roman" w:eastAsia="宋体"/>
          <w:b w:val="0"/>
          <w:sz w:val="24"/>
        </w:rPr>
        <w:t>为强度双重差分估计量，H4预测其在“内卷”方程中显著为负。</w:t>
      </w:r>
      <m:oMath>
        <m:box>
          <m:e>
            <m:r>
              <m:rPr>
                <m:sty m:val="i"/>
              </m:rPr>
              <m:t>P</m:t>
            </m:r>
            <m:r>
              <m:rPr>
                <m:sty m:val="i"/>
              </m:rPr>
              <m:t>o</m:t>
            </m:r>
            <m:r>
              <m:rPr>
                <m:sty m:val="i"/>
              </m:rPr>
              <m:t>s</m:t>
            </m:r>
            <m:sSub>
              <m:e>
                <m:r>
                  <m:rPr>
                    <m:sty m:val="i"/>
                  </m:rPr>
                  <m:t>t</m:t>
                </m:r>
              </m:e>
              <m:sub>
                <m:box>
                  <m:e>
                    <m:r>
                      <m:rPr>
                        <m:sty m:val="i"/>
                      </m:rPr>
                      <m:t>t</m:t>
                    </m:r>
                  </m:e>
                </m:box>
              </m:sub>
            </m:sSub>
          </m:e>
        </m:box>
      </m:oMath>
      <w:r>
        <w:rPr>
          <w:rFonts w:ascii="Times New Roman" w:hAnsi="Times New Roman" w:eastAsia="宋体"/>
          <w:b w:val="0"/>
          <w:sz w:val="24"/>
        </w:rPr>
        <w:t>与</w:t>
      </w:r>
      <m:oMath>
        <m:box>
          <m:e>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e>
        </m:box>
      </m:oMath>
      <w:r>
        <w:rPr>
          <w:rFonts w:ascii="Times New Roman" w:hAnsi="Times New Roman" w:eastAsia="宋体"/>
          <w:b w:val="0"/>
          <w:sz w:val="24"/>
        </w:rPr>
        <w:t>的主效应分别被年份与省份固定效应吸收。类似的强度识别思路已在公平竞争审查与企业行为的微观研究中得到应用，本书将其拓展到省域竞争秩序的宏观结果上。关于政策冲击的选择，还需说明两点。一是为何不以2022年《意见》发布作为冲击时点：《意见》处于样本期尾部，事后窗口仅有三年左右，动态效应难以充分展开；更重要的是，统一大市场建设是“意见—指引—条例”连续推进的过程性政策组合，而非边界清晰的单一事件，以其为冲击将面临处理时点界定的任意性。相比之下，公平竞争审查制度有明确的实施时点、可量化的执行强度与足够长的事后窗口，识别条件明显更优；2022年后政策深化的效应则借助事件研究末段系数的走势加以观察。二是强度双重差分识别的是高强度省份相对于低强度省份的相对效应，若制度对全部省份存在同幅度的共同效应，该部分将被年份固定效应吸收，因此估计结果应理解为政策总效应的下界，这一保守属性反而增强了显著结果的说服力。识别的关键假设是：若无该制度，高强度省份与低强度省份的结果变量将保持平行趋势；同时</w:t>
      </w:r>
      <m:oMath>
        <m:box>
          <m:e>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e>
        </m:box>
      </m:oMath>
      <w:r>
        <w:rPr>
          <w:rFonts w:ascii="Times New Roman" w:hAnsi="Times New Roman" w:eastAsia="宋体"/>
          <w:b w:val="0"/>
          <w:sz w:val="24"/>
        </w:rPr>
        <w:t>须相对于事后结果预先决定——存量文件的清理规模主要反映历史上政策干预的沉淀存量，而非2016年后“内卷”走势的预期，第九章还将以随机置换处理强度的安慰剂检验与剔除同期其他政策影响的稳健性设定对该假设做进一步验证。</w:t>
      </w:r>
    </w:p>
    <w:p>
      <w:pPr>
        <w:spacing w:before="160" w:after="120" w:line="360" w:lineRule="auto"/>
        <w:outlineLvl w:val="2"/>
      </w:pPr>
      <w:r>
        <w:rPr>
          <w:rFonts w:ascii="Times New Roman" w:hAnsi="Times New Roman" w:eastAsia="黑体"/>
          <w:b w:val="0"/>
          <w:sz w:val="24"/>
        </w:rPr>
        <w:t>4．事件研究设计</w:t>
      </w:r>
    </w:p>
    <w:p>
      <w:pPr>
        <w:spacing w:before="0" w:after="0" w:line="360" w:lineRule="auto"/>
        <w:ind w:firstLineChars="200" w:firstLine="480"/>
      </w:pPr>
      <w:r>
        <w:rPr>
          <w:rFonts w:ascii="Times New Roman" w:hAnsi="Times New Roman" w:eastAsia="宋体"/>
          <w:b w:val="0"/>
          <w:sz w:val="24"/>
        </w:rPr>
        <w:t>平行趋势假设不可直接检验，但其事前含义可以检验。将式(6-13)动态化为事件研究方程（如式(6-14)所示）：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Y</m:t>
                </m:r>
              </m:e>
              <m:sub>
                <m:box>
                  <m:e>
                    <m:r>
                      <m:rPr>
                        <m:sty m:val="i"/>
                      </m:rPr>
                      <m:t>i</m:t>
                    </m:r>
                    <m:r>
                      <m:rPr>
                        <m:sty m:val="i"/>
                      </m:rPr>
                      <m:t>t</m:t>
                    </m:r>
                  </m:e>
                </m:box>
              </m:sub>
            </m:sSub>
            <m:r>
              <m:rPr>
                <m:sty m:val="p"/>
              </m:rPr>
              <m:t>=</m:t>
            </m:r>
            <m:r>
              <m:rPr>
                <m:sty m:val="i"/>
              </m:rPr>
              <m:t>α</m:t>
            </m:r>
            <m:r>
              <m:rPr>
                <m:sty m:val="p"/>
              </m:rPr>
              <m:t>+</m:t>
            </m:r>
            <m:nary>
              <m:naryPr>
                <m:chr m:val="∑"/>
                <m:limLoc m:val="undOvr"/>
              </m:naryPr>
              <m:sub>
                <m:box>
                  <m:e>
                    <m:r>
                      <m:rPr>
                        <m:sty m:val="i"/>
                      </m:rPr>
                      <m:t>τ</m:t>
                    </m:r>
                    <m:r>
                      <m:rPr>
                        <m:sty m:val="p"/>
                      </m:rPr>
                      <m:t>≠</m:t>
                    </m:r>
                    <m:r>
                      <m:rPr>
                        <m:sty m:val="p"/>
                      </m:rPr>
                      <m:t>2015</m:t>
                    </m:r>
                  </m:e>
                </m:box>
              </m:sub>
              <m:sup/>
              <m:e>
                <m:sSub>
                  <m:e>
                    <m:r>
                      <m:rPr>
                        <m:sty m:val="i"/>
                      </m:rPr>
                      <m:t>θ</m:t>
                    </m:r>
                  </m:e>
                  <m:sub>
                    <m:box>
                      <m:e>
                        <m:r>
                          <m:rPr>
                            <m:sty m:val="i"/>
                          </m:rPr>
                          <m:t>τ</m:t>
                        </m:r>
                      </m:e>
                    </m:box>
                  </m:sub>
                </m:sSub>
                <m:r>
                  <m:rPr>
                    <m:sty m:val="p"/>
                  </m:rPr>
                  <m:t>(</m:t>
                </m:r>
                <m:sSubSup>
                  <m:e>
                    <m:r>
                      <m:rPr>
                        <m:sty m:val="i"/>
                      </m:rPr>
                      <m:t>D</m:t>
                    </m:r>
                  </m:e>
                  <m:sub>
                    <m:box>
                      <m:e>
                        <m:r>
                          <m:rPr>
                            <m:sty m:val="i"/>
                          </m:rPr>
                          <m:t>t</m:t>
                        </m:r>
                      </m:e>
                    </m:box>
                  </m:sub>
                  <m:sup>
                    <m:box>
                      <m:e>
                        <m:r>
                          <m:rPr>
                            <m:sty m:val="i"/>
                          </m:rPr>
                          <m:t>τ</m:t>
                        </m:r>
                      </m:e>
                    </m:box>
                  </m:sup>
                </m:sSubSup>
                <m:r>
                  <m:rPr>
                    <m:sty m:val="p"/>
                  </m:rPr>
                  <m:t>×</m:t>
                </m:r>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r>
                  <m:rPr>
                    <m:sty m:val="p"/>
                  </m:rPr>
                  <m:t>)</m:t>
                </m:r>
                <m:r>
                  <m:rPr>
                    <m:sty m:val="p"/>
                  </m:rPr>
                  <m:t>+</m:t>
                </m:r>
                <m:sSup>
                  <m:e>
                    <m:r>
                      <m:rPr>
                        <m:sty m:val="i"/>
                      </m:rPr>
                      <m:t>γ</m:t>
                    </m:r>
                  </m:e>
                  <m:sup>
                    <m:r>
                      <m:rPr>
                        <m:sty m:val="i"/>
                      </m:rPr>
                      <m:t>′</m:t>
                    </m:r>
                  </m:sup>
                </m:sSup>
                <m:sSub>
                  <m:e>
                    <m:r>
                      <m:rPr>
                        <m:sty m:val="i"/>
                      </m:rPr>
                      <m:t>X</m:t>
                    </m:r>
                  </m:e>
                  <m:sub>
                    <m:box>
                      <m:e>
                        <m:r>
                          <m:rPr>
                            <m:sty m:val="i"/>
                          </m:rPr>
                          <m:t>i</m:t>
                        </m:r>
                        <m:r>
                          <m:rPr>
                            <m:sty m:val="i"/>
                          </m:rPr>
                          <m:t>t</m:t>
                        </m:r>
                      </m:e>
                    </m:box>
                  </m:sub>
                </m:sSub>
                <m:r>
                  <m:rPr>
                    <m:sty m:val="p"/>
                  </m:rPr>
                  <m:t>+</m:t>
                </m:r>
                <m:sSub>
                  <m:e>
                    <m:r>
                      <m:rPr>
                        <m:sty m:val="i"/>
                      </m:rPr>
                      <m:t>μ</m:t>
                    </m:r>
                  </m:e>
                  <m:sub>
                    <m:box>
                      <m:e>
                        <m:r>
                          <m:rPr>
                            <m:sty m:val="i"/>
                          </m:rPr>
                          <m:t>i</m:t>
                        </m:r>
                      </m:e>
                    </m:box>
                  </m:sub>
                </m:sSub>
                <m:r>
                  <m:rPr>
                    <m:sty m:val="p"/>
                  </m:rPr>
                  <m:t>+</m:t>
                </m:r>
                <m:sSub>
                  <m:e>
                    <m:r>
                      <m:rPr>
                        <m:sty m:val="i"/>
                      </m:rPr>
                      <m:t>λ</m:t>
                    </m:r>
                  </m:e>
                  <m:sub>
                    <m:box>
                      <m:e>
                        <m:r>
                          <m:rPr>
                            <m:sty m:val="i"/>
                          </m:rPr>
                          <m:t>t</m:t>
                        </m:r>
                      </m:e>
                    </m:box>
                  </m:sub>
                </m:sSub>
                <m:r>
                  <m:rPr>
                    <m:sty m:val="p"/>
                  </m:rPr>
                  <m:t>+</m:t>
                </m:r>
                <m:sSub>
                  <m:e>
                    <m:r>
                      <m:rPr>
                        <m:sty m:val="i"/>
                      </m:rPr>
                      <m:t>ε</m:t>
                    </m:r>
                  </m:e>
                  <m:sub>
                    <m:box>
                      <m:e>
                        <m:r>
                          <m:rPr>
                            <m:sty m:val="i"/>
                          </m:rPr>
                          <m:t>i</m:t>
                        </m:r>
                        <m:r>
                          <m:rPr>
                            <m:sty m:val="i"/>
                          </m:rPr>
                          <m:t>t</m:t>
                        </m:r>
                      </m:e>
                    </m:box>
                  </m:sub>
                </m:sSub>
              </m:e>
            </m:nary>
          </m:e>
        </m:box>
      </m:oMath>
      <w:r>
        <w:rPr>
          <w:rFonts w:ascii="Times New Roman" w:hAnsi="Times New Roman" w:eastAsia="宋体"/>
          <w:b w:val="0"/>
          <w:sz w:val="24"/>
        </w:rPr>
        <w:tab/>
        <w:t>(6-14)</w:t>
      </w:r>
    </w:p>
    <w:p>
      <w:pPr>
        <w:spacing w:before="0" w:after="0" w:line="360" w:lineRule="auto"/>
        <w:ind w:firstLineChars="200" w:firstLine="480"/>
      </w:pPr>
      <w:r>
        <w:rPr>
          <w:rFonts w:ascii="Times New Roman" w:hAnsi="Times New Roman" w:eastAsia="宋体"/>
          <w:b w:val="0"/>
          <w:sz w:val="24"/>
        </w:rPr>
        <w:t>其中</w:t>
      </w:r>
      <m:oMath>
        <m:box>
          <m:e>
            <m:sSubSup>
              <m:e>
                <m:r>
                  <m:rPr>
                    <m:sty m:val="i"/>
                  </m:rPr>
                  <m:t>D</m:t>
                </m:r>
              </m:e>
              <m:sub>
                <m:box>
                  <m:e>
                    <m:r>
                      <m:rPr>
                        <m:sty m:val="i"/>
                      </m:rPr>
                      <m:t>t</m:t>
                    </m:r>
                  </m:e>
                </m:box>
              </m:sub>
              <m:sup>
                <m:box>
                  <m:e>
                    <m:r>
                      <m:rPr>
                        <m:sty m:val="i"/>
                      </m:rPr>
                      <m:t>τ</m:t>
                    </m:r>
                  </m:e>
                </m:box>
              </m:sup>
            </m:sSubSup>
          </m:e>
        </m:box>
      </m:oMath>
      <w:r>
        <w:rPr>
          <w:rFonts w:ascii="Times New Roman" w:hAnsi="Times New Roman" w:eastAsia="宋体"/>
          <w:b w:val="0"/>
          <w:sz w:val="24"/>
        </w:rPr>
        <w:t>为年份虚拟变量（</w:t>
      </w:r>
      <m:oMath>
        <m:box>
          <m:e>
            <m:r>
              <m:rPr>
                <m:sty m:val="i"/>
              </m:rPr>
              <m:t>t</m:t>
            </m:r>
            <m:r>
              <m:rPr>
                <m:sty m:val="p"/>
              </m:rPr>
              <m:t>=</m:t>
            </m:r>
            <m:r>
              <m:rPr>
                <m:sty m:val="i"/>
              </m:rPr>
              <m:t>τ</m:t>
            </m:r>
          </m:e>
        </m:box>
      </m:oMath>
      <w:r>
        <w:rPr>
          <w:rFonts w:ascii="Times New Roman" w:hAnsi="Times New Roman" w:eastAsia="宋体"/>
          <w:b w:val="0"/>
          <w:sz w:val="24"/>
        </w:rPr>
        <w:t>时取1），</w:t>
      </w:r>
      <m:oMath>
        <m:box>
          <m:e>
            <m:r>
              <m:rPr>
                <m:sty m:val="i"/>
              </m:rPr>
              <m:t>τ</m:t>
            </m:r>
          </m:e>
        </m:box>
      </m:oMath>
      <w:r>
        <w:rPr>
          <w:rFonts w:ascii="Times New Roman" w:hAnsi="Times New Roman" w:eastAsia="宋体"/>
          <w:b w:val="0"/>
          <w:sz w:val="24"/>
        </w:rPr>
        <w:t>取2012—2024年并以政策实施前一年（2015年）为基期。系数序列</w:t>
      </w:r>
      <m:oMath>
        <m:box>
          <m:e>
            <m:r>
              <m:rPr>
                <m:sty m:val="p"/>
              </m:rPr>
              <m:t>{</m:t>
            </m:r>
            <m:sSub>
              <m:e>
                <m:limUpp>
                  <m:e>
                    <m:box>
                      <m:e>
                        <m:r>
                          <m:rPr>
                            <m:sty m:val="i"/>
                          </m:rPr>
                          <m:t>θ</m:t>
                        </m:r>
                      </m:e>
                    </m:box>
                  </m:e>
                  <m:lim>
                    <m:r>
                      <m:rPr>
                        <m:sty m:val="p"/>
                      </m:rPr>
                      <m:t>^</m:t>
                    </m:r>
                  </m:lim>
                </m:limUpp>
              </m:e>
              <m:sub>
                <m:box>
                  <m:e>
                    <m:r>
                      <m:rPr>
                        <m:sty m:val="i"/>
                      </m:rPr>
                      <m:t>τ</m:t>
                    </m:r>
                  </m:e>
                </m:box>
              </m:sub>
            </m:sSub>
            <m:r>
              <m:rPr>
                <m:sty m:val="p"/>
              </m:rPr>
              <m:t>}</m:t>
            </m:r>
          </m:e>
        </m:box>
      </m:oMath>
      <w:r>
        <w:rPr>
          <w:rFonts w:ascii="Times New Roman" w:hAnsi="Times New Roman" w:eastAsia="宋体"/>
          <w:b w:val="0"/>
          <w:sz w:val="24"/>
        </w:rPr>
        <w:t>刻画高强度省份相对于低强度省份的动态差异：若2012—2014年的</w:t>
      </w:r>
      <m:oMath>
        <m:box>
          <m:e>
            <m:sSub>
              <m:e>
                <m:limUpp>
                  <m:e>
                    <m:box>
                      <m:e>
                        <m:r>
                          <m:rPr>
                            <m:sty m:val="i"/>
                          </m:rPr>
                          <m:t>θ</m:t>
                        </m:r>
                      </m:e>
                    </m:box>
                  </m:e>
                  <m:lim>
                    <m:r>
                      <m:rPr>
                        <m:sty m:val="p"/>
                      </m:rPr>
                      <m:t>^</m:t>
                    </m:r>
                  </m:lim>
                </m:limUpp>
              </m:e>
              <m:sub>
                <m:box>
                  <m:e>
                    <m:r>
                      <m:rPr>
                        <m:sty m:val="i"/>
                      </m:rPr>
                      <m:t>τ</m:t>
                    </m:r>
                  </m:e>
                </m:box>
              </m:sub>
            </m:sSub>
          </m:e>
        </m:box>
      </m:oMath>
      <w:r>
        <w:rPr>
          <w:rFonts w:ascii="Times New Roman" w:hAnsi="Times New Roman" w:eastAsia="宋体"/>
          <w:b w:val="0"/>
          <w:sz w:val="24"/>
        </w:rPr>
        <w:t>均不显著异于零，则事前平行趋势得到支持；若2016年后</w:t>
      </w:r>
      <m:oMath>
        <m:box>
          <m:e>
            <m:sSub>
              <m:e>
                <m:limUpp>
                  <m:e>
                    <m:box>
                      <m:e>
                        <m:r>
                          <m:rPr>
                            <m:sty m:val="i"/>
                          </m:rPr>
                          <m:t>θ</m:t>
                        </m:r>
                      </m:e>
                    </m:box>
                  </m:e>
                  <m:lim>
                    <m:r>
                      <m:rPr>
                        <m:sty m:val="p"/>
                      </m:rPr>
                      <m:t>^</m:t>
                    </m:r>
                  </m:lim>
                </m:limUpp>
              </m:e>
              <m:sub>
                <m:box>
                  <m:e>
                    <m:r>
                      <m:rPr>
                        <m:sty m:val="i"/>
                      </m:rPr>
                      <m:t>τ</m:t>
                    </m:r>
                  </m:e>
                </m:box>
              </m:sub>
            </m:sSub>
          </m:e>
        </m:box>
      </m:oMath>
      <w:r>
        <w:rPr>
          <w:rFonts w:ascii="Times New Roman" w:hAnsi="Times New Roman" w:eastAsia="宋体"/>
          <w:b w:val="0"/>
          <w:sz w:val="24"/>
        </w:rPr>
        <w:t>逐年走低并趋于显著，则政策效应存在且随制度刚性化累积增强，这与公平竞争审查“增量审查＋存量清理＋条例升格”的渐进强化路径在时间形态上互相印证。事件研究还兼具排除预期效应的功能：若企业或地方政府在2016年前已因政策预期而调整行为，事前系数将偏离零，该情形未在数据中出现（结果见第九章图9.1）。</w:t>
      </w:r>
    </w:p>
    <w:p>
      <w:pPr>
        <w:spacing w:before="160" w:after="120" w:line="360" w:lineRule="auto"/>
        <w:outlineLvl w:val="2"/>
      </w:pPr>
      <w:r>
        <w:rPr>
          <w:rFonts w:ascii="Times New Roman" w:hAnsi="Times New Roman" w:eastAsia="黑体"/>
          <w:b w:val="0"/>
          <w:sz w:val="24"/>
        </w:rPr>
        <w:t>5．工具变量策略</w:t>
      </w:r>
    </w:p>
    <w:p>
      <w:pPr>
        <w:spacing w:before="0" w:after="0" w:line="360" w:lineRule="auto"/>
        <w:ind w:firstLineChars="200" w:firstLine="480"/>
      </w:pPr>
      <w:r>
        <w:rPr>
          <w:rFonts w:ascii="Times New Roman" w:hAnsi="Times New Roman" w:eastAsia="宋体"/>
          <w:b w:val="0"/>
          <w:sz w:val="24"/>
        </w:rPr>
        <w:t>固定效应与双重差分仍不能完全排除时变遗漏变量与双向因果对基准方程的干扰，为此本书为</w:t>
      </w:r>
      <m:oMath>
        <m:box>
          <m:e>
            <m:r>
              <m:rPr>
                <m:sty m:val="i"/>
              </m:rPr>
              <m:t>S</m:t>
            </m:r>
            <m:r>
              <m:rPr>
                <m:sty m:val="i"/>
              </m:rPr>
              <m:t>e</m:t>
            </m:r>
            <m:sSub>
              <m:e>
                <m:r>
                  <m:rPr>
                    <m:sty m:val="i"/>
                  </m:rPr>
                  <m:t>g</m:t>
                </m:r>
              </m:e>
              <m:sub>
                <m:box>
                  <m:e>
                    <m:r>
                      <m:rPr>
                        <m:sty m:val="i"/>
                      </m:rPr>
                      <m:t>i</m:t>
                    </m:r>
                    <m:r>
                      <m:rPr>
                        <m:sty m:val="i"/>
                      </m:rPr>
                      <m:t>t</m:t>
                    </m:r>
                  </m:e>
                </m:box>
              </m:sub>
            </m:sSub>
          </m:e>
        </m:box>
      </m:oMath>
      <w:r>
        <w:rPr>
          <w:rFonts w:ascii="Times New Roman" w:hAnsi="Times New Roman" w:eastAsia="宋体"/>
          <w:b w:val="0"/>
          <w:sz w:val="24"/>
        </w:rPr>
        <w:t>引入两组工具变量。第一组是地形起伏度与年份趋势的交互项。地形起伏度通过运输成本影响市场整合：交通基础设施研究一致表明，运输成本是国内市场分割的首要自然来源，基础设施建设显著促进了区域市场一体化（刘生龙、胡鞍钢，2011；范欣等，2017），而地形起伏度正是运输成本最深层的地理决定因素，满足相关性要求；地形本身由地质过程决定，显然不受当代经济行为反向影响，其与年份趋势交互后捕捉的是“地理约束在样本期内被技术与投资逐步克服”的差异化进程，排他性约束的主要威胁——地理经由农业条件、人口分布等其他渠道影响“内卷”——由控制变量组与省份固定效应吸收。第二组是明清驿道密度与年份趋势的交互项。历史交通网络塑造了此后数百年的贸易通道与市场联系格局，这一识别思想在国际文献中有坚实先例：历史铁路网被证明对贸易成本与地区福利产生持久影响（Donaldson，2018），而当代路网升级的市场整合与竞争效应亦有量化证据（Asturias等，2019）。明清驿道形成于前工业时代，其走向由当时的军政通信需求决定，与当代省域“内卷”强度之间除经由市场整合外无直接关联，而驿道沿线沉淀的通道基础又与今日省际市场联系高度相关，故满足相关性与排他性的双重要求。两组工具同时使用形成过度识别，便于执行过度识别检验；第一阶段强度、弱工具检验与两阶段估计结果在第八章报告。此外，本书还以方言距离作为文化性贸易壁垒的补充工具用于稳健性讨论。需要坦承的是，任何历史与地理工具都无法绝对排除全部潜在渠道，本书的策略是让固定效应、双重差分与工具变量三类识别互为犄角：若三者给出方向一致、量级可比的估计，则因果结论的可信度将远高于任何单一方法。</w:t>
      </w:r>
    </w:p>
    <w:p>
      <w:pPr>
        <w:spacing w:before="200" w:after="160" w:line="360" w:lineRule="auto"/>
        <w:outlineLvl w:val="1"/>
      </w:pPr>
      <w:r>
        <w:rPr>
          <w:rFonts w:ascii="Times New Roman" w:hAnsi="Times New Roman" w:eastAsia="黑体"/>
          <w:b w:val="0"/>
          <w:sz w:val="28"/>
        </w:rPr>
        <w:t>（四）数据来源与描述性统计</w:t>
      </w:r>
    </w:p>
    <w:p>
      <w:pPr>
        <w:spacing w:before="160" w:after="120" w:line="360" w:lineRule="auto"/>
        <w:outlineLvl w:val="2"/>
      </w:pPr>
      <w:r>
        <w:rPr>
          <w:rFonts w:ascii="Times New Roman" w:hAnsi="Times New Roman" w:eastAsia="黑体"/>
          <w:b w:val="0"/>
          <w:sz w:val="24"/>
        </w:rPr>
        <w:t>1．样本与数据来源</w:t>
      </w:r>
    </w:p>
    <w:p>
      <w:pPr>
        <w:spacing w:before="0" w:after="0" w:line="360" w:lineRule="auto"/>
        <w:ind w:firstLineChars="200" w:firstLine="480"/>
      </w:pPr>
      <w:r>
        <w:rPr>
          <w:rFonts w:ascii="Times New Roman" w:hAnsi="Times New Roman" w:eastAsia="宋体"/>
          <w:b w:val="0"/>
          <w:sz w:val="24"/>
        </w:rPr>
        <w:t>本书实证样本为中国大陆31个省（自治区、直辖市）2012—2024年的平衡面板，样本量</w:t>
      </w:r>
      <m:oMath>
        <m:box>
          <m:e>
            <m:r>
              <m:rPr>
                <m:sty m:val="i"/>
              </m:rPr>
              <m:t>N</m:t>
            </m:r>
            <m:r>
              <m:rPr>
                <m:sty m:val="p"/>
              </m:rPr>
              <m:t>=</m:t>
            </m:r>
            <m:r>
              <m:rPr>
                <m:sty m:val="p"/>
              </m:rPr>
              <m:t>31</m:t>
            </m:r>
            <m:r>
              <m:rPr>
                <m:sty m:val="p"/>
              </m:rPr>
              <m:t>×</m:t>
            </m:r>
            <m:r>
              <m:rPr>
                <m:sty m:val="p"/>
              </m:rPr>
              <m:t>13</m:t>
            </m:r>
            <m:r>
              <m:rPr>
                <m:sty m:val="p"/>
              </m:rPr>
              <m:t>=</m:t>
            </m:r>
            <m:r>
              <m:rPr>
                <m:sty m:val="p"/>
              </m:rPr>
              <m:t>403</m:t>
            </m:r>
          </m:e>
        </m:box>
      </m:oMath>
      <w:r>
        <w:rPr>
          <w:rFonts w:ascii="Times New Roman" w:hAnsi="Times New Roman" w:eastAsia="宋体"/>
          <w:b w:val="0"/>
          <w:sz w:val="24"/>
        </w:rPr>
        <w:t>。样本期的选择兼顾三重考虑：起点2012年与党的十八大后区域市场化改革全面深化的政策周期对齐，并保证价格指数、工业统计等基础数据口径的连续性；终点2024年为撰稿时各类分省年度数据可得的最新年份；13年的时间跨度横跨2016年公平竞争审查制度实施与2022年《意见》发布两大政策节点，为双重差分与事件研究提供了足够的事前事后窗口。原始数据来源包括：分省商品零售价格分类指数取自《中国统计年鉴》与各省统计年鉴；工业产能利用率、利润、亏损面、存货等取自国家统计局分省数据与《中国工业统计年鉴》；政府补助数据由上市公司年报披露的补助明细按注册地汇总至省；企业退出与存量数据取自市场监管部门企业登记资料；破产案件数据取自人民法院公开的司法统计；公平竞争审查清理文件数由市场监管总局及各省历年公开通报整理；地形起伏度基于数字高程模型（DEM）数据测算；明清驿道密度依据历史地图资料数字化后测算。个别省份个别年份的缺失值以线性插值补齐，并在稳健性检验中剔除插值样本重估，结果不受影响。</w:t>
      </w:r>
    </w:p>
    <w:p>
      <w:pPr>
        <w:spacing w:before="0" w:after="0" w:line="360" w:lineRule="auto"/>
        <w:ind w:firstLineChars="200" w:firstLine="480"/>
      </w:pPr>
      <w:r>
        <w:rPr>
          <w:rFonts w:ascii="Times New Roman" w:hAnsi="Times New Roman" w:eastAsia="宋体"/>
          <w:b w:val="0"/>
          <w:sz w:val="24"/>
        </w:rPr>
        <w:t>各变量的符号、定义与来源汇总如下（见表6.3）。</w:t>
      </w:r>
    </w:p>
    <w:p>
      <w:pPr>
        <w:spacing w:before="160" w:after="80" w:line="312" w:lineRule="auto"/>
        <w:jc w:val="center"/>
      </w:pPr>
      <w:r>
        <w:rPr>
          <w:rFonts w:ascii="Times New Roman" w:hAnsi="Times New Roman" w:eastAsia="黑体"/>
          <w:b w:val="0"/>
          <w:sz w:val="21"/>
        </w:rPr>
        <w:t>表6.3　变量定义与数据来源</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变量符号</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变量名称</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定义与测算方法</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数据来源</w:t>
            </w:r>
          </w:p>
        </w:tc>
      </w:tr>
      <w:tr>
        <w:tc>
          <w:tcPr>
            <w:tcW w:type="dxa" w:w="2126"/>
          </w:tcPr>
          <w:p>
            <w:pPr>
              <w:spacing w:before="20" w:after="20" w:line="276" w:lineRule="auto"/>
              <w:jc w:val="left"/>
            </w:pPr>
            <w:r/>
            <w:r>
              <w:rPr>
                <w:rFonts w:ascii="Times New Roman" w:hAnsi="Times New Roman" w:eastAsia="宋体"/>
                <w:b w:val="0"/>
                <w:sz w:val="21"/>
              </w:rPr>
              <w:t>Inv</w:t>
            </w:r>
          </w:p>
        </w:tc>
        <w:tc>
          <w:tcPr>
            <w:tcW w:type="dxa" w:w="2126"/>
          </w:tcPr>
          <w:p>
            <w:pPr>
              <w:spacing w:before="20" w:after="20" w:line="276" w:lineRule="auto"/>
              <w:jc w:val="left"/>
            </w:pPr>
            <w:r/>
            <w:r>
              <w:rPr>
                <w:rFonts w:ascii="Times New Roman" w:hAnsi="Times New Roman" w:eastAsia="宋体"/>
                <w:b w:val="0"/>
                <w:sz w:val="21"/>
              </w:rPr>
              <w:t>“内卷式竞争”强度指数</w:t>
            </w:r>
          </w:p>
        </w:tc>
        <w:tc>
          <w:tcPr>
            <w:tcW w:type="dxa" w:w="2126"/>
          </w:tcPr>
          <w:p>
            <w:pPr>
              <w:spacing w:before="20" w:after="20" w:line="276" w:lineRule="auto"/>
              <w:jc w:val="left"/>
            </w:pPr>
            <w:r/>
            <w:r>
              <w:rPr>
                <w:rFonts w:ascii="Times New Roman" w:hAnsi="Times New Roman" w:eastAsia="宋体"/>
                <w:b w:val="0"/>
                <w:sz w:val="21"/>
              </w:rPr>
              <w:t>五维14项指标熵权法合成，取值0—1（式(6-6)—(6-9)）</w:t>
            </w:r>
          </w:p>
        </w:tc>
        <w:tc>
          <w:tcPr>
            <w:tcW w:type="dxa" w:w="2126"/>
          </w:tcPr>
          <w:p>
            <w:pPr>
              <w:spacing w:before="20" w:after="20" w:line="276" w:lineRule="auto"/>
              <w:jc w:val="left"/>
            </w:pPr>
            <w:r/>
            <w:r>
              <w:rPr>
                <w:rFonts w:ascii="Times New Roman" w:hAnsi="Times New Roman" w:eastAsia="宋体"/>
                <w:b w:val="0"/>
                <w:sz w:val="21"/>
              </w:rPr>
              <w:t>国家统计局分省数据、《中国工业统计年鉴》、企业登记与司法统计，本书测算</w:t>
            </w:r>
          </w:p>
        </w:tc>
      </w:tr>
      <w:tr>
        <w:tc>
          <w:tcPr>
            <w:tcW w:type="dxa" w:w="2126"/>
          </w:tcPr>
          <w:p>
            <w:pPr>
              <w:spacing w:before="20" w:after="20" w:line="276" w:lineRule="auto"/>
              <w:jc w:val="left"/>
            </w:pPr>
            <w:r/>
            <w:r>
              <w:rPr>
                <w:rFonts w:ascii="Times New Roman" w:hAnsi="Times New Roman" w:eastAsia="宋体"/>
                <w:b w:val="0"/>
                <w:sz w:val="21"/>
              </w:rPr>
              <w:t>Seg</w:t>
            </w:r>
          </w:p>
        </w:tc>
        <w:tc>
          <w:tcPr>
            <w:tcW w:type="dxa" w:w="2126"/>
          </w:tcPr>
          <w:p>
            <w:pPr>
              <w:spacing w:before="20" w:after="20" w:line="276" w:lineRule="auto"/>
              <w:jc w:val="left"/>
            </w:pPr>
            <w:r/>
            <w:r>
              <w:rPr>
                <w:rFonts w:ascii="Times New Roman" w:hAnsi="Times New Roman" w:eastAsia="宋体"/>
                <w:b w:val="0"/>
                <w:sz w:val="21"/>
              </w:rPr>
              <w:t>市场分割指数</w:t>
            </w:r>
          </w:p>
        </w:tc>
        <w:tc>
          <w:tcPr>
            <w:tcW w:type="dxa" w:w="2126"/>
          </w:tcPr>
          <w:p>
            <w:pPr>
              <w:spacing w:before="20" w:after="20" w:line="276" w:lineRule="auto"/>
              <w:jc w:val="left"/>
            </w:pPr>
            <w:r/>
            <w:r>
              <w:rPr>
                <w:rFonts w:ascii="Times New Roman" w:hAnsi="Times New Roman" w:eastAsia="宋体"/>
                <w:b w:val="0"/>
                <w:sz w:val="21"/>
              </w:rPr>
              <w:t>相对价格法，相邻省对相对价格一阶差分方差合成，单位</w:t>
            </w:r>
            <m:oMath>
              <m:box>
                <m:e>
                  <m:sSup>
                    <m:e>
                      <m:r>
                        <m:rPr>
                          <m:sty m:val="p"/>
                        </m:rPr>
                        <m:t>10</m:t>
                      </m:r>
                    </m:e>
                    <m:sup>
                      <m:box>
                        <m:e>
                          <m:r>
                            <m:rPr>
                              <m:sty m:val="p"/>
                            </m:rPr>
                            <m:t>−</m:t>
                          </m:r>
                          <m:r>
                            <m:rPr>
                              <m:sty m:val="p"/>
                            </m:rPr>
                            <m:t>3</m:t>
                          </m:r>
                        </m:e>
                      </m:box>
                    </m:sup>
                  </m:sSup>
                </m:e>
              </m:box>
            </m:oMath>
            <w:r>
              <w:rPr>
                <w:rFonts w:ascii="Times New Roman" w:hAnsi="Times New Roman" w:eastAsia="宋体"/>
                <w:b w:val="0"/>
                <w:sz w:val="21"/>
              </w:rPr>
              <w:t>（式(6-1)—(6-5)）</w:t>
            </w:r>
          </w:p>
        </w:tc>
        <w:tc>
          <w:tcPr>
            <w:tcW w:type="dxa" w:w="2126"/>
          </w:tcPr>
          <w:p>
            <w:pPr>
              <w:spacing w:before="20" w:after="20" w:line="276" w:lineRule="auto"/>
              <w:jc w:val="left"/>
            </w:pPr>
            <w:r/>
            <w:r>
              <w:rPr>
                <w:rFonts w:ascii="Times New Roman" w:hAnsi="Times New Roman" w:eastAsia="宋体"/>
                <w:b w:val="0"/>
                <w:sz w:val="21"/>
              </w:rPr>
              <w:t>《中国统计年鉴》及各省统计年鉴，本书测算</w:t>
            </w:r>
          </w:p>
        </w:tc>
      </w:tr>
      <w:tr>
        <w:tc>
          <w:tcPr>
            <w:tcW w:type="dxa" w:w="2126"/>
          </w:tcPr>
          <w:p>
            <w:pPr>
              <w:spacing w:before="20" w:after="20" w:line="276" w:lineRule="auto"/>
              <w:jc w:val="left"/>
            </w:pPr>
            <w:r/>
            <w:r>
              <w:rPr>
                <w:rFonts w:ascii="Times New Roman" w:hAnsi="Times New Roman" w:eastAsia="宋体"/>
                <w:b w:val="0"/>
                <w:sz w:val="21"/>
              </w:rPr>
              <w:t>Uni</w:t>
            </w:r>
          </w:p>
        </w:tc>
        <w:tc>
          <w:tcPr>
            <w:tcW w:type="dxa" w:w="2126"/>
          </w:tcPr>
          <w:p>
            <w:pPr>
              <w:spacing w:before="20" w:after="20" w:line="276" w:lineRule="auto"/>
              <w:jc w:val="left"/>
            </w:pPr>
            <w:r/>
            <w:r>
              <w:rPr>
                <w:rFonts w:ascii="Times New Roman" w:hAnsi="Times New Roman" w:eastAsia="宋体"/>
                <w:b w:val="0"/>
                <w:sz w:val="21"/>
              </w:rPr>
              <w:t>统一大市场发展指数</w:t>
            </w:r>
          </w:p>
        </w:tc>
        <w:tc>
          <w:tcPr>
            <w:tcW w:type="dxa" w:w="2126"/>
          </w:tcPr>
          <w:p>
            <w:pPr>
              <w:spacing w:before="20" w:after="20" w:line="276" w:lineRule="auto"/>
              <w:jc w:val="left"/>
            </w:pPr>
            <w:r/>
            <w:r>
              <w:rPr>
                <w:rFonts w:ascii="Times New Roman" w:hAnsi="Times New Roman" w:eastAsia="宋体"/>
                <w:b w:val="0"/>
                <w:sz w:val="21"/>
              </w:rPr>
              <w:t>四维18项指标熵权法合成，取值0—100</w:t>
            </w:r>
          </w:p>
        </w:tc>
        <w:tc>
          <w:tcPr>
            <w:tcW w:type="dxa" w:w="2126"/>
          </w:tcPr>
          <w:p>
            <w:pPr>
              <w:spacing w:before="20" w:after="20" w:line="276" w:lineRule="auto"/>
              <w:jc w:val="left"/>
            </w:pPr>
            <w:r/>
            <w:r>
              <w:rPr>
                <w:rFonts w:ascii="Times New Roman" w:hAnsi="Times New Roman" w:eastAsia="宋体"/>
                <w:b w:val="0"/>
                <w:sz w:val="21"/>
              </w:rPr>
              <w:t>多源统计与政务公开数据，本书测算（第七章报告）</w:t>
            </w:r>
          </w:p>
        </w:tc>
      </w:tr>
      <w:tr>
        <w:tc>
          <w:tcPr>
            <w:tcW w:type="dxa" w:w="2126"/>
          </w:tcPr>
          <w:p>
            <w:pPr>
              <w:spacing w:before="20" w:after="20" w:line="276" w:lineRule="auto"/>
              <w:jc w:val="left"/>
            </w:pPr>
            <w:r/>
            <w:r>
              <w:rPr>
                <w:rFonts w:ascii="Times New Roman" w:hAnsi="Times New Roman" w:eastAsia="宋体"/>
                <w:b w:val="0"/>
                <w:sz w:val="21"/>
              </w:rPr>
              <w:t>Sub</w:t>
            </w:r>
          </w:p>
        </w:tc>
        <w:tc>
          <w:tcPr>
            <w:tcW w:type="dxa" w:w="2126"/>
          </w:tcPr>
          <w:p>
            <w:pPr>
              <w:spacing w:before="20" w:after="20" w:line="276" w:lineRule="auto"/>
              <w:jc w:val="left"/>
            </w:pPr>
            <w:r/>
            <w:r>
              <w:rPr>
                <w:rFonts w:ascii="Times New Roman" w:hAnsi="Times New Roman" w:eastAsia="宋体"/>
                <w:b w:val="0"/>
                <w:sz w:val="21"/>
              </w:rPr>
              <w:t>补贴强度</w:t>
            </w:r>
          </w:p>
        </w:tc>
        <w:tc>
          <w:tcPr>
            <w:tcW w:type="dxa" w:w="2126"/>
          </w:tcPr>
          <w:p>
            <w:pPr>
              <w:spacing w:before="20" w:after="20" w:line="276" w:lineRule="auto"/>
              <w:jc w:val="left"/>
            </w:pPr>
            <w:r/>
            <w:r>
              <w:rPr>
                <w:rFonts w:ascii="Times New Roman" w:hAnsi="Times New Roman" w:eastAsia="宋体"/>
                <w:b w:val="0"/>
                <w:sz w:val="21"/>
              </w:rPr>
              <w:t>辖区上市公司政府补助合计/营业收入合计（%）</w:t>
            </w:r>
          </w:p>
        </w:tc>
        <w:tc>
          <w:tcPr>
            <w:tcW w:type="dxa" w:w="2126"/>
          </w:tcPr>
          <w:p>
            <w:pPr>
              <w:spacing w:before="20" w:after="20" w:line="276" w:lineRule="auto"/>
              <w:jc w:val="left"/>
            </w:pPr>
            <w:r/>
            <w:r>
              <w:rPr>
                <w:rFonts w:ascii="Times New Roman" w:hAnsi="Times New Roman" w:eastAsia="宋体"/>
                <w:b w:val="0"/>
                <w:sz w:val="21"/>
              </w:rPr>
              <w:t>上市公司年报数据汇总</w:t>
            </w:r>
          </w:p>
        </w:tc>
      </w:tr>
      <w:tr>
        <w:tc>
          <w:tcPr>
            <w:tcW w:type="dxa" w:w="2126"/>
          </w:tcPr>
          <w:p>
            <w:pPr>
              <w:spacing w:before="20" w:after="20" w:line="276" w:lineRule="auto"/>
              <w:jc w:val="left"/>
            </w:pPr>
            <w:r/>
            <w:r>
              <w:rPr>
                <w:rFonts w:ascii="Times New Roman" w:hAnsi="Times New Roman" w:eastAsia="宋体"/>
                <w:b w:val="0"/>
                <w:sz w:val="21"/>
              </w:rPr>
              <w:t>Sim</w:t>
            </w:r>
          </w:p>
        </w:tc>
        <w:tc>
          <w:tcPr>
            <w:tcW w:type="dxa" w:w="2126"/>
          </w:tcPr>
          <w:p>
            <w:pPr>
              <w:spacing w:before="20" w:after="20" w:line="276" w:lineRule="auto"/>
              <w:jc w:val="left"/>
            </w:pPr>
            <w:r/>
            <w:r>
              <w:rPr>
                <w:rFonts w:ascii="Times New Roman" w:hAnsi="Times New Roman" w:eastAsia="宋体"/>
                <w:b w:val="0"/>
                <w:sz w:val="21"/>
              </w:rPr>
              <w:t>产业结构相似系数</w:t>
            </w:r>
          </w:p>
        </w:tc>
        <w:tc>
          <w:tcPr>
            <w:tcW w:type="dxa" w:w="2126"/>
          </w:tcPr>
          <w:p>
            <w:pPr>
              <w:spacing w:before="20" w:after="20" w:line="276" w:lineRule="auto"/>
              <w:jc w:val="left"/>
            </w:pPr>
            <w:r/>
            <w:r>
              <w:rPr>
                <w:rFonts w:ascii="Times New Roman" w:hAnsi="Times New Roman" w:eastAsia="宋体"/>
                <w:b w:val="0"/>
                <w:sz w:val="21"/>
              </w:rPr>
              <w:t>与其他省份两位数制造业行业结构相似系数的均值</w:t>
            </w:r>
          </w:p>
        </w:tc>
        <w:tc>
          <w:tcPr>
            <w:tcW w:type="dxa" w:w="2126"/>
          </w:tcPr>
          <w:p>
            <w:pPr>
              <w:spacing w:before="20" w:after="20" w:line="276" w:lineRule="auto"/>
              <w:jc w:val="left"/>
            </w:pPr>
            <w:r/>
            <w:r>
              <w:rPr>
                <w:rFonts w:ascii="Times New Roman" w:hAnsi="Times New Roman" w:eastAsia="宋体"/>
                <w:b w:val="0"/>
                <w:sz w:val="21"/>
              </w:rPr>
              <w:t>《中国工业统计年鉴》，本书测算</w:t>
            </w:r>
          </w:p>
        </w:tc>
      </w:tr>
      <w:tr>
        <w:tc>
          <w:tcPr>
            <w:tcW w:type="dxa" w:w="2126"/>
          </w:tcPr>
          <w:p>
            <w:pPr>
              <w:spacing w:before="20" w:after="20" w:line="276" w:lineRule="auto"/>
              <w:jc w:val="left"/>
            </w:pPr>
            <w:r/>
            <w:r>
              <w:rPr>
                <w:rFonts w:ascii="Times New Roman" w:hAnsi="Times New Roman" w:eastAsia="宋体"/>
                <w:b w:val="0"/>
                <w:sz w:val="21"/>
              </w:rPr>
              <w:t>Exit</w:t>
            </w:r>
          </w:p>
        </w:tc>
        <w:tc>
          <w:tcPr>
            <w:tcW w:type="dxa" w:w="2126"/>
          </w:tcPr>
          <w:p>
            <w:pPr>
              <w:spacing w:before="20" w:after="20" w:line="276" w:lineRule="auto"/>
              <w:jc w:val="left"/>
            </w:pPr>
            <w:r/>
            <w:r>
              <w:rPr>
                <w:rFonts w:ascii="Times New Roman" w:hAnsi="Times New Roman" w:eastAsia="宋体"/>
                <w:b w:val="0"/>
                <w:sz w:val="21"/>
              </w:rPr>
              <w:t>企业退出率</w:t>
            </w:r>
          </w:p>
        </w:tc>
        <w:tc>
          <w:tcPr>
            <w:tcW w:type="dxa" w:w="2126"/>
          </w:tcPr>
          <w:p>
            <w:pPr>
              <w:spacing w:before="20" w:after="20" w:line="276" w:lineRule="auto"/>
              <w:jc w:val="left"/>
            </w:pPr>
            <w:r/>
            <w:r>
              <w:rPr>
                <w:rFonts w:ascii="Times New Roman" w:hAnsi="Times New Roman" w:eastAsia="宋体"/>
                <w:b w:val="0"/>
                <w:sz w:val="21"/>
              </w:rPr>
              <w:t>当年注销、吊销企业数/上年末企业存量（%）</w:t>
            </w:r>
          </w:p>
        </w:tc>
        <w:tc>
          <w:tcPr>
            <w:tcW w:type="dxa" w:w="2126"/>
          </w:tcPr>
          <w:p>
            <w:pPr>
              <w:spacing w:before="20" w:after="20" w:line="276" w:lineRule="auto"/>
              <w:jc w:val="left"/>
            </w:pPr>
            <w:r/>
            <w:r>
              <w:rPr>
                <w:rFonts w:ascii="Times New Roman" w:hAnsi="Times New Roman" w:eastAsia="宋体"/>
                <w:b w:val="0"/>
                <w:sz w:val="21"/>
              </w:rPr>
              <w:t>市场监管部门企业登记数据</w:t>
            </w:r>
          </w:p>
        </w:tc>
      </w:tr>
      <w:tr>
        <w:tc>
          <w:tcPr>
            <w:tcW w:type="dxa" w:w="2126"/>
          </w:tcPr>
          <w:p>
            <w:pPr>
              <w:spacing w:before="20" w:after="20" w:line="276" w:lineRule="auto"/>
              <w:jc w:val="left"/>
            </w:pPr>
            <w:r/>
            <w:r>
              <w:rPr>
                <w:rFonts w:ascii="Times New Roman" w:hAnsi="Times New Roman" w:eastAsia="宋体"/>
                <w:b w:val="0"/>
                <w:sz w:val="21"/>
              </w:rPr>
              <w:t>lnpgdp</w:t>
            </w:r>
          </w:p>
        </w:tc>
        <w:tc>
          <w:tcPr>
            <w:tcW w:type="dxa" w:w="2126"/>
          </w:tcPr>
          <w:p>
            <w:pPr>
              <w:spacing w:before="20" w:after="20" w:line="276" w:lineRule="auto"/>
              <w:jc w:val="left"/>
            </w:pPr>
            <w:r/>
            <w:r>
              <w:rPr>
                <w:rFonts w:ascii="Times New Roman" w:hAnsi="Times New Roman" w:eastAsia="宋体"/>
                <w:b w:val="0"/>
                <w:sz w:val="21"/>
              </w:rPr>
              <w:t>人均GDP对数</w:t>
            </w:r>
          </w:p>
        </w:tc>
        <w:tc>
          <w:tcPr>
            <w:tcW w:type="dxa" w:w="2126"/>
          </w:tcPr>
          <w:p>
            <w:pPr>
              <w:spacing w:before="20" w:after="20" w:line="276" w:lineRule="auto"/>
              <w:jc w:val="left"/>
            </w:pPr>
            <w:r/>
            <w:r>
              <w:rPr>
                <w:rFonts w:ascii="Times New Roman" w:hAnsi="Times New Roman" w:eastAsia="宋体"/>
                <w:b w:val="0"/>
                <w:sz w:val="21"/>
              </w:rPr>
              <w:t>人均地区生产总值（2012年不变价）的自然对数</w:t>
            </w:r>
          </w:p>
        </w:tc>
        <w:tc>
          <w:tcPr>
            <w:tcW w:type="dxa" w:w="2126"/>
          </w:tcPr>
          <w:p>
            <w:pPr>
              <w:spacing w:before="20" w:after="20" w:line="276" w:lineRule="auto"/>
              <w:jc w:val="left"/>
            </w:pPr>
            <w:r/>
            <w:r>
              <w:rPr>
                <w:rFonts w:ascii="Times New Roman" w:hAnsi="Times New Roman" w:eastAsia="宋体"/>
                <w:b w:val="0"/>
                <w:sz w:val="21"/>
              </w:rPr>
              <w:t>国家统计局</w:t>
            </w:r>
          </w:p>
        </w:tc>
      </w:tr>
      <w:tr>
        <w:tc>
          <w:tcPr>
            <w:tcW w:type="dxa" w:w="2126"/>
          </w:tcPr>
          <w:p>
            <w:pPr>
              <w:spacing w:before="20" w:after="20" w:line="276" w:lineRule="auto"/>
              <w:jc w:val="left"/>
            </w:pPr>
            <w:r/>
            <w:r>
              <w:rPr>
                <w:rFonts w:ascii="Times New Roman" w:hAnsi="Times New Roman" w:eastAsia="宋体"/>
                <w:b w:val="0"/>
                <w:sz w:val="21"/>
              </w:rPr>
              <w:t>Ind2</w:t>
            </w:r>
          </w:p>
        </w:tc>
        <w:tc>
          <w:tcPr>
            <w:tcW w:type="dxa" w:w="2126"/>
          </w:tcPr>
          <w:p>
            <w:pPr>
              <w:spacing w:before="20" w:after="20" w:line="276" w:lineRule="auto"/>
              <w:jc w:val="left"/>
            </w:pPr>
            <w:r/>
            <w:r>
              <w:rPr>
                <w:rFonts w:ascii="Times New Roman" w:hAnsi="Times New Roman" w:eastAsia="宋体"/>
                <w:b w:val="0"/>
                <w:sz w:val="21"/>
              </w:rPr>
              <w:t>第二产业占比</w:t>
            </w:r>
          </w:p>
        </w:tc>
        <w:tc>
          <w:tcPr>
            <w:tcW w:type="dxa" w:w="2126"/>
          </w:tcPr>
          <w:p>
            <w:pPr>
              <w:spacing w:before="20" w:after="20" w:line="276" w:lineRule="auto"/>
              <w:jc w:val="left"/>
            </w:pPr>
            <w:r/>
            <w:r>
              <w:rPr>
                <w:rFonts w:ascii="Times New Roman" w:hAnsi="Times New Roman" w:eastAsia="宋体"/>
                <w:b w:val="0"/>
                <w:sz w:val="21"/>
              </w:rPr>
              <w:t>第二产业增加值/地区生产总值</w:t>
            </w:r>
          </w:p>
        </w:tc>
        <w:tc>
          <w:tcPr>
            <w:tcW w:type="dxa" w:w="2126"/>
          </w:tcPr>
          <w:p>
            <w:pPr>
              <w:spacing w:before="20" w:after="20" w:line="276" w:lineRule="auto"/>
              <w:jc w:val="left"/>
            </w:pPr>
            <w:r/>
            <w:r>
              <w:rPr>
                <w:rFonts w:ascii="Times New Roman" w:hAnsi="Times New Roman" w:eastAsia="宋体"/>
                <w:b w:val="0"/>
                <w:sz w:val="21"/>
              </w:rPr>
              <w:t>国家统计局</w:t>
            </w:r>
          </w:p>
        </w:tc>
      </w:tr>
      <w:tr>
        <w:tc>
          <w:tcPr>
            <w:tcW w:type="dxa" w:w="2126"/>
          </w:tcPr>
          <w:p>
            <w:pPr>
              <w:spacing w:before="20" w:after="20" w:line="276" w:lineRule="auto"/>
              <w:jc w:val="left"/>
            </w:pPr>
            <w:r/>
            <w:r>
              <w:rPr>
                <w:rFonts w:ascii="Times New Roman" w:hAnsi="Times New Roman" w:eastAsia="宋体"/>
                <w:b w:val="0"/>
                <w:sz w:val="21"/>
              </w:rPr>
              <w:t>Fiscal</w:t>
            </w:r>
          </w:p>
        </w:tc>
        <w:tc>
          <w:tcPr>
            <w:tcW w:type="dxa" w:w="2126"/>
          </w:tcPr>
          <w:p>
            <w:pPr>
              <w:spacing w:before="20" w:after="20" w:line="276" w:lineRule="auto"/>
              <w:jc w:val="left"/>
            </w:pPr>
            <w:r/>
            <w:r>
              <w:rPr>
                <w:rFonts w:ascii="Times New Roman" w:hAnsi="Times New Roman" w:eastAsia="宋体"/>
                <w:b w:val="0"/>
                <w:sz w:val="21"/>
              </w:rPr>
              <w:t>财政自给率</w:t>
            </w:r>
          </w:p>
        </w:tc>
        <w:tc>
          <w:tcPr>
            <w:tcW w:type="dxa" w:w="2126"/>
          </w:tcPr>
          <w:p>
            <w:pPr>
              <w:spacing w:before="20" w:after="20" w:line="276" w:lineRule="auto"/>
              <w:jc w:val="left"/>
            </w:pPr>
            <w:r/>
            <w:r>
              <w:rPr>
                <w:rFonts w:ascii="Times New Roman" w:hAnsi="Times New Roman" w:eastAsia="宋体"/>
                <w:b w:val="0"/>
                <w:sz w:val="21"/>
              </w:rPr>
              <w:t>一般公共预算收入/一般公共预算支出</w:t>
            </w:r>
          </w:p>
        </w:tc>
        <w:tc>
          <w:tcPr>
            <w:tcW w:type="dxa" w:w="2126"/>
          </w:tcPr>
          <w:p>
            <w:pPr>
              <w:spacing w:before="20" w:after="20" w:line="276" w:lineRule="auto"/>
              <w:jc w:val="left"/>
            </w:pPr>
            <w:r/>
            <w:r>
              <w:rPr>
                <w:rFonts w:ascii="Times New Roman" w:hAnsi="Times New Roman" w:eastAsia="宋体"/>
                <w:b w:val="0"/>
                <w:sz w:val="21"/>
              </w:rPr>
              <w:t>财政部及各省决算</w:t>
            </w:r>
          </w:p>
        </w:tc>
      </w:tr>
      <w:tr>
        <w:tc>
          <w:tcPr>
            <w:tcW w:type="dxa" w:w="2126"/>
          </w:tcPr>
          <w:p>
            <w:pPr>
              <w:spacing w:before="20" w:after="20" w:line="276" w:lineRule="auto"/>
              <w:jc w:val="left"/>
            </w:pPr>
            <w:r/>
            <w:r>
              <w:rPr>
                <w:rFonts w:ascii="Times New Roman" w:hAnsi="Times New Roman" w:eastAsia="宋体"/>
                <w:b w:val="0"/>
                <w:sz w:val="21"/>
              </w:rPr>
              <w:t>Open</w:t>
            </w:r>
          </w:p>
        </w:tc>
        <w:tc>
          <w:tcPr>
            <w:tcW w:type="dxa" w:w="2126"/>
          </w:tcPr>
          <w:p>
            <w:pPr>
              <w:spacing w:before="20" w:after="20" w:line="276" w:lineRule="auto"/>
              <w:jc w:val="left"/>
            </w:pPr>
            <w:r/>
            <w:r>
              <w:rPr>
                <w:rFonts w:ascii="Times New Roman" w:hAnsi="Times New Roman" w:eastAsia="宋体"/>
                <w:b w:val="0"/>
                <w:sz w:val="21"/>
              </w:rPr>
              <w:t>对外开放度</w:t>
            </w:r>
          </w:p>
        </w:tc>
        <w:tc>
          <w:tcPr>
            <w:tcW w:type="dxa" w:w="2126"/>
          </w:tcPr>
          <w:p>
            <w:pPr>
              <w:spacing w:before="20" w:after="20" w:line="276" w:lineRule="auto"/>
              <w:jc w:val="left"/>
            </w:pPr>
            <w:r/>
            <w:r>
              <w:rPr>
                <w:rFonts w:ascii="Times New Roman" w:hAnsi="Times New Roman" w:eastAsia="宋体"/>
                <w:b w:val="0"/>
                <w:sz w:val="21"/>
              </w:rPr>
              <w:t>进出口总额/地区生产总值</w:t>
            </w:r>
          </w:p>
        </w:tc>
        <w:tc>
          <w:tcPr>
            <w:tcW w:type="dxa" w:w="2126"/>
          </w:tcPr>
          <w:p>
            <w:pPr>
              <w:spacing w:before="20" w:after="20" w:line="276" w:lineRule="auto"/>
              <w:jc w:val="left"/>
            </w:pPr>
            <w:r/>
            <w:r>
              <w:rPr>
                <w:rFonts w:ascii="Times New Roman" w:hAnsi="Times New Roman" w:eastAsia="宋体"/>
                <w:b w:val="0"/>
                <w:sz w:val="21"/>
              </w:rPr>
              <w:t>海关总署、国家统计局</w:t>
            </w:r>
          </w:p>
        </w:tc>
      </w:tr>
      <w:tr>
        <w:tc>
          <w:tcPr>
            <w:tcW w:type="dxa" w:w="2126"/>
          </w:tcPr>
          <w:p>
            <w:pPr>
              <w:spacing w:before="20" w:after="20" w:line="276" w:lineRule="auto"/>
              <w:jc w:val="left"/>
            </w:pPr>
            <w:r/>
            <w:r>
              <w:rPr>
                <w:rFonts w:ascii="Times New Roman" w:hAnsi="Times New Roman" w:eastAsia="宋体"/>
                <w:b w:val="0"/>
                <w:sz w:val="21"/>
              </w:rPr>
              <w:t>Urban</w:t>
            </w:r>
          </w:p>
        </w:tc>
        <w:tc>
          <w:tcPr>
            <w:tcW w:type="dxa" w:w="2126"/>
          </w:tcPr>
          <w:p>
            <w:pPr>
              <w:spacing w:before="20" w:after="20" w:line="276" w:lineRule="auto"/>
              <w:jc w:val="left"/>
            </w:pPr>
            <w:r/>
            <w:r>
              <w:rPr>
                <w:rFonts w:ascii="Times New Roman" w:hAnsi="Times New Roman" w:eastAsia="宋体"/>
                <w:b w:val="0"/>
                <w:sz w:val="21"/>
              </w:rPr>
              <w:t>城镇化率</w:t>
            </w:r>
          </w:p>
        </w:tc>
        <w:tc>
          <w:tcPr>
            <w:tcW w:type="dxa" w:w="2126"/>
          </w:tcPr>
          <w:p>
            <w:pPr>
              <w:spacing w:before="20" w:after="20" w:line="276" w:lineRule="auto"/>
              <w:jc w:val="left"/>
            </w:pPr>
            <w:r/>
            <w:r>
              <w:rPr>
                <w:rFonts w:ascii="Times New Roman" w:hAnsi="Times New Roman" w:eastAsia="宋体"/>
                <w:b w:val="0"/>
                <w:sz w:val="21"/>
              </w:rPr>
              <w:t>常住人口城镇化率</w:t>
            </w:r>
          </w:p>
        </w:tc>
        <w:tc>
          <w:tcPr>
            <w:tcW w:type="dxa" w:w="2126"/>
          </w:tcPr>
          <w:p>
            <w:pPr>
              <w:spacing w:before="20" w:after="20" w:line="276" w:lineRule="auto"/>
              <w:jc w:val="left"/>
            </w:pPr>
            <w:r/>
            <w:r>
              <w:rPr>
                <w:rFonts w:ascii="Times New Roman" w:hAnsi="Times New Roman" w:eastAsia="宋体"/>
                <w:b w:val="0"/>
                <w:sz w:val="21"/>
              </w:rPr>
              <w:t>国家统计局</w:t>
            </w:r>
          </w:p>
        </w:tc>
      </w:tr>
      <w:tr>
        <w:tc>
          <w:tcPr>
            <w:tcW w:type="dxa" w:w="2126"/>
          </w:tcPr>
          <w:p>
            <w:pPr>
              <w:spacing w:before="20" w:after="20" w:line="276" w:lineRule="auto"/>
              <w:jc w:val="left"/>
            </w:pPr>
            <w:r/>
            <w:r>
              <w:rPr>
                <w:rFonts w:ascii="Times New Roman" w:hAnsi="Times New Roman" w:eastAsia="宋体"/>
                <w:b w:val="0"/>
                <w:sz w:val="21"/>
              </w:rPr>
              <w:t>Intensity</w:t>
            </w:r>
          </w:p>
        </w:tc>
        <w:tc>
          <w:tcPr>
            <w:tcW w:type="dxa" w:w="2126"/>
          </w:tcPr>
          <w:p>
            <w:pPr>
              <w:spacing w:before="20" w:after="20" w:line="276" w:lineRule="auto"/>
              <w:jc w:val="left"/>
            </w:pPr>
            <w:r/>
            <w:r>
              <w:rPr>
                <w:rFonts w:ascii="Times New Roman" w:hAnsi="Times New Roman" w:eastAsia="宋体"/>
                <w:b w:val="0"/>
                <w:sz w:val="21"/>
              </w:rPr>
              <w:t>审查清理强度</w:t>
            </w:r>
          </w:p>
        </w:tc>
        <w:tc>
          <w:tcPr>
            <w:tcW w:type="dxa" w:w="2126"/>
          </w:tcPr>
          <w:p>
            <w:pPr>
              <w:spacing w:before="20" w:after="20" w:line="276" w:lineRule="auto"/>
              <w:jc w:val="left"/>
            </w:pPr>
            <w:r/>
            <w:r>
              <w:rPr>
                <w:rFonts w:ascii="Times New Roman" w:hAnsi="Times New Roman" w:eastAsia="宋体"/>
                <w:b w:val="0"/>
                <w:sz w:val="21"/>
              </w:rPr>
              <w:t>各省2016—2018年人均清理存量政策文件数（标准化）</w:t>
            </w:r>
          </w:p>
        </w:tc>
        <w:tc>
          <w:tcPr>
            <w:tcW w:type="dxa" w:w="2126"/>
          </w:tcPr>
          <w:p>
            <w:pPr>
              <w:spacing w:before="20" w:after="20" w:line="276" w:lineRule="auto"/>
              <w:jc w:val="left"/>
            </w:pPr>
            <w:r/>
            <w:r>
              <w:rPr>
                <w:rFonts w:ascii="Times New Roman" w:hAnsi="Times New Roman" w:eastAsia="宋体"/>
                <w:b w:val="0"/>
                <w:sz w:val="21"/>
              </w:rPr>
              <w:t>市场监管总局及各省公开通报，本书整理</w:t>
            </w:r>
          </w:p>
        </w:tc>
      </w:tr>
      <w:tr>
        <w:tc>
          <w:tcPr>
            <w:tcW w:type="dxa" w:w="2126"/>
          </w:tcPr>
          <w:p>
            <w:pPr>
              <w:spacing w:before="20" w:after="20" w:line="276" w:lineRule="auto"/>
              <w:jc w:val="left"/>
            </w:pPr>
            <w:r/>
            <w:r>
              <w:rPr>
                <w:rFonts w:ascii="Times New Roman" w:hAnsi="Times New Roman" w:eastAsia="宋体"/>
                <w:b w:val="0"/>
                <w:sz w:val="21"/>
              </w:rPr>
              <w:t>Terrain</w:t>
            </w:r>
          </w:p>
        </w:tc>
        <w:tc>
          <w:tcPr>
            <w:tcW w:type="dxa" w:w="2126"/>
          </w:tcPr>
          <w:p>
            <w:pPr>
              <w:spacing w:before="20" w:after="20" w:line="276" w:lineRule="auto"/>
              <w:jc w:val="left"/>
            </w:pPr>
            <w:r/>
            <w:r>
              <w:rPr>
                <w:rFonts w:ascii="Times New Roman" w:hAnsi="Times New Roman" w:eastAsia="宋体"/>
                <w:b w:val="0"/>
                <w:sz w:val="21"/>
              </w:rPr>
              <w:t>地形起伏度</w:t>
            </w:r>
          </w:p>
        </w:tc>
        <w:tc>
          <w:tcPr>
            <w:tcW w:type="dxa" w:w="2126"/>
          </w:tcPr>
          <w:p>
            <w:pPr>
              <w:spacing w:before="20" w:after="20" w:line="276" w:lineRule="auto"/>
              <w:jc w:val="left"/>
            </w:pPr>
            <w:r/>
            <w:r>
              <w:rPr>
                <w:rFonts w:ascii="Times New Roman" w:hAnsi="Times New Roman" w:eastAsia="宋体"/>
                <w:b w:val="0"/>
                <w:sz w:val="21"/>
              </w:rPr>
              <w:t>省域高程极差与平均坡度合成（工具变量）</w:t>
            </w:r>
          </w:p>
        </w:tc>
        <w:tc>
          <w:tcPr>
            <w:tcW w:type="dxa" w:w="2126"/>
          </w:tcPr>
          <w:p>
            <w:pPr>
              <w:spacing w:before="20" w:after="20" w:line="276" w:lineRule="auto"/>
              <w:jc w:val="left"/>
            </w:pPr>
            <w:r/>
            <w:r>
              <w:rPr>
                <w:rFonts w:ascii="Times New Roman" w:hAnsi="Times New Roman" w:eastAsia="宋体"/>
                <w:b w:val="0"/>
                <w:sz w:val="21"/>
              </w:rPr>
              <w:t>数字高程模型（DEM）数据，本书测算</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Route</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明清驿道密度</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明清主要驿道长度/省域面积（工具变量）</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历史地图资料数字化，本书测算</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6.3的变量体系与图6.1的设计框架逐一对应：Inv与Seg是贯穿第七至九章的两大核心指数，Sub、Sim、Exit是机制检验的三个渠道变量，Intensity是双重差分的处理强度，Terrain与Route是工具变量，五个控制变量则覆盖发展阶段、产业结构、财政激励、开放程度与市场规模五个混杂维度。变量定义在全书保持唯一口径，后续各章不再重复交代。</w:t>
      </w:r>
    </w:p>
    <w:p>
      <w:pPr>
        <w:spacing w:before="160" w:after="120" w:line="360" w:lineRule="auto"/>
        <w:outlineLvl w:val="2"/>
      </w:pPr>
      <w:r>
        <w:rPr>
          <w:rFonts w:ascii="Times New Roman" w:hAnsi="Times New Roman" w:eastAsia="黑体"/>
          <w:b w:val="0"/>
          <w:sz w:val="24"/>
        </w:rPr>
        <w:t>2．描述性统计</w:t>
      </w:r>
    </w:p>
    <w:p>
      <w:pPr>
        <w:spacing w:before="0" w:after="0" w:line="360" w:lineRule="auto"/>
        <w:ind w:firstLineChars="200" w:firstLine="480"/>
      </w:pPr>
      <w:r>
        <w:rPr>
          <w:rFonts w:ascii="Times New Roman" w:hAnsi="Times New Roman" w:eastAsia="宋体"/>
          <w:b w:val="0"/>
          <w:sz w:val="24"/>
        </w:rPr>
        <w:t>主要变量的描述性统计（见表6.4）报告了403个省份—年份观测的分布特征。</w:t>
      </w:r>
    </w:p>
    <w:p>
      <w:pPr>
        <w:spacing w:before="160" w:after="80" w:line="312" w:lineRule="auto"/>
        <w:jc w:val="center"/>
      </w:pPr>
      <w:r>
        <w:rPr>
          <w:rFonts w:ascii="Times New Roman" w:hAnsi="Times New Roman" w:eastAsia="黑体"/>
          <w:b w:val="0"/>
          <w:sz w:val="21"/>
        </w:rPr>
        <w:t>表6.4　主要变量描述性统计</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417"/>
        <w:gridCol w:w="1417"/>
        <w:gridCol w:w="1417"/>
        <w:gridCol w:w="1417"/>
        <w:gridCol w:w="1417"/>
        <w:gridCol w:w="1417"/>
      </w:tblGrid>
      <w:tr>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观测数</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均值</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标准差</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最小值</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最大值</w:t>
            </w:r>
          </w:p>
        </w:tc>
      </w:tr>
      <w:tr>
        <w:tc>
          <w:tcPr>
            <w:tcW w:type="dxa" w:w="1417"/>
          </w:tcPr>
          <w:p>
            <w:pPr>
              <w:spacing w:before="20" w:after="20" w:line="276" w:lineRule="auto"/>
              <w:jc w:val="left"/>
            </w:pPr>
            <w:r/>
            <w:r>
              <w:rPr>
                <w:rFonts w:ascii="Times New Roman" w:hAnsi="Times New Roman" w:eastAsia="宋体"/>
                <w:b w:val="0"/>
                <w:sz w:val="21"/>
              </w:rPr>
              <w:t>Seg（市场分割指数）</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2.26</w:t>
            </w:r>
          </w:p>
        </w:tc>
        <w:tc>
          <w:tcPr>
            <w:tcW w:type="dxa" w:w="1417"/>
          </w:tcPr>
          <w:p>
            <w:pPr>
              <w:spacing w:before="20" w:after="20" w:line="276" w:lineRule="auto"/>
              <w:jc w:val="center"/>
            </w:pPr>
            <w:r/>
            <w:r>
              <w:rPr>
                <w:rFonts w:ascii="Times New Roman" w:hAnsi="Times New Roman" w:eastAsia="宋体"/>
                <w:b w:val="0"/>
                <w:sz w:val="21"/>
              </w:rPr>
              <w:t>0.42</w:t>
            </w:r>
          </w:p>
        </w:tc>
        <w:tc>
          <w:tcPr>
            <w:tcW w:type="dxa" w:w="1417"/>
          </w:tcPr>
          <w:p>
            <w:pPr>
              <w:spacing w:before="20" w:after="20" w:line="276" w:lineRule="auto"/>
              <w:jc w:val="center"/>
            </w:pPr>
            <w:r/>
            <w:r>
              <w:rPr>
                <w:rFonts w:ascii="Times New Roman" w:hAnsi="Times New Roman" w:eastAsia="宋体"/>
                <w:b w:val="0"/>
                <w:sz w:val="21"/>
              </w:rPr>
              <w:t>1.28</w:t>
            </w:r>
          </w:p>
        </w:tc>
        <w:tc>
          <w:tcPr>
            <w:tcW w:type="dxa" w:w="1417"/>
          </w:tcPr>
          <w:p>
            <w:pPr>
              <w:spacing w:before="20" w:after="20" w:line="276" w:lineRule="auto"/>
              <w:jc w:val="center"/>
            </w:pPr>
            <w:r/>
            <w:r>
              <w:rPr>
                <w:rFonts w:ascii="Times New Roman" w:hAnsi="Times New Roman" w:eastAsia="宋体"/>
                <w:b w:val="0"/>
                <w:sz w:val="21"/>
              </w:rPr>
              <w:t>3.45</w:t>
            </w:r>
          </w:p>
        </w:tc>
      </w:tr>
      <w:tr>
        <w:tc>
          <w:tcPr>
            <w:tcW w:type="dxa" w:w="1417"/>
          </w:tcPr>
          <w:p>
            <w:pPr>
              <w:spacing w:before="20" w:after="20" w:line="276" w:lineRule="auto"/>
              <w:jc w:val="left"/>
            </w:pPr>
            <w:r/>
            <w:r>
              <w:rPr>
                <w:rFonts w:ascii="Times New Roman" w:hAnsi="Times New Roman" w:eastAsia="宋体"/>
                <w:b w:val="0"/>
                <w:sz w:val="21"/>
              </w:rPr>
              <w:t>Inv（内卷指数）</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0.383</w:t>
            </w:r>
          </w:p>
        </w:tc>
        <w:tc>
          <w:tcPr>
            <w:tcW w:type="dxa" w:w="1417"/>
          </w:tcPr>
          <w:p>
            <w:pPr>
              <w:spacing w:before="20" w:after="20" w:line="276" w:lineRule="auto"/>
              <w:jc w:val="center"/>
            </w:pPr>
            <w:r/>
            <w:r>
              <w:rPr>
                <w:rFonts w:ascii="Times New Roman" w:hAnsi="Times New Roman" w:eastAsia="宋体"/>
                <w:b w:val="0"/>
                <w:sz w:val="21"/>
              </w:rPr>
              <w:t>0.096</w:t>
            </w:r>
          </w:p>
        </w:tc>
        <w:tc>
          <w:tcPr>
            <w:tcW w:type="dxa" w:w="1417"/>
          </w:tcPr>
          <w:p>
            <w:pPr>
              <w:spacing w:before="20" w:after="20" w:line="276" w:lineRule="auto"/>
              <w:jc w:val="center"/>
            </w:pPr>
            <w:r/>
            <w:r>
              <w:rPr>
                <w:rFonts w:ascii="Times New Roman" w:hAnsi="Times New Roman" w:eastAsia="宋体"/>
                <w:b w:val="0"/>
                <w:sz w:val="21"/>
              </w:rPr>
              <w:t>0.192</w:t>
            </w:r>
          </w:p>
        </w:tc>
        <w:tc>
          <w:tcPr>
            <w:tcW w:type="dxa" w:w="1417"/>
          </w:tcPr>
          <w:p>
            <w:pPr>
              <w:spacing w:before="20" w:after="20" w:line="276" w:lineRule="auto"/>
              <w:jc w:val="center"/>
            </w:pPr>
            <w:r/>
            <w:r>
              <w:rPr>
                <w:rFonts w:ascii="Times New Roman" w:hAnsi="Times New Roman" w:eastAsia="宋体"/>
                <w:b w:val="0"/>
                <w:sz w:val="21"/>
              </w:rPr>
              <w:t>0.641</w:t>
            </w:r>
          </w:p>
        </w:tc>
      </w:tr>
      <w:tr>
        <w:tc>
          <w:tcPr>
            <w:tcW w:type="dxa" w:w="1417"/>
          </w:tcPr>
          <w:p>
            <w:pPr>
              <w:spacing w:before="20" w:after="20" w:line="276" w:lineRule="auto"/>
              <w:jc w:val="left"/>
            </w:pPr>
            <w:r/>
            <w:r>
              <w:rPr>
                <w:rFonts w:ascii="Times New Roman" w:hAnsi="Times New Roman" w:eastAsia="宋体"/>
                <w:b w:val="0"/>
                <w:sz w:val="21"/>
              </w:rPr>
              <w:t>Sub（补贴强度，政府补助/营业收入，%）</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0.68</w:t>
            </w:r>
          </w:p>
        </w:tc>
        <w:tc>
          <w:tcPr>
            <w:tcW w:type="dxa" w:w="1417"/>
          </w:tcPr>
          <w:p>
            <w:pPr>
              <w:spacing w:before="20" w:after="20" w:line="276" w:lineRule="auto"/>
              <w:jc w:val="center"/>
            </w:pPr>
            <w:r/>
            <w:r>
              <w:rPr>
                <w:rFonts w:ascii="Times New Roman" w:hAnsi="Times New Roman" w:eastAsia="宋体"/>
                <w:b w:val="0"/>
                <w:sz w:val="21"/>
              </w:rPr>
              <w:t>0.31</w:t>
            </w:r>
          </w:p>
        </w:tc>
        <w:tc>
          <w:tcPr>
            <w:tcW w:type="dxa" w:w="1417"/>
          </w:tcPr>
          <w:p>
            <w:pPr>
              <w:spacing w:before="20" w:after="20" w:line="276" w:lineRule="auto"/>
              <w:jc w:val="center"/>
            </w:pPr>
            <w:r/>
            <w:r>
              <w:rPr>
                <w:rFonts w:ascii="Times New Roman" w:hAnsi="Times New Roman" w:eastAsia="宋体"/>
                <w:b w:val="0"/>
                <w:sz w:val="21"/>
              </w:rPr>
              <w:t>0.09</w:t>
            </w:r>
          </w:p>
        </w:tc>
        <w:tc>
          <w:tcPr>
            <w:tcW w:type="dxa" w:w="1417"/>
          </w:tcPr>
          <w:p>
            <w:pPr>
              <w:spacing w:before="20" w:after="20" w:line="276" w:lineRule="auto"/>
              <w:jc w:val="center"/>
            </w:pPr>
            <w:r/>
            <w:r>
              <w:rPr>
                <w:rFonts w:ascii="Times New Roman" w:hAnsi="Times New Roman" w:eastAsia="宋体"/>
                <w:b w:val="0"/>
                <w:sz w:val="21"/>
              </w:rPr>
              <w:t>1.87</w:t>
            </w:r>
          </w:p>
        </w:tc>
      </w:tr>
      <w:tr>
        <w:tc>
          <w:tcPr>
            <w:tcW w:type="dxa" w:w="1417"/>
          </w:tcPr>
          <w:p>
            <w:pPr>
              <w:spacing w:before="20" w:after="20" w:line="276" w:lineRule="auto"/>
              <w:jc w:val="left"/>
            </w:pPr>
            <w:r/>
            <w:r>
              <w:rPr>
                <w:rFonts w:ascii="Times New Roman" w:hAnsi="Times New Roman" w:eastAsia="宋体"/>
                <w:b w:val="0"/>
                <w:sz w:val="21"/>
              </w:rPr>
              <w:t>Sim（产业结构相似系数）</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0.582</w:t>
            </w:r>
          </w:p>
        </w:tc>
        <w:tc>
          <w:tcPr>
            <w:tcW w:type="dxa" w:w="1417"/>
          </w:tcPr>
          <w:p>
            <w:pPr>
              <w:spacing w:before="20" w:after="20" w:line="276" w:lineRule="auto"/>
              <w:jc w:val="center"/>
            </w:pPr>
            <w:r/>
            <w:r>
              <w:rPr>
                <w:rFonts w:ascii="Times New Roman" w:hAnsi="Times New Roman" w:eastAsia="宋体"/>
                <w:b w:val="0"/>
                <w:sz w:val="21"/>
              </w:rPr>
              <w:t>0.104</w:t>
            </w:r>
          </w:p>
        </w:tc>
        <w:tc>
          <w:tcPr>
            <w:tcW w:type="dxa" w:w="1417"/>
          </w:tcPr>
          <w:p>
            <w:pPr>
              <w:spacing w:before="20" w:after="20" w:line="276" w:lineRule="auto"/>
              <w:jc w:val="center"/>
            </w:pPr>
            <w:r/>
            <w:r>
              <w:rPr>
                <w:rFonts w:ascii="Times New Roman" w:hAnsi="Times New Roman" w:eastAsia="宋体"/>
                <w:b w:val="0"/>
                <w:sz w:val="21"/>
              </w:rPr>
              <w:t>0.271</w:t>
            </w:r>
          </w:p>
        </w:tc>
        <w:tc>
          <w:tcPr>
            <w:tcW w:type="dxa" w:w="1417"/>
          </w:tcPr>
          <w:p>
            <w:pPr>
              <w:spacing w:before="20" w:after="20" w:line="276" w:lineRule="auto"/>
              <w:jc w:val="center"/>
            </w:pPr>
            <w:r/>
            <w:r>
              <w:rPr>
                <w:rFonts w:ascii="Times New Roman" w:hAnsi="Times New Roman" w:eastAsia="宋体"/>
                <w:b w:val="0"/>
                <w:sz w:val="21"/>
              </w:rPr>
              <w:t>0.804</w:t>
            </w:r>
          </w:p>
        </w:tc>
      </w:tr>
      <w:tr>
        <w:tc>
          <w:tcPr>
            <w:tcW w:type="dxa" w:w="1417"/>
          </w:tcPr>
          <w:p>
            <w:pPr>
              <w:spacing w:before="20" w:after="20" w:line="276" w:lineRule="auto"/>
              <w:jc w:val="left"/>
            </w:pPr>
            <w:r/>
            <w:r>
              <w:rPr>
                <w:rFonts w:ascii="Times New Roman" w:hAnsi="Times New Roman" w:eastAsia="宋体"/>
                <w:b w:val="0"/>
                <w:sz w:val="21"/>
              </w:rPr>
              <w:t>Exit（企业退出率，%）</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6.82</w:t>
            </w:r>
          </w:p>
        </w:tc>
        <w:tc>
          <w:tcPr>
            <w:tcW w:type="dxa" w:w="1417"/>
          </w:tcPr>
          <w:p>
            <w:pPr>
              <w:spacing w:before="20" w:after="20" w:line="276" w:lineRule="auto"/>
              <w:jc w:val="center"/>
            </w:pPr>
            <w:r/>
            <w:r>
              <w:rPr>
                <w:rFonts w:ascii="Times New Roman" w:hAnsi="Times New Roman" w:eastAsia="宋体"/>
                <w:b w:val="0"/>
                <w:sz w:val="21"/>
              </w:rPr>
              <w:t>2.15</w:t>
            </w:r>
          </w:p>
        </w:tc>
        <w:tc>
          <w:tcPr>
            <w:tcW w:type="dxa" w:w="1417"/>
          </w:tcPr>
          <w:p>
            <w:pPr>
              <w:spacing w:before="20" w:after="20" w:line="276" w:lineRule="auto"/>
              <w:jc w:val="center"/>
            </w:pPr>
            <w:r/>
            <w:r>
              <w:rPr>
                <w:rFonts w:ascii="Times New Roman" w:hAnsi="Times New Roman" w:eastAsia="宋体"/>
                <w:b w:val="0"/>
                <w:sz w:val="21"/>
              </w:rPr>
              <w:t>2.30</w:t>
            </w:r>
          </w:p>
        </w:tc>
        <w:tc>
          <w:tcPr>
            <w:tcW w:type="dxa" w:w="1417"/>
          </w:tcPr>
          <w:p>
            <w:pPr>
              <w:spacing w:before="20" w:after="20" w:line="276" w:lineRule="auto"/>
              <w:jc w:val="center"/>
            </w:pPr>
            <w:r/>
            <w:r>
              <w:rPr>
                <w:rFonts w:ascii="Times New Roman" w:hAnsi="Times New Roman" w:eastAsia="宋体"/>
                <w:b w:val="0"/>
                <w:sz w:val="21"/>
              </w:rPr>
              <w:t>13.6</w:t>
            </w:r>
          </w:p>
        </w:tc>
      </w:tr>
      <w:tr>
        <w:tc>
          <w:tcPr>
            <w:tcW w:type="dxa" w:w="1417"/>
          </w:tcPr>
          <w:p>
            <w:pPr>
              <w:spacing w:before="20" w:after="20" w:line="276" w:lineRule="auto"/>
              <w:jc w:val="left"/>
            </w:pPr>
            <w:r/>
            <w:r>
              <w:rPr>
                <w:rFonts w:ascii="Times New Roman" w:hAnsi="Times New Roman" w:eastAsia="宋体"/>
                <w:b w:val="0"/>
                <w:sz w:val="21"/>
              </w:rPr>
              <w:t>lnpgdp（人均GDP对数）</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10.86</w:t>
            </w:r>
          </w:p>
        </w:tc>
        <w:tc>
          <w:tcPr>
            <w:tcW w:type="dxa" w:w="1417"/>
          </w:tcPr>
          <w:p>
            <w:pPr>
              <w:spacing w:before="20" w:after="20" w:line="276" w:lineRule="auto"/>
              <w:jc w:val="center"/>
            </w:pPr>
            <w:r/>
            <w:r>
              <w:rPr>
                <w:rFonts w:ascii="Times New Roman" w:hAnsi="Times New Roman" w:eastAsia="宋体"/>
                <w:b w:val="0"/>
                <w:sz w:val="21"/>
              </w:rPr>
              <w:t>0.44</w:t>
            </w:r>
          </w:p>
        </w:tc>
        <w:tc>
          <w:tcPr>
            <w:tcW w:type="dxa" w:w="1417"/>
          </w:tcPr>
          <w:p>
            <w:pPr>
              <w:spacing w:before="20" w:after="20" w:line="276" w:lineRule="auto"/>
              <w:jc w:val="center"/>
            </w:pPr>
            <w:r/>
            <w:r>
              <w:rPr>
                <w:rFonts w:ascii="Times New Roman" w:hAnsi="Times New Roman" w:eastAsia="宋体"/>
                <w:b w:val="0"/>
                <w:sz w:val="21"/>
              </w:rPr>
              <w:t>9.68</w:t>
            </w:r>
          </w:p>
        </w:tc>
        <w:tc>
          <w:tcPr>
            <w:tcW w:type="dxa" w:w="1417"/>
          </w:tcPr>
          <w:p>
            <w:pPr>
              <w:spacing w:before="20" w:after="20" w:line="276" w:lineRule="auto"/>
              <w:jc w:val="center"/>
            </w:pPr>
            <w:r/>
            <w:r>
              <w:rPr>
                <w:rFonts w:ascii="Times New Roman" w:hAnsi="Times New Roman" w:eastAsia="宋体"/>
                <w:b w:val="0"/>
                <w:sz w:val="21"/>
              </w:rPr>
              <w:t>12.16</w:t>
            </w:r>
          </w:p>
        </w:tc>
      </w:tr>
      <w:tr>
        <w:tc>
          <w:tcPr>
            <w:tcW w:type="dxa" w:w="1417"/>
          </w:tcPr>
          <w:p>
            <w:pPr>
              <w:spacing w:before="20" w:after="20" w:line="276" w:lineRule="auto"/>
              <w:jc w:val="left"/>
            </w:pPr>
            <w:r/>
            <w:r>
              <w:rPr>
                <w:rFonts w:ascii="Times New Roman" w:hAnsi="Times New Roman" w:eastAsia="宋体"/>
                <w:b w:val="0"/>
                <w:sz w:val="21"/>
              </w:rPr>
              <w:t>Ind2（第二产业占比）</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0.413</w:t>
            </w:r>
          </w:p>
        </w:tc>
        <w:tc>
          <w:tcPr>
            <w:tcW w:type="dxa" w:w="1417"/>
          </w:tcPr>
          <w:p>
            <w:pPr>
              <w:spacing w:before="20" w:after="20" w:line="276" w:lineRule="auto"/>
              <w:jc w:val="center"/>
            </w:pPr>
            <w:r/>
            <w:r>
              <w:rPr>
                <w:rFonts w:ascii="Times New Roman" w:hAnsi="Times New Roman" w:eastAsia="宋体"/>
                <w:b w:val="0"/>
                <w:sz w:val="21"/>
              </w:rPr>
              <w:t>0.082</w:t>
            </w:r>
          </w:p>
        </w:tc>
        <w:tc>
          <w:tcPr>
            <w:tcW w:type="dxa" w:w="1417"/>
          </w:tcPr>
          <w:p>
            <w:pPr>
              <w:spacing w:before="20" w:after="20" w:line="276" w:lineRule="auto"/>
              <w:jc w:val="center"/>
            </w:pPr>
            <w:r/>
            <w:r>
              <w:rPr>
                <w:rFonts w:ascii="Times New Roman" w:hAnsi="Times New Roman" w:eastAsia="宋体"/>
                <w:b w:val="0"/>
                <w:sz w:val="21"/>
              </w:rPr>
              <w:t>0.158</w:t>
            </w:r>
          </w:p>
        </w:tc>
        <w:tc>
          <w:tcPr>
            <w:tcW w:type="dxa" w:w="1417"/>
          </w:tcPr>
          <w:p>
            <w:pPr>
              <w:spacing w:before="20" w:after="20" w:line="276" w:lineRule="auto"/>
              <w:jc w:val="center"/>
            </w:pPr>
            <w:r/>
            <w:r>
              <w:rPr>
                <w:rFonts w:ascii="Times New Roman" w:hAnsi="Times New Roman" w:eastAsia="宋体"/>
                <w:b w:val="0"/>
                <w:sz w:val="21"/>
              </w:rPr>
              <w:t>0.590</w:t>
            </w:r>
          </w:p>
        </w:tc>
      </w:tr>
      <w:tr>
        <w:tc>
          <w:tcPr>
            <w:tcW w:type="dxa" w:w="1417"/>
          </w:tcPr>
          <w:p>
            <w:pPr>
              <w:spacing w:before="20" w:after="20" w:line="276" w:lineRule="auto"/>
              <w:jc w:val="left"/>
            </w:pPr>
            <w:r/>
            <w:r>
              <w:rPr>
                <w:rFonts w:ascii="Times New Roman" w:hAnsi="Times New Roman" w:eastAsia="宋体"/>
                <w:b w:val="0"/>
                <w:sz w:val="21"/>
              </w:rPr>
              <w:t>Fiscal（财政自给率）</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0.492</w:t>
            </w:r>
          </w:p>
        </w:tc>
        <w:tc>
          <w:tcPr>
            <w:tcW w:type="dxa" w:w="1417"/>
          </w:tcPr>
          <w:p>
            <w:pPr>
              <w:spacing w:before="20" w:after="20" w:line="276" w:lineRule="auto"/>
              <w:jc w:val="center"/>
            </w:pPr>
            <w:r/>
            <w:r>
              <w:rPr>
                <w:rFonts w:ascii="Times New Roman" w:hAnsi="Times New Roman" w:eastAsia="宋体"/>
                <w:b w:val="0"/>
                <w:sz w:val="21"/>
              </w:rPr>
              <w:t>0.203</w:t>
            </w:r>
          </w:p>
        </w:tc>
        <w:tc>
          <w:tcPr>
            <w:tcW w:type="dxa" w:w="1417"/>
          </w:tcPr>
          <w:p>
            <w:pPr>
              <w:spacing w:before="20" w:after="20" w:line="276" w:lineRule="auto"/>
              <w:jc w:val="center"/>
            </w:pPr>
            <w:r/>
            <w:r>
              <w:rPr>
                <w:rFonts w:ascii="Times New Roman" w:hAnsi="Times New Roman" w:eastAsia="宋体"/>
                <w:b w:val="0"/>
                <w:sz w:val="21"/>
              </w:rPr>
              <w:t>0.064</w:t>
            </w:r>
          </w:p>
        </w:tc>
        <w:tc>
          <w:tcPr>
            <w:tcW w:type="dxa" w:w="1417"/>
          </w:tcPr>
          <w:p>
            <w:pPr>
              <w:spacing w:before="20" w:after="20" w:line="276" w:lineRule="auto"/>
              <w:jc w:val="center"/>
            </w:pPr>
            <w:r/>
            <w:r>
              <w:rPr>
                <w:rFonts w:ascii="Times New Roman" w:hAnsi="Times New Roman" w:eastAsia="宋体"/>
                <w:b w:val="0"/>
                <w:sz w:val="21"/>
              </w:rPr>
              <w:t>0.932</w:t>
            </w:r>
          </w:p>
        </w:tc>
      </w:tr>
      <w:tr>
        <w:tc>
          <w:tcPr>
            <w:tcW w:type="dxa" w:w="1417"/>
          </w:tcPr>
          <w:p>
            <w:pPr>
              <w:spacing w:before="20" w:after="20" w:line="276" w:lineRule="auto"/>
              <w:jc w:val="left"/>
            </w:pPr>
            <w:r/>
            <w:r>
              <w:rPr>
                <w:rFonts w:ascii="Times New Roman" w:hAnsi="Times New Roman" w:eastAsia="宋体"/>
                <w:b w:val="0"/>
                <w:sz w:val="21"/>
              </w:rPr>
              <w:t>Open（进出口/GDP）</w:t>
            </w:r>
          </w:p>
        </w:tc>
        <w:tc>
          <w:tcPr>
            <w:tcW w:type="dxa" w:w="1417"/>
          </w:tcPr>
          <w:p>
            <w:pPr>
              <w:spacing w:before="20" w:after="20" w:line="276" w:lineRule="auto"/>
              <w:jc w:val="center"/>
            </w:pPr>
            <w:r/>
            <w:r>
              <w:rPr>
                <w:rFonts w:ascii="Times New Roman" w:hAnsi="Times New Roman" w:eastAsia="宋体"/>
                <w:b w:val="0"/>
                <w:sz w:val="21"/>
              </w:rPr>
              <w:t>403</w:t>
            </w:r>
          </w:p>
        </w:tc>
        <w:tc>
          <w:tcPr>
            <w:tcW w:type="dxa" w:w="1417"/>
          </w:tcPr>
          <w:p>
            <w:pPr>
              <w:spacing w:before="20" w:after="20" w:line="276" w:lineRule="auto"/>
              <w:jc w:val="center"/>
            </w:pPr>
            <w:r/>
            <w:r>
              <w:rPr>
                <w:rFonts w:ascii="Times New Roman" w:hAnsi="Times New Roman" w:eastAsia="宋体"/>
                <w:b w:val="0"/>
                <w:sz w:val="21"/>
              </w:rPr>
              <w:t>0.254</w:t>
            </w:r>
          </w:p>
        </w:tc>
        <w:tc>
          <w:tcPr>
            <w:tcW w:type="dxa" w:w="1417"/>
          </w:tcPr>
          <w:p>
            <w:pPr>
              <w:spacing w:before="20" w:after="20" w:line="276" w:lineRule="auto"/>
              <w:jc w:val="center"/>
            </w:pPr>
            <w:r/>
            <w:r>
              <w:rPr>
                <w:rFonts w:ascii="Times New Roman" w:hAnsi="Times New Roman" w:eastAsia="宋体"/>
                <w:b w:val="0"/>
                <w:sz w:val="21"/>
              </w:rPr>
              <w:t>0.261</w:t>
            </w:r>
          </w:p>
        </w:tc>
        <w:tc>
          <w:tcPr>
            <w:tcW w:type="dxa" w:w="1417"/>
          </w:tcPr>
          <w:p>
            <w:pPr>
              <w:spacing w:before="20" w:after="20" w:line="276" w:lineRule="auto"/>
              <w:jc w:val="center"/>
            </w:pPr>
            <w:r/>
            <w:r>
              <w:rPr>
                <w:rFonts w:ascii="Times New Roman" w:hAnsi="Times New Roman" w:eastAsia="宋体"/>
                <w:b w:val="0"/>
                <w:sz w:val="21"/>
              </w:rPr>
              <w:t>0.013</w:t>
            </w:r>
          </w:p>
        </w:tc>
        <w:tc>
          <w:tcPr>
            <w:tcW w:type="dxa" w:w="1417"/>
          </w:tcPr>
          <w:p>
            <w:pPr>
              <w:spacing w:before="20" w:after="20" w:line="276" w:lineRule="auto"/>
              <w:jc w:val="center"/>
            </w:pPr>
            <w:r/>
            <w:r>
              <w:rPr>
                <w:rFonts w:ascii="Times New Roman" w:hAnsi="Times New Roman" w:eastAsia="宋体"/>
                <w:b w:val="0"/>
                <w:sz w:val="21"/>
              </w:rPr>
              <w:t>1.451</w:t>
            </w:r>
          </w:p>
        </w:tc>
      </w:tr>
      <w:tr>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Urban（城镇化率）</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0.601</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0.121</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0.227</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0.896</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6.4传递出四点信息。第一，两大核心指数均存在充分的变异。市场分割指数均值2.26、标准差0.42，最小值1.28与最大值3.45之间相差2.17，最大值约为最小值的2.7倍——结合第七章的省份明细，低值端对应近年的上海、浙江等东部沿海省市，高值端对应样本早期的西部边远省份，说明指数同时捕捉了截面差距与时序收敛两个维度的信息。“内卷”指数均值0.383、标准差0.096，最大值0.641约为最小值0.192的3.3倍，其变异中既包含2015年前后与2022年以来两轮攀升的时序成分，也包含东北、西部明显高于东部的截面成分，为双固定效应模型留下了充足的组内变异。第二，机制变量的分布与制度事实吻合：补贴强度均值0.68%，但最高达1.87%、最低仅0.09%，省际差距超过二十倍，印证了补贴竞争的非对称性；产业结构相似系数均值0.582，高值省对已达0.804，同构程度之高与第五章“新三样”产能布局高度趋同的事实相互印证；企业退出率均值6.82%，最低仅2.30%，退出粘性的省际差异为检验H3提供了识别来源。第三，控制变量覆盖的发展梯度很宽：人均GDP对数极差2.48（对应约11倍的水平差距），财政自给率从0.064到0.932，对外开放度从0.013到1.451，城镇化率从0.227到0.896，表明样本包含了发展阶段与结构条件差异极大的省份，任何遗漏这些维度的估计都可能产生严重偏误，也再次说明控制变量组与省份固定效应缺一不可。第四，各变量均不存在明显的极端离群观测，主要变量两两相关系数与方差膨胀因子诊断显示共线性程度可控，固定效应估计的数值稳定性有保障。</w:t>
      </w:r>
    </w:p>
    <w:p>
      <w:pPr>
        <w:spacing w:before="0" w:after="0" w:line="360" w:lineRule="auto"/>
        <w:ind w:firstLineChars="200" w:firstLine="480"/>
      </w:pPr>
      <w:r>
        <w:rPr>
          <w:rFonts w:ascii="Times New Roman" w:hAnsi="Times New Roman" w:eastAsia="宋体"/>
          <w:b w:val="0"/>
          <w:sz w:val="24"/>
        </w:rPr>
        <w:t>在进入正式估计之前，还有两点程序性说明。其一，所有回归的标准误均在省份层面聚类；考虑到31个聚类单元数量偏少，第八、九章将同时报告野聚类自助法（wild cluster bootstrap）标准误作为参照。其二，为避免结果被特定样本或口径驱动，本书预设了统一的稳健性检验清单——替换分割指数测度方法、剔除四个直辖市、解释变量滞后一期、加入省份线性时间趋势、随机置换处理强度——各章按同一清单执行，检验结果集中在第八章表8.4与第九章图9.2报告。</w:t>
      </w:r>
    </w:p>
    <w:p>
      <w:pPr>
        <w:spacing w:before="0" w:after="0" w:line="360" w:lineRule="auto"/>
        <w:ind w:firstLineChars="200" w:firstLine="480"/>
      </w:pPr>
      <w:r>
        <w:rPr>
          <w:rFonts w:ascii="Times New Roman" w:hAnsi="Times New Roman" w:eastAsia="宋体"/>
          <w:b w:val="0"/>
          <w:sz w:val="24"/>
        </w:rPr>
        <w:t>本章完成了从理论到实证的全部准备工作：第一节把第四章的七个命题与一个推论转写为五个可反驳的研究假说，并明确了每个假说的理论出处与检验安排；第二节构建了市场分割指数（相对价格法，式(6-1)—(6-5)）、“内卷式竞争”强度指数（五维14项指标熵权合成，式(6-6)—(6-9)）与统一大市场发展指数（四维18项指标）三大测度工具；第三节设定了基准固定效应、机制两步法、强度双重差分与事件研究四类模型（式(6-10)—(6-14)），并论证了地形起伏度与明清驿道密度两组工具变量的有效性；第四节交代了31省2012—2024年面板的数据来源与分布特征。“假说—指标—模型—数据”四个环节环环相扣，共同构成一条从“市场分割—内卷竞争—统一红利”理论框架通往经验证据的完整通道。接下来，本书第七章将首先报告两大核心指数的测度结果，刻画中国市场分割与统一大市场建设水平的时空格局；第八章检验假说H1—H3，回答“分割如何催生内卷”；第九章检验假说H4—H5，回答“统一如何释放红利”。</w:t>
      </w:r>
    </w:p>
    <w:p>
      <w:r>
        <w:br w:type="page"/>
      </w:r>
    </w:p>
    <w:p>
      <w:pPr>
        <w:spacing w:before="240" w:after="280" w:line="360" w:lineRule="auto"/>
        <w:jc w:val="center"/>
        <w:outlineLvl w:val="0"/>
      </w:pPr>
      <w:r>
        <w:rPr>
          <w:rFonts w:ascii="Times New Roman" w:hAnsi="Times New Roman" w:eastAsia="黑体"/>
          <w:b/>
          <w:sz w:val="30"/>
        </w:rPr>
        <w:t>七、实证分析Ⅰ：市场分割与统一大市场建设水平测度</w:t>
      </w:r>
    </w:p>
    <w:p>
      <w:pPr>
        <w:spacing w:before="0" w:after="0" w:line="360" w:lineRule="auto"/>
        <w:ind w:firstLineChars="200" w:firstLine="480"/>
      </w:pPr>
      <w:r>
        <w:rPr>
          <w:rFonts w:ascii="Times New Roman" w:hAnsi="Times New Roman" w:eastAsia="宋体"/>
          <w:b w:val="0"/>
          <w:sz w:val="24"/>
        </w:rPr>
        <w:t>本书第五章以典型化事实呈现了市场分割与“内卷式”竞争的现实图景，第六章给出了指标构建与计量识别的完整设计。本章进入系统实证分析的第一步：报告本书对2012—2024年31个省（自治区、直辖市）市场分割指数、“内卷式竞争”强度指数与统一大市场发展指数的测度结果，回答三个前置性问题——中国市场分割的水平与走势如何？分割在区域、省份与商品—要素维度上呈现何种结构？统一大市场建设的进展与短板何在？这些问题的答案既是对本书第三章“市场分割—内卷竞争—统一红利”框架第一环的经验刻画，也为第八章检验“分割催生内卷”、第九章识别“统一释放红利”提供变量基础与先验线索。全章安排如下：第（一）节考察全国市场分割指数的时序演进，重点解释两次反弹的政策成因；第（二）节比较区域与省份格局；第（三）节对照商品市场与要素市场的分割程度与收敛速度；第（四）节报告统一大市场发展指数的四维诊断，并考察分割与“内卷”强度的初步相关关系；第（五）节讨论测度结果的稳健性及其与既有文献的衔接。每一项测度结果之后，本章均给出相应的经济含义解读。</w:t>
      </w:r>
    </w:p>
    <w:p>
      <w:pPr>
        <w:spacing w:before="200" w:after="160" w:line="360" w:lineRule="auto"/>
        <w:outlineLvl w:val="1"/>
      </w:pPr>
      <w:r>
        <w:rPr>
          <w:rFonts w:ascii="Times New Roman" w:hAnsi="Times New Roman" w:eastAsia="黑体"/>
          <w:b w:val="0"/>
          <w:sz w:val="28"/>
        </w:rPr>
        <w:t>（一）全国市场分割指数的时序演进</w:t>
      </w:r>
    </w:p>
    <w:p>
      <w:pPr>
        <w:spacing w:before="160" w:after="120" w:line="360" w:lineRule="auto"/>
        <w:outlineLvl w:val="2"/>
      </w:pPr>
      <w:r>
        <w:rPr>
          <w:rFonts w:ascii="Times New Roman" w:hAnsi="Times New Roman" w:eastAsia="黑体"/>
          <w:b w:val="0"/>
          <w:sz w:val="24"/>
        </w:rPr>
        <w:t>1．测度口径与总体走势</w:t>
      </w:r>
    </w:p>
    <w:p>
      <w:pPr>
        <w:spacing w:before="0" w:after="0" w:line="360" w:lineRule="auto"/>
        <w:ind w:firstLineChars="200" w:firstLine="480"/>
      </w:pPr>
      <w:r>
        <w:rPr>
          <w:rFonts w:ascii="Times New Roman" w:hAnsi="Times New Roman" w:eastAsia="宋体"/>
          <w:b w:val="0"/>
          <w:sz w:val="24"/>
        </w:rPr>
        <w:t>本章的市场分割指数按本书第六章第（二）节给出的程序测算：以31个省（自治区、直辖市）8大类商品零售价格环比指数为基础数据，构造相邻省对的相对价格一阶差分；为消除商品异质性带来的系统性干扰，对一阶差分序列作去均值处理，这一处理源自边界效应文献对价格法的经典改进（Parsley和Wei，2001）；再按省对合成相对价格波动的方差，经开方与标准化后得到省对层面的分割指数，最后聚合至省—年层面。样本期为2012—2024年，共403个省—年观测，指数数量级为</w:t>
      </w:r>
      <m:oMath>
        <m:box>
          <m:e>
            <m:r>
              <m:rPr>
                <m:sty m:val="p"/>
              </m:rPr>
              <m:t>×</m:t>
            </m:r>
            <m:sSup>
              <m:e>
                <m:r>
                  <m:rPr>
                    <m:sty m:val="p"/>
                  </m:rPr>
                  <m:t>10</m:t>
                </m:r>
              </m:e>
              <m:sup>
                <m:box>
                  <m:e>
                    <m:r>
                      <m:rPr>
                        <m:sty m:val="p"/>
                      </m:rPr>
                      <m:t>−</m:t>
                    </m:r>
                    <m:r>
                      <m:rPr>
                        <m:sty m:val="p"/>
                      </m:rPr>
                      <m:t>3</m:t>
                    </m:r>
                  </m:e>
                </m:box>
              </m:sup>
            </m:sSup>
          </m:e>
        </m:box>
      </m:oMath>
      <w:r>
        <w:rPr>
          <w:rFonts w:ascii="Times New Roman" w:hAnsi="Times New Roman" w:eastAsia="宋体"/>
          <w:b w:val="0"/>
          <w:sz w:val="24"/>
        </w:rPr>
        <w:t>，数值越大表明省际相对价格波动越剧烈、市场分割程度越深。该方法的核心思想承自国内市场整合测度的奠基性研究及其后续发展（桂琦寒等，2006；陆铭、陈钊，2009）：在“冰山成本”框架下，若两地市场充分整合，套利活动将把相对价格波动约束在与贸易成本对应的区间之内；相对价格波动的方差越大，意味着套利受阻越严重、市场分割程度越深。</w:t>
      </w:r>
    </w:p>
    <w:p>
      <w:pPr>
        <w:spacing w:before="0" w:after="0" w:line="360" w:lineRule="auto"/>
        <w:ind w:firstLineChars="200" w:firstLine="480"/>
      </w:pPr>
      <w:r>
        <w:rPr>
          <w:rFonts w:ascii="Times New Roman" w:hAnsi="Times New Roman" w:eastAsia="宋体"/>
          <w:b w:val="0"/>
          <w:sz w:val="24"/>
        </w:rPr>
        <w:t>测算结果显示，全国市场分割指数均值在样本期内呈“总体下降、两度反弹、加速再收敛”的演进形态（见图7.1）。具体而言：2012年为2.65，此后逐年下行，2013—2015年分别为2.58、2.50、2.44，2016年降至2.35，2017年、2018年在2.27、2.26的平台上略作盘整后，2019年进一步降至2.13，七年累计下降19.6%；2020年反弹至2.31，2021年回落至2.17，2022年再度反弹至2.32；2023年起重回下行通道并明显提速，2023年、2024年分别降至2.09与1.97。2024年的1.97为样本期最低值，较2012年累计下降25.7%，亦较疫情前2019年的阶段低点再低7.5%。</w:t>
      </w:r>
    </w:p>
    <w:p>
      <w:pPr>
        <w:spacing w:before="120"/>
        <w:jc w:val="center"/>
      </w:pPr>
      <w:r>
        <w:drawing>
          <wp:inline xmlns:a="http://schemas.openxmlformats.org/drawingml/2006/main" xmlns:pic="http://schemas.openxmlformats.org/drawingml/2006/picture">
            <wp:extent cx="5112000" cy="2722128"/>
            <wp:docPr id="19" name="Picture 19"/>
            <wp:cNvGraphicFramePr>
              <a:graphicFrameLocks noChangeAspect="1"/>
            </wp:cNvGraphicFramePr>
            <a:graphic>
              <a:graphicData uri="http://schemas.openxmlformats.org/drawingml/2006/picture">
                <pic:pic>
                  <pic:nvPicPr>
                    <pic:cNvPr id="0" name="fig_7_1.png"/>
                    <pic:cNvPicPr/>
                  </pic:nvPicPr>
                  <pic:blipFill>
                    <a:blip r:embed="rId27"/>
                    <a:stretch>
                      <a:fillRect/>
                    </a:stretch>
                  </pic:blipFill>
                  <pic:spPr>
                    <a:xfrm>
                      <a:off x="0" y="0"/>
                      <a:ext cx="5112000" cy="2722128"/>
                    </a:xfrm>
                    <a:prstGeom prst="rect"/>
                  </pic:spPr>
                </pic:pic>
              </a:graphicData>
            </a:graphic>
          </wp:inline>
        </w:drawing>
      </w:r>
    </w:p>
    <w:p>
      <w:pPr>
        <w:spacing w:before="120" w:after="120" w:line="312" w:lineRule="auto"/>
        <w:jc w:val="center"/>
      </w:pPr>
      <w:r>
        <w:rPr>
          <w:rFonts w:ascii="Times New Roman" w:hAnsi="Times New Roman" w:eastAsia="黑体"/>
          <w:b w:val="0"/>
          <w:sz w:val="21"/>
        </w:rPr>
        <w:t>图7.1　全国市场分割指数演进（2012—2024）</w:t>
      </w:r>
    </w:p>
    <w:p>
      <w:pPr>
        <w:spacing w:before="0" w:after="0" w:line="360" w:lineRule="auto"/>
        <w:ind w:firstLineChars="200" w:firstLine="480"/>
      </w:pPr>
      <w:r>
        <w:rPr>
          <w:rFonts w:ascii="Times New Roman" w:hAnsi="Times New Roman" w:eastAsia="宋体"/>
          <w:b w:val="0"/>
          <w:sz w:val="24"/>
        </w:rPr>
        <w:t>图7.1同时标注了2020年、2022年两次反弹，以及2022年《中共中央　国务院关于加快建设全国统一大市场的意见》（以下简称《意见》）发布、2024年《公平竞争审查条例》施行两个政策节点。对该图可作四个层面的解读。从水平看，2024年指数降至1.97，意味着相邻省份间经去均值处理后的相对价格波动已收窄至千分之二以内，商品跨省套利与流通的顺畅程度较2012年有实质改善。从变化看，下降是主旋律，但过程并非单调，呈现出“收敛—反弹—再收敛”的W形右侧形态。从结构看，两次反弹恰与疫情冲击及地方保护回潮两类事件对应，而2023年后的加速收敛与统一大市场政策的密集落地在时间上高度吻合。从含义看，商品市场一体化的实质推进为超大规模市场优势的兑现创造了条件，但反弹的出现也警示：市场整合的成果具有可逆性，分割的制度根源并未随指数下降而自动消失。</w:t>
      </w:r>
    </w:p>
    <w:p>
      <w:pPr>
        <w:spacing w:before="0" w:after="0" w:line="360" w:lineRule="auto"/>
        <w:ind w:firstLineChars="200" w:firstLine="480"/>
      </w:pPr>
      <w:r>
        <w:rPr>
          <w:rFonts w:ascii="Times New Roman" w:hAnsi="Times New Roman" w:eastAsia="宋体"/>
          <w:b w:val="0"/>
          <w:sz w:val="24"/>
        </w:rPr>
        <w:t>就2013—2019年的趋势性下降而言，其驱动因素是多重的：交通与物流网络的持续加密降低了区际贸易的自然成本；电子商务与全国性流通企业的扩张压缩了地区间价格差异的存续空间；商事制度改革降低了企业跨区经营的制度门槛，市场准入负面清单制度亦于2018年起全面实施。指数下降的福利含义可以从“一价定律”的角度加以理解：相对价格波动的收窄，意味着同一商品在相邻省份之间的价格差异更快地被套利活动抹平，消费者面对的商品可得性与价格公平性改善，企业面对的有效市场半径扩大，规模经济与专业化分工得以在更大的空间范围内展开——这正是本书第三章所述“统一市场红利”中规模经济效应得以发挥的微观前提。换言之，分割指数每一个基点的下降，背后都是交易成本的实际节约与市场容量的实际扩张。</w:t>
      </w:r>
    </w:p>
    <w:p>
      <w:pPr>
        <w:spacing w:before="160" w:after="120" w:line="360" w:lineRule="auto"/>
        <w:outlineLvl w:val="2"/>
      </w:pPr>
      <w:r>
        <w:rPr>
          <w:rFonts w:ascii="Times New Roman" w:hAnsi="Times New Roman" w:eastAsia="黑体"/>
          <w:b w:val="0"/>
          <w:sz w:val="24"/>
        </w:rPr>
        <w:t>2．两次反弹：摩擦性冲击与制度性回潮的叠加</w:t>
      </w:r>
    </w:p>
    <w:p>
      <w:pPr>
        <w:spacing w:before="0" w:after="0" w:line="360" w:lineRule="auto"/>
        <w:ind w:firstLineChars="200" w:firstLine="480"/>
      </w:pPr>
      <w:r>
        <w:rPr>
          <w:rFonts w:ascii="Times New Roman" w:hAnsi="Times New Roman" w:eastAsia="宋体"/>
          <w:b w:val="0"/>
          <w:sz w:val="24"/>
        </w:rPr>
        <w:t>第一次反弹发生在2020年：指数由2019年的2.13升至2.31，上行0.18、幅度8.5%，为样本期最大的单年升幅。其直接成因是疫情防控初期部分地区实施交通管制、物流一度受阻，区际人员与货物流动受限，跨省套利链条被物理性切断，省际相对价格波动随之放大。这次反弹在性质上以摩擦性成分为主：随着物流保通保畅措施落地，2021年指数即回落至2.17，接近疫情前水平。其经济含义在于，一体化的物流与供应链网络是统一大市场的“硬件”基座，突发冲击下的区域化、本地化倾向会立即在价格数据中显影；反过来，冲击消退后指数的快速回落，也印证了价格法指数对市场整合状态的灵敏度。</w:t>
      </w:r>
    </w:p>
    <w:p>
      <w:pPr>
        <w:spacing w:before="0" w:after="0" w:line="360" w:lineRule="auto"/>
        <w:ind w:firstLineChars="200" w:firstLine="480"/>
      </w:pPr>
      <w:r>
        <w:rPr>
          <w:rFonts w:ascii="Times New Roman" w:hAnsi="Times New Roman" w:eastAsia="宋体"/>
          <w:b w:val="0"/>
          <w:sz w:val="24"/>
        </w:rPr>
        <w:t>第二次反弹发生在2022年：指数由2021年的2.17升至2.32，上行6.9%。与2020年不同，这次反弹是两股力量的叠加。其一是局部封控再度抬升区际流通成本，属摩擦性因素的延续。其二是更值得警惕的制度性因素——地方保护与产业竞赛的回潮。在增长压力加大的背景下，各地围绕光伏、锂电、新能源汽车等热门赛道展开激烈的招商竞争，以税收减免、电价优惠、厂房代建、固定资产投资返还等方式“一哄而上”（据国家能源局转载材料对光伏行业招商乱象的概括）；审计署《2022年度审计工作报告》披露，55个地区违规或变相返还税收、土地出让金等225.08亿元。地方产业政策竞争与统一大市场建设之间的内在张力，正是在这一时期集中显现（林晨、李宇潇，2024）。</w:t>
      </w:r>
    </w:p>
    <w:p>
      <w:pPr>
        <w:spacing w:before="0" w:after="0" w:line="360" w:lineRule="auto"/>
        <w:ind w:firstLineChars="200" w:firstLine="480"/>
      </w:pPr>
      <w:r>
        <w:rPr>
          <w:rFonts w:ascii="Times New Roman" w:hAnsi="Times New Roman" w:eastAsia="宋体"/>
          <w:b w:val="0"/>
          <w:sz w:val="24"/>
        </w:rPr>
        <w:t>区分两次反弹的性质，对理解分割的形成机制至关重要。2020年的反弹在冲击消退后大部分自行回吐；2022年的反弹则叠加了激励层面的结构性成分——本书第五章所述“分割在短期内‘有利于’本地增长”的囚徒困境逻辑意味着，每当外部压力加大、地方增长竞争加剧时，保护与分割就有内生的回潮冲动。这一判断的政策含义十分直接：市场整合不能指望一劳永逸，行政推动式的整合成果若无制度刚性加以锁定，随时可能被地方策略性行为侵蚀。这也正是中央在“十五五”部署中强调“制定全国统一大市场建设条例”、把统一大市场建设由政策推进转向法治化轨道的深层原因。</w:t>
      </w:r>
    </w:p>
    <w:p>
      <w:pPr>
        <w:spacing w:before="160" w:after="120" w:line="360" w:lineRule="auto"/>
        <w:outlineLvl w:val="2"/>
      </w:pPr>
      <w:r>
        <w:rPr>
          <w:rFonts w:ascii="Times New Roman" w:hAnsi="Times New Roman" w:eastAsia="黑体"/>
          <w:b w:val="0"/>
          <w:sz w:val="24"/>
        </w:rPr>
        <w:t>3．再收敛的政策对照与收敛速度测算</w:t>
      </w:r>
    </w:p>
    <w:p>
      <w:pPr>
        <w:spacing w:before="0" w:after="0" w:line="360" w:lineRule="auto"/>
        <w:ind w:firstLineChars="200" w:firstLine="480"/>
      </w:pPr>
      <w:r>
        <w:rPr>
          <w:rFonts w:ascii="Times New Roman" w:hAnsi="Times New Roman" w:eastAsia="宋体"/>
          <w:b w:val="0"/>
          <w:sz w:val="24"/>
        </w:rPr>
        <w:t>2023年以来的再收敛与政策节点高度吻合：2022年4月《意见》发布，提出“五统一”的制度框架；2024年6月《公平竞争审查条例》公布、8月1日施行；同年国务院办公厅印发规范招商引资行为的专门文件（国办发〔2024〕28号），明确不得签订新的与税收挂钩的产业扶持协议；市场准入负面清单由2018年版的151项持续压减至2025年版的106项；2025年1月《全国统一大市场建设指引（试行）》印发，2025年7月1日中央财经委员会第六次会议进一步提出“五统一、一开放”的基本要求。为刻画收敛节奏的变化，本章定义年均收敛速度</w:t>
      </w:r>
      <m:oMath>
        <m:box>
          <m:e>
            <m:r>
              <m:rPr>
                <m:sty m:val="i"/>
              </m:rPr>
              <m:t>g</m:t>
            </m:r>
          </m:e>
        </m:box>
      </m:oMath>
      <w:r>
        <w:rPr>
          <w:rFonts w:ascii="Times New Roman" w:hAnsi="Times New Roman" w:eastAsia="宋体"/>
          <w:b w:val="0"/>
          <w:sz w:val="24"/>
        </w:rPr>
        <w:t>，如式(7-1)所示：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g</m:t>
            </m:r>
            <m:r>
              <m:rPr>
                <m:sty m:val="p"/>
              </m:rPr>
              <m:t>=</m:t>
            </m:r>
            <m:sSup>
              <m:e>
                <m:box>
                  <m:e>
                    <m:d>
                      <m:dPr>
                        <m:begChr m:val="("/>
                        <m:endChr m:val=")"/>
                      </m:dPr>
                      <m:e>
                        <m:box>
                          <m:e>
                            <m:f>
                              <m:num>
                                <m:box>
                                  <m:e>
                                    <m:r>
                                      <m:rPr>
                                        <m:sty m:val="i"/>
                                      </m:rPr>
                                      <m:t>S</m:t>
                                    </m:r>
                                    <m:r>
                                      <m:rPr>
                                        <m:sty m:val="i"/>
                                      </m:rPr>
                                      <m:t>e</m:t>
                                    </m:r>
                                    <m:sSub>
                                      <m:e>
                                        <m:r>
                                          <m:rPr>
                                            <m:sty m:val="i"/>
                                          </m:rPr>
                                          <m:t>g</m:t>
                                        </m:r>
                                      </m:e>
                                      <m:sub>
                                        <m:box>
                                          <m:e>
                                            <m:r>
                                              <m:rPr>
                                                <m:sty m:val="i"/>
                                              </m:rPr>
                                              <m:t>t</m:t>
                                            </m:r>
                                            <m:r>
                                              <m:rPr>
                                                <m:sty m:val="p"/>
                                              </m:rPr>
                                              <m:t>+</m:t>
                                            </m:r>
                                            <m:r>
                                              <m:rPr>
                                                <m:sty m:val="i"/>
                                              </m:rPr>
                                              <m:t>T</m:t>
                                            </m:r>
                                          </m:e>
                                        </m:box>
                                      </m:sub>
                                    </m:sSub>
                                  </m:e>
                                </m:box>
                              </m:num>
                              <m:den>
                                <m:box>
                                  <m:e>
                                    <m:r>
                                      <m:rPr>
                                        <m:sty m:val="i"/>
                                      </m:rPr>
                                      <m:t>S</m:t>
                                    </m:r>
                                    <m:r>
                                      <m:rPr>
                                        <m:sty m:val="i"/>
                                      </m:rPr>
                                      <m:t>e</m:t>
                                    </m:r>
                                    <m:sSub>
                                      <m:e>
                                        <m:r>
                                          <m:rPr>
                                            <m:sty m:val="i"/>
                                          </m:rPr>
                                          <m:t>g</m:t>
                                        </m:r>
                                      </m:e>
                                      <m:sub>
                                        <m:box>
                                          <m:e>
                                            <m:r>
                                              <m:rPr>
                                                <m:sty m:val="i"/>
                                              </m:rPr>
                                              <m:t>t</m:t>
                                            </m:r>
                                          </m:e>
                                        </m:box>
                                      </m:sub>
                                    </m:sSub>
                                  </m:e>
                                </m:box>
                              </m:den>
                            </m:f>
                          </m:e>
                        </m:box>
                      </m:e>
                    </m:d>
                  </m:e>
                </m:box>
              </m:e>
              <m:sup>
                <m:box>
                  <m:e>
                    <m:f>
                      <m:num>
                        <m:box>
                          <m:e>
                            <m:r>
                              <m:rPr>
                                <m:sty m:val="p"/>
                              </m:rPr>
                              <m:t>1</m:t>
                            </m:r>
                          </m:e>
                        </m:box>
                      </m:num>
                      <m:den>
                        <m:box>
                          <m:e>
                            <m:r>
                              <m:rPr>
                                <m:sty m:val="i"/>
                              </m:rPr>
                              <m:t>T</m:t>
                            </m:r>
                          </m:e>
                        </m:box>
                      </m:den>
                    </m:f>
                  </m:e>
                </m:box>
              </m:sup>
            </m:sSup>
            <m:r>
              <m:rPr>
                <m:sty m:val="p"/>
              </m:rPr>
              <m:t>−</m:t>
            </m:r>
            <m:r>
              <m:rPr>
                <m:sty m:val="p"/>
              </m:rPr>
              <m:t>1</m:t>
            </m:r>
          </m:e>
        </m:box>
      </m:oMath>
      <w:r>
        <w:rPr>
          <w:rFonts w:ascii="Times New Roman" w:hAnsi="Times New Roman" w:eastAsia="宋体"/>
          <w:b w:val="0"/>
          <w:sz w:val="24"/>
        </w:rPr>
        <w:tab/>
        <w:t>(7-1)</w:t>
      </w:r>
    </w:p>
    <w:p>
      <w:pPr>
        <w:spacing w:before="0" w:after="0" w:line="360" w:lineRule="auto"/>
        <w:ind w:firstLineChars="200" w:firstLine="480"/>
      </w:pPr>
      <w:r>
        <w:rPr>
          <w:rFonts w:ascii="Times New Roman" w:hAnsi="Times New Roman" w:eastAsia="宋体"/>
          <w:b w:val="0"/>
          <w:sz w:val="24"/>
        </w:rPr>
        <w:t>其中</w:t>
      </w:r>
      <m:oMath>
        <m:box>
          <m:e>
            <m:r>
              <m:rPr>
                <m:sty m:val="i"/>
              </m:rPr>
              <m:t>S</m:t>
            </m:r>
            <m:r>
              <m:rPr>
                <m:sty m:val="i"/>
              </m:rPr>
              <m:t>e</m:t>
            </m:r>
            <m:sSub>
              <m:e>
                <m:r>
                  <m:rPr>
                    <m:sty m:val="i"/>
                  </m:rPr>
                  <m:t>g</m:t>
                </m:r>
              </m:e>
              <m:sub>
                <m:r>
                  <m:rPr>
                    <m:sty m:val="i"/>
                  </m:rPr>
                  <m:t>t</m:t>
                </m:r>
              </m:sub>
            </m:sSub>
          </m:e>
        </m:box>
      </m:oMath>
      <w:r>
        <w:rPr>
          <w:rFonts w:ascii="Times New Roman" w:hAnsi="Times New Roman" w:eastAsia="宋体"/>
          <w:b w:val="0"/>
          <w:sz w:val="24"/>
        </w:rPr>
        <w:t>为第</w:t>
      </w:r>
      <m:oMath>
        <m:box>
          <m:e>
            <m:r>
              <m:rPr>
                <m:sty m:val="i"/>
              </m:rPr>
              <m:t>t</m:t>
            </m:r>
          </m:e>
        </m:box>
      </m:oMath>
      <w:r>
        <w:rPr>
          <w:rFonts w:ascii="Times New Roman" w:hAnsi="Times New Roman" w:eastAsia="宋体"/>
          <w:b w:val="0"/>
          <w:sz w:val="24"/>
        </w:rPr>
        <w:t>年全国市场分割指数，</w:t>
      </w:r>
      <m:oMath>
        <m:box>
          <m:e>
            <m:r>
              <m:rPr>
                <m:sty m:val="i"/>
              </m:rPr>
              <m:t>T</m:t>
            </m:r>
          </m:e>
        </m:box>
      </m:oMath>
      <w:r>
        <w:rPr>
          <w:rFonts w:ascii="Times New Roman" w:hAnsi="Times New Roman" w:eastAsia="宋体"/>
          <w:b w:val="0"/>
          <w:sz w:val="24"/>
        </w:rPr>
        <w:t>为间隔年数，</w:t>
      </w:r>
      <m:oMath>
        <m:box>
          <m:e>
            <m:r>
              <m:rPr>
                <m:sty m:val="i"/>
              </m:rPr>
              <m:t>g</m:t>
            </m:r>
            <m:r>
              <m:rPr>
                <m:sty m:val="p"/>
              </m:rPr>
              <m:t>&lt;</m:t>
            </m:r>
            <m:r>
              <m:rPr>
                <m:sty m:val="p"/>
              </m:rPr>
              <m:t>0</m:t>
            </m:r>
          </m:e>
        </m:box>
      </m:oMath>
      <w:r>
        <w:rPr>
          <w:rFonts w:ascii="Times New Roman" w:hAnsi="Times New Roman" w:eastAsia="宋体"/>
          <w:b w:val="0"/>
          <w:sz w:val="24"/>
        </w:rPr>
        <w:t>表示收敛，其绝对值越大表示收敛越快。按式(7-1)测算：2012—2024年全样本的年均收敛速度约为2.4%；分段看，2012—2019年年均约3.1%，而自2022年高点至2024年，年均收敛速度达7.9%，政策密集落地期的收敛速度较疫情前的趋势水平提高一倍以上。这一提速当然包含疫情摩擦消退的自然回落成分，交通基础设施持续完善对分割的破除作用也在长期背景中发挥效力（范欣等，2017），但收敛速度系统性快于2012—2019年常态的事实，提示政策冲击具有超出趋势的边际贡献。严格地讲，时序吻合仅是相关性证据；收敛提速中有多少可归因于政策，需要本书第九章基于公平竞争审查制度的强度DID加以识别——那里的证据将表明，审查强度更高的省份，市场分割指数确实下降得显著更多。就经济含义而言，收敛提速意味着阻碍商品流通的显性壁垒正在加快拆除，全国市场“由散到聚”的进程在“十四五”末期明显加速，这为“十五五”时期向纵深推进奠定了指数意义上的起点。</w:t>
      </w:r>
    </w:p>
    <w:p>
      <w:pPr>
        <w:spacing w:before="0" w:after="0" w:line="360" w:lineRule="auto"/>
        <w:ind w:firstLineChars="200" w:firstLine="480"/>
      </w:pPr>
      <w:r>
        <w:rPr>
          <w:rFonts w:ascii="Times New Roman" w:hAnsi="Times New Roman" w:eastAsia="宋体"/>
          <w:b w:val="0"/>
          <w:sz w:val="24"/>
        </w:rPr>
        <w:t>政策的“存量清理”与“增量把关”双轨并进，是理解再收敛微观机制的关键。据市场监管总局数据，《公平竞争审查条例》施行至2025年3月，共审查拟出台政策措施9.06万件，对1.5万余件提出修改意见并推动调整——对增量政策的公平竞争把关，直接切断了新增分割措施的政策源头；与此同时，2024年12月中央经济工作会议首次提出“综合整治‘内卷式’竞争，规范地方政府和企业行为”，2025年“综合整治‘内卷式’竞争”写入《政府工作报告》，治理重心由单纯的“破壁垒”扩展为“破壁垒”与“正秩序”并重。从指数本身看，2023年、2024年连续两年较大幅度下降（分别较上年下降0.23与0.12），且2024年降至疫情前低点之下，表明政策组合的效果已开始在价格数据中沉淀为可观测的整合进展。这一时序对照虽不足以确立因果，却为第九章的政策评估划定了值得检验的候选机制。</w:t>
      </w:r>
    </w:p>
    <w:p>
      <w:pPr>
        <w:spacing w:before="200" w:after="160" w:line="360" w:lineRule="auto"/>
        <w:outlineLvl w:val="1"/>
      </w:pPr>
      <w:r>
        <w:rPr>
          <w:rFonts w:ascii="Times New Roman" w:hAnsi="Times New Roman" w:eastAsia="黑体"/>
          <w:b w:val="0"/>
          <w:sz w:val="28"/>
        </w:rPr>
        <w:t>（二）区域比较与省份格局</w:t>
      </w:r>
    </w:p>
    <w:p>
      <w:pPr>
        <w:spacing w:before="160" w:after="120" w:line="360" w:lineRule="auto"/>
        <w:outlineLvl w:val="2"/>
      </w:pPr>
      <w:r>
        <w:rPr>
          <w:rFonts w:ascii="Times New Roman" w:hAnsi="Times New Roman" w:eastAsia="黑体"/>
          <w:b w:val="0"/>
          <w:sz w:val="24"/>
        </w:rPr>
        <w:t>1．四大区域：梯度分布与差异化收敛</w:t>
      </w:r>
    </w:p>
    <w:p>
      <w:pPr>
        <w:spacing w:before="0" w:after="0" w:line="360" w:lineRule="auto"/>
        <w:ind w:firstLineChars="200" w:firstLine="480"/>
      </w:pPr>
      <w:r>
        <w:rPr>
          <w:rFonts w:ascii="Times New Roman" w:hAnsi="Times New Roman" w:eastAsia="宋体"/>
          <w:b w:val="0"/>
          <w:sz w:val="24"/>
        </w:rPr>
        <w:t>分区域的测度结果显示出清晰的梯度格局（见图7.2）。东部10省市市场分割指数均值由2012年的2.29降至2018年的1.89、2024年的1.60；中部6省由2.58降至2.17、1.87；东北3省由2.81降至2.46、2.19；西部12省区市由2.94降至2.56、2.26。</w:t>
      </w:r>
    </w:p>
    <w:p>
      <w:pPr>
        <w:spacing w:before="120"/>
        <w:jc w:val="center"/>
      </w:pPr>
      <w:r>
        <w:drawing>
          <wp:inline xmlns:a="http://schemas.openxmlformats.org/drawingml/2006/main" xmlns:pic="http://schemas.openxmlformats.org/drawingml/2006/picture">
            <wp:extent cx="5112000" cy="2784171"/>
            <wp:docPr id="20" name="Picture 20"/>
            <wp:cNvGraphicFramePr>
              <a:graphicFrameLocks noChangeAspect="1"/>
            </wp:cNvGraphicFramePr>
            <a:graphic>
              <a:graphicData uri="http://schemas.openxmlformats.org/drawingml/2006/picture">
                <pic:pic>
                  <pic:nvPicPr>
                    <pic:cNvPr id="0" name="fig_7_2.png"/>
                    <pic:cNvPicPr/>
                  </pic:nvPicPr>
                  <pic:blipFill>
                    <a:blip r:embed="rId28"/>
                    <a:stretch>
                      <a:fillRect/>
                    </a:stretch>
                  </pic:blipFill>
                  <pic:spPr>
                    <a:xfrm>
                      <a:off x="0" y="0"/>
                      <a:ext cx="5112000" cy="2784171"/>
                    </a:xfrm>
                    <a:prstGeom prst="rect"/>
                  </pic:spPr>
                </pic:pic>
              </a:graphicData>
            </a:graphic>
          </wp:inline>
        </w:drawing>
      </w:r>
    </w:p>
    <w:p>
      <w:pPr>
        <w:spacing w:before="120" w:after="120" w:line="312" w:lineRule="auto"/>
        <w:jc w:val="center"/>
      </w:pPr>
      <w:r>
        <w:rPr>
          <w:rFonts w:ascii="Times New Roman" w:hAnsi="Times New Roman" w:eastAsia="黑体"/>
          <w:b w:val="0"/>
          <w:sz w:val="21"/>
        </w:rPr>
        <w:t>图7.2　分区域市场分割指数比较</w:t>
      </w:r>
    </w:p>
    <w:p>
      <w:pPr>
        <w:spacing w:before="0" w:after="0" w:line="360" w:lineRule="auto"/>
        <w:ind w:firstLineChars="200" w:firstLine="480"/>
      </w:pPr>
      <w:r>
        <w:rPr>
          <w:rFonts w:ascii="Times New Roman" w:hAnsi="Times New Roman" w:eastAsia="宋体"/>
          <w:b w:val="0"/>
          <w:sz w:val="24"/>
        </w:rPr>
        <w:t>图7.2揭示了三个特征。从水平看，“东部＜中部＜东北、西部”的梯度在2012、2018、2024三个观测期均严格成立，市场整合程度与经济发展水平、市场密度呈现明显的空间正相关。从变化看，四大区域全部收敛，但速度分化：东部累计下降30.1%，中部27.5%，西部23.1%，东北22.1%——分割程度越低的区域反而收敛越快，呈现“强者愈强”的马太特征。从相对位置看，西部与东部的绝对差距基本未变（2012年0.65，2024年0.66），但相对差距由1.28倍扩大至1.41倍。其经济含义是：东部依托密集的交通与流通网络、发达的市场体系和更完善的营商制度率先完成深度整合；中西部虽受益于高速公路等基础设施连通性改善对市场一体化的显著促进（李兰冰、张聪聪，2022），但地理距离、市场密度与制度环境的多重约束使其整合进程相对滞后。区域协调发展视角下，这提示统一大市场建设存在明显的空间不平衡，中西部与东北是“十五五”时期破除分割的重点区域。</w:t>
      </w:r>
    </w:p>
    <w:p>
      <w:pPr>
        <w:spacing w:before="0" w:after="0" w:line="360" w:lineRule="auto"/>
        <w:ind w:firstLineChars="200" w:firstLine="480"/>
      </w:pPr>
      <w:r>
        <w:rPr>
          <w:rFonts w:ascii="Times New Roman" w:hAnsi="Times New Roman" w:eastAsia="宋体"/>
          <w:b w:val="0"/>
          <w:sz w:val="24"/>
        </w:rPr>
        <w:t>中部地区的表现介于东部与西部之间而更接近前者。中部六省均值由2012年的2.58降至2024年的1.87，累计下降27.5%，2024年的水平已低于同年全国均值（1.97），显示中部正在加快融入全国市场网络。省份内部的分化同样有信息量：安徽（1.72）为中部最低，与其全面融入长三角一体化、承接产业与制度双重外溢直接相关；湖北（1.80）、湖南（1.84）、河南（1.87）依托全国性交通枢纽地位居于中游；山西（2.10）为中部最高，资源型经济结构对应的商品多样性不足与流通网络相对单薄，制约了其整合深度。中部的经验提示：区位与枢纽功能是内陆省份融入全国统一大市场的关键资产，而跨区域一体化机制对相邻省份具有可观的“外溢红利”——安徽分割指数的快速下降（2012—2024年下降30.6%，高于中部平均水平）即是明证。</w:t>
      </w:r>
    </w:p>
    <w:p>
      <w:pPr>
        <w:spacing w:before="0" w:after="0" w:line="360" w:lineRule="auto"/>
        <w:ind w:firstLineChars="200" w:firstLine="480"/>
      </w:pPr>
      <w:r>
        <w:rPr>
          <w:rFonts w:ascii="Times New Roman" w:hAnsi="Times New Roman" w:eastAsia="宋体"/>
          <w:b w:val="0"/>
          <w:sz w:val="24"/>
        </w:rPr>
        <w:t>东北的情形值得单独讨论。东北三省不仅收敛速度最慢（累计仅22.1%），而且2024年黑龙江（2.28）、吉林（2.20）、辽宁（2.08）的分割指数均明显高于全国均值1.97；与此同时，2024年东北“内卷式竞争”强度指数均值达0.518，为四大区域最高，甚至略高于分割更深的西部（0.514）。分割与内卷在区域层面的同高并存，与老工业基地国有经济比重高、属地化管理传统深厚、产业结构偏重且同构度高、市场半径受地理区位约束等因素相关，也再次暗合本书第三章“分割—内卷”传导的理论逻辑：分割的市场为低水平竞争提供了庇护空间，而退出机制的迟滞又使过剩产能与过度竞争长期共存。</w:t>
      </w:r>
    </w:p>
    <w:p>
      <w:pPr>
        <w:spacing w:before="160" w:after="120" w:line="360" w:lineRule="auto"/>
        <w:outlineLvl w:val="2"/>
      </w:pPr>
      <w:r>
        <w:rPr>
          <w:rFonts w:ascii="Times New Roman" w:hAnsi="Times New Roman" w:eastAsia="黑体"/>
          <w:b w:val="0"/>
          <w:sz w:val="24"/>
        </w:rPr>
        <w:t>2．城市群视角：长三角的先行整合</w:t>
      </w:r>
    </w:p>
    <w:p>
      <w:pPr>
        <w:spacing w:before="0" w:after="0" w:line="360" w:lineRule="auto"/>
        <w:ind w:firstLineChars="200" w:firstLine="480"/>
      </w:pPr>
      <w:r>
        <w:rPr>
          <w:rFonts w:ascii="Times New Roman" w:hAnsi="Times New Roman" w:eastAsia="宋体"/>
          <w:b w:val="0"/>
          <w:sz w:val="24"/>
        </w:rPr>
        <w:t>在次区域层面，长三角提供了市场整合的“先行样本”。本书测算的长三角（沪苏浙皖）市场分割指数均值由2012年的2.14降至2024年的1.34，累计下降37.4%，快于任何一个大区域；其中2019年为1.62，比同年全国均值低23.9%，至2024年已比全国均值低32.0%——2019年长三角一体化上升为国家战略后，长三角与全国的整合差距进一步拉大（两条序列的完整对照见本书第十章图10.3）。同样值得注意的是，2020年、2022年长三角亦出现反弹（分别为1.71、1.63），但反弹幅度小于全国、回落更快，显示一体化程度更深的区域对冲击具有更强的吸收与修复能力。</w:t>
      </w:r>
    </w:p>
    <w:p>
      <w:pPr>
        <w:spacing w:before="0" w:after="0" w:line="360" w:lineRule="auto"/>
        <w:ind w:firstLineChars="200" w:firstLine="480"/>
      </w:pPr>
      <w:r>
        <w:rPr>
          <w:rFonts w:ascii="Times New Roman" w:hAnsi="Times New Roman" w:eastAsia="宋体"/>
          <w:b w:val="0"/>
          <w:sz w:val="24"/>
        </w:rPr>
        <w:t>长三角的先行整合有坚实的制度创新支撑。据上海市政府及长三角区域发展指数发布信息，截至2024年底，长三角“一网通办”累计上线政务服务事项及场景应用179项、实现40类电子证照共享互认，至2025年累计203个事项“一网通办”、78个居民服务事项“一卡通用”，每年可减少群众跑腿约2.3亿人次；异地就医门诊费用直接结算覆盖41个城市约2.45万家医疗机构，自2018年试点以来累计结算超3300万人次、减少个人垫付近56亿元。2024年三省一市GDP合计33.17万亿元、占全国约24.7%（据上海市统计局数据）。市场一体化对区域协调发展的促进作用，在中国区域数据中很早即获得经验支持（徐现祥、李郇，2005），长三角的实践则把这一机制推进到了规则衔接与制度协同的新阶段。其经济含义颇具政策价值：一个占全国经济总量约四分之一的巨型经济区，能够通过规则衔接、标准互认与政务协同把分割指数压至全国均值的三分之二左右，说明在现行体制框架内，通过制度协同大幅压缩市场分割完全可行；长三角水平因此构成其他区域“跳一跳够得着”的现实基准，这也是本书第九章“统一红利”前瞻测算以当前长三角水平作为2030年情景参照的经验依据。</w:t>
      </w:r>
    </w:p>
    <w:p>
      <w:pPr>
        <w:spacing w:before="160" w:after="120" w:line="360" w:lineRule="auto"/>
        <w:outlineLvl w:val="2"/>
      </w:pPr>
      <w:r>
        <w:rPr>
          <w:rFonts w:ascii="Times New Roman" w:hAnsi="Times New Roman" w:eastAsia="黑体"/>
          <w:b w:val="0"/>
          <w:sz w:val="24"/>
        </w:rPr>
        <w:t>3．省份格局：分割与“内卷”的空间叠合</w:t>
      </w:r>
    </w:p>
    <w:p>
      <w:pPr>
        <w:spacing w:before="0" w:after="0" w:line="360" w:lineRule="auto"/>
        <w:ind w:firstLineChars="200" w:firstLine="480"/>
      </w:pPr>
      <w:r>
        <w:rPr>
          <w:rFonts w:ascii="Times New Roman" w:hAnsi="Times New Roman" w:eastAsia="宋体"/>
          <w:b w:val="0"/>
          <w:sz w:val="24"/>
        </w:rPr>
        <w:t>省份层面的完整格局见表7.1，该表报告了31个省份2012、2018、2024年三期市场分割指数与2024年“内卷式竞争”强度指数。</w:t>
      </w:r>
    </w:p>
    <w:p>
      <w:pPr>
        <w:spacing w:before="160" w:after="80" w:line="312" w:lineRule="auto"/>
        <w:jc w:val="center"/>
      </w:pPr>
      <w:r>
        <w:rPr>
          <w:rFonts w:ascii="Times New Roman" w:hAnsi="Times New Roman" w:eastAsia="黑体"/>
          <w:b w:val="0"/>
          <w:sz w:val="21"/>
        </w:rPr>
        <w:t>表7.1　各省份市场分割指数（2012、2018、2024年）与2024年“内卷”指数</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417"/>
        <w:gridCol w:w="1417"/>
        <w:gridCol w:w="1417"/>
        <w:gridCol w:w="1417"/>
        <w:gridCol w:w="1417"/>
        <w:gridCol w:w="1417"/>
      </w:tblGrid>
      <w:tr>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省份</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区域</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2012年</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2018年</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2024年</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2024年“内卷”指数</w:t>
            </w:r>
          </w:p>
        </w:tc>
      </w:tr>
      <w:tr>
        <w:tc>
          <w:tcPr>
            <w:tcW w:type="dxa" w:w="1417"/>
          </w:tcPr>
          <w:p>
            <w:pPr>
              <w:spacing w:before="20" w:after="20" w:line="276" w:lineRule="auto"/>
              <w:jc w:val="left"/>
            </w:pPr>
            <w:r/>
            <w:r>
              <w:rPr>
                <w:rFonts w:ascii="Times New Roman" w:hAnsi="Times New Roman" w:eastAsia="宋体"/>
                <w:b w:val="0"/>
                <w:sz w:val="21"/>
              </w:rPr>
              <w:t>北京</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2.02</w:t>
            </w:r>
          </w:p>
        </w:tc>
        <w:tc>
          <w:tcPr>
            <w:tcW w:type="dxa" w:w="1417"/>
          </w:tcPr>
          <w:p>
            <w:pPr>
              <w:spacing w:before="20" w:after="20" w:line="276" w:lineRule="auto"/>
              <w:jc w:val="center"/>
            </w:pPr>
            <w:r/>
            <w:r>
              <w:rPr>
                <w:rFonts w:ascii="Times New Roman" w:hAnsi="Times New Roman" w:eastAsia="宋体"/>
                <w:b w:val="0"/>
                <w:sz w:val="21"/>
              </w:rPr>
              <w:t>1.63</w:t>
            </w:r>
          </w:p>
        </w:tc>
        <w:tc>
          <w:tcPr>
            <w:tcW w:type="dxa" w:w="1417"/>
          </w:tcPr>
          <w:p>
            <w:pPr>
              <w:spacing w:before="20" w:after="20" w:line="276" w:lineRule="auto"/>
              <w:jc w:val="center"/>
            </w:pPr>
            <w:r/>
            <w:r>
              <w:rPr>
                <w:rFonts w:ascii="Times New Roman" w:hAnsi="Times New Roman" w:eastAsia="宋体"/>
                <w:b w:val="0"/>
                <w:sz w:val="21"/>
              </w:rPr>
              <w:t>1.40</w:t>
            </w:r>
          </w:p>
        </w:tc>
        <w:tc>
          <w:tcPr>
            <w:tcW w:type="dxa" w:w="1417"/>
          </w:tcPr>
          <w:p>
            <w:pPr>
              <w:spacing w:before="20" w:after="20" w:line="276" w:lineRule="auto"/>
              <w:jc w:val="center"/>
            </w:pPr>
            <w:r/>
            <w:r>
              <w:rPr>
                <w:rFonts w:ascii="Times New Roman" w:hAnsi="Times New Roman" w:eastAsia="宋体"/>
                <w:b w:val="0"/>
                <w:sz w:val="21"/>
              </w:rPr>
              <w:t>0.431</w:t>
            </w:r>
          </w:p>
        </w:tc>
      </w:tr>
      <w:tr>
        <w:tc>
          <w:tcPr>
            <w:tcW w:type="dxa" w:w="1417"/>
          </w:tcPr>
          <w:p>
            <w:pPr>
              <w:spacing w:before="20" w:after="20" w:line="276" w:lineRule="auto"/>
              <w:jc w:val="left"/>
            </w:pPr>
            <w:r/>
            <w:r>
              <w:rPr>
                <w:rFonts w:ascii="Times New Roman" w:hAnsi="Times New Roman" w:eastAsia="宋体"/>
                <w:b w:val="0"/>
                <w:sz w:val="21"/>
              </w:rPr>
              <w:t>天津</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2.35</w:t>
            </w:r>
          </w:p>
        </w:tc>
        <w:tc>
          <w:tcPr>
            <w:tcW w:type="dxa" w:w="1417"/>
          </w:tcPr>
          <w:p>
            <w:pPr>
              <w:spacing w:before="20" w:after="20" w:line="276" w:lineRule="auto"/>
              <w:jc w:val="center"/>
            </w:pPr>
            <w:r/>
            <w:r>
              <w:rPr>
                <w:rFonts w:ascii="Times New Roman" w:hAnsi="Times New Roman" w:eastAsia="宋体"/>
                <w:b w:val="0"/>
                <w:sz w:val="21"/>
              </w:rPr>
              <w:t>1.98</w:t>
            </w:r>
          </w:p>
        </w:tc>
        <w:tc>
          <w:tcPr>
            <w:tcW w:type="dxa" w:w="1417"/>
          </w:tcPr>
          <w:p>
            <w:pPr>
              <w:spacing w:before="20" w:after="20" w:line="276" w:lineRule="auto"/>
              <w:jc w:val="center"/>
            </w:pPr>
            <w:r/>
            <w:r>
              <w:rPr>
                <w:rFonts w:ascii="Times New Roman" w:hAnsi="Times New Roman" w:eastAsia="宋体"/>
                <w:b w:val="0"/>
                <w:sz w:val="21"/>
              </w:rPr>
              <w:t>1.72</w:t>
            </w:r>
          </w:p>
        </w:tc>
        <w:tc>
          <w:tcPr>
            <w:tcW w:type="dxa" w:w="1417"/>
          </w:tcPr>
          <w:p>
            <w:pPr>
              <w:spacing w:before="20" w:after="20" w:line="276" w:lineRule="auto"/>
              <w:jc w:val="center"/>
            </w:pPr>
            <w:r/>
            <w:r>
              <w:rPr>
                <w:rFonts w:ascii="Times New Roman" w:hAnsi="Times New Roman" w:eastAsia="宋体"/>
                <w:b w:val="0"/>
                <w:sz w:val="21"/>
              </w:rPr>
              <w:t>0.368</w:t>
            </w:r>
          </w:p>
        </w:tc>
      </w:tr>
      <w:tr>
        <w:tc>
          <w:tcPr>
            <w:tcW w:type="dxa" w:w="1417"/>
          </w:tcPr>
          <w:p>
            <w:pPr>
              <w:spacing w:before="20" w:after="20" w:line="276" w:lineRule="auto"/>
              <w:jc w:val="left"/>
            </w:pPr>
            <w:r/>
            <w:r>
              <w:rPr>
                <w:rFonts w:ascii="Times New Roman" w:hAnsi="Times New Roman" w:eastAsia="宋体"/>
                <w:b w:val="0"/>
                <w:sz w:val="21"/>
              </w:rPr>
              <w:t>河北</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2.66</w:t>
            </w:r>
          </w:p>
        </w:tc>
        <w:tc>
          <w:tcPr>
            <w:tcW w:type="dxa" w:w="1417"/>
          </w:tcPr>
          <w:p>
            <w:pPr>
              <w:spacing w:before="20" w:after="20" w:line="276" w:lineRule="auto"/>
              <w:jc w:val="center"/>
            </w:pPr>
            <w:r/>
            <w:r>
              <w:rPr>
                <w:rFonts w:ascii="Times New Roman" w:hAnsi="Times New Roman" w:eastAsia="宋体"/>
                <w:b w:val="0"/>
                <w:sz w:val="21"/>
              </w:rPr>
              <w:t>2.24</w:t>
            </w:r>
          </w:p>
        </w:tc>
        <w:tc>
          <w:tcPr>
            <w:tcW w:type="dxa" w:w="1417"/>
          </w:tcPr>
          <w:p>
            <w:pPr>
              <w:spacing w:before="20" w:after="20" w:line="276" w:lineRule="auto"/>
              <w:jc w:val="center"/>
            </w:pPr>
            <w:r/>
            <w:r>
              <w:rPr>
                <w:rFonts w:ascii="Times New Roman" w:hAnsi="Times New Roman" w:eastAsia="宋体"/>
                <w:b w:val="0"/>
                <w:sz w:val="21"/>
              </w:rPr>
              <w:t>1.94</w:t>
            </w:r>
          </w:p>
        </w:tc>
        <w:tc>
          <w:tcPr>
            <w:tcW w:type="dxa" w:w="1417"/>
          </w:tcPr>
          <w:p>
            <w:pPr>
              <w:spacing w:before="20" w:after="20" w:line="276" w:lineRule="auto"/>
              <w:jc w:val="center"/>
            </w:pPr>
            <w:r/>
            <w:r>
              <w:rPr>
                <w:rFonts w:ascii="Times New Roman" w:hAnsi="Times New Roman" w:eastAsia="宋体"/>
                <w:b w:val="0"/>
                <w:sz w:val="21"/>
              </w:rPr>
              <w:t>0.494</w:t>
            </w:r>
          </w:p>
        </w:tc>
      </w:tr>
      <w:tr>
        <w:tc>
          <w:tcPr>
            <w:tcW w:type="dxa" w:w="1417"/>
          </w:tcPr>
          <w:p>
            <w:pPr>
              <w:spacing w:before="20" w:after="20" w:line="276" w:lineRule="auto"/>
              <w:jc w:val="left"/>
            </w:pPr>
            <w:r/>
            <w:r>
              <w:rPr>
                <w:rFonts w:ascii="Times New Roman" w:hAnsi="Times New Roman" w:eastAsia="宋体"/>
                <w:b w:val="0"/>
                <w:sz w:val="21"/>
              </w:rPr>
              <w:t>上海</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1.92</w:t>
            </w:r>
          </w:p>
        </w:tc>
        <w:tc>
          <w:tcPr>
            <w:tcW w:type="dxa" w:w="1417"/>
          </w:tcPr>
          <w:p>
            <w:pPr>
              <w:spacing w:before="20" w:after="20" w:line="276" w:lineRule="auto"/>
              <w:jc w:val="center"/>
            </w:pPr>
            <w:r/>
            <w:r>
              <w:rPr>
                <w:rFonts w:ascii="Times New Roman" w:hAnsi="Times New Roman" w:eastAsia="宋体"/>
                <w:b w:val="0"/>
                <w:sz w:val="21"/>
              </w:rPr>
              <w:t>1.55</w:t>
            </w:r>
          </w:p>
        </w:tc>
        <w:tc>
          <w:tcPr>
            <w:tcW w:type="dxa" w:w="1417"/>
          </w:tcPr>
          <w:p>
            <w:pPr>
              <w:spacing w:before="20" w:after="20" w:line="276" w:lineRule="auto"/>
              <w:jc w:val="center"/>
            </w:pPr>
            <w:r/>
            <w:r>
              <w:rPr>
                <w:rFonts w:ascii="Times New Roman" w:hAnsi="Times New Roman" w:eastAsia="宋体"/>
                <w:b w:val="0"/>
                <w:sz w:val="21"/>
              </w:rPr>
              <w:t>1.28</w:t>
            </w:r>
          </w:p>
        </w:tc>
        <w:tc>
          <w:tcPr>
            <w:tcW w:type="dxa" w:w="1417"/>
          </w:tcPr>
          <w:p>
            <w:pPr>
              <w:spacing w:before="20" w:after="20" w:line="276" w:lineRule="auto"/>
              <w:jc w:val="center"/>
            </w:pPr>
            <w:r/>
            <w:r>
              <w:rPr>
                <w:rFonts w:ascii="Times New Roman" w:hAnsi="Times New Roman" w:eastAsia="宋体"/>
                <w:b w:val="0"/>
                <w:sz w:val="21"/>
              </w:rPr>
              <w:t>0.336</w:t>
            </w:r>
          </w:p>
        </w:tc>
      </w:tr>
      <w:tr>
        <w:tc>
          <w:tcPr>
            <w:tcW w:type="dxa" w:w="1417"/>
          </w:tcPr>
          <w:p>
            <w:pPr>
              <w:spacing w:before="20" w:after="20" w:line="276" w:lineRule="auto"/>
              <w:jc w:val="left"/>
            </w:pPr>
            <w:r/>
            <w:r>
              <w:rPr>
                <w:rFonts w:ascii="Times New Roman" w:hAnsi="Times New Roman" w:eastAsia="宋体"/>
                <w:b w:val="0"/>
                <w:sz w:val="21"/>
              </w:rPr>
              <w:t>江苏</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2.10</w:t>
            </w:r>
          </w:p>
        </w:tc>
        <w:tc>
          <w:tcPr>
            <w:tcW w:type="dxa" w:w="1417"/>
          </w:tcPr>
          <w:p>
            <w:pPr>
              <w:spacing w:before="20" w:after="20" w:line="276" w:lineRule="auto"/>
              <w:jc w:val="center"/>
            </w:pPr>
            <w:r/>
            <w:r>
              <w:rPr>
                <w:rFonts w:ascii="Times New Roman" w:hAnsi="Times New Roman" w:eastAsia="宋体"/>
                <w:b w:val="0"/>
                <w:sz w:val="21"/>
              </w:rPr>
              <w:t>1.70</w:t>
            </w:r>
          </w:p>
        </w:tc>
        <w:tc>
          <w:tcPr>
            <w:tcW w:type="dxa" w:w="1417"/>
          </w:tcPr>
          <w:p>
            <w:pPr>
              <w:spacing w:before="20" w:after="20" w:line="276" w:lineRule="auto"/>
              <w:jc w:val="center"/>
            </w:pPr>
            <w:r/>
            <w:r>
              <w:rPr>
                <w:rFonts w:ascii="Times New Roman" w:hAnsi="Times New Roman" w:eastAsia="宋体"/>
                <w:b w:val="0"/>
                <w:sz w:val="21"/>
              </w:rPr>
              <w:t>1.39</w:t>
            </w:r>
          </w:p>
        </w:tc>
        <w:tc>
          <w:tcPr>
            <w:tcW w:type="dxa" w:w="1417"/>
          </w:tcPr>
          <w:p>
            <w:pPr>
              <w:spacing w:before="20" w:after="20" w:line="276" w:lineRule="auto"/>
              <w:jc w:val="center"/>
            </w:pPr>
            <w:r/>
            <w:r>
              <w:rPr>
                <w:rFonts w:ascii="Times New Roman" w:hAnsi="Times New Roman" w:eastAsia="宋体"/>
                <w:b w:val="0"/>
                <w:sz w:val="21"/>
              </w:rPr>
              <w:t>0.445</w:t>
            </w:r>
          </w:p>
        </w:tc>
      </w:tr>
      <w:tr>
        <w:tc>
          <w:tcPr>
            <w:tcW w:type="dxa" w:w="1417"/>
          </w:tcPr>
          <w:p>
            <w:pPr>
              <w:spacing w:before="20" w:after="20" w:line="276" w:lineRule="auto"/>
              <w:jc w:val="left"/>
            </w:pPr>
            <w:r/>
            <w:r>
              <w:rPr>
                <w:rFonts w:ascii="Times New Roman" w:hAnsi="Times New Roman" w:eastAsia="宋体"/>
                <w:b w:val="0"/>
                <w:sz w:val="21"/>
              </w:rPr>
              <w:t>浙江</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2.05</w:t>
            </w:r>
          </w:p>
        </w:tc>
        <w:tc>
          <w:tcPr>
            <w:tcW w:type="dxa" w:w="1417"/>
          </w:tcPr>
          <w:p>
            <w:pPr>
              <w:spacing w:before="20" w:after="20" w:line="276" w:lineRule="auto"/>
              <w:jc w:val="center"/>
            </w:pPr>
            <w:r/>
            <w:r>
              <w:rPr>
                <w:rFonts w:ascii="Times New Roman" w:hAnsi="Times New Roman" w:eastAsia="宋体"/>
                <w:b w:val="0"/>
                <w:sz w:val="21"/>
              </w:rPr>
              <w:t>1.66</w:t>
            </w:r>
          </w:p>
        </w:tc>
        <w:tc>
          <w:tcPr>
            <w:tcW w:type="dxa" w:w="1417"/>
          </w:tcPr>
          <w:p>
            <w:pPr>
              <w:spacing w:before="20" w:after="20" w:line="276" w:lineRule="auto"/>
              <w:jc w:val="center"/>
            </w:pPr>
            <w:r/>
            <w:r>
              <w:rPr>
                <w:rFonts w:ascii="Times New Roman" w:hAnsi="Times New Roman" w:eastAsia="宋体"/>
                <w:b w:val="0"/>
                <w:sz w:val="21"/>
              </w:rPr>
              <w:t>1.35</w:t>
            </w:r>
          </w:p>
        </w:tc>
        <w:tc>
          <w:tcPr>
            <w:tcW w:type="dxa" w:w="1417"/>
          </w:tcPr>
          <w:p>
            <w:pPr>
              <w:spacing w:before="20" w:after="20" w:line="276" w:lineRule="auto"/>
              <w:jc w:val="center"/>
            </w:pPr>
            <w:r/>
            <w:r>
              <w:rPr>
                <w:rFonts w:ascii="Times New Roman" w:hAnsi="Times New Roman" w:eastAsia="宋体"/>
                <w:b w:val="0"/>
                <w:sz w:val="21"/>
              </w:rPr>
              <w:t>0.328</w:t>
            </w:r>
          </w:p>
        </w:tc>
      </w:tr>
      <w:tr>
        <w:tc>
          <w:tcPr>
            <w:tcW w:type="dxa" w:w="1417"/>
          </w:tcPr>
          <w:p>
            <w:pPr>
              <w:spacing w:before="20" w:after="20" w:line="276" w:lineRule="auto"/>
              <w:jc w:val="left"/>
            </w:pPr>
            <w:r/>
            <w:r>
              <w:rPr>
                <w:rFonts w:ascii="Times New Roman" w:hAnsi="Times New Roman" w:eastAsia="宋体"/>
                <w:b w:val="0"/>
                <w:sz w:val="21"/>
              </w:rPr>
              <w:t>福建</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2.38</w:t>
            </w:r>
          </w:p>
        </w:tc>
        <w:tc>
          <w:tcPr>
            <w:tcW w:type="dxa" w:w="1417"/>
          </w:tcPr>
          <w:p>
            <w:pPr>
              <w:spacing w:before="20" w:after="20" w:line="276" w:lineRule="auto"/>
              <w:jc w:val="center"/>
            </w:pPr>
            <w:r/>
            <w:r>
              <w:rPr>
                <w:rFonts w:ascii="Times New Roman" w:hAnsi="Times New Roman" w:eastAsia="宋体"/>
                <w:b w:val="0"/>
                <w:sz w:val="21"/>
              </w:rPr>
              <w:t>1.96</w:t>
            </w:r>
          </w:p>
        </w:tc>
        <w:tc>
          <w:tcPr>
            <w:tcW w:type="dxa" w:w="1417"/>
          </w:tcPr>
          <w:p>
            <w:pPr>
              <w:spacing w:before="20" w:after="20" w:line="276" w:lineRule="auto"/>
              <w:jc w:val="center"/>
            </w:pPr>
            <w:r/>
            <w:r>
              <w:rPr>
                <w:rFonts w:ascii="Times New Roman" w:hAnsi="Times New Roman" w:eastAsia="宋体"/>
                <w:b w:val="0"/>
                <w:sz w:val="21"/>
              </w:rPr>
              <w:t>1.66</w:t>
            </w:r>
          </w:p>
        </w:tc>
        <w:tc>
          <w:tcPr>
            <w:tcW w:type="dxa" w:w="1417"/>
          </w:tcPr>
          <w:p>
            <w:pPr>
              <w:spacing w:before="20" w:after="20" w:line="276" w:lineRule="auto"/>
              <w:jc w:val="center"/>
            </w:pPr>
            <w:r/>
            <w:r>
              <w:rPr>
                <w:rFonts w:ascii="Times New Roman" w:hAnsi="Times New Roman" w:eastAsia="宋体"/>
                <w:b w:val="0"/>
                <w:sz w:val="21"/>
              </w:rPr>
              <w:t>0.437</w:t>
            </w:r>
          </w:p>
        </w:tc>
      </w:tr>
      <w:tr>
        <w:tc>
          <w:tcPr>
            <w:tcW w:type="dxa" w:w="1417"/>
          </w:tcPr>
          <w:p>
            <w:pPr>
              <w:spacing w:before="20" w:after="20" w:line="276" w:lineRule="auto"/>
              <w:jc w:val="left"/>
            </w:pPr>
            <w:r/>
            <w:r>
              <w:rPr>
                <w:rFonts w:ascii="Times New Roman" w:hAnsi="Times New Roman" w:eastAsia="宋体"/>
                <w:b w:val="0"/>
                <w:sz w:val="21"/>
              </w:rPr>
              <w:t>山东</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2.42</w:t>
            </w:r>
          </w:p>
        </w:tc>
        <w:tc>
          <w:tcPr>
            <w:tcW w:type="dxa" w:w="1417"/>
          </w:tcPr>
          <w:p>
            <w:pPr>
              <w:spacing w:before="20" w:after="20" w:line="276" w:lineRule="auto"/>
              <w:jc w:val="center"/>
            </w:pPr>
            <w:r/>
            <w:r>
              <w:rPr>
                <w:rFonts w:ascii="Times New Roman" w:hAnsi="Times New Roman" w:eastAsia="宋体"/>
                <w:b w:val="0"/>
                <w:sz w:val="21"/>
              </w:rPr>
              <w:t>2.01</w:t>
            </w:r>
          </w:p>
        </w:tc>
        <w:tc>
          <w:tcPr>
            <w:tcW w:type="dxa" w:w="1417"/>
          </w:tcPr>
          <w:p>
            <w:pPr>
              <w:spacing w:before="20" w:after="20" w:line="276" w:lineRule="auto"/>
              <w:jc w:val="center"/>
            </w:pPr>
            <w:r/>
            <w:r>
              <w:rPr>
                <w:rFonts w:ascii="Times New Roman" w:hAnsi="Times New Roman" w:eastAsia="宋体"/>
                <w:b w:val="0"/>
                <w:sz w:val="21"/>
              </w:rPr>
              <w:t>1.71</w:t>
            </w:r>
          </w:p>
        </w:tc>
        <w:tc>
          <w:tcPr>
            <w:tcW w:type="dxa" w:w="1417"/>
          </w:tcPr>
          <w:p>
            <w:pPr>
              <w:spacing w:before="20" w:after="20" w:line="276" w:lineRule="auto"/>
              <w:jc w:val="center"/>
            </w:pPr>
            <w:r/>
            <w:r>
              <w:rPr>
                <w:rFonts w:ascii="Times New Roman" w:hAnsi="Times New Roman" w:eastAsia="宋体"/>
                <w:b w:val="0"/>
                <w:sz w:val="21"/>
              </w:rPr>
              <w:t>0.375</w:t>
            </w:r>
          </w:p>
        </w:tc>
      </w:tr>
      <w:tr>
        <w:tc>
          <w:tcPr>
            <w:tcW w:type="dxa" w:w="1417"/>
          </w:tcPr>
          <w:p>
            <w:pPr>
              <w:spacing w:before="20" w:after="20" w:line="276" w:lineRule="auto"/>
              <w:jc w:val="left"/>
            </w:pPr>
            <w:r/>
            <w:r>
              <w:rPr>
                <w:rFonts w:ascii="Times New Roman" w:hAnsi="Times New Roman" w:eastAsia="宋体"/>
                <w:b w:val="0"/>
                <w:sz w:val="21"/>
              </w:rPr>
              <w:t>广东</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2.15</w:t>
            </w:r>
          </w:p>
        </w:tc>
        <w:tc>
          <w:tcPr>
            <w:tcW w:type="dxa" w:w="1417"/>
          </w:tcPr>
          <w:p>
            <w:pPr>
              <w:spacing w:before="20" w:after="20" w:line="276" w:lineRule="auto"/>
              <w:jc w:val="center"/>
            </w:pPr>
            <w:r/>
            <w:r>
              <w:rPr>
                <w:rFonts w:ascii="Times New Roman" w:hAnsi="Times New Roman" w:eastAsia="宋体"/>
                <w:b w:val="0"/>
                <w:sz w:val="21"/>
              </w:rPr>
              <w:t>1.76</w:t>
            </w:r>
          </w:p>
        </w:tc>
        <w:tc>
          <w:tcPr>
            <w:tcW w:type="dxa" w:w="1417"/>
          </w:tcPr>
          <w:p>
            <w:pPr>
              <w:spacing w:before="20" w:after="20" w:line="276" w:lineRule="auto"/>
              <w:jc w:val="center"/>
            </w:pPr>
            <w:r/>
            <w:r>
              <w:rPr>
                <w:rFonts w:ascii="Times New Roman" w:hAnsi="Times New Roman" w:eastAsia="宋体"/>
                <w:b w:val="0"/>
                <w:sz w:val="21"/>
              </w:rPr>
              <w:t>1.46</w:t>
            </w:r>
          </w:p>
        </w:tc>
        <w:tc>
          <w:tcPr>
            <w:tcW w:type="dxa" w:w="1417"/>
          </w:tcPr>
          <w:p>
            <w:pPr>
              <w:spacing w:before="20" w:after="20" w:line="276" w:lineRule="auto"/>
              <w:jc w:val="center"/>
            </w:pPr>
            <w:r/>
            <w:r>
              <w:rPr>
                <w:rFonts w:ascii="Times New Roman" w:hAnsi="Times New Roman" w:eastAsia="宋体"/>
                <w:b w:val="0"/>
                <w:sz w:val="21"/>
              </w:rPr>
              <w:t>0.429</w:t>
            </w:r>
          </w:p>
        </w:tc>
      </w:tr>
      <w:tr>
        <w:tc>
          <w:tcPr>
            <w:tcW w:type="dxa" w:w="1417"/>
          </w:tcPr>
          <w:p>
            <w:pPr>
              <w:spacing w:before="20" w:after="20" w:line="276" w:lineRule="auto"/>
              <w:jc w:val="left"/>
            </w:pPr>
            <w:r/>
            <w:r>
              <w:rPr>
                <w:rFonts w:ascii="Times New Roman" w:hAnsi="Times New Roman" w:eastAsia="宋体"/>
                <w:b w:val="0"/>
                <w:sz w:val="21"/>
              </w:rPr>
              <w:t>海南</w:t>
            </w:r>
          </w:p>
        </w:tc>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2.86</w:t>
            </w:r>
          </w:p>
        </w:tc>
        <w:tc>
          <w:tcPr>
            <w:tcW w:type="dxa" w:w="1417"/>
          </w:tcPr>
          <w:p>
            <w:pPr>
              <w:spacing w:before="20" w:after="20" w:line="276" w:lineRule="auto"/>
              <w:jc w:val="center"/>
            </w:pPr>
            <w:r/>
            <w:r>
              <w:rPr>
                <w:rFonts w:ascii="Times New Roman" w:hAnsi="Times New Roman" w:eastAsia="宋体"/>
                <w:b w:val="0"/>
                <w:sz w:val="21"/>
              </w:rPr>
              <w:t>2.45</w:t>
            </w:r>
          </w:p>
        </w:tc>
        <w:tc>
          <w:tcPr>
            <w:tcW w:type="dxa" w:w="1417"/>
          </w:tcPr>
          <w:p>
            <w:pPr>
              <w:spacing w:before="20" w:after="20" w:line="276" w:lineRule="auto"/>
              <w:jc w:val="center"/>
            </w:pPr>
            <w:r/>
            <w:r>
              <w:rPr>
                <w:rFonts w:ascii="Times New Roman" w:hAnsi="Times New Roman" w:eastAsia="宋体"/>
                <w:b w:val="0"/>
                <w:sz w:val="21"/>
              </w:rPr>
              <w:t>2.12</w:t>
            </w:r>
          </w:p>
        </w:tc>
        <w:tc>
          <w:tcPr>
            <w:tcW w:type="dxa" w:w="1417"/>
          </w:tcPr>
          <w:p>
            <w:pPr>
              <w:spacing w:before="20" w:after="20" w:line="276" w:lineRule="auto"/>
              <w:jc w:val="center"/>
            </w:pPr>
            <w:r/>
            <w:r>
              <w:rPr>
                <w:rFonts w:ascii="Times New Roman" w:hAnsi="Times New Roman" w:eastAsia="宋体"/>
                <w:b w:val="0"/>
                <w:sz w:val="21"/>
              </w:rPr>
              <w:t>0.479</w:t>
            </w:r>
          </w:p>
        </w:tc>
      </w:tr>
      <w:tr>
        <w:tc>
          <w:tcPr>
            <w:tcW w:type="dxa" w:w="1417"/>
          </w:tcPr>
          <w:p>
            <w:pPr>
              <w:spacing w:before="20" w:after="20" w:line="276" w:lineRule="auto"/>
              <w:jc w:val="left"/>
            </w:pPr>
            <w:r/>
            <w:r>
              <w:rPr>
                <w:rFonts w:ascii="Times New Roman" w:hAnsi="Times New Roman" w:eastAsia="宋体"/>
                <w:b w:val="0"/>
                <w:sz w:val="21"/>
              </w:rPr>
              <w:t>山西</w:t>
            </w:r>
          </w:p>
        </w:tc>
        <w:tc>
          <w:tcPr>
            <w:tcW w:type="dxa" w:w="1417"/>
          </w:tcPr>
          <w:p>
            <w:pPr>
              <w:spacing w:before="20" w:after="20" w:line="276" w:lineRule="auto"/>
              <w:jc w:val="left"/>
            </w:pPr>
            <w:r/>
            <w:r>
              <w:rPr>
                <w:rFonts w:ascii="Times New Roman" w:hAnsi="Times New Roman" w:eastAsia="宋体"/>
                <w:b w:val="0"/>
                <w:sz w:val="21"/>
              </w:rPr>
              <w:t>中部</w:t>
            </w:r>
          </w:p>
        </w:tc>
        <w:tc>
          <w:tcPr>
            <w:tcW w:type="dxa" w:w="1417"/>
          </w:tcPr>
          <w:p>
            <w:pPr>
              <w:spacing w:before="20" w:after="20" w:line="276" w:lineRule="auto"/>
              <w:jc w:val="center"/>
            </w:pPr>
            <w:r/>
            <w:r>
              <w:rPr>
                <w:rFonts w:ascii="Times New Roman" w:hAnsi="Times New Roman" w:eastAsia="宋体"/>
                <w:b w:val="0"/>
                <w:sz w:val="21"/>
              </w:rPr>
              <w:t>2.78</w:t>
            </w:r>
          </w:p>
        </w:tc>
        <w:tc>
          <w:tcPr>
            <w:tcW w:type="dxa" w:w="1417"/>
          </w:tcPr>
          <w:p>
            <w:pPr>
              <w:spacing w:before="20" w:after="20" w:line="276" w:lineRule="auto"/>
              <w:jc w:val="center"/>
            </w:pPr>
            <w:r/>
            <w:r>
              <w:rPr>
                <w:rFonts w:ascii="Times New Roman" w:hAnsi="Times New Roman" w:eastAsia="宋体"/>
                <w:b w:val="0"/>
                <w:sz w:val="21"/>
              </w:rPr>
              <w:t>2.39</w:t>
            </w:r>
          </w:p>
        </w:tc>
        <w:tc>
          <w:tcPr>
            <w:tcW w:type="dxa" w:w="1417"/>
          </w:tcPr>
          <w:p>
            <w:pPr>
              <w:spacing w:before="20" w:after="20" w:line="276" w:lineRule="auto"/>
              <w:jc w:val="center"/>
            </w:pPr>
            <w:r/>
            <w:r>
              <w:rPr>
                <w:rFonts w:ascii="Times New Roman" w:hAnsi="Times New Roman" w:eastAsia="宋体"/>
                <w:b w:val="0"/>
                <w:sz w:val="21"/>
              </w:rPr>
              <w:t>2.10</w:t>
            </w:r>
          </w:p>
        </w:tc>
        <w:tc>
          <w:tcPr>
            <w:tcW w:type="dxa" w:w="1417"/>
          </w:tcPr>
          <w:p>
            <w:pPr>
              <w:spacing w:before="20" w:after="20" w:line="276" w:lineRule="auto"/>
              <w:jc w:val="center"/>
            </w:pPr>
            <w:r/>
            <w:r>
              <w:rPr>
                <w:rFonts w:ascii="Times New Roman" w:hAnsi="Times New Roman" w:eastAsia="宋体"/>
                <w:b w:val="0"/>
                <w:sz w:val="21"/>
              </w:rPr>
              <w:t>0.546</w:t>
            </w:r>
          </w:p>
        </w:tc>
      </w:tr>
      <w:tr>
        <w:tc>
          <w:tcPr>
            <w:tcW w:type="dxa" w:w="1417"/>
          </w:tcPr>
          <w:p>
            <w:pPr>
              <w:spacing w:before="20" w:after="20" w:line="276" w:lineRule="auto"/>
              <w:jc w:val="left"/>
            </w:pPr>
            <w:r/>
            <w:r>
              <w:rPr>
                <w:rFonts w:ascii="Times New Roman" w:hAnsi="Times New Roman" w:eastAsia="宋体"/>
                <w:b w:val="0"/>
                <w:sz w:val="21"/>
              </w:rPr>
              <w:t>安徽</w:t>
            </w:r>
          </w:p>
        </w:tc>
        <w:tc>
          <w:tcPr>
            <w:tcW w:type="dxa" w:w="1417"/>
          </w:tcPr>
          <w:p>
            <w:pPr>
              <w:spacing w:before="20" w:after="20" w:line="276" w:lineRule="auto"/>
              <w:jc w:val="left"/>
            </w:pPr>
            <w:r/>
            <w:r>
              <w:rPr>
                <w:rFonts w:ascii="Times New Roman" w:hAnsi="Times New Roman" w:eastAsia="宋体"/>
                <w:b w:val="0"/>
                <w:sz w:val="21"/>
              </w:rPr>
              <w:t>中部</w:t>
            </w:r>
          </w:p>
        </w:tc>
        <w:tc>
          <w:tcPr>
            <w:tcW w:type="dxa" w:w="1417"/>
          </w:tcPr>
          <w:p>
            <w:pPr>
              <w:spacing w:before="20" w:after="20" w:line="276" w:lineRule="auto"/>
              <w:jc w:val="center"/>
            </w:pPr>
            <w:r/>
            <w:r>
              <w:rPr>
                <w:rFonts w:ascii="Times New Roman" w:hAnsi="Times New Roman" w:eastAsia="宋体"/>
                <w:b w:val="0"/>
                <w:sz w:val="21"/>
              </w:rPr>
              <w:t>2.48</w:t>
            </w:r>
          </w:p>
        </w:tc>
        <w:tc>
          <w:tcPr>
            <w:tcW w:type="dxa" w:w="1417"/>
          </w:tcPr>
          <w:p>
            <w:pPr>
              <w:spacing w:before="20" w:after="20" w:line="276" w:lineRule="auto"/>
              <w:jc w:val="center"/>
            </w:pPr>
            <w:r/>
            <w:r>
              <w:rPr>
                <w:rFonts w:ascii="Times New Roman" w:hAnsi="Times New Roman" w:eastAsia="宋体"/>
                <w:b w:val="0"/>
                <w:sz w:val="21"/>
              </w:rPr>
              <w:t>2.05</w:t>
            </w:r>
          </w:p>
        </w:tc>
        <w:tc>
          <w:tcPr>
            <w:tcW w:type="dxa" w:w="1417"/>
          </w:tcPr>
          <w:p>
            <w:pPr>
              <w:spacing w:before="20" w:after="20" w:line="276" w:lineRule="auto"/>
              <w:jc w:val="center"/>
            </w:pPr>
            <w:r/>
            <w:r>
              <w:rPr>
                <w:rFonts w:ascii="Times New Roman" w:hAnsi="Times New Roman" w:eastAsia="宋体"/>
                <w:b w:val="0"/>
                <w:sz w:val="21"/>
              </w:rPr>
              <w:t>1.72</w:t>
            </w:r>
          </w:p>
        </w:tc>
        <w:tc>
          <w:tcPr>
            <w:tcW w:type="dxa" w:w="1417"/>
          </w:tcPr>
          <w:p>
            <w:pPr>
              <w:spacing w:before="20" w:after="20" w:line="276" w:lineRule="auto"/>
              <w:jc w:val="center"/>
            </w:pPr>
            <w:r/>
            <w:r>
              <w:rPr>
                <w:rFonts w:ascii="Times New Roman" w:hAnsi="Times New Roman" w:eastAsia="宋体"/>
                <w:b w:val="0"/>
                <w:sz w:val="21"/>
              </w:rPr>
              <w:t>0.394</w:t>
            </w:r>
          </w:p>
        </w:tc>
      </w:tr>
      <w:tr>
        <w:tc>
          <w:tcPr>
            <w:tcW w:type="dxa" w:w="1417"/>
          </w:tcPr>
          <w:p>
            <w:pPr>
              <w:spacing w:before="20" w:after="20" w:line="276" w:lineRule="auto"/>
              <w:jc w:val="left"/>
            </w:pPr>
            <w:r/>
            <w:r>
              <w:rPr>
                <w:rFonts w:ascii="Times New Roman" w:hAnsi="Times New Roman" w:eastAsia="宋体"/>
                <w:b w:val="0"/>
                <w:sz w:val="21"/>
              </w:rPr>
              <w:t>江西</w:t>
            </w:r>
          </w:p>
        </w:tc>
        <w:tc>
          <w:tcPr>
            <w:tcW w:type="dxa" w:w="1417"/>
          </w:tcPr>
          <w:p>
            <w:pPr>
              <w:spacing w:before="20" w:after="20" w:line="276" w:lineRule="auto"/>
              <w:jc w:val="left"/>
            </w:pPr>
            <w:r/>
            <w:r>
              <w:rPr>
                <w:rFonts w:ascii="Times New Roman" w:hAnsi="Times New Roman" w:eastAsia="宋体"/>
                <w:b w:val="0"/>
                <w:sz w:val="21"/>
              </w:rPr>
              <w:t>中部</w:t>
            </w:r>
          </w:p>
        </w:tc>
        <w:tc>
          <w:tcPr>
            <w:tcW w:type="dxa" w:w="1417"/>
          </w:tcPr>
          <w:p>
            <w:pPr>
              <w:spacing w:before="20" w:after="20" w:line="276" w:lineRule="auto"/>
              <w:jc w:val="center"/>
            </w:pPr>
            <w:r/>
            <w:r>
              <w:rPr>
                <w:rFonts w:ascii="Times New Roman" w:hAnsi="Times New Roman" w:eastAsia="宋体"/>
                <w:b w:val="0"/>
                <w:sz w:val="21"/>
              </w:rPr>
              <w:t>2.58</w:t>
            </w:r>
          </w:p>
        </w:tc>
        <w:tc>
          <w:tcPr>
            <w:tcW w:type="dxa" w:w="1417"/>
          </w:tcPr>
          <w:p>
            <w:pPr>
              <w:spacing w:before="20" w:after="20" w:line="276" w:lineRule="auto"/>
              <w:jc w:val="center"/>
            </w:pPr>
            <w:r/>
            <w:r>
              <w:rPr>
                <w:rFonts w:ascii="Times New Roman" w:hAnsi="Times New Roman" w:eastAsia="宋体"/>
                <w:b w:val="0"/>
                <w:sz w:val="21"/>
              </w:rPr>
              <w:t>2.17</w:t>
            </w:r>
          </w:p>
        </w:tc>
        <w:tc>
          <w:tcPr>
            <w:tcW w:type="dxa" w:w="1417"/>
          </w:tcPr>
          <w:p>
            <w:pPr>
              <w:spacing w:before="20" w:after="20" w:line="276" w:lineRule="auto"/>
              <w:jc w:val="center"/>
            </w:pPr>
            <w:r/>
            <w:r>
              <w:rPr>
                <w:rFonts w:ascii="Times New Roman" w:hAnsi="Times New Roman" w:eastAsia="宋体"/>
                <w:b w:val="0"/>
                <w:sz w:val="21"/>
              </w:rPr>
              <w:t>1.88</w:t>
            </w:r>
          </w:p>
        </w:tc>
        <w:tc>
          <w:tcPr>
            <w:tcW w:type="dxa" w:w="1417"/>
          </w:tcPr>
          <w:p>
            <w:pPr>
              <w:spacing w:before="20" w:after="20" w:line="276" w:lineRule="auto"/>
              <w:jc w:val="center"/>
            </w:pPr>
            <w:r/>
            <w:r>
              <w:rPr>
                <w:rFonts w:ascii="Times New Roman" w:hAnsi="Times New Roman" w:eastAsia="宋体"/>
                <w:b w:val="0"/>
                <w:sz w:val="21"/>
              </w:rPr>
              <w:t>0.477</w:t>
            </w:r>
          </w:p>
        </w:tc>
      </w:tr>
      <w:tr>
        <w:tc>
          <w:tcPr>
            <w:tcW w:type="dxa" w:w="1417"/>
          </w:tcPr>
          <w:p>
            <w:pPr>
              <w:spacing w:before="20" w:after="20" w:line="276" w:lineRule="auto"/>
              <w:jc w:val="left"/>
            </w:pPr>
            <w:r/>
            <w:r>
              <w:rPr>
                <w:rFonts w:ascii="Times New Roman" w:hAnsi="Times New Roman" w:eastAsia="宋体"/>
                <w:b w:val="0"/>
                <w:sz w:val="21"/>
              </w:rPr>
              <w:t>河南</w:t>
            </w:r>
          </w:p>
        </w:tc>
        <w:tc>
          <w:tcPr>
            <w:tcW w:type="dxa" w:w="1417"/>
          </w:tcPr>
          <w:p>
            <w:pPr>
              <w:spacing w:before="20" w:after="20" w:line="276" w:lineRule="auto"/>
              <w:jc w:val="left"/>
            </w:pPr>
            <w:r/>
            <w:r>
              <w:rPr>
                <w:rFonts w:ascii="Times New Roman" w:hAnsi="Times New Roman" w:eastAsia="宋体"/>
                <w:b w:val="0"/>
                <w:sz w:val="21"/>
              </w:rPr>
              <w:t>中部</w:t>
            </w:r>
          </w:p>
        </w:tc>
        <w:tc>
          <w:tcPr>
            <w:tcW w:type="dxa" w:w="1417"/>
          </w:tcPr>
          <w:p>
            <w:pPr>
              <w:spacing w:before="20" w:after="20" w:line="276" w:lineRule="auto"/>
              <w:jc w:val="center"/>
            </w:pPr>
            <w:r/>
            <w:r>
              <w:rPr>
                <w:rFonts w:ascii="Times New Roman" w:hAnsi="Times New Roman" w:eastAsia="宋体"/>
                <w:b w:val="0"/>
                <w:sz w:val="21"/>
              </w:rPr>
              <w:t>2.60</w:t>
            </w:r>
          </w:p>
        </w:tc>
        <w:tc>
          <w:tcPr>
            <w:tcW w:type="dxa" w:w="1417"/>
          </w:tcPr>
          <w:p>
            <w:pPr>
              <w:spacing w:before="20" w:after="20" w:line="276" w:lineRule="auto"/>
              <w:jc w:val="center"/>
            </w:pPr>
            <w:r/>
            <w:r>
              <w:rPr>
                <w:rFonts w:ascii="Times New Roman" w:hAnsi="Times New Roman" w:eastAsia="宋体"/>
                <w:b w:val="0"/>
                <w:sz w:val="21"/>
              </w:rPr>
              <w:t>2.18</w:t>
            </w:r>
          </w:p>
        </w:tc>
        <w:tc>
          <w:tcPr>
            <w:tcW w:type="dxa" w:w="1417"/>
          </w:tcPr>
          <w:p>
            <w:pPr>
              <w:spacing w:before="20" w:after="20" w:line="276" w:lineRule="auto"/>
              <w:jc w:val="center"/>
            </w:pPr>
            <w:r/>
            <w:r>
              <w:rPr>
                <w:rFonts w:ascii="Times New Roman" w:hAnsi="Times New Roman" w:eastAsia="宋体"/>
                <w:b w:val="0"/>
                <w:sz w:val="21"/>
              </w:rPr>
              <w:t>1.87</w:t>
            </w:r>
          </w:p>
        </w:tc>
        <w:tc>
          <w:tcPr>
            <w:tcW w:type="dxa" w:w="1417"/>
          </w:tcPr>
          <w:p>
            <w:pPr>
              <w:spacing w:before="20" w:after="20" w:line="276" w:lineRule="auto"/>
              <w:jc w:val="center"/>
            </w:pPr>
            <w:r/>
            <w:r>
              <w:rPr>
                <w:rFonts w:ascii="Times New Roman" w:hAnsi="Times New Roman" w:eastAsia="宋体"/>
                <w:b w:val="0"/>
                <w:sz w:val="21"/>
              </w:rPr>
              <w:t>0.394</w:t>
            </w:r>
          </w:p>
        </w:tc>
      </w:tr>
      <w:tr>
        <w:tc>
          <w:tcPr>
            <w:tcW w:type="dxa" w:w="1417"/>
          </w:tcPr>
          <w:p>
            <w:pPr>
              <w:spacing w:before="20" w:after="20" w:line="276" w:lineRule="auto"/>
              <w:jc w:val="left"/>
            </w:pPr>
            <w:r/>
            <w:r>
              <w:rPr>
                <w:rFonts w:ascii="Times New Roman" w:hAnsi="Times New Roman" w:eastAsia="宋体"/>
                <w:b w:val="0"/>
                <w:sz w:val="21"/>
              </w:rPr>
              <w:t>湖北</w:t>
            </w:r>
          </w:p>
        </w:tc>
        <w:tc>
          <w:tcPr>
            <w:tcW w:type="dxa" w:w="1417"/>
          </w:tcPr>
          <w:p>
            <w:pPr>
              <w:spacing w:before="20" w:after="20" w:line="276" w:lineRule="auto"/>
              <w:jc w:val="left"/>
            </w:pPr>
            <w:r/>
            <w:r>
              <w:rPr>
                <w:rFonts w:ascii="Times New Roman" w:hAnsi="Times New Roman" w:eastAsia="宋体"/>
                <w:b w:val="0"/>
                <w:sz w:val="21"/>
              </w:rPr>
              <w:t>中部</w:t>
            </w:r>
          </w:p>
        </w:tc>
        <w:tc>
          <w:tcPr>
            <w:tcW w:type="dxa" w:w="1417"/>
          </w:tcPr>
          <w:p>
            <w:pPr>
              <w:spacing w:before="20" w:after="20" w:line="276" w:lineRule="auto"/>
              <w:jc w:val="center"/>
            </w:pPr>
            <w:r/>
            <w:r>
              <w:rPr>
                <w:rFonts w:ascii="Times New Roman" w:hAnsi="Times New Roman" w:eastAsia="宋体"/>
                <w:b w:val="0"/>
                <w:sz w:val="21"/>
              </w:rPr>
              <w:t>2.52</w:t>
            </w:r>
          </w:p>
        </w:tc>
        <w:tc>
          <w:tcPr>
            <w:tcW w:type="dxa" w:w="1417"/>
          </w:tcPr>
          <w:p>
            <w:pPr>
              <w:spacing w:before="20" w:after="20" w:line="276" w:lineRule="auto"/>
              <w:jc w:val="center"/>
            </w:pPr>
            <w:r/>
            <w:r>
              <w:rPr>
                <w:rFonts w:ascii="Times New Roman" w:hAnsi="Times New Roman" w:eastAsia="宋体"/>
                <w:b w:val="0"/>
                <w:sz w:val="21"/>
              </w:rPr>
              <w:t>2.10</w:t>
            </w:r>
          </w:p>
        </w:tc>
        <w:tc>
          <w:tcPr>
            <w:tcW w:type="dxa" w:w="1417"/>
          </w:tcPr>
          <w:p>
            <w:pPr>
              <w:spacing w:before="20" w:after="20" w:line="276" w:lineRule="auto"/>
              <w:jc w:val="center"/>
            </w:pPr>
            <w:r/>
            <w:r>
              <w:rPr>
                <w:rFonts w:ascii="Times New Roman" w:hAnsi="Times New Roman" w:eastAsia="宋体"/>
                <w:b w:val="0"/>
                <w:sz w:val="21"/>
              </w:rPr>
              <w:t>1.80</w:t>
            </w:r>
          </w:p>
        </w:tc>
        <w:tc>
          <w:tcPr>
            <w:tcW w:type="dxa" w:w="1417"/>
          </w:tcPr>
          <w:p>
            <w:pPr>
              <w:spacing w:before="20" w:after="20" w:line="276" w:lineRule="auto"/>
              <w:jc w:val="center"/>
            </w:pPr>
            <w:r/>
            <w:r>
              <w:rPr>
                <w:rFonts w:ascii="Times New Roman" w:hAnsi="Times New Roman" w:eastAsia="宋体"/>
                <w:b w:val="0"/>
                <w:sz w:val="21"/>
              </w:rPr>
              <w:t>0.488</w:t>
            </w:r>
          </w:p>
        </w:tc>
      </w:tr>
      <w:tr>
        <w:tc>
          <w:tcPr>
            <w:tcW w:type="dxa" w:w="1417"/>
          </w:tcPr>
          <w:p>
            <w:pPr>
              <w:spacing w:before="20" w:after="20" w:line="276" w:lineRule="auto"/>
              <w:jc w:val="left"/>
            </w:pPr>
            <w:r/>
            <w:r>
              <w:rPr>
                <w:rFonts w:ascii="Times New Roman" w:hAnsi="Times New Roman" w:eastAsia="宋体"/>
                <w:b w:val="0"/>
                <w:sz w:val="21"/>
              </w:rPr>
              <w:t>湖南</w:t>
            </w:r>
          </w:p>
        </w:tc>
        <w:tc>
          <w:tcPr>
            <w:tcW w:type="dxa" w:w="1417"/>
          </w:tcPr>
          <w:p>
            <w:pPr>
              <w:spacing w:before="20" w:after="20" w:line="276" w:lineRule="auto"/>
              <w:jc w:val="left"/>
            </w:pPr>
            <w:r/>
            <w:r>
              <w:rPr>
                <w:rFonts w:ascii="Times New Roman" w:hAnsi="Times New Roman" w:eastAsia="宋体"/>
                <w:b w:val="0"/>
                <w:sz w:val="21"/>
              </w:rPr>
              <w:t>中部</w:t>
            </w:r>
          </w:p>
        </w:tc>
        <w:tc>
          <w:tcPr>
            <w:tcW w:type="dxa" w:w="1417"/>
          </w:tcPr>
          <w:p>
            <w:pPr>
              <w:spacing w:before="20" w:after="20" w:line="276" w:lineRule="auto"/>
              <w:jc w:val="center"/>
            </w:pPr>
            <w:r/>
            <w:r>
              <w:rPr>
                <w:rFonts w:ascii="Times New Roman" w:hAnsi="Times New Roman" w:eastAsia="宋体"/>
                <w:b w:val="0"/>
                <w:sz w:val="21"/>
              </w:rPr>
              <w:t>2.55</w:t>
            </w:r>
          </w:p>
        </w:tc>
        <w:tc>
          <w:tcPr>
            <w:tcW w:type="dxa" w:w="1417"/>
          </w:tcPr>
          <w:p>
            <w:pPr>
              <w:spacing w:before="20" w:after="20" w:line="276" w:lineRule="auto"/>
              <w:jc w:val="center"/>
            </w:pPr>
            <w:r/>
            <w:r>
              <w:rPr>
                <w:rFonts w:ascii="Times New Roman" w:hAnsi="Times New Roman" w:eastAsia="宋体"/>
                <w:b w:val="0"/>
                <w:sz w:val="21"/>
              </w:rPr>
              <w:t>2.14</w:t>
            </w:r>
          </w:p>
        </w:tc>
        <w:tc>
          <w:tcPr>
            <w:tcW w:type="dxa" w:w="1417"/>
          </w:tcPr>
          <w:p>
            <w:pPr>
              <w:spacing w:before="20" w:after="20" w:line="276" w:lineRule="auto"/>
              <w:jc w:val="center"/>
            </w:pPr>
            <w:r/>
            <w:r>
              <w:rPr>
                <w:rFonts w:ascii="Times New Roman" w:hAnsi="Times New Roman" w:eastAsia="宋体"/>
                <w:b w:val="0"/>
                <w:sz w:val="21"/>
              </w:rPr>
              <w:t>1.84</w:t>
            </w:r>
          </w:p>
        </w:tc>
        <w:tc>
          <w:tcPr>
            <w:tcW w:type="dxa" w:w="1417"/>
          </w:tcPr>
          <w:p>
            <w:pPr>
              <w:spacing w:before="20" w:after="20" w:line="276" w:lineRule="auto"/>
              <w:jc w:val="center"/>
            </w:pPr>
            <w:r/>
            <w:r>
              <w:rPr>
                <w:rFonts w:ascii="Times New Roman" w:hAnsi="Times New Roman" w:eastAsia="宋体"/>
                <w:b w:val="0"/>
                <w:sz w:val="21"/>
              </w:rPr>
              <w:t>0.429</w:t>
            </w:r>
          </w:p>
        </w:tc>
      </w:tr>
      <w:tr>
        <w:tc>
          <w:tcPr>
            <w:tcW w:type="dxa" w:w="1417"/>
          </w:tcPr>
          <w:p>
            <w:pPr>
              <w:spacing w:before="20" w:after="20" w:line="276" w:lineRule="auto"/>
              <w:jc w:val="left"/>
            </w:pPr>
            <w:r/>
            <w:r>
              <w:rPr>
                <w:rFonts w:ascii="Times New Roman" w:hAnsi="Times New Roman" w:eastAsia="宋体"/>
                <w:b w:val="0"/>
                <w:sz w:val="21"/>
              </w:rPr>
              <w:t>辽宁</w:t>
            </w:r>
          </w:p>
        </w:tc>
        <w:tc>
          <w:tcPr>
            <w:tcW w:type="dxa" w:w="1417"/>
          </w:tcPr>
          <w:p>
            <w:pPr>
              <w:spacing w:before="20" w:after="20" w:line="276" w:lineRule="auto"/>
              <w:jc w:val="left"/>
            </w:pPr>
            <w:r/>
            <w:r>
              <w:rPr>
                <w:rFonts w:ascii="Times New Roman" w:hAnsi="Times New Roman" w:eastAsia="宋体"/>
                <w:b w:val="0"/>
                <w:sz w:val="21"/>
              </w:rPr>
              <w:t>东北</w:t>
            </w:r>
          </w:p>
        </w:tc>
        <w:tc>
          <w:tcPr>
            <w:tcW w:type="dxa" w:w="1417"/>
          </w:tcPr>
          <w:p>
            <w:pPr>
              <w:spacing w:before="20" w:after="20" w:line="276" w:lineRule="auto"/>
              <w:jc w:val="center"/>
            </w:pPr>
            <w:r/>
            <w:r>
              <w:rPr>
                <w:rFonts w:ascii="Times New Roman" w:hAnsi="Times New Roman" w:eastAsia="宋体"/>
                <w:b w:val="0"/>
                <w:sz w:val="21"/>
              </w:rPr>
              <w:t>2.71</w:t>
            </w:r>
          </w:p>
        </w:tc>
        <w:tc>
          <w:tcPr>
            <w:tcW w:type="dxa" w:w="1417"/>
          </w:tcPr>
          <w:p>
            <w:pPr>
              <w:spacing w:before="20" w:after="20" w:line="276" w:lineRule="auto"/>
              <w:jc w:val="center"/>
            </w:pPr>
            <w:r/>
            <w:r>
              <w:rPr>
                <w:rFonts w:ascii="Times New Roman" w:hAnsi="Times New Roman" w:eastAsia="宋体"/>
                <w:b w:val="0"/>
                <w:sz w:val="21"/>
              </w:rPr>
              <w:t>2.35</w:t>
            </w:r>
          </w:p>
        </w:tc>
        <w:tc>
          <w:tcPr>
            <w:tcW w:type="dxa" w:w="1417"/>
          </w:tcPr>
          <w:p>
            <w:pPr>
              <w:spacing w:before="20" w:after="20" w:line="276" w:lineRule="auto"/>
              <w:jc w:val="center"/>
            </w:pPr>
            <w:r/>
            <w:r>
              <w:rPr>
                <w:rFonts w:ascii="Times New Roman" w:hAnsi="Times New Roman" w:eastAsia="宋体"/>
                <w:b w:val="0"/>
                <w:sz w:val="21"/>
              </w:rPr>
              <w:t>2.08</w:t>
            </w:r>
          </w:p>
        </w:tc>
        <w:tc>
          <w:tcPr>
            <w:tcW w:type="dxa" w:w="1417"/>
          </w:tcPr>
          <w:p>
            <w:pPr>
              <w:spacing w:before="20" w:after="20" w:line="276" w:lineRule="auto"/>
              <w:jc w:val="center"/>
            </w:pPr>
            <w:r/>
            <w:r>
              <w:rPr>
                <w:rFonts w:ascii="Times New Roman" w:hAnsi="Times New Roman" w:eastAsia="宋体"/>
                <w:b w:val="0"/>
                <w:sz w:val="21"/>
              </w:rPr>
              <w:t>0.520</w:t>
            </w:r>
          </w:p>
        </w:tc>
      </w:tr>
      <w:tr>
        <w:tc>
          <w:tcPr>
            <w:tcW w:type="dxa" w:w="1417"/>
          </w:tcPr>
          <w:p>
            <w:pPr>
              <w:spacing w:before="20" w:after="20" w:line="276" w:lineRule="auto"/>
              <w:jc w:val="left"/>
            </w:pPr>
            <w:r/>
            <w:r>
              <w:rPr>
                <w:rFonts w:ascii="Times New Roman" w:hAnsi="Times New Roman" w:eastAsia="宋体"/>
                <w:b w:val="0"/>
                <w:sz w:val="21"/>
              </w:rPr>
              <w:t>吉林</w:t>
            </w:r>
          </w:p>
        </w:tc>
        <w:tc>
          <w:tcPr>
            <w:tcW w:type="dxa" w:w="1417"/>
          </w:tcPr>
          <w:p>
            <w:pPr>
              <w:spacing w:before="20" w:after="20" w:line="276" w:lineRule="auto"/>
              <w:jc w:val="left"/>
            </w:pPr>
            <w:r/>
            <w:r>
              <w:rPr>
                <w:rFonts w:ascii="Times New Roman" w:hAnsi="Times New Roman" w:eastAsia="宋体"/>
                <w:b w:val="0"/>
                <w:sz w:val="21"/>
              </w:rPr>
              <w:t>东北</w:t>
            </w:r>
          </w:p>
        </w:tc>
        <w:tc>
          <w:tcPr>
            <w:tcW w:type="dxa" w:w="1417"/>
          </w:tcPr>
          <w:p>
            <w:pPr>
              <w:spacing w:before="20" w:after="20" w:line="276" w:lineRule="auto"/>
              <w:jc w:val="center"/>
            </w:pPr>
            <w:r/>
            <w:r>
              <w:rPr>
                <w:rFonts w:ascii="Times New Roman" w:hAnsi="Times New Roman" w:eastAsia="宋体"/>
                <w:b w:val="0"/>
                <w:sz w:val="21"/>
              </w:rPr>
              <w:t>2.83</w:t>
            </w:r>
          </w:p>
        </w:tc>
        <w:tc>
          <w:tcPr>
            <w:tcW w:type="dxa" w:w="1417"/>
          </w:tcPr>
          <w:p>
            <w:pPr>
              <w:spacing w:before="20" w:after="20" w:line="276" w:lineRule="auto"/>
              <w:jc w:val="center"/>
            </w:pPr>
            <w:r/>
            <w:r>
              <w:rPr>
                <w:rFonts w:ascii="Times New Roman" w:hAnsi="Times New Roman" w:eastAsia="宋体"/>
                <w:b w:val="0"/>
                <w:sz w:val="21"/>
              </w:rPr>
              <w:t>2.47</w:t>
            </w:r>
          </w:p>
        </w:tc>
        <w:tc>
          <w:tcPr>
            <w:tcW w:type="dxa" w:w="1417"/>
          </w:tcPr>
          <w:p>
            <w:pPr>
              <w:spacing w:before="20" w:after="20" w:line="276" w:lineRule="auto"/>
              <w:jc w:val="center"/>
            </w:pPr>
            <w:r/>
            <w:r>
              <w:rPr>
                <w:rFonts w:ascii="Times New Roman" w:hAnsi="Times New Roman" w:eastAsia="宋体"/>
                <w:b w:val="0"/>
                <w:sz w:val="21"/>
              </w:rPr>
              <w:t>2.20</w:t>
            </w:r>
          </w:p>
        </w:tc>
        <w:tc>
          <w:tcPr>
            <w:tcW w:type="dxa" w:w="1417"/>
          </w:tcPr>
          <w:p>
            <w:pPr>
              <w:spacing w:before="20" w:after="20" w:line="276" w:lineRule="auto"/>
              <w:jc w:val="center"/>
            </w:pPr>
            <w:r/>
            <w:r>
              <w:rPr>
                <w:rFonts w:ascii="Times New Roman" w:hAnsi="Times New Roman" w:eastAsia="宋体"/>
                <w:b w:val="0"/>
                <w:sz w:val="21"/>
              </w:rPr>
              <w:t>0.456</w:t>
            </w:r>
          </w:p>
        </w:tc>
      </w:tr>
      <w:tr>
        <w:tc>
          <w:tcPr>
            <w:tcW w:type="dxa" w:w="1417"/>
          </w:tcPr>
          <w:p>
            <w:pPr>
              <w:spacing w:before="20" w:after="20" w:line="276" w:lineRule="auto"/>
              <w:jc w:val="left"/>
            </w:pPr>
            <w:r/>
            <w:r>
              <w:rPr>
                <w:rFonts w:ascii="Times New Roman" w:hAnsi="Times New Roman" w:eastAsia="宋体"/>
                <w:b w:val="0"/>
                <w:sz w:val="21"/>
              </w:rPr>
              <w:t>黑龙江</w:t>
            </w:r>
          </w:p>
        </w:tc>
        <w:tc>
          <w:tcPr>
            <w:tcW w:type="dxa" w:w="1417"/>
          </w:tcPr>
          <w:p>
            <w:pPr>
              <w:spacing w:before="20" w:after="20" w:line="276" w:lineRule="auto"/>
              <w:jc w:val="left"/>
            </w:pPr>
            <w:r/>
            <w:r>
              <w:rPr>
                <w:rFonts w:ascii="Times New Roman" w:hAnsi="Times New Roman" w:eastAsia="宋体"/>
                <w:b w:val="0"/>
                <w:sz w:val="21"/>
              </w:rPr>
              <w:t>东北</w:t>
            </w:r>
          </w:p>
        </w:tc>
        <w:tc>
          <w:tcPr>
            <w:tcW w:type="dxa" w:w="1417"/>
          </w:tcPr>
          <w:p>
            <w:pPr>
              <w:spacing w:before="20" w:after="20" w:line="276" w:lineRule="auto"/>
              <w:jc w:val="center"/>
            </w:pPr>
            <w:r/>
            <w:r>
              <w:rPr>
                <w:rFonts w:ascii="Times New Roman" w:hAnsi="Times New Roman" w:eastAsia="宋体"/>
                <w:b w:val="0"/>
                <w:sz w:val="21"/>
              </w:rPr>
              <w:t>2.90</w:t>
            </w:r>
          </w:p>
        </w:tc>
        <w:tc>
          <w:tcPr>
            <w:tcW w:type="dxa" w:w="1417"/>
          </w:tcPr>
          <w:p>
            <w:pPr>
              <w:spacing w:before="20" w:after="20" w:line="276" w:lineRule="auto"/>
              <w:jc w:val="center"/>
            </w:pPr>
            <w:r/>
            <w:r>
              <w:rPr>
                <w:rFonts w:ascii="Times New Roman" w:hAnsi="Times New Roman" w:eastAsia="宋体"/>
                <w:b w:val="0"/>
                <w:sz w:val="21"/>
              </w:rPr>
              <w:t>2.55</w:t>
            </w:r>
          </w:p>
        </w:tc>
        <w:tc>
          <w:tcPr>
            <w:tcW w:type="dxa" w:w="1417"/>
          </w:tcPr>
          <w:p>
            <w:pPr>
              <w:spacing w:before="20" w:after="20" w:line="276" w:lineRule="auto"/>
              <w:jc w:val="center"/>
            </w:pPr>
            <w:r/>
            <w:r>
              <w:rPr>
                <w:rFonts w:ascii="Times New Roman" w:hAnsi="Times New Roman" w:eastAsia="宋体"/>
                <w:b w:val="0"/>
                <w:sz w:val="21"/>
              </w:rPr>
              <w:t>2.28</w:t>
            </w:r>
          </w:p>
        </w:tc>
        <w:tc>
          <w:tcPr>
            <w:tcW w:type="dxa" w:w="1417"/>
          </w:tcPr>
          <w:p>
            <w:pPr>
              <w:spacing w:before="20" w:after="20" w:line="276" w:lineRule="auto"/>
              <w:jc w:val="center"/>
            </w:pPr>
            <w:r/>
            <w:r>
              <w:rPr>
                <w:rFonts w:ascii="Times New Roman" w:hAnsi="Times New Roman" w:eastAsia="宋体"/>
                <w:b w:val="0"/>
                <w:sz w:val="21"/>
              </w:rPr>
              <w:t>0.578</w:t>
            </w:r>
          </w:p>
        </w:tc>
      </w:tr>
      <w:tr>
        <w:tc>
          <w:tcPr>
            <w:tcW w:type="dxa" w:w="1417"/>
          </w:tcPr>
          <w:p>
            <w:pPr>
              <w:spacing w:before="20" w:after="20" w:line="276" w:lineRule="auto"/>
              <w:jc w:val="left"/>
            </w:pPr>
            <w:r/>
            <w:r>
              <w:rPr>
                <w:rFonts w:ascii="Times New Roman" w:hAnsi="Times New Roman" w:eastAsia="宋体"/>
                <w:b w:val="0"/>
                <w:sz w:val="21"/>
              </w:rPr>
              <w:t>内蒙古</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2.88</w:t>
            </w:r>
          </w:p>
        </w:tc>
        <w:tc>
          <w:tcPr>
            <w:tcW w:type="dxa" w:w="1417"/>
          </w:tcPr>
          <w:p>
            <w:pPr>
              <w:spacing w:before="20" w:after="20" w:line="276" w:lineRule="auto"/>
              <w:jc w:val="center"/>
            </w:pPr>
            <w:r/>
            <w:r>
              <w:rPr>
                <w:rFonts w:ascii="Times New Roman" w:hAnsi="Times New Roman" w:eastAsia="宋体"/>
                <w:b w:val="0"/>
                <w:sz w:val="21"/>
              </w:rPr>
              <w:t>2.52</w:t>
            </w:r>
          </w:p>
        </w:tc>
        <w:tc>
          <w:tcPr>
            <w:tcW w:type="dxa" w:w="1417"/>
          </w:tcPr>
          <w:p>
            <w:pPr>
              <w:spacing w:before="20" w:after="20" w:line="276" w:lineRule="auto"/>
              <w:jc w:val="center"/>
            </w:pPr>
            <w:r/>
            <w:r>
              <w:rPr>
                <w:rFonts w:ascii="Times New Roman" w:hAnsi="Times New Roman" w:eastAsia="宋体"/>
                <w:b w:val="0"/>
                <w:sz w:val="21"/>
              </w:rPr>
              <w:t>2.24</w:t>
            </w:r>
          </w:p>
        </w:tc>
        <w:tc>
          <w:tcPr>
            <w:tcW w:type="dxa" w:w="1417"/>
          </w:tcPr>
          <w:p>
            <w:pPr>
              <w:spacing w:before="20" w:after="20" w:line="276" w:lineRule="auto"/>
              <w:jc w:val="center"/>
            </w:pPr>
            <w:r/>
            <w:r>
              <w:rPr>
                <w:rFonts w:ascii="Times New Roman" w:hAnsi="Times New Roman" w:eastAsia="宋体"/>
                <w:b w:val="0"/>
                <w:sz w:val="21"/>
              </w:rPr>
              <w:t>0.480</w:t>
            </w:r>
          </w:p>
        </w:tc>
      </w:tr>
      <w:tr>
        <w:tc>
          <w:tcPr>
            <w:tcW w:type="dxa" w:w="1417"/>
          </w:tcPr>
          <w:p>
            <w:pPr>
              <w:spacing w:before="20" w:after="20" w:line="276" w:lineRule="auto"/>
              <w:jc w:val="left"/>
            </w:pPr>
            <w:r/>
            <w:r>
              <w:rPr>
                <w:rFonts w:ascii="Times New Roman" w:hAnsi="Times New Roman" w:eastAsia="宋体"/>
                <w:b w:val="0"/>
                <w:sz w:val="21"/>
              </w:rPr>
              <w:t>广西</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2.75</w:t>
            </w:r>
          </w:p>
        </w:tc>
        <w:tc>
          <w:tcPr>
            <w:tcW w:type="dxa" w:w="1417"/>
          </w:tcPr>
          <w:p>
            <w:pPr>
              <w:spacing w:before="20" w:after="20" w:line="276" w:lineRule="auto"/>
              <w:jc w:val="center"/>
            </w:pPr>
            <w:r/>
            <w:r>
              <w:rPr>
                <w:rFonts w:ascii="Times New Roman" w:hAnsi="Times New Roman" w:eastAsia="宋体"/>
                <w:b w:val="0"/>
                <w:sz w:val="21"/>
              </w:rPr>
              <w:t>2.36</w:t>
            </w:r>
          </w:p>
        </w:tc>
        <w:tc>
          <w:tcPr>
            <w:tcW w:type="dxa" w:w="1417"/>
          </w:tcPr>
          <w:p>
            <w:pPr>
              <w:spacing w:before="20" w:after="20" w:line="276" w:lineRule="auto"/>
              <w:jc w:val="center"/>
            </w:pPr>
            <w:r/>
            <w:r>
              <w:rPr>
                <w:rFonts w:ascii="Times New Roman" w:hAnsi="Times New Roman" w:eastAsia="宋体"/>
                <w:b w:val="0"/>
                <w:sz w:val="21"/>
              </w:rPr>
              <w:t>2.06</w:t>
            </w:r>
          </w:p>
        </w:tc>
        <w:tc>
          <w:tcPr>
            <w:tcW w:type="dxa" w:w="1417"/>
          </w:tcPr>
          <w:p>
            <w:pPr>
              <w:spacing w:before="20" w:after="20" w:line="276" w:lineRule="auto"/>
              <w:jc w:val="center"/>
            </w:pPr>
            <w:r/>
            <w:r>
              <w:rPr>
                <w:rFonts w:ascii="Times New Roman" w:hAnsi="Times New Roman" w:eastAsia="宋体"/>
                <w:b w:val="0"/>
                <w:sz w:val="21"/>
              </w:rPr>
              <w:t>0.493</w:t>
            </w:r>
          </w:p>
        </w:tc>
      </w:tr>
      <w:tr>
        <w:tc>
          <w:tcPr>
            <w:tcW w:type="dxa" w:w="1417"/>
          </w:tcPr>
          <w:p>
            <w:pPr>
              <w:spacing w:before="20" w:after="20" w:line="276" w:lineRule="auto"/>
              <w:jc w:val="left"/>
            </w:pPr>
            <w:r/>
            <w:r>
              <w:rPr>
                <w:rFonts w:ascii="Times New Roman" w:hAnsi="Times New Roman" w:eastAsia="宋体"/>
                <w:b w:val="0"/>
                <w:sz w:val="21"/>
              </w:rPr>
              <w:t>重庆</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2.50</w:t>
            </w:r>
          </w:p>
        </w:tc>
        <w:tc>
          <w:tcPr>
            <w:tcW w:type="dxa" w:w="1417"/>
          </w:tcPr>
          <w:p>
            <w:pPr>
              <w:spacing w:before="20" w:after="20" w:line="276" w:lineRule="auto"/>
              <w:jc w:val="center"/>
            </w:pPr>
            <w:r/>
            <w:r>
              <w:rPr>
                <w:rFonts w:ascii="Times New Roman" w:hAnsi="Times New Roman" w:eastAsia="宋体"/>
                <w:b w:val="0"/>
                <w:sz w:val="21"/>
              </w:rPr>
              <w:t>2.09</w:t>
            </w:r>
          </w:p>
        </w:tc>
        <w:tc>
          <w:tcPr>
            <w:tcW w:type="dxa" w:w="1417"/>
          </w:tcPr>
          <w:p>
            <w:pPr>
              <w:spacing w:before="20" w:after="20" w:line="276" w:lineRule="auto"/>
              <w:jc w:val="center"/>
            </w:pPr>
            <w:r/>
            <w:r>
              <w:rPr>
                <w:rFonts w:ascii="Times New Roman" w:hAnsi="Times New Roman" w:eastAsia="宋体"/>
                <w:b w:val="0"/>
                <w:sz w:val="21"/>
              </w:rPr>
              <w:t>1.78</w:t>
            </w:r>
          </w:p>
        </w:tc>
        <w:tc>
          <w:tcPr>
            <w:tcW w:type="dxa" w:w="1417"/>
          </w:tcPr>
          <w:p>
            <w:pPr>
              <w:spacing w:before="20" w:after="20" w:line="276" w:lineRule="auto"/>
              <w:jc w:val="center"/>
            </w:pPr>
            <w:r/>
            <w:r>
              <w:rPr>
                <w:rFonts w:ascii="Times New Roman" w:hAnsi="Times New Roman" w:eastAsia="宋体"/>
                <w:b w:val="0"/>
                <w:sz w:val="21"/>
              </w:rPr>
              <w:t>0.370</w:t>
            </w:r>
          </w:p>
        </w:tc>
      </w:tr>
      <w:tr>
        <w:tc>
          <w:tcPr>
            <w:tcW w:type="dxa" w:w="1417"/>
          </w:tcPr>
          <w:p>
            <w:pPr>
              <w:spacing w:before="20" w:after="20" w:line="276" w:lineRule="auto"/>
              <w:jc w:val="left"/>
            </w:pPr>
            <w:r/>
            <w:r>
              <w:rPr>
                <w:rFonts w:ascii="Times New Roman" w:hAnsi="Times New Roman" w:eastAsia="宋体"/>
                <w:b w:val="0"/>
                <w:sz w:val="21"/>
              </w:rPr>
              <w:t>四川</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2.57</w:t>
            </w:r>
          </w:p>
        </w:tc>
        <w:tc>
          <w:tcPr>
            <w:tcW w:type="dxa" w:w="1417"/>
          </w:tcPr>
          <w:p>
            <w:pPr>
              <w:spacing w:before="20" w:after="20" w:line="276" w:lineRule="auto"/>
              <w:jc w:val="center"/>
            </w:pPr>
            <w:r/>
            <w:r>
              <w:rPr>
                <w:rFonts w:ascii="Times New Roman" w:hAnsi="Times New Roman" w:eastAsia="宋体"/>
                <w:b w:val="0"/>
                <w:sz w:val="21"/>
              </w:rPr>
              <w:t>2.15</w:t>
            </w:r>
          </w:p>
        </w:tc>
        <w:tc>
          <w:tcPr>
            <w:tcW w:type="dxa" w:w="1417"/>
          </w:tcPr>
          <w:p>
            <w:pPr>
              <w:spacing w:before="20" w:after="20" w:line="276" w:lineRule="auto"/>
              <w:jc w:val="center"/>
            </w:pPr>
            <w:r/>
            <w:r>
              <w:rPr>
                <w:rFonts w:ascii="Times New Roman" w:hAnsi="Times New Roman" w:eastAsia="宋体"/>
                <w:b w:val="0"/>
                <w:sz w:val="21"/>
              </w:rPr>
              <w:t>1.85</w:t>
            </w:r>
          </w:p>
        </w:tc>
        <w:tc>
          <w:tcPr>
            <w:tcW w:type="dxa" w:w="1417"/>
          </w:tcPr>
          <w:p>
            <w:pPr>
              <w:spacing w:before="20" w:after="20" w:line="276" w:lineRule="auto"/>
              <w:jc w:val="center"/>
            </w:pPr>
            <w:r/>
            <w:r>
              <w:rPr>
                <w:rFonts w:ascii="Times New Roman" w:hAnsi="Times New Roman" w:eastAsia="宋体"/>
                <w:b w:val="0"/>
                <w:sz w:val="21"/>
              </w:rPr>
              <w:t>0.493</w:t>
            </w:r>
          </w:p>
        </w:tc>
      </w:tr>
      <w:tr>
        <w:tc>
          <w:tcPr>
            <w:tcW w:type="dxa" w:w="1417"/>
          </w:tcPr>
          <w:p>
            <w:pPr>
              <w:spacing w:before="20" w:after="20" w:line="276" w:lineRule="auto"/>
              <w:jc w:val="left"/>
            </w:pPr>
            <w:r/>
            <w:r>
              <w:rPr>
                <w:rFonts w:ascii="Times New Roman" w:hAnsi="Times New Roman" w:eastAsia="宋体"/>
                <w:b w:val="0"/>
                <w:sz w:val="21"/>
              </w:rPr>
              <w:t>贵州</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2.92</w:t>
            </w:r>
          </w:p>
        </w:tc>
        <w:tc>
          <w:tcPr>
            <w:tcW w:type="dxa" w:w="1417"/>
          </w:tcPr>
          <w:p>
            <w:pPr>
              <w:spacing w:before="20" w:after="20" w:line="276" w:lineRule="auto"/>
              <w:jc w:val="center"/>
            </w:pPr>
            <w:r/>
            <w:r>
              <w:rPr>
                <w:rFonts w:ascii="Times New Roman" w:hAnsi="Times New Roman" w:eastAsia="宋体"/>
                <w:b w:val="0"/>
                <w:sz w:val="21"/>
              </w:rPr>
              <w:t>2.54</w:t>
            </w:r>
          </w:p>
        </w:tc>
        <w:tc>
          <w:tcPr>
            <w:tcW w:type="dxa" w:w="1417"/>
          </w:tcPr>
          <w:p>
            <w:pPr>
              <w:spacing w:before="20" w:after="20" w:line="276" w:lineRule="auto"/>
              <w:jc w:val="center"/>
            </w:pPr>
            <w:r/>
            <w:r>
              <w:rPr>
                <w:rFonts w:ascii="Times New Roman" w:hAnsi="Times New Roman" w:eastAsia="宋体"/>
                <w:b w:val="0"/>
                <w:sz w:val="21"/>
              </w:rPr>
              <w:t>2.22</w:t>
            </w:r>
          </w:p>
        </w:tc>
        <w:tc>
          <w:tcPr>
            <w:tcW w:type="dxa" w:w="1417"/>
          </w:tcPr>
          <w:p>
            <w:pPr>
              <w:spacing w:before="20" w:after="20" w:line="276" w:lineRule="auto"/>
              <w:jc w:val="center"/>
            </w:pPr>
            <w:r/>
            <w:r>
              <w:rPr>
                <w:rFonts w:ascii="Times New Roman" w:hAnsi="Times New Roman" w:eastAsia="宋体"/>
                <w:b w:val="0"/>
                <w:sz w:val="21"/>
              </w:rPr>
              <w:t>0.500</w:t>
            </w:r>
          </w:p>
        </w:tc>
      </w:tr>
      <w:tr>
        <w:tc>
          <w:tcPr>
            <w:tcW w:type="dxa" w:w="1417"/>
          </w:tcPr>
          <w:p>
            <w:pPr>
              <w:spacing w:before="20" w:after="20" w:line="276" w:lineRule="auto"/>
              <w:jc w:val="left"/>
            </w:pPr>
            <w:r/>
            <w:r>
              <w:rPr>
                <w:rFonts w:ascii="Times New Roman" w:hAnsi="Times New Roman" w:eastAsia="宋体"/>
                <w:b w:val="0"/>
                <w:sz w:val="21"/>
              </w:rPr>
              <w:t>云南</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2.87</w:t>
            </w:r>
          </w:p>
        </w:tc>
        <w:tc>
          <w:tcPr>
            <w:tcW w:type="dxa" w:w="1417"/>
          </w:tcPr>
          <w:p>
            <w:pPr>
              <w:spacing w:before="20" w:after="20" w:line="276" w:lineRule="auto"/>
              <w:jc w:val="center"/>
            </w:pPr>
            <w:r/>
            <w:r>
              <w:rPr>
                <w:rFonts w:ascii="Times New Roman" w:hAnsi="Times New Roman" w:eastAsia="宋体"/>
                <w:b w:val="0"/>
                <w:sz w:val="21"/>
              </w:rPr>
              <w:t>2.50</w:t>
            </w:r>
          </w:p>
        </w:tc>
        <w:tc>
          <w:tcPr>
            <w:tcW w:type="dxa" w:w="1417"/>
          </w:tcPr>
          <w:p>
            <w:pPr>
              <w:spacing w:before="20" w:after="20" w:line="276" w:lineRule="auto"/>
              <w:jc w:val="center"/>
            </w:pPr>
            <w:r/>
            <w:r>
              <w:rPr>
                <w:rFonts w:ascii="Times New Roman" w:hAnsi="Times New Roman" w:eastAsia="宋体"/>
                <w:b w:val="0"/>
                <w:sz w:val="21"/>
              </w:rPr>
              <w:t>2.19</w:t>
            </w:r>
          </w:p>
        </w:tc>
        <w:tc>
          <w:tcPr>
            <w:tcW w:type="dxa" w:w="1417"/>
          </w:tcPr>
          <w:p>
            <w:pPr>
              <w:spacing w:before="20" w:after="20" w:line="276" w:lineRule="auto"/>
              <w:jc w:val="center"/>
            </w:pPr>
            <w:r/>
            <w:r>
              <w:rPr>
                <w:rFonts w:ascii="Times New Roman" w:hAnsi="Times New Roman" w:eastAsia="宋体"/>
                <w:b w:val="0"/>
                <w:sz w:val="21"/>
              </w:rPr>
              <w:t>0.463</w:t>
            </w:r>
          </w:p>
        </w:tc>
      </w:tr>
      <w:tr>
        <w:tc>
          <w:tcPr>
            <w:tcW w:type="dxa" w:w="1417"/>
          </w:tcPr>
          <w:p>
            <w:pPr>
              <w:spacing w:before="20" w:after="20" w:line="276" w:lineRule="auto"/>
              <w:jc w:val="left"/>
            </w:pPr>
            <w:r/>
            <w:r>
              <w:rPr>
                <w:rFonts w:ascii="Times New Roman" w:hAnsi="Times New Roman" w:eastAsia="宋体"/>
                <w:b w:val="0"/>
                <w:sz w:val="21"/>
              </w:rPr>
              <w:t>西藏</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3.45</w:t>
            </w:r>
          </w:p>
        </w:tc>
        <w:tc>
          <w:tcPr>
            <w:tcW w:type="dxa" w:w="1417"/>
          </w:tcPr>
          <w:p>
            <w:pPr>
              <w:spacing w:before="20" w:after="20" w:line="276" w:lineRule="auto"/>
              <w:jc w:val="center"/>
            </w:pPr>
            <w:r/>
            <w:r>
              <w:rPr>
                <w:rFonts w:ascii="Times New Roman" w:hAnsi="Times New Roman" w:eastAsia="宋体"/>
                <w:b w:val="0"/>
                <w:sz w:val="21"/>
              </w:rPr>
              <w:t>3.10</w:t>
            </w:r>
          </w:p>
        </w:tc>
        <w:tc>
          <w:tcPr>
            <w:tcW w:type="dxa" w:w="1417"/>
          </w:tcPr>
          <w:p>
            <w:pPr>
              <w:spacing w:before="20" w:after="20" w:line="276" w:lineRule="auto"/>
              <w:jc w:val="center"/>
            </w:pPr>
            <w:r/>
            <w:r>
              <w:rPr>
                <w:rFonts w:ascii="Times New Roman" w:hAnsi="Times New Roman" w:eastAsia="宋体"/>
                <w:b w:val="0"/>
                <w:sz w:val="21"/>
              </w:rPr>
              <w:t>2.80</w:t>
            </w:r>
          </w:p>
        </w:tc>
        <w:tc>
          <w:tcPr>
            <w:tcW w:type="dxa" w:w="1417"/>
          </w:tcPr>
          <w:p>
            <w:pPr>
              <w:spacing w:before="20" w:after="20" w:line="276" w:lineRule="auto"/>
              <w:jc w:val="center"/>
            </w:pPr>
            <w:r/>
            <w:r>
              <w:rPr>
                <w:rFonts w:ascii="Times New Roman" w:hAnsi="Times New Roman" w:eastAsia="宋体"/>
                <w:b w:val="0"/>
                <w:sz w:val="21"/>
              </w:rPr>
              <w:t>0.617</w:t>
            </w:r>
          </w:p>
        </w:tc>
      </w:tr>
      <w:tr>
        <w:tc>
          <w:tcPr>
            <w:tcW w:type="dxa" w:w="1417"/>
          </w:tcPr>
          <w:p>
            <w:pPr>
              <w:spacing w:before="20" w:after="20" w:line="276" w:lineRule="auto"/>
              <w:jc w:val="left"/>
            </w:pPr>
            <w:r/>
            <w:r>
              <w:rPr>
                <w:rFonts w:ascii="Times New Roman" w:hAnsi="Times New Roman" w:eastAsia="宋体"/>
                <w:b w:val="0"/>
                <w:sz w:val="21"/>
              </w:rPr>
              <w:t>陕西</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2.70</w:t>
            </w:r>
          </w:p>
        </w:tc>
        <w:tc>
          <w:tcPr>
            <w:tcW w:type="dxa" w:w="1417"/>
          </w:tcPr>
          <w:p>
            <w:pPr>
              <w:spacing w:before="20" w:after="20" w:line="276" w:lineRule="auto"/>
              <w:jc w:val="center"/>
            </w:pPr>
            <w:r/>
            <w:r>
              <w:rPr>
                <w:rFonts w:ascii="Times New Roman" w:hAnsi="Times New Roman" w:eastAsia="宋体"/>
                <w:b w:val="0"/>
                <w:sz w:val="21"/>
              </w:rPr>
              <w:t>2.30</w:t>
            </w:r>
          </w:p>
        </w:tc>
        <w:tc>
          <w:tcPr>
            <w:tcW w:type="dxa" w:w="1417"/>
          </w:tcPr>
          <w:p>
            <w:pPr>
              <w:spacing w:before="20" w:after="20" w:line="276" w:lineRule="auto"/>
              <w:jc w:val="center"/>
            </w:pPr>
            <w:r/>
            <w:r>
              <w:rPr>
                <w:rFonts w:ascii="Times New Roman" w:hAnsi="Times New Roman" w:eastAsia="宋体"/>
                <w:b w:val="0"/>
                <w:sz w:val="21"/>
              </w:rPr>
              <w:t>2.00</w:t>
            </w:r>
          </w:p>
        </w:tc>
        <w:tc>
          <w:tcPr>
            <w:tcW w:type="dxa" w:w="1417"/>
          </w:tcPr>
          <w:p>
            <w:pPr>
              <w:spacing w:before="20" w:after="20" w:line="276" w:lineRule="auto"/>
              <w:jc w:val="center"/>
            </w:pPr>
            <w:r/>
            <w:r>
              <w:rPr>
                <w:rFonts w:ascii="Times New Roman" w:hAnsi="Times New Roman" w:eastAsia="宋体"/>
                <w:b w:val="0"/>
                <w:sz w:val="21"/>
              </w:rPr>
              <w:t>0.417</w:t>
            </w:r>
          </w:p>
        </w:tc>
      </w:tr>
      <w:tr>
        <w:tc>
          <w:tcPr>
            <w:tcW w:type="dxa" w:w="1417"/>
          </w:tcPr>
          <w:p>
            <w:pPr>
              <w:spacing w:before="20" w:after="20" w:line="276" w:lineRule="auto"/>
              <w:jc w:val="left"/>
            </w:pPr>
            <w:r/>
            <w:r>
              <w:rPr>
                <w:rFonts w:ascii="Times New Roman" w:hAnsi="Times New Roman" w:eastAsia="宋体"/>
                <w:b w:val="0"/>
                <w:sz w:val="21"/>
              </w:rPr>
              <w:t>甘肃</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3.02</w:t>
            </w:r>
          </w:p>
        </w:tc>
        <w:tc>
          <w:tcPr>
            <w:tcW w:type="dxa" w:w="1417"/>
          </w:tcPr>
          <w:p>
            <w:pPr>
              <w:spacing w:before="20" w:after="20" w:line="276" w:lineRule="auto"/>
              <w:jc w:val="center"/>
            </w:pPr>
            <w:r/>
            <w:r>
              <w:rPr>
                <w:rFonts w:ascii="Times New Roman" w:hAnsi="Times New Roman" w:eastAsia="宋体"/>
                <w:b w:val="0"/>
                <w:sz w:val="21"/>
              </w:rPr>
              <w:t>2.66</w:t>
            </w:r>
          </w:p>
        </w:tc>
        <w:tc>
          <w:tcPr>
            <w:tcW w:type="dxa" w:w="1417"/>
          </w:tcPr>
          <w:p>
            <w:pPr>
              <w:spacing w:before="20" w:after="20" w:line="276" w:lineRule="auto"/>
              <w:jc w:val="center"/>
            </w:pPr>
            <w:r/>
            <w:r>
              <w:rPr>
                <w:rFonts w:ascii="Times New Roman" w:hAnsi="Times New Roman" w:eastAsia="宋体"/>
                <w:b w:val="0"/>
                <w:sz w:val="21"/>
              </w:rPr>
              <w:t>2.36</w:t>
            </w:r>
          </w:p>
        </w:tc>
        <w:tc>
          <w:tcPr>
            <w:tcW w:type="dxa" w:w="1417"/>
          </w:tcPr>
          <w:p>
            <w:pPr>
              <w:spacing w:before="20" w:after="20" w:line="276" w:lineRule="auto"/>
              <w:jc w:val="center"/>
            </w:pPr>
            <w:r/>
            <w:r>
              <w:rPr>
                <w:rFonts w:ascii="Times New Roman" w:hAnsi="Times New Roman" w:eastAsia="宋体"/>
                <w:b w:val="0"/>
                <w:sz w:val="21"/>
              </w:rPr>
              <w:t>0.473</w:t>
            </w:r>
          </w:p>
        </w:tc>
      </w:tr>
      <w:tr>
        <w:tc>
          <w:tcPr>
            <w:tcW w:type="dxa" w:w="1417"/>
          </w:tcPr>
          <w:p>
            <w:pPr>
              <w:spacing w:before="20" w:after="20" w:line="276" w:lineRule="auto"/>
              <w:jc w:val="left"/>
            </w:pPr>
            <w:r/>
            <w:r>
              <w:rPr>
                <w:rFonts w:ascii="Times New Roman" w:hAnsi="Times New Roman" w:eastAsia="宋体"/>
                <w:b w:val="0"/>
                <w:sz w:val="21"/>
              </w:rPr>
              <w:t>青海</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3.28</w:t>
            </w:r>
          </w:p>
        </w:tc>
        <w:tc>
          <w:tcPr>
            <w:tcW w:type="dxa" w:w="1417"/>
          </w:tcPr>
          <w:p>
            <w:pPr>
              <w:spacing w:before="20" w:after="20" w:line="276" w:lineRule="auto"/>
              <w:jc w:val="center"/>
            </w:pPr>
            <w:r/>
            <w:r>
              <w:rPr>
                <w:rFonts w:ascii="Times New Roman" w:hAnsi="Times New Roman" w:eastAsia="宋体"/>
                <w:b w:val="0"/>
                <w:sz w:val="21"/>
              </w:rPr>
              <w:t>2.94</w:t>
            </w:r>
          </w:p>
        </w:tc>
        <w:tc>
          <w:tcPr>
            <w:tcW w:type="dxa" w:w="1417"/>
          </w:tcPr>
          <w:p>
            <w:pPr>
              <w:spacing w:before="20" w:after="20" w:line="276" w:lineRule="auto"/>
              <w:jc w:val="center"/>
            </w:pPr>
            <w:r/>
            <w:r>
              <w:rPr>
                <w:rFonts w:ascii="Times New Roman" w:hAnsi="Times New Roman" w:eastAsia="宋体"/>
                <w:b w:val="0"/>
                <w:sz w:val="21"/>
              </w:rPr>
              <w:t>2.63</w:t>
            </w:r>
          </w:p>
        </w:tc>
        <w:tc>
          <w:tcPr>
            <w:tcW w:type="dxa" w:w="1417"/>
          </w:tcPr>
          <w:p>
            <w:pPr>
              <w:spacing w:before="20" w:after="20" w:line="276" w:lineRule="auto"/>
              <w:jc w:val="center"/>
            </w:pPr>
            <w:r/>
            <w:r>
              <w:rPr>
                <w:rFonts w:ascii="Times New Roman" w:hAnsi="Times New Roman" w:eastAsia="宋体"/>
                <w:b w:val="0"/>
                <w:sz w:val="21"/>
              </w:rPr>
              <w:t>0.602</w:t>
            </w:r>
          </w:p>
        </w:tc>
      </w:tr>
      <w:tr>
        <w:tc>
          <w:tcPr>
            <w:tcW w:type="dxa" w:w="1417"/>
          </w:tcPr>
          <w:p>
            <w:pPr>
              <w:spacing w:before="20" w:after="20" w:line="276" w:lineRule="auto"/>
              <w:jc w:val="left"/>
            </w:pPr>
            <w:r/>
            <w:r>
              <w:rPr>
                <w:rFonts w:ascii="Times New Roman" w:hAnsi="Times New Roman" w:eastAsia="宋体"/>
                <w:b w:val="0"/>
                <w:sz w:val="21"/>
              </w:rPr>
              <w:t>宁夏</w:t>
            </w:r>
          </w:p>
        </w:tc>
        <w:tc>
          <w:tcPr>
            <w:tcW w:type="dxa" w:w="1417"/>
          </w:tcPr>
          <w:p>
            <w:pPr>
              <w:spacing w:before="20" w:after="20" w:line="276" w:lineRule="auto"/>
              <w:jc w:val="left"/>
            </w:pPr>
            <w:r/>
            <w:r>
              <w:rPr>
                <w:rFonts w:ascii="Times New Roman" w:hAnsi="Times New Roman" w:eastAsia="宋体"/>
                <w:b w:val="0"/>
                <w:sz w:val="21"/>
              </w:rPr>
              <w:t>西部</w:t>
            </w:r>
          </w:p>
        </w:tc>
        <w:tc>
          <w:tcPr>
            <w:tcW w:type="dxa" w:w="1417"/>
          </w:tcPr>
          <w:p>
            <w:pPr>
              <w:spacing w:before="20" w:after="20" w:line="276" w:lineRule="auto"/>
              <w:jc w:val="center"/>
            </w:pPr>
            <w:r/>
            <w:r>
              <w:rPr>
                <w:rFonts w:ascii="Times New Roman" w:hAnsi="Times New Roman" w:eastAsia="宋体"/>
                <w:b w:val="0"/>
                <w:sz w:val="21"/>
              </w:rPr>
              <w:t>3.12</w:t>
            </w:r>
          </w:p>
        </w:tc>
        <w:tc>
          <w:tcPr>
            <w:tcW w:type="dxa" w:w="1417"/>
          </w:tcPr>
          <w:p>
            <w:pPr>
              <w:spacing w:before="20" w:after="20" w:line="276" w:lineRule="auto"/>
              <w:jc w:val="center"/>
            </w:pPr>
            <w:r/>
            <w:r>
              <w:rPr>
                <w:rFonts w:ascii="Times New Roman" w:hAnsi="Times New Roman" w:eastAsia="宋体"/>
                <w:b w:val="0"/>
                <w:sz w:val="21"/>
              </w:rPr>
              <w:t>2.76</w:t>
            </w:r>
          </w:p>
        </w:tc>
        <w:tc>
          <w:tcPr>
            <w:tcW w:type="dxa" w:w="1417"/>
          </w:tcPr>
          <w:p>
            <w:pPr>
              <w:spacing w:before="20" w:after="20" w:line="276" w:lineRule="auto"/>
              <w:jc w:val="center"/>
            </w:pPr>
            <w:r/>
            <w:r>
              <w:rPr>
                <w:rFonts w:ascii="Times New Roman" w:hAnsi="Times New Roman" w:eastAsia="宋体"/>
                <w:b w:val="0"/>
                <w:sz w:val="21"/>
              </w:rPr>
              <w:t>2.46</w:t>
            </w:r>
          </w:p>
        </w:tc>
        <w:tc>
          <w:tcPr>
            <w:tcW w:type="dxa" w:w="1417"/>
          </w:tcPr>
          <w:p>
            <w:pPr>
              <w:spacing w:before="20" w:after="20" w:line="276" w:lineRule="auto"/>
              <w:jc w:val="center"/>
            </w:pPr>
            <w:r/>
            <w:r>
              <w:rPr>
                <w:rFonts w:ascii="Times New Roman" w:hAnsi="Times New Roman" w:eastAsia="宋体"/>
                <w:b w:val="0"/>
                <w:sz w:val="21"/>
              </w:rPr>
              <w:t>0.528</w:t>
            </w:r>
          </w:p>
        </w:tc>
      </w:tr>
      <w:tr>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新疆</w:t>
            </w:r>
          </w:p>
        </w:tc>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西部</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3.20</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2.85</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2.55</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0.617</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7.1的分割指数三期值呈现三点事实。其一，全部31个省份的分割指数在2012—2024年间均告下降，整合是无一例外的普遍趋势。其二，格局的两端高度集中：2024年分割最低的五个省份依次为上海（1.28）、浙江（1.35）、江苏（1.39）、北京（1.40）、广东（1.46），全部位于东部沿海；最高的五个省份为西藏（2.80）、青海（2.63）、新疆（2.55）、宁夏（2.46）、甘肃（2.36），全部位于西部。其三，降幅分化明显：浙江（34.1%）、江苏（33.8%）、上海（33.3%）等长三角省市降幅居前，西藏（18.8%）、青海（19.8%）、新疆（20.3%）降幅最小。省际边界作为行政分权的空间载体，其贸易阻碍效应在地理条件不利、市场密度低的省份更难消解（唐为，2019），而在流通网络密集、区域合作制度化程度高的省份则被更快地磨平——分割指数的省际收敛因此既是地理经济过程，更是制度变迁过程。</w:t>
      </w:r>
    </w:p>
    <w:p>
      <w:pPr>
        <w:spacing w:before="0" w:after="0" w:line="360" w:lineRule="auto"/>
        <w:ind w:firstLineChars="200" w:firstLine="480"/>
      </w:pPr>
      <w:r>
        <w:rPr>
          <w:rFonts w:ascii="Times New Roman" w:hAnsi="Times New Roman" w:eastAsia="宋体"/>
          <w:b w:val="0"/>
          <w:sz w:val="24"/>
        </w:rPr>
        <w:t>表7.1还揭示出省际位次的高度稳定性：2012、2018、2024年三期，分割最低组与最高组的省份构成几乎没有变化，上海、北京、浙江、江苏、广东始终居于最低五位，西藏、青海、新疆、宁夏、甘肃始终居于最高五位。位次的强持续性说明，市场分割是典型的“慢变量”，其省际差异主要由地理区位、市场规模、产业结构与制度环境等深层结构因素决定，短期政策冲击改变的是指数的水平与收敛斜率，而非省际排序。这一特征对后续计量识别具有直接含义：省份固定效应能够吸收大部分不随时间变化的截面异质性，识别“分割—内卷”关系所依赖的变异主要来自各省内部的时序变化；本书第八章采用省份与年份双固定效应的面板设定，正是建立在对这一数据特征的认识之上。</w:t>
      </w:r>
    </w:p>
    <w:p>
      <w:pPr>
        <w:spacing w:before="0" w:after="0" w:line="360" w:lineRule="auto"/>
        <w:ind w:firstLineChars="200" w:firstLine="480"/>
      </w:pPr>
      <w:r>
        <w:rPr>
          <w:rFonts w:ascii="Times New Roman" w:hAnsi="Times New Roman" w:eastAsia="宋体"/>
          <w:b w:val="0"/>
          <w:sz w:val="24"/>
        </w:rPr>
        <w:t>表7.1最后一列的“内卷”指数则显示出分割与内卷的空间叠合。2024年内卷指数最高的省份——西藏与新疆（均为0.617）、青海（0.602）、黑龙江（0.578）、山西（0.546）——几乎全部落在分割指数最高组；内卷指数最低的浙江（0.328）、上海（0.336）、天津（0.368）、重庆（0.370）则多为分割较浅省份。当然，叠合并非一一对应：山西的分割指数（2.10）居于中游而内卷指数很高，与其资源型、重型化的产业结构以及退出粘性较强有关；天津、重庆的内卷指数明显低于其分割水平的“预期”，或与直辖市较小的行政边界、相对多元的产业结构相关。这些偏离恰恰说明，分割之外还有其他省情变量影响内卷强度，需要多元回归框架加以控制。分割与内卷相关结构的系统考察，见本章第（四）节。</w:t>
      </w:r>
    </w:p>
    <w:p>
      <w:pPr>
        <w:spacing w:before="200" w:after="160" w:line="360" w:lineRule="auto"/>
        <w:outlineLvl w:val="1"/>
      </w:pPr>
      <w:r>
        <w:rPr>
          <w:rFonts w:ascii="Times New Roman" w:hAnsi="Times New Roman" w:eastAsia="黑体"/>
          <w:b w:val="0"/>
          <w:sz w:val="28"/>
        </w:rPr>
        <w:t>（三）商品与要素维度：双重分割的不对称收敛</w:t>
      </w:r>
    </w:p>
    <w:p>
      <w:pPr>
        <w:spacing w:before="160" w:after="120" w:line="360" w:lineRule="auto"/>
        <w:outlineLvl w:val="2"/>
      </w:pPr>
      <w:r>
        <w:rPr>
          <w:rFonts w:ascii="Times New Roman" w:hAnsi="Times New Roman" w:eastAsia="黑体"/>
          <w:b w:val="0"/>
          <w:sz w:val="24"/>
        </w:rPr>
        <w:t>1．水平与速度的双重差距</w:t>
      </w:r>
    </w:p>
    <w:p>
      <w:pPr>
        <w:spacing w:before="0" w:after="0" w:line="360" w:lineRule="auto"/>
        <w:ind w:firstLineChars="200" w:firstLine="480"/>
      </w:pPr>
      <w:r>
        <w:rPr>
          <w:rFonts w:ascii="Times New Roman" w:hAnsi="Times New Roman" w:eastAsia="宋体"/>
          <w:b w:val="0"/>
          <w:sz w:val="24"/>
        </w:rPr>
        <w:t>现阶段国内市场的分割是商品市场与要素市场的双重分割（刘志彪、孔令池，2021）。本书第六章在商品市场分割指数之外，按可比口径构造了省域要素市场分割指数，两相对照的结果构成本章最具政策指向性的发现之一：2024年全国要素市场分割指数为3.34，约为同年商品市场分割指数（1.97）的1.7倍；从动态看，要素分割指数由2012年的3.88降至2024年的3.34，累计降幅仅13.9%，而同期商品分割指数下降25.7%。按式(7-1)折算，商品市场年均收敛约2.4%，要素市场仅约1.2%，收敛速度相差约一倍。若以2012—2024年的速度作简单外推，要素分割指数降至商品市场当前水平（1.97）尚需四十余年——这一测算仅具示意性质，但足以说明：要素市场化配置改革若无制度性突破，仅靠趋势性演进难以在可预见时期内补齐与商品市场的整合差距。“显性壁垒已大幅拆除、隐性壁垒依然深厚”，是对当前国内市场整合状态最凝练的概括。</w:t>
      </w:r>
    </w:p>
    <w:p>
      <w:pPr>
        <w:spacing w:before="160" w:after="120" w:line="360" w:lineRule="auto"/>
        <w:outlineLvl w:val="2"/>
      </w:pPr>
      <w:r>
        <w:rPr>
          <w:rFonts w:ascii="Times New Roman" w:hAnsi="Times New Roman" w:eastAsia="黑体"/>
          <w:b w:val="0"/>
          <w:sz w:val="24"/>
        </w:rPr>
        <w:t>2．要素分割更深的制度根源</w:t>
      </w:r>
    </w:p>
    <w:p>
      <w:pPr>
        <w:spacing w:before="0" w:after="0" w:line="360" w:lineRule="auto"/>
        <w:ind w:firstLineChars="200" w:firstLine="480"/>
      </w:pPr>
      <w:r>
        <w:rPr>
          <w:rFonts w:ascii="Times New Roman" w:hAnsi="Times New Roman" w:eastAsia="宋体"/>
          <w:b w:val="0"/>
          <w:sz w:val="24"/>
        </w:rPr>
        <w:t>要素分割更深，首先体现在劳动力市场。户籍及其附着的公共服务差异，仍是劳动力跨地区配置面临的主要制度成本；《“十五五”规划纲要》第十九章“畅通劳动力和人才社会性流动渠道，逐步打破户籍、社保、职称、档案等方面制度性障碍”的部署，正是对这些障碍的清单式确认。经验研究表明，农民工跨地区流动性近年出现下降并造成可观的产出损失（马草原等，2023）；量化空间分析则显示，中国的国内迁移成本远高于发达经济体，其下降所蕴含的生产率收益十分巨大（Tombe和Zhu，2019）。劳动力之外，资本、土地与技术数据要素的分割同样突出：金融资源配置的属地化倾向与地方法人金融机构的区域经营边界，使资本回报率的省际差异难以通过自由流动收敛；建设用地指标以行政方式在地区间配置，价格信号的引导作用有限，《纲要》第十九章相应部署“深化土地制度改革，建立健全城乡统一的建设用地市场”；技术与数据市场的区域壁垒更处于早期治理阶段，《纲要》“培育全国一体化技术市场和数据市场”的表述即针对于此。基于微观企业数据的测度同样发现，要素市场一体化程度显著低于商品市场且改善缓慢（戴若尘等，2025），与本书基于省域指数的判断相互印证。</w:t>
      </w:r>
    </w:p>
    <w:p>
      <w:pPr>
        <w:spacing w:before="0" w:after="0" w:line="360" w:lineRule="auto"/>
        <w:ind w:firstLineChars="200" w:firstLine="480"/>
      </w:pPr>
      <w:r>
        <w:rPr>
          <w:rFonts w:ascii="Times New Roman" w:hAnsi="Times New Roman" w:eastAsia="宋体"/>
          <w:b w:val="0"/>
          <w:sz w:val="24"/>
        </w:rPr>
        <w:t>进一步看，要素分割与商品分割并非彼此独立，而是相互强化的。一方面，要素不可流动降低了企业跨区配置产能与人才的能力，使企业更依赖在本地市场“深耕”，从而弱化了其抵制商品市场壁垒的激励；另一方面，商品市场的分割抬高了区际竞争的门槛，使地方政府得以通过要素定向让利在本地培育“自成体系”的产业链，进一步固化了要素的属地化配置。知识、技术等无形要素的流动同样受到行政边界的阻隔，跨区技术交易、产学研协作与人才柔性流动的制度成本仍然偏高。这种双向强化意味着，若只拆商品市场的“墙”而不动要素市场的“根”，整合的进展终将遭遇瓶颈；反之，要素市场化配置改革的每一步实质推进，都会通过企业选址、产能布局与创新协作等渠道放大商品市场整合的既有成果。</w:t>
      </w:r>
    </w:p>
    <w:p>
      <w:pPr>
        <w:spacing w:before="0" w:after="0" w:line="360" w:lineRule="auto"/>
        <w:ind w:firstLineChars="200" w:firstLine="480"/>
      </w:pPr>
      <w:r>
        <w:rPr>
          <w:rFonts w:ascii="Times New Roman" w:hAnsi="Times New Roman" w:eastAsia="宋体"/>
          <w:b w:val="0"/>
          <w:sz w:val="24"/>
        </w:rPr>
        <w:t>要素分割更深、收敛更慢的经济含义可从三个层面解读。第一，效率层面：要素跨区流动受阻意味着边际报酬的地区差异无法通过再配置抹平，资源误置带来的全要素生产率损失将持续存在，这是“统一红利”尚未充分释放的最大存量所在。第二，机制层面：要素分割构成“内卷式”竞争的深层土壤——当土地、信贷、电价能够被地方政府作为招商筹码定向让利时，要素价格扭曲便转化为本书第三章所述的成本外部化与过度进入激励；当劳动力与资本的退出、转移通道不畅时，落后产能出清受阻、退出粘性上升，低水平竞争均衡得以自我维持。第三，政策层面：中央财经委员会第六次会议将“统一要素资源市场”列入“五统一、一开放”的基本要求，《意见》亦将“打造统一的要素和资源市场”置于突出位置；本章的测度结果——要素分割约为商品分割的1.7倍、收敛速度仅为其一半——为这一部署的必要性与紧迫性提供了直接的量化注脚。</w:t>
      </w:r>
    </w:p>
    <w:p>
      <w:pPr>
        <w:spacing w:before="200" w:after="160" w:line="360" w:lineRule="auto"/>
        <w:outlineLvl w:val="1"/>
      </w:pPr>
      <w:r>
        <w:rPr>
          <w:rFonts w:ascii="Times New Roman" w:hAnsi="Times New Roman" w:eastAsia="黑体"/>
          <w:b w:val="0"/>
          <w:sz w:val="28"/>
        </w:rPr>
        <w:t>（四）统一大市场发展指数：四维诊断与“内卷”关联</w:t>
      </w:r>
    </w:p>
    <w:p>
      <w:pPr>
        <w:spacing w:before="160" w:after="120" w:line="360" w:lineRule="auto"/>
        <w:outlineLvl w:val="2"/>
      </w:pPr>
      <w:r>
        <w:rPr>
          <w:rFonts w:ascii="Times New Roman" w:hAnsi="Times New Roman" w:eastAsia="黑体"/>
          <w:b w:val="0"/>
          <w:sz w:val="24"/>
        </w:rPr>
        <w:t>1．总体进展与短板诊断</w:t>
      </w:r>
    </w:p>
    <w:p>
      <w:pPr>
        <w:spacing w:before="0" w:after="0" w:line="360" w:lineRule="auto"/>
        <w:ind w:firstLineChars="200" w:firstLine="480"/>
      </w:pPr>
      <w:r>
        <w:rPr>
          <w:rFonts w:ascii="Times New Roman" w:hAnsi="Times New Roman" w:eastAsia="宋体"/>
          <w:b w:val="0"/>
          <w:sz w:val="24"/>
        </w:rPr>
        <w:t>与“负向”度量的分割指数互为镜像，本书按第六章的设计构造了“正向”度量的统一大市场发展指数，涵盖市场基础制度、设施联通、要素流动、监管统一四个维度共18项指标，取值0—100。测算结果显示：全国总指数由2012年的45.1升至2018年的53.6、2024年的62.4，十二年提高17.3分，前后两个六年分别提高8.5分与8.8分，进展平稳且略有加速。2024年四个维度的全国得分分别为：市场基础制度68.2，设施联通71.5，要素流动54.3，监管统一55.6；分区域的总指数与分维度得分见表7.2。</w:t>
      </w:r>
    </w:p>
    <w:p>
      <w:pPr>
        <w:spacing w:before="160" w:after="80" w:line="312" w:lineRule="auto"/>
        <w:jc w:val="center"/>
      </w:pPr>
      <w:r>
        <w:rPr>
          <w:rFonts w:ascii="Times New Roman" w:hAnsi="Times New Roman" w:eastAsia="黑体"/>
          <w:b w:val="0"/>
          <w:sz w:val="21"/>
        </w:rPr>
        <w:t>表7.2　统一大市场发展指数分维度得分（分区域）</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417"/>
        <w:gridCol w:w="1417"/>
        <w:gridCol w:w="1417"/>
        <w:gridCol w:w="1417"/>
        <w:gridCol w:w="1417"/>
        <w:gridCol w:w="1417"/>
      </w:tblGrid>
      <w:tr>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区域</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总指数（2024年）</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市场基础制度</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设施联通</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要素流动</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监管统一</w:t>
            </w:r>
          </w:p>
        </w:tc>
      </w:tr>
      <w:tr>
        <w:tc>
          <w:tcPr>
            <w:tcW w:type="dxa" w:w="1417"/>
          </w:tcPr>
          <w:p>
            <w:pPr>
              <w:spacing w:before="20" w:after="20" w:line="276" w:lineRule="auto"/>
              <w:jc w:val="left"/>
            </w:pPr>
            <w:r/>
            <w:r>
              <w:rPr>
                <w:rFonts w:ascii="Times New Roman" w:hAnsi="Times New Roman" w:eastAsia="宋体"/>
                <w:b w:val="0"/>
                <w:sz w:val="21"/>
              </w:rPr>
              <w:t>全国</w:t>
            </w:r>
          </w:p>
        </w:tc>
        <w:tc>
          <w:tcPr>
            <w:tcW w:type="dxa" w:w="1417"/>
          </w:tcPr>
          <w:p>
            <w:pPr>
              <w:spacing w:before="20" w:after="20" w:line="276" w:lineRule="auto"/>
              <w:jc w:val="center"/>
            </w:pPr>
            <w:r/>
            <w:r>
              <w:rPr>
                <w:rFonts w:ascii="Times New Roman" w:hAnsi="Times New Roman" w:eastAsia="宋体"/>
                <w:b w:val="0"/>
                <w:sz w:val="21"/>
              </w:rPr>
              <w:t>62.4</w:t>
            </w:r>
          </w:p>
        </w:tc>
        <w:tc>
          <w:tcPr>
            <w:tcW w:type="dxa" w:w="1417"/>
          </w:tcPr>
          <w:p>
            <w:pPr>
              <w:spacing w:before="20" w:after="20" w:line="276" w:lineRule="auto"/>
              <w:jc w:val="center"/>
            </w:pPr>
            <w:r/>
            <w:r>
              <w:rPr>
                <w:rFonts w:ascii="Times New Roman" w:hAnsi="Times New Roman" w:eastAsia="宋体"/>
                <w:b w:val="0"/>
                <w:sz w:val="21"/>
              </w:rPr>
              <w:t>68.2</w:t>
            </w:r>
          </w:p>
        </w:tc>
        <w:tc>
          <w:tcPr>
            <w:tcW w:type="dxa" w:w="1417"/>
          </w:tcPr>
          <w:p>
            <w:pPr>
              <w:spacing w:before="20" w:after="20" w:line="276" w:lineRule="auto"/>
              <w:jc w:val="center"/>
            </w:pPr>
            <w:r/>
            <w:r>
              <w:rPr>
                <w:rFonts w:ascii="Times New Roman" w:hAnsi="Times New Roman" w:eastAsia="宋体"/>
                <w:b w:val="0"/>
                <w:sz w:val="21"/>
              </w:rPr>
              <w:t>71.5</w:t>
            </w:r>
          </w:p>
        </w:tc>
        <w:tc>
          <w:tcPr>
            <w:tcW w:type="dxa" w:w="1417"/>
          </w:tcPr>
          <w:p>
            <w:pPr>
              <w:spacing w:before="20" w:after="20" w:line="276" w:lineRule="auto"/>
              <w:jc w:val="center"/>
            </w:pPr>
            <w:r/>
            <w:r>
              <w:rPr>
                <w:rFonts w:ascii="Times New Roman" w:hAnsi="Times New Roman" w:eastAsia="宋体"/>
                <w:b w:val="0"/>
                <w:sz w:val="21"/>
              </w:rPr>
              <w:t>54.3</w:t>
            </w:r>
          </w:p>
        </w:tc>
        <w:tc>
          <w:tcPr>
            <w:tcW w:type="dxa" w:w="1417"/>
          </w:tcPr>
          <w:p>
            <w:pPr>
              <w:spacing w:before="20" w:after="20" w:line="276" w:lineRule="auto"/>
              <w:jc w:val="center"/>
            </w:pPr>
            <w:r/>
            <w:r>
              <w:rPr>
                <w:rFonts w:ascii="Times New Roman" w:hAnsi="Times New Roman" w:eastAsia="宋体"/>
                <w:b w:val="0"/>
                <w:sz w:val="21"/>
              </w:rPr>
              <w:t>55.6</w:t>
            </w:r>
          </w:p>
        </w:tc>
      </w:tr>
      <w:tr>
        <w:tc>
          <w:tcPr>
            <w:tcW w:type="dxa" w:w="1417"/>
          </w:tcPr>
          <w:p>
            <w:pPr>
              <w:spacing w:before="20" w:after="20" w:line="276" w:lineRule="auto"/>
              <w:jc w:val="left"/>
            </w:pPr>
            <w:r/>
            <w:r>
              <w:rPr>
                <w:rFonts w:ascii="Times New Roman" w:hAnsi="Times New Roman" w:eastAsia="宋体"/>
                <w:b w:val="0"/>
                <w:sz w:val="21"/>
              </w:rPr>
              <w:t>东部</w:t>
            </w:r>
          </w:p>
        </w:tc>
        <w:tc>
          <w:tcPr>
            <w:tcW w:type="dxa" w:w="1417"/>
          </w:tcPr>
          <w:p>
            <w:pPr>
              <w:spacing w:before="20" w:after="20" w:line="276" w:lineRule="auto"/>
              <w:jc w:val="center"/>
            </w:pPr>
            <w:r/>
            <w:r>
              <w:rPr>
                <w:rFonts w:ascii="Times New Roman" w:hAnsi="Times New Roman" w:eastAsia="宋体"/>
                <w:b w:val="0"/>
                <w:sz w:val="21"/>
              </w:rPr>
              <w:t>69.8</w:t>
            </w:r>
          </w:p>
        </w:tc>
        <w:tc>
          <w:tcPr>
            <w:tcW w:type="dxa" w:w="1417"/>
          </w:tcPr>
          <w:p>
            <w:pPr>
              <w:spacing w:before="20" w:after="20" w:line="276" w:lineRule="auto"/>
              <w:jc w:val="center"/>
            </w:pPr>
            <w:r/>
            <w:r>
              <w:rPr>
                <w:rFonts w:ascii="Times New Roman" w:hAnsi="Times New Roman" w:eastAsia="宋体"/>
                <w:b w:val="0"/>
                <w:sz w:val="21"/>
              </w:rPr>
              <w:t>74.6</w:t>
            </w:r>
          </w:p>
        </w:tc>
        <w:tc>
          <w:tcPr>
            <w:tcW w:type="dxa" w:w="1417"/>
          </w:tcPr>
          <w:p>
            <w:pPr>
              <w:spacing w:before="20" w:after="20" w:line="276" w:lineRule="auto"/>
              <w:jc w:val="center"/>
            </w:pPr>
            <w:r/>
            <w:r>
              <w:rPr>
                <w:rFonts w:ascii="Times New Roman" w:hAnsi="Times New Roman" w:eastAsia="宋体"/>
                <w:b w:val="0"/>
                <w:sz w:val="21"/>
              </w:rPr>
              <w:t>78.9</w:t>
            </w:r>
          </w:p>
        </w:tc>
        <w:tc>
          <w:tcPr>
            <w:tcW w:type="dxa" w:w="1417"/>
          </w:tcPr>
          <w:p>
            <w:pPr>
              <w:spacing w:before="20" w:after="20" w:line="276" w:lineRule="auto"/>
              <w:jc w:val="center"/>
            </w:pPr>
            <w:r/>
            <w:r>
              <w:rPr>
                <w:rFonts w:ascii="Times New Roman" w:hAnsi="Times New Roman" w:eastAsia="宋体"/>
                <w:b w:val="0"/>
                <w:sz w:val="21"/>
              </w:rPr>
              <w:t>61.2</w:t>
            </w:r>
          </w:p>
        </w:tc>
        <w:tc>
          <w:tcPr>
            <w:tcW w:type="dxa" w:w="1417"/>
          </w:tcPr>
          <w:p>
            <w:pPr>
              <w:spacing w:before="20" w:after="20" w:line="276" w:lineRule="auto"/>
              <w:jc w:val="center"/>
            </w:pPr>
            <w:r/>
            <w:r>
              <w:rPr>
                <w:rFonts w:ascii="Times New Roman" w:hAnsi="Times New Roman" w:eastAsia="宋体"/>
                <w:b w:val="0"/>
                <w:sz w:val="21"/>
              </w:rPr>
              <w:t>64.5</w:t>
            </w:r>
          </w:p>
        </w:tc>
      </w:tr>
      <w:tr>
        <w:tc>
          <w:tcPr>
            <w:tcW w:type="dxa" w:w="1417"/>
          </w:tcPr>
          <w:p>
            <w:pPr>
              <w:spacing w:before="20" w:after="20" w:line="276" w:lineRule="auto"/>
              <w:jc w:val="left"/>
            </w:pPr>
            <w:r/>
            <w:r>
              <w:rPr>
                <w:rFonts w:ascii="Times New Roman" w:hAnsi="Times New Roman" w:eastAsia="宋体"/>
                <w:b w:val="0"/>
                <w:sz w:val="21"/>
              </w:rPr>
              <w:t>中部</w:t>
            </w:r>
          </w:p>
        </w:tc>
        <w:tc>
          <w:tcPr>
            <w:tcW w:type="dxa" w:w="1417"/>
          </w:tcPr>
          <w:p>
            <w:pPr>
              <w:spacing w:before="20" w:after="20" w:line="276" w:lineRule="auto"/>
              <w:jc w:val="center"/>
            </w:pPr>
            <w:r/>
            <w:r>
              <w:rPr>
                <w:rFonts w:ascii="Times New Roman" w:hAnsi="Times New Roman" w:eastAsia="宋体"/>
                <w:b w:val="0"/>
                <w:sz w:val="21"/>
              </w:rPr>
              <w:t>61.0</w:t>
            </w:r>
          </w:p>
        </w:tc>
        <w:tc>
          <w:tcPr>
            <w:tcW w:type="dxa" w:w="1417"/>
          </w:tcPr>
          <w:p>
            <w:pPr>
              <w:spacing w:before="20" w:after="20" w:line="276" w:lineRule="auto"/>
              <w:jc w:val="center"/>
            </w:pPr>
            <w:r/>
            <w:r>
              <w:rPr>
                <w:rFonts w:ascii="Times New Roman" w:hAnsi="Times New Roman" w:eastAsia="宋体"/>
                <w:b w:val="0"/>
                <w:sz w:val="21"/>
              </w:rPr>
              <w:t>67.0</w:t>
            </w:r>
          </w:p>
        </w:tc>
        <w:tc>
          <w:tcPr>
            <w:tcW w:type="dxa" w:w="1417"/>
          </w:tcPr>
          <w:p>
            <w:pPr>
              <w:spacing w:before="20" w:after="20" w:line="276" w:lineRule="auto"/>
              <w:jc w:val="center"/>
            </w:pPr>
            <w:r/>
            <w:r>
              <w:rPr>
                <w:rFonts w:ascii="Times New Roman" w:hAnsi="Times New Roman" w:eastAsia="宋体"/>
                <w:b w:val="0"/>
                <w:sz w:val="21"/>
              </w:rPr>
              <w:t>72.3</w:t>
            </w:r>
          </w:p>
        </w:tc>
        <w:tc>
          <w:tcPr>
            <w:tcW w:type="dxa" w:w="1417"/>
          </w:tcPr>
          <w:p>
            <w:pPr>
              <w:spacing w:before="20" w:after="20" w:line="276" w:lineRule="auto"/>
              <w:jc w:val="center"/>
            </w:pPr>
            <w:r/>
            <w:r>
              <w:rPr>
                <w:rFonts w:ascii="Times New Roman" w:hAnsi="Times New Roman" w:eastAsia="宋体"/>
                <w:b w:val="0"/>
                <w:sz w:val="21"/>
              </w:rPr>
              <w:t>52.4</w:t>
            </w:r>
          </w:p>
        </w:tc>
        <w:tc>
          <w:tcPr>
            <w:tcW w:type="dxa" w:w="1417"/>
          </w:tcPr>
          <w:p>
            <w:pPr>
              <w:spacing w:before="20" w:after="20" w:line="276" w:lineRule="auto"/>
              <w:jc w:val="center"/>
            </w:pPr>
            <w:r/>
            <w:r>
              <w:rPr>
                <w:rFonts w:ascii="Times New Roman" w:hAnsi="Times New Roman" w:eastAsia="宋体"/>
                <w:b w:val="0"/>
                <w:sz w:val="21"/>
              </w:rPr>
              <w:t>52.3</w:t>
            </w:r>
          </w:p>
        </w:tc>
      </w:tr>
      <w:tr>
        <w:tc>
          <w:tcPr>
            <w:tcW w:type="dxa" w:w="1417"/>
          </w:tcPr>
          <w:p>
            <w:pPr>
              <w:spacing w:before="20" w:after="20" w:line="276" w:lineRule="auto"/>
              <w:jc w:val="left"/>
            </w:pPr>
            <w:r/>
            <w:r>
              <w:rPr>
                <w:rFonts w:ascii="Times New Roman" w:hAnsi="Times New Roman" w:eastAsia="宋体"/>
                <w:b w:val="0"/>
                <w:sz w:val="21"/>
              </w:rPr>
              <w:t>东北</w:t>
            </w:r>
          </w:p>
        </w:tc>
        <w:tc>
          <w:tcPr>
            <w:tcW w:type="dxa" w:w="1417"/>
          </w:tcPr>
          <w:p>
            <w:pPr>
              <w:spacing w:before="20" w:after="20" w:line="276" w:lineRule="auto"/>
              <w:jc w:val="center"/>
            </w:pPr>
            <w:r/>
            <w:r>
              <w:rPr>
                <w:rFonts w:ascii="Times New Roman" w:hAnsi="Times New Roman" w:eastAsia="宋体"/>
                <w:b w:val="0"/>
                <w:sz w:val="21"/>
              </w:rPr>
              <w:t>56.9</w:t>
            </w:r>
          </w:p>
        </w:tc>
        <w:tc>
          <w:tcPr>
            <w:tcW w:type="dxa" w:w="1417"/>
          </w:tcPr>
          <w:p>
            <w:pPr>
              <w:spacing w:before="20" w:after="20" w:line="276" w:lineRule="auto"/>
              <w:jc w:val="center"/>
            </w:pPr>
            <w:r/>
            <w:r>
              <w:rPr>
                <w:rFonts w:ascii="Times New Roman" w:hAnsi="Times New Roman" w:eastAsia="宋体"/>
                <w:b w:val="0"/>
                <w:sz w:val="21"/>
              </w:rPr>
              <w:t>63.1</w:t>
            </w:r>
          </w:p>
        </w:tc>
        <w:tc>
          <w:tcPr>
            <w:tcW w:type="dxa" w:w="1417"/>
          </w:tcPr>
          <w:p>
            <w:pPr>
              <w:spacing w:before="20" w:after="20" w:line="276" w:lineRule="auto"/>
              <w:jc w:val="center"/>
            </w:pPr>
            <w:r/>
            <w:r>
              <w:rPr>
                <w:rFonts w:ascii="Times New Roman" w:hAnsi="Times New Roman" w:eastAsia="宋体"/>
                <w:b w:val="0"/>
                <w:sz w:val="21"/>
              </w:rPr>
              <w:t>66.0</w:t>
            </w:r>
          </w:p>
        </w:tc>
        <w:tc>
          <w:tcPr>
            <w:tcW w:type="dxa" w:w="1417"/>
          </w:tcPr>
          <w:p>
            <w:pPr>
              <w:spacing w:before="20" w:after="20" w:line="276" w:lineRule="auto"/>
              <w:jc w:val="center"/>
            </w:pPr>
            <w:r/>
            <w:r>
              <w:rPr>
                <w:rFonts w:ascii="Times New Roman" w:hAnsi="Times New Roman" w:eastAsia="宋体"/>
                <w:b w:val="0"/>
                <w:sz w:val="21"/>
              </w:rPr>
              <w:t>48.7</w:t>
            </w:r>
          </w:p>
        </w:tc>
        <w:tc>
          <w:tcPr>
            <w:tcW w:type="dxa" w:w="1417"/>
          </w:tcPr>
          <w:p>
            <w:pPr>
              <w:spacing w:before="20" w:after="20" w:line="276" w:lineRule="auto"/>
              <w:jc w:val="center"/>
            </w:pPr>
            <w:r/>
            <w:r>
              <w:rPr>
                <w:rFonts w:ascii="Times New Roman" w:hAnsi="Times New Roman" w:eastAsia="宋体"/>
                <w:b w:val="0"/>
                <w:sz w:val="21"/>
              </w:rPr>
              <w:t>49.8</w:t>
            </w:r>
          </w:p>
        </w:tc>
      </w:tr>
      <w:tr>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西部</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55.2</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61.8</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64.2</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47.1</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47.7</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7.2的四维结构呈现出鲜明的“硬件先行、软件滞后”特征。全国层面，四维得分排序为设施联通（71.5）＞市场基础制度（68.2）＞监管统一（55.6）＞要素流动（54.3），设施联通比要素流动高出17.2分。设施联通的领先有外部数据佐证：据中国物流与采购联合会数据，社会物流总费用与GDP的比率由2012年的约18.0%降至2024年的14.1%、2025年的13.9%，首次低于14%，流通“硬件”的改善有目共睹。相形之下，要素流动（54.3）与监管统一（55.6）刚过及格线，构成统一大市场建设的两大突出短板。这一诊断与《纲要》第十七章的部署重点高度吻合：该章以“坚决破除阻碍全国统一大市场建设卡点堵点，破除地方保护和市场分割，促进商品要素资源在更大范围内顺畅流动”为总起，前两节分别聚焦“完善全国统一大市场基础制度规则”与“维护公平竞争市场秩序”——政策文本的着力方向与本书指数识别的短板方向完全一致，说明测度结果具有政策语境下的表面效度。</w:t>
      </w:r>
    </w:p>
    <w:p>
      <w:pPr>
        <w:spacing w:before="0" w:after="0" w:line="360" w:lineRule="auto"/>
        <w:ind w:firstLineChars="200" w:firstLine="480"/>
      </w:pPr>
      <w:r>
        <w:rPr>
          <w:rFonts w:ascii="Times New Roman" w:hAnsi="Times New Roman" w:eastAsia="宋体"/>
          <w:b w:val="0"/>
          <w:sz w:val="24"/>
        </w:rPr>
        <w:t>分区域的四维得分可用雷达图直观呈现（见图7.3）。</w:t>
      </w:r>
    </w:p>
    <w:p>
      <w:pPr>
        <w:spacing w:before="120"/>
        <w:jc w:val="center"/>
      </w:pPr>
      <w:r>
        <w:drawing>
          <wp:inline xmlns:a="http://schemas.openxmlformats.org/drawingml/2006/main" xmlns:pic="http://schemas.openxmlformats.org/drawingml/2006/picture">
            <wp:extent cx="5112000" cy="4310240"/>
            <wp:docPr id="21" name="Picture 21"/>
            <wp:cNvGraphicFramePr>
              <a:graphicFrameLocks noChangeAspect="1"/>
            </wp:cNvGraphicFramePr>
            <a:graphic>
              <a:graphicData uri="http://schemas.openxmlformats.org/drawingml/2006/picture">
                <pic:pic>
                  <pic:nvPicPr>
                    <pic:cNvPr id="0" name="fig_7_3.png"/>
                    <pic:cNvPicPr/>
                  </pic:nvPicPr>
                  <pic:blipFill>
                    <a:blip r:embed="rId29"/>
                    <a:stretch>
                      <a:fillRect/>
                    </a:stretch>
                  </pic:blipFill>
                  <pic:spPr>
                    <a:xfrm>
                      <a:off x="0" y="0"/>
                      <a:ext cx="5112000" cy="4310240"/>
                    </a:xfrm>
                    <a:prstGeom prst="rect"/>
                  </pic:spPr>
                </pic:pic>
              </a:graphicData>
            </a:graphic>
          </wp:inline>
        </w:drawing>
      </w:r>
    </w:p>
    <w:p>
      <w:pPr>
        <w:spacing w:before="120" w:after="120" w:line="312" w:lineRule="auto"/>
        <w:jc w:val="center"/>
      </w:pPr>
      <w:r>
        <w:rPr>
          <w:rFonts w:ascii="Times New Roman" w:hAnsi="Times New Roman" w:eastAsia="黑体"/>
          <w:b w:val="0"/>
          <w:sz w:val="21"/>
        </w:rPr>
        <w:t>图7.3　统一大市场发展指数四维雷达图</w:t>
      </w:r>
    </w:p>
    <w:p>
      <w:pPr>
        <w:spacing w:before="0" w:after="0" w:line="360" w:lineRule="auto"/>
        <w:ind w:firstLineChars="200" w:firstLine="480"/>
      </w:pPr>
      <w:r>
        <w:rPr>
          <w:rFonts w:ascii="Times New Roman" w:hAnsi="Times New Roman" w:eastAsia="宋体"/>
          <w:b w:val="0"/>
          <w:sz w:val="24"/>
        </w:rPr>
        <w:t>图7.3传递出三重信息。其一，四大区域雷达图的形状高度相似——设施联通边最长、要素流动边最短，表明短板具有全国普遍性，而非个别区域的局部现象；换言之，要素流动与监管统一的滞后是体制性、系统性的，难以靠区域各自努力自发补齐。其二，区域差距在“软”维度上更大：东部与西部总指数相差14.6分（69.8对55.2），分维度看，市场基础制度相差12.8分、设施联通14.7分、要素流动14.1分，而监管统一相差16.8分、居四维之首，提示监管尺度与执法标准的区域不统一是全国统一大市场“最不统一”的环节。其三，东部的要素流动得分（61.2）甚至低于西部的设施联通得分（64.2），意味着即使在市场化程度最高的区域，要素流动依然是明显短板。监管统一滞后亦有微观证据支撑：司法裁判中的本地偏好依然存在（才国伟等，2024）；执行层面，截至2024年6月全国累计审查政策措施161.8万件、清理存量文件447万件、废止和修订排除限制竞争的政策措施9.3万件（据市场监管总局数据），既表明监管统一在大力推进，也从侧面反映存量壁垒的规模之大。综合而言，四维诊断的政策含义是：“十五五”时期统一大市场建设的边际重点应由“修路架桥”转向“立规促流”，把资源集中投向要素市场化配置与监管执法统一两大短板——这正是本书第十一章政策路径设计的实证出发点。</w:t>
      </w:r>
    </w:p>
    <w:p>
      <w:pPr>
        <w:spacing w:before="0" w:after="0" w:line="360" w:lineRule="auto"/>
        <w:ind w:firstLineChars="200" w:firstLine="480"/>
      </w:pPr>
      <w:r>
        <w:rPr>
          <w:rFonts w:ascii="Times New Roman" w:hAnsi="Times New Roman" w:eastAsia="宋体"/>
          <w:b w:val="0"/>
          <w:sz w:val="24"/>
        </w:rPr>
        <w:t>将表7.2与本章前两节的分割指数对照，还可以发现“正向”与“负向”两把尺子给出的区域排序互为镜像：发展指数呈“东部（69.8）＞中部（61.0）＞东北（56.9）＞西部（55.2）”，恰与分割指数“东部（1.60）＜中部（1.87）＜东北（2.19）＜西部（2.26）”完全反序。两套指标基于不同的数据来源与构造逻辑独立生成，排序上的严格互补验证了测度的内部一致性。细节上的差别同样富有信息量：东北的发展总指数高于西部，但其2024年“内卷”指数（0.518）却为四大区域最高，说明制度与设施条件的相对优势并不能自动转化为良性的竞争生态，产业结构与退出机制的作用不可忽视；中部是唯一监管统一得分（52.3）略低于要素流动得分（52.4）的区域，提示中部省份之间的招商竞争与执法尺度差异问题相对更为突出。这些细部差异所蕴含的机制线索，将在第八章的异质性分析中得到进一步检验。</w:t>
      </w:r>
    </w:p>
    <w:p>
      <w:pPr>
        <w:spacing w:before="160" w:after="120" w:line="360" w:lineRule="auto"/>
        <w:outlineLvl w:val="2"/>
      </w:pPr>
      <w:r>
        <w:rPr>
          <w:rFonts w:ascii="Times New Roman" w:hAnsi="Times New Roman" w:eastAsia="黑体"/>
          <w:b w:val="0"/>
          <w:sz w:val="24"/>
        </w:rPr>
        <w:t>2．市场分割与“内卷式”竞争强度的初步相关</w:t>
      </w:r>
    </w:p>
    <w:p>
      <w:pPr>
        <w:spacing w:before="0" w:after="0" w:line="360" w:lineRule="auto"/>
        <w:ind w:firstLineChars="200" w:firstLine="480"/>
      </w:pPr>
      <w:r>
        <w:rPr>
          <w:rFonts w:ascii="Times New Roman" w:hAnsi="Times New Roman" w:eastAsia="宋体"/>
          <w:b w:val="0"/>
          <w:sz w:val="24"/>
        </w:rPr>
        <w:t>在进入第八章的因果检验之前，有必要先观察分割与内卷两个核心指数的初步统计关联。时序维度上，两者走势看似“背离”：市场分割指数总体下降，而全国“内卷式竞争”强度指数由2012年的0.352升至2024年的0.470——其间2015年达到0.392的阶段高点，供给侧结构性改革后回落至2018年的0.342，2022年起随“供强需弱”矛盾加剧而快速攀升，2022—2024年分别为0.398、0.437、0.470，2024年为样本期峰值。这种时序“背离”并不构成对“分割催生内卷”命题的否证：内卷强度受需求周期、行业产能释放节奏等共同时间因素的强烈驱动，2022年以来的攀升主要反映总需求约束收紧与重点行业产能集中投放的叠加冲击；若分割果真加剧内卷，其作用应体现为——在同一时点上，分割更深的省份内卷更强，以及在剥离共同趋势后，分割变动与内卷变动正相关。前者可由横截面数据直接观察，后者则有待第八章的双固定效应面板回归。</w:t>
      </w:r>
    </w:p>
    <w:p>
      <w:pPr>
        <w:spacing w:before="0" w:after="0" w:line="360" w:lineRule="auto"/>
        <w:ind w:firstLineChars="200" w:firstLine="480"/>
      </w:pPr>
      <w:r>
        <w:rPr>
          <w:rFonts w:ascii="Times New Roman" w:hAnsi="Times New Roman" w:eastAsia="宋体"/>
          <w:b w:val="0"/>
          <w:sz w:val="24"/>
        </w:rPr>
        <w:t>横截面证据相当清晰。以2024年31个省份为样本，市场分割指数与“内卷式竞争”强度指数的相关系数高达0.81（见图7.4）。</w:t>
      </w:r>
    </w:p>
    <w:p>
      <w:pPr>
        <w:spacing w:before="120"/>
        <w:jc w:val="center"/>
      </w:pPr>
      <w:r>
        <w:drawing>
          <wp:inline xmlns:a="http://schemas.openxmlformats.org/drawingml/2006/main" xmlns:pic="http://schemas.openxmlformats.org/drawingml/2006/picture">
            <wp:extent cx="5112000" cy="3405426"/>
            <wp:docPr id="22" name="Picture 22"/>
            <wp:cNvGraphicFramePr>
              <a:graphicFrameLocks noChangeAspect="1"/>
            </wp:cNvGraphicFramePr>
            <a:graphic>
              <a:graphicData uri="http://schemas.openxmlformats.org/drawingml/2006/picture">
                <pic:pic>
                  <pic:nvPicPr>
                    <pic:cNvPr id="0" name="fig_7_4.png"/>
                    <pic:cNvPicPr/>
                  </pic:nvPicPr>
                  <pic:blipFill>
                    <a:blip r:embed="rId30"/>
                    <a:stretch>
                      <a:fillRect/>
                    </a:stretch>
                  </pic:blipFill>
                  <pic:spPr>
                    <a:xfrm>
                      <a:off x="0" y="0"/>
                      <a:ext cx="5112000" cy="3405426"/>
                    </a:xfrm>
                    <a:prstGeom prst="rect"/>
                  </pic:spPr>
                </pic:pic>
              </a:graphicData>
            </a:graphic>
          </wp:inline>
        </w:drawing>
      </w:r>
    </w:p>
    <w:p>
      <w:pPr>
        <w:spacing w:before="120" w:after="120" w:line="312" w:lineRule="auto"/>
        <w:jc w:val="center"/>
      </w:pPr>
      <w:r>
        <w:rPr>
          <w:rFonts w:ascii="Times New Roman" w:hAnsi="Times New Roman" w:eastAsia="黑体"/>
          <w:b w:val="0"/>
          <w:sz w:val="21"/>
        </w:rPr>
        <w:t>图7.4　市场分割与“内卷”强度的相关散点</w:t>
      </w:r>
    </w:p>
    <w:p>
      <w:pPr>
        <w:spacing w:before="0" w:after="0" w:line="360" w:lineRule="auto"/>
        <w:ind w:firstLineChars="200" w:firstLine="480"/>
      </w:pPr>
      <w:r>
        <w:rPr>
          <w:rFonts w:ascii="Times New Roman" w:hAnsi="Times New Roman" w:eastAsia="宋体"/>
          <w:b w:val="0"/>
          <w:sz w:val="24"/>
        </w:rPr>
        <w:t>图7.4中31个省份的散点明显沿右上方向排列，最小二乘拟合直线如式(7-2)所示：</w:t>
      </w:r>
    </w:p>
    <w:p>
      <w:pPr>
        <w:spacing w:before="120" w:after="120" w:line="360" w:lineRule="auto"/>
        <w:tabs>
          <w:tab w:val="center" w:pos="4252"/>
          <w:tab w:val="right" w:pos="8505"/>
        </w:tabs>
      </w:pPr>
      <w:r>
        <w:rPr>
          <w:rFonts w:ascii="Times New Roman" w:hAnsi="Times New Roman" w:eastAsia="宋体"/>
          <w:b w:val="0"/>
          <w:sz w:val="24"/>
        </w:rPr>
        <w:tab/>
      </w:r>
      <m:oMath>
        <m:box>
          <m:e>
            <m:sSub>
              <m:e>
                <m:limUpp>
                  <m:e>
                    <m:box>
                      <m:e>
                        <m:r>
                          <m:rPr>
                            <m:sty m:val="i"/>
                          </m:rPr>
                          <m:t>I</m:t>
                        </m:r>
                        <m:r>
                          <m:rPr>
                            <m:sty m:val="i"/>
                          </m:rPr>
                          <m:t>n</m:t>
                        </m:r>
                        <m:r>
                          <m:rPr>
                            <m:sty m:val="i"/>
                          </m:rPr>
                          <m:t>v</m:t>
                        </m:r>
                      </m:e>
                    </m:box>
                  </m:e>
                  <m:lim>
                    <m:r>
                      <m:rPr>
                        <m:sty m:val="p"/>
                      </m:rPr>
                      <m:t>^</m:t>
                    </m:r>
                  </m:lim>
                </m:limUpp>
              </m:e>
              <m:sub>
                <m:r>
                  <m:rPr>
                    <m:sty m:val="i"/>
                  </m:rPr>
                  <m:t>i</m:t>
                </m:r>
              </m:sub>
            </m:sSub>
            <m:r>
              <m:rPr>
                <m:sty m:val="p"/>
              </m:rPr>
              <m:t>=</m:t>
            </m:r>
            <m:r>
              <m:rPr>
                <m:sty m:val="p"/>
              </m:rPr>
              <m:t>0.162</m:t>
            </m:r>
            <m:r>
              <m:rPr>
                <m:sty m:val="p"/>
              </m:rPr>
              <m:t>+</m:t>
            </m:r>
            <m:r>
              <m:rPr>
                <m:sty m:val="p"/>
              </m:rPr>
              <m:t>0.155</m:t>
            </m:r>
            <m:r>
              <m:rPr>
                <m:sty m:val="p"/>
              </m:rPr>
              <m:t>×</m:t>
            </m:r>
            <m:r>
              <m:rPr>
                <m:sty m:val="i"/>
              </m:rPr>
              <m:t>S</m:t>
            </m:r>
            <m:r>
              <m:rPr>
                <m:sty m:val="i"/>
              </m:rPr>
              <m:t>e</m:t>
            </m:r>
            <m:sSub>
              <m:e>
                <m:r>
                  <m:rPr>
                    <m:sty m:val="i"/>
                  </m:rPr>
                  <m:t>g</m:t>
                </m:r>
              </m:e>
              <m:sub>
                <m:r>
                  <m:rPr>
                    <m:sty m:val="i"/>
                  </m:rPr>
                  <m:t>i</m:t>
                </m:r>
              </m:sub>
            </m:sSub>
          </m:e>
        </m:box>
      </m:oMath>
      <w:r>
        <w:rPr>
          <w:rFonts w:ascii="Times New Roman" w:hAnsi="Times New Roman" w:eastAsia="宋体"/>
          <w:b w:val="0"/>
          <w:sz w:val="24"/>
        </w:rPr>
        <w:tab/>
        <w:t>(7-2)</w:t>
      </w:r>
    </w:p>
    <w:p>
      <w:pPr>
        <w:spacing w:before="0" w:after="0" w:line="360" w:lineRule="auto"/>
        <w:ind w:firstLineChars="200" w:firstLine="480"/>
      </w:pPr>
      <w:r>
        <w:rPr>
          <w:rFonts w:ascii="Times New Roman" w:hAnsi="Times New Roman" w:eastAsia="宋体"/>
          <w:b w:val="0"/>
          <w:sz w:val="24"/>
        </w:rPr>
        <w:t>其中</w:t>
      </w:r>
      <m:oMath>
        <m:box>
          <m:e>
            <m:r>
              <m:rPr>
                <m:sty m:val="i"/>
              </m:rPr>
              <m:t>S</m:t>
            </m:r>
            <m:r>
              <m:rPr>
                <m:sty m:val="i"/>
              </m:rPr>
              <m:t>e</m:t>
            </m:r>
            <m:sSub>
              <m:e>
                <m:r>
                  <m:rPr>
                    <m:sty m:val="i"/>
                  </m:rPr>
                  <m:t>g</m:t>
                </m:r>
              </m:e>
              <m:sub>
                <m:r>
                  <m:rPr>
                    <m:sty m:val="i"/>
                  </m:rPr>
                  <m:t>i</m:t>
                </m:r>
              </m:sub>
            </m:sSub>
          </m:e>
        </m:box>
      </m:oMath>
      <w:r>
        <w:rPr>
          <w:rFonts w:ascii="Times New Roman" w:hAnsi="Times New Roman" w:eastAsia="宋体"/>
          <w:b w:val="0"/>
          <w:sz w:val="24"/>
        </w:rPr>
        <w:t>为省份</w:t>
      </w:r>
      <m:oMath>
        <m:box>
          <m:e>
            <m:r>
              <m:rPr>
                <m:sty m:val="i"/>
              </m:rPr>
              <m:t>i</m:t>
            </m:r>
          </m:e>
        </m:box>
      </m:oMath>
      <w:r>
        <w:rPr>
          <w:rFonts w:ascii="Times New Roman" w:hAnsi="Times New Roman" w:eastAsia="宋体"/>
          <w:b w:val="0"/>
          <w:sz w:val="24"/>
        </w:rPr>
        <w:t>的2024年市场分割指数（</w:t>
      </w:r>
      <m:oMath>
        <m:box>
          <m:e>
            <m:r>
              <m:rPr>
                <m:sty m:val="p"/>
              </m:rPr>
              <m:t>×</m:t>
            </m:r>
            <m:sSup>
              <m:e>
                <m:r>
                  <m:rPr>
                    <m:sty m:val="p"/>
                  </m:rPr>
                  <m:t>10</m:t>
                </m:r>
              </m:e>
              <m:sup>
                <m:box>
                  <m:e>
                    <m:r>
                      <m:rPr>
                        <m:sty m:val="p"/>
                      </m:rPr>
                      <m:t>−</m:t>
                    </m:r>
                    <m:r>
                      <m:rPr>
                        <m:sty m:val="p"/>
                      </m:rPr>
                      <m:t>3</m:t>
                    </m:r>
                  </m:e>
                </m:box>
              </m:sup>
            </m:sSup>
          </m:e>
        </m:box>
      </m:oMath>
      <w:r>
        <w:rPr>
          <w:rFonts w:ascii="Times New Roman" w:hAnsi="Times New Roman" w:eastAsia="宋体"/>
          <w:b w:val="0"/>
          <w:sz w:val="24"/>
        </w:rPr>
        <w:t>量级），</w:t>
      </w:r>
      <m:oMath>
        <m:box>
          <m:e>
            <m:sSub>
              <m:e>
                <m:limUpp>
                  <m:e>
                    <m:box>
                      <m:e>
                        <m:r>
                          <m:rPr>
                            <m:sty m:val="i"/>
                          </m:rPr>
                          <m:t>I</m:t>
                        </m:r>
                        <m:r>
                          <m:rPr>
                            <m:sty m:val="i"/>
                          </m:rPr>
                          <m:t>n</m:t>
                        </m:r>
                        <m:r>
                          <m:rPr>
                            <m:sty m:val="i"/>
                          </m:rPr>
                          <m:t>v</m:t>
                        </m:r>
                      </m:e>
                    </m:box>
                  </m:e>
                  <m:lim>
                    <m:r>
                      <m:rPr>
                        <m:sty m:val="p"/>
                      </m:rPr>
                      <m:t>^</m:t>
                    </m:r>
                  </m:lim>
                </m:limUpp>
              </m:e>
              <m:sub>
                <m:r>
                  <m:rPr>
                    <m:sty m:val="i"/>
                  </m:rPr>
                  <m:t>i</m:t>
                </m:r>
              </m:sub>
            </m:sSub>
          </m:e>
        </m:box>
      </m:oMath>
      <w:r>
        <w:rPr>
          <w:rFonts w:ascii="Times New Roman" w:hAnsi="Times New Roman" w:eastAsia="宋体"/>
          <w:b w:val="0"/>
          <w:sz w:val="24"/>
        </w:rPr>
        <w:t>为拟合的“内卷”强度指数。对图7.4与式(7-2)可作如下解读。就量级而言，斜率0.155意味着分割指数每高1个单位，内卷指数平均高约0.155：以分割最深的西藏（2.80）与最浅的上海（1.28）为例，1.52的分割差距对应约0.24的内卷指数预测差距，而两地实际差距为0.28，拟合线解释了其中绝大部分；相关系数0.81对应的决定系数约为0.66，即横截面上约三分之二的内卷强度省际差异与分割指数线性关联。就区域结构而言，四大区域的两个指数几乎完全同序：东部分割（1.60）与内卷（0.412）双双最低，西部（2.26、0.514）与东北（2.19、0.518）双双最高，仅东北内卷略高于西部而分割略低。就偏离信息而言，山西、黑龙江等省位于拟合线上方较远处，其超出分割“预期”的内卷强度指向资源型产业结构与退出粘性等附加因素；天津、重庆、安徽等位于线下方，显示较优的产业结构可部分对冲分割的影响——这些偏离正是第八章多元回归需要控制的省情变量。</w:t>
      </w:r>
    </w:p>
    <w:p>
      <w:pPr>
        <w:spacing w:before="0" w:after="0" w:line="360" w:lineRule="auto"/>
        <w:ind w:firstLineChars="200" w:firstLine="480"/>
      </w:pPr>
      <w:r>
        <w:rPr>
          <w:rFonts w:ascii="Times New Roman" w:hAnsi="Times New Roman" w:eastAsia="宋体"/>
          <w:b w:val="0"/>
          <w:sz w:val="24"/>
        </w:rPr>
        <w:t>必须强调，0.81只是“初步相关”。横截面相关可能源于遗漏变量——例如经济发展水平可能同时降低分割与内卷；也可能包含反向因果——内卷加剧促使地方政府强化保护，从而推高分割。因此，本章不对该相关作因果解读。第八章将以省份与年份双固定效应剥离不随时间变化的省份异质性与共同冲击，并以地形起伏度、历史驿道密度等外生地理历史变量构造工具变量处理内生性。此处散点证据的价值在于：其方向与本书第三章的理论框架、第四章命题H1的预测完全一致，且关联强度之高，使“分割与内卷无关”的原假设在进入正式检验之前就已难以在直觉上维持。</w:t>
      </w:r>
    </w:p>
    <w:p>
      <w:pPr>
        <w:spacing w:before="200" w:after="160" w:line="360" w:lineRule="auto"/>
        <w:outlineLvl w:val="1"/>
      </w:pPr>
      <w:r>
        <w:rPr>
          <w:rFonts w:ascii="Times New Roman" w:hAnsi="Times New Roman" w:eastAsia="黑体"/>
          <w:b w:val="0"/>
          <w:sz w:val="28"/>
        </w:rPr>
        <w:t>（五）测度结果的稳健性与讨论</w:t>
      </w:r>
    </w:p>
    <w:p>
      <w:pPr>
        <w:spacing w:before="160" w:after="120" w:line="360" w:lineRule="auto"/>
        <w:outlineLvl w:val="2"/>
      </w:pPr>
      <w:r>
        <w:rPr>
          <w:rFonts w:ascii="Times New Roman" w:hAnsi="Times New Roman" w:eastAsia="黑体"/>
          <w:b w:val="0"/>
          <w:sz w:val="24"/>
        </w:rPr>
        <w:t>1．商品类别、权重与合成方式的敏感性</w:t>
      </w:r>
    </w:p>
    <w:p>
      <w:pPr>
        <w:spacing w:before="0" w:after="0" w:line="360" w:lineRule="auto"/>
        <w:ind w:firstLineChars="200" w:firstLine="480"/>
      </w:pPr>
      <w:r>
        <w:rPr>
          <w:rFonts w:ascii="Times New Roman" w:hAnsi="Times New Roman" w:eastAsia="宋体"/>
          <w:b w:val="0"/>
          <w:sz w:val="24"/>
        </w:rPr>
        <w:t>价格法指数的可信度首先取决于其对商品类别选择的稳健性。本书使用的8大类商品零售价格指数中，食品类价格受自然条件、鲜活农产品运输半径与地方储备调节的影响较大，燃料类价格则受全国性定价机制约束较强，两类商品可能分别高估与低估市场分割的“制度成分”。为此，本书分别剔除食品类、剔除受行政定价影响较强的类别后重新测算：全国时序的“总体下降—两次反弹—加速再收敛”形态在各种子样本下均保持不变，省份排序高度稳定，区域梯度亦未改变；剔除行政定价类商品后指数水平略有抬升，说明市场化定价商品的省际套利摩擦略强，但趋势与排序结论不受影响。这表明测度结果反映的是跨类别的系统性分割，而非个别商品市场的特殊波动。</w:t>
      </w:r>
    </w:p>
    <w:p>
      <w:pPr>
        <w:spacing w:before="0" w:after="0" w:line="360" w:lineRule="auto"/>
        <w:ind w:firstLineChars="200" w:firstLine="480"/>
      </w:pPr>
      <w:r>
        <w:rPr>
          <w:rFonts w:ascii="Times New Roman" w:hAnsi="Times New Roman" w:eastAsia="宋体"/>
          <w:b w:val="0"/>
          <w:sz w:val="24"/>
        </w:rPr>
        <w:t>合成方式的选择同样不影响主要结论。将相邻省对扩展为全部省对、将等权合成替换为按经济规模加权、以方差替代开方后的标准差作为合成基础，以及改变标准化的基期选择，历次重测中“全国收敛、两次反弹、区域梯度、省份排序”四项核心结论均保持稳定；长三角显著低于全国、要素市场收敛慢于商品市场两项结构性发现，对上述技术性处理亦不敏感。需要说明的是，相邻省对设定之所以作为基准，是因为相邻地区间套利成本最低，相对价格波动更能敏锐反映人为壁垒的存在；全部省对设定会混入更多与距离相关的自然贸易成本，但两种设定给出的省份相对位置高度一致，进一步支持指数捕捉的是分割的制度性成分。</w:t>
      </w:r>
    </w:p>
    <w:p>
      <w:pPr>
        <w:spacing w:before="0" w:after="0" w:line="360" w:lineRule="auto"/>
        <w:ind w:firstLineChars="200" w:firstLine="480"/>
      </w:pPr>
      <w:r>
        <w:rPr>
          <w:rFonts w:ascii="Times New Roman" w:hAnsi="Times New Roman" w:eastAsia="宋体"/>
          <w:b w:val="0"/>
          <w:sz w:val="24"/>
        </w:rPr>
        <w:t>另一类稳健性关切来自特殊时期的测量问题。2020—2022年的指数反弹中包含疫情防控带来的非政策性摩擦，若不加甄别，可能夸大该时期“分割”的制度含义。对此本章的处理是：将2020—2022年三个特殊年份从样本中剔除后重新观察，2012—2019年的趋势性收敛与2023—2024年的加速收敛依然清晰，全国与分区域的总体判断均不受特殊时期干扰；在后续计量分析中，年份固定效应将吸收此类全国性的共同冲击，省级聚类稳健标准误则缓解序列相关的影响，特殊时期的共同摩擦不会污染省际比较所依赖的横截面变异。需要一并说明的是，“内卷式竞争”强度指数的指标遴选与赋权稳健性已在本书第六章作专门讨论，第八章还将分别以价格竞争烈度、产能冗余度等分维度指数复检基准结果，此处不再重复。</w:t>
      </w:r>
    </w:p>
    <w:p>
      <w:pPr>
        <w:spacing w:before="160" w:after="120" w:line="360" w:lineRule="auto"/>
        <w:outlineLvl w:val="2"/>
      </w:pPr>
      <w:r>
        <w:rPr>
          <w:rFonts w:ascii="Times New Roman" w:hAnsi="Times New Roman" w:eastAsia="黑体"/>
          <w:b w:val="0"/>
          <w:sz w:val="24"/>
        </w:rPr>
        <w:t>2．与既有文献的量级衔接和证据三角互证</w:t>
      </w:r>
    </w:p>
    <w:p>
      <w:pPr>
        <w:spacing w:before="0" w:after="0" w:line="360" w:lineRule="auto"/>
        <w:ind w:firstLineChars="200" w:firstLine="480"/>
      </w:pPr>
      <w:r>
        <w:rPr>
          <w:rFonts w:ascii="Times New Roman" w:hAnsi="Times New Roman" w:eastAsia="宋体"/>
          <w:b w:val="0"/>
          <w:sz w:val="24"/>
        </w:rPr>
        <w:t>本书测度与既有文献在量级与趋势上具有良好的衔接性。以相对价格法测度国内市场整合的奠基性研究，以地区间商品相对价格方差刻画分割，按</w:t>
      </w:r>
      <m:oMath>
        <m:box>
          <m:e>
            <m:r>
              <m:rPr>
                <m:sty m:val="p"/>
              </m:rPr>
              <m:t>×</m:t>
            </m:r>
            <m:sSup>
              <m:e>
                <m:r>
                  <m:rPr>
                    <m:sty m:val="p"/>
                  </m:rPr>
                  <m:t>10</m:t>
                </m:r>
              </m:e>
              <m:sup>
                <m:box>
                  <m:e>
                    <m:r>
                      <m:rPr>
                        <m:sty m:val="p"/>
                      </m:rPr>
                      <m:t>4</m:t>
                    </m:r>
                  </m:e>
                </m:box>
              </m:sup>
            </m:sSup>
          </m:e>
        </m:box>
      </m:oMath>
      <w:r>
        <w:rPr>
          <w:rFonts w:ascii="Times New Roman" w:hAnsi="Times New Roman" w:eastAsia="宋体"/>
          <w:b w:val="0"/>
          <w:sz w:val="24"/>
        </w:rPr>
        <w:t>量级报告，发现1985—2001年方差总体下降、国内商品市场趋于整合而非分割（桂琦寒等，2006）。本书指数为方差经开方后的标准差型指标，数量级为</w:t>
      </w:r>
      <m:oMath>
        <m:box>
          <m:e>
            <m:r>
              <m:rPr>
                <m:sty m:val="p"/>
              </m:rPr>
              <m:t>×</m:t>
            </m:r>
            <m:sSup>
              <m:e>
                <m:r>
                  <m:rPr>
                    <m:sty m:val="p"/>
                  </m:rPr>
                  <m:t>10</m:t>
                </m:r>
              </m:e>
              <m:sup>
                <m:box>
                  <m:e>
                    <m:r>
                      <m:rPr>
                        <m:sty m:val="p"/>
                      </m:rPr>
                      <m:t>−</m:t>
                    </m:r>
                    <m:r>
                      <m:rPr>
                        <m:sty m:val="p"/>
                      </m:rPr>
                      <m:t>3</m:t>
                    </m:r>
                  </m:e>
                </m:box>
              </m:sup>
            </m:sSup>
          </m:e>
        </m:box>
      </m:oMath>
      <w:r>
        <w:rPr>
          <w:rFonts w:ascii="Times New Roman" w:hAnsi="Times New Roman" w:eastAsia="宋体"/>
          <w:b w:val="0"/>
          <w:sz w:val="24"/>
        </w:rPr>
        <w:t>，其对应的方差量级低于早期文献样本期的水平——这正与“样本期更晚、整合程度更深”的历史事实相符：将两段测度衔接起来，1985年以来中国商品市场“长期整合、阶段波动”的完整叙事在方法可比的意义上得以贯通，本书2012—2024年25.7%的降幅可视为这一长期进程的延续段。趋势判断上，本书结果与交通基础设施促进整合、统一大市场政策加快收敛的既有因果证据方向一致；水平判断上，本书“存量仍大、要素更深”的结论，与基于货物运输微观数据发现省际边界效应与地方保护依然显著的最新估计相互印证（张皓辰等，2024）。此外，本书第九章将提供另一重检验：若指数只是统计噪声，它不应系统性地响应公平竞争审查的政策强度；而强度DID的结果恰恰显示指数对政策冲击的反应方向与幅度均符合预期。多源证据的三角互证，增强了对本章测度结果的信心。</w:t>
      </w:r>
    </w:p>
    <w:p>
      <w:pPr>
        <w:spacing w:before="0" w:after="0" w:line="360" w:lineRule="auto"/>
        <w:ind w:firstLineChars="200" w:firstLine="480"/>
      </w:pPr>
      <w:r>
        <w:rPr>
          <w:rFonts w:ascii="Times New Roman" w:hAnsi="Times New Roman" w:eastAsia="宋体"/>
          <w:b w:val="0"/>
          <w:sz w:val="24"/>
        </w:rPr>
        <w:t>最后应当申明测度的边界与局限。其一，价格法捕捉的是商品市场套利受阻的程度，对服务市场的分割覆盖不足，而服务市场恰是隐性壁垒的多发领域，本书指数因此可能低估分割的总体水平。其二，指数是相对指标，善于刻画分割的时序变动与省际差异，但不直接对应贸易成本的绝对水平，后者需借助量化空间模型另行测算。其三，要素分割指数依赖间接指标，对户籍、信贷等隐性壁垒的度量存在测量误差。其四，统一大市场发展指数的维度划分与指标遴选带有一定的研究判断成分，尽管客观赋权方法缓解了主观性，跨研究的可比性仍需谨慎对待。这些局限提示：对指数的水平值应保持审慎，对趋势与排序结论则可有更高的信心——本书后续章节的计量分析也主要利用后者所包含的变异信息。即便存在上述局限，测度的福利含义依然明确：区域市场分割造成的效率损失已被既有研究证实相当可观（余泳泽等，2022），而本章显示分割存量仍大、要素分割尤深、且与内卷强度高度叠合，意味着破除分割绝不仅是流通效率问题，更直接牵动竞争秩序与增长质量，其对应的“统一红利”测算见本书第九章第六节。</w:t>
      </w:r>
    </w:p>
    <w:p>
      <w:pPr>
        <w:spacing w:before="0" w:after="0" w:line="360" w:lineRule="auto"/>
        <w:ind w:firstLineChars="200" w:firstLine="480"/>
      </w:pPr>
      <w:r>
        <w:rPr>
          <w:rFonts w:ascii="Times New Roman" w:hAnsi="Times New Roman" w:eastAsia="宋体"/>
          <w:b w:val="0"/>
          <w:sz w:val="24"/>
        </w:rPr>
        <w:t>本章完成了对“市场分割—内卷竞争—统一红利”框架第一环的系统量化，四点结论值得凝练。第一，全国市场分割指数由2012年的2.65降至2024年的1.97、累计下降25.7%，但2020年、2022年两次反弹表明整合成果具有可逆性，2023年后的加速收敛与统一大市场政策密集落地在时间上高度吻合。第二，区域与省份格局呈“东低西高”的稳定梯度，长三角以37.4%的降幅先行整合，而分割最深的省份同时也是“内卷”指数最高的省份，空间叠合特征鲜明。第三，要素市场分割指数（3.34）约为商品市场（1.97）的1.7倍，收敛速度仅为其一半（13.9%对25.7%），双重分割的不对称收敛界定了下一阶段改革的主攻方向。第四，统一大市场发展指数升至62.4，但要素流动（54.3）与监管统一（55.6）两大短板突出，且省域分割与“内卷”强度的横截面相关系数高达0.81。测度只是起点：分割究竟在多大程度上因果性地催生了“内卷式”竞争？本书第八章将以基准面板回归、机制检验、异质性分析与工具变量策略，对这一问题给出系统回答。</w:t>
      </w:r>
    </w:p>
    <w:p>
      <w:r>
        <w:br w:type="page"/>
      </w:r>
    </w:p>
    <w:p>
      <w:pPr>
        <w:spacing w:before="240" w:after="280" w:line="360" w:lineRule="auto"/>
        <w:jc w:val="center"/>
        <w:outlineLvl w:val="0"/>
      </w:pPr>
      <w:r>
        <w:rPr>
          <w:rFonts w:ascii="Times New Roman" w:hAnsi="Times New Roman" w:eastAsia="黑体"/>
          <w:b/>
          <w:sz w:val="30"/>
        </w:rPr>
        <w:t>八、实证分析Ⅱ：市场分割如何催生“内卷式”竞争</w:t>
      </w:r>
    </w:p>
    <w:p>
      <w:pPr>
        <w:spacing w:before="0" w:after="0" w:line="360" w:lineRule="auto"/>
        <w:ind w:firstLineChars="200" w:firstLine="480"/>
      </w:pPr>
      <w:r>
        <w:rPr>
          <w:rFonts w:ascii="Times New Roman" w:hAnsi="Times New Roman" w:eastAsia="宋体"/>
          <w:b w:val="0"/>
          <w:sz w:val="24"/>
        </w:rPr>
        <w:t>本书第七章的测度结果呈现出一幅耐人寻味的图景：2012—2024年，全国市场分割指数由2.65降至1.97（×</w:t>
      </w:r>
      <m:oMath>
        <m:box>
          <m:e>
            <m:sSup>
              <m:e>
                <m:r>
                  <m:rPr>
                    <m:sty m:val="p"/>
                  </m:rPr>
                  <m:t>10</m:t>
                </m:r>
              </m:e>
              <m:sup>
                <m:box>
                  <m:e>
                    <m:r>
                      <m:rPr>
                        <m:sty m:val="p"/>
                      </m:rPr>
                      <m:t>−</m:t>
                    </m:r>
                    <m:r>
                      <m:rPr>
                        <m:sty m:val="p"/>
                      </m:rPr>
                      <m:t>3</m:t>
                    </m:r>
                  </m:e>
                </m:box>
              </m:sup>
            </m:sSup>
          </m:e>
        </m:box>
      </m:oMath>
      <w:r>
        <w:rPr>
          <w:rFonts w:ascii="Times New Roman" w:hAnsi="Times New Roman" w:eastAsia="宋体"/>
          <w:b w:val="0"/>
          <w:sz w:val="24"/>
        </w:rPr>
        <w:t>，下同），总体收敛但在2020年与2022年两度反弹；同期“内卷式竞争”强度指数却由0.352升至0.470，并于样本期末达到峰值。时序上的表面背离与截面上的高度正相关——2024年省域分割指数与“内卷”指数的相关系数高达0.81——共同提出了一个必须诉诸严格计量方能回答的问题：市场分割究竟是否以及在多大程度上催生了“内卷式”竞争？相关关系背后是否存在可辩护的因果结构？其传导又循何种渠道？本章按照第六章的实证设计，对假说H1—H3展开系统检验。第一节以双固定效应面板模型估计分割对“内卷”强度的基准效应，并进行经济显著性换算；第二节以两步法检验补贴竞争、产业同构与退出粘性三条传导渠道；第三节从区域、增长目标压力、产业资本密集度与时期四个维度考察效应的结构差异；第四节以工具变量法处理内生性并执行系统的稳健性检验；第五节归纳假说H1—H3的完整证据链，为第九章检验“统一→红利”的反向命题奠定基础。</w:t>
      </w:r>
    </w:p>
    <w:p>
      <w:pPr>
        <w:spacing w:before="200" w:after="160" w:line="360" w:lineRule="auto"/>
        <w:outlineLvl w:val="1"/>
      </w:pPr>
      <w:r>
        <w:rPr>
          <w:rFonts w:ascii="Times New Roman" w:hAnsi="Times New Roman" w:eastAsia="黑体"/>
          <w:b w:val="0"/>
          <w:sz w:val="28"/>
        </w:rPr>
        <w:t>（一）基准回归：市场分割显著加剧“内卷式”竞争</w:t>
      </w:r>
    </w:p>
    <w:p>
      <w:pPr>
        <w:spacing w:before="0" w:after="0" w:line="360" w:lineRule="auto"/>
        <w:ind w:firstLineChars="200" w:firstLine="480"/>
      </w:pPr>
      <w:r>
        <w:rPr>
          <w:rFonts w:ascii="Times New Roman" w:hAnsi="Times New Roman" w:eastAsia="宋体"/>
          <w:b w:val="0"/>
          <w:sz w:val="24"/>
        </w:rPr>
        <w:t>按照第六章式(6-10)的设定，基准回归以“内卷式竞争”强度指数（Inv）为被解释变量，以市场分割指数（Seg）为核心解释变量，控制人均GDP对数（lnpgdp）、第二产业占比（Ind2）、财政自给率（Fiscal）、对外开放度（Open）与城镇化率（Urban）五个混杂维度，并纳入省份与年份双固定效应，标准误在省份层面聚类。省份固定效应吸收了地理区位、资源禀赋、历史文化等不随时间变化的省份特征，年份固定效应吸收了宏观周期、全国性政策等共同冲击，因此估计所利用的是各省分割程度相对于自身均值与全国共同趋势的偏离——换言之，基准回归回答的问题是：当一个省份的市场分割程度相对上升时，其“内卷”强度是否随之相对上升。这一组内变异的识别逻辑，恰好化解了前述时序“背离”的困惑：全国层面分割指数下降与“内卷”指数上升并不矛盾，因为后者的攀升主要由需求收缩等共同冲击驱动，已被年份固定效应吸收，而分割对“内卷”的边际推动作用须在剔除共同趋势后的省内变异中识别。</w:t>
      </w:r>
    </w:p>
    <w:p>
      <w:pPr>
        <w:spacing w:before="0" w:after="0" w:line="360" w:lineRule="auto"/>
        <w:ind w:firstLineChars="200" w:firstLine="480"/>
      </w:pPr>
      <w:r>
        <w:rPr>
          <w:rFonts w:ascii="Times New Roman" w:hAnsi="Times New Roman" w:eastAsia="宋体"/>
          <w:b w:val="0"/>
          <w:sz w:val="24"/>
        </w:rPr>
        <w:t>基准估计结果的四列设计如下（见表8.1）：列（1）仅纳入Seg与双固定效应，给出最简洁的条件关联；列（2）加入全部控制变量，为本书的基准设定；列（3）与列（4）保持列（2）的设定不变，将被解释变量分别替换为“内卷”指数的价格竞争烈度分维度与产能冗余度分维度，考察分割“催卷”效应在“价”与“量”两个边际上的结构。</w:t>
      </w:r>
    </w:p>
    <w:p>
      <w:pPr>
        <w:spacing w:before="160" w:after="80" w:line="312" w:lineRule="auto"/>
        <w:jc w:val="center"/>
      </w:pPr>
      <w:r>
        <w:rPr>
          <w:rFonts w:ascii="Times New Roman" w:hAnsi="Times New Roman" w:eastAsia="黑体"/>
          <w:b w:val="0"/>
          <w:sz w:val="21"/>
        </w:rPr>
        <w:t>表8.1　市场分割影响“内卷式”竞争的基准回归结果</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（1）Inv</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（2）Inv</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（3）价格竞争烈度</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（4）产能冗余度</w:t>
            </w:r>
          </w:p>
        </w:tc>
      </w:tr>
      <w:tr>
        <w:tc>
          <w:tcPr>
            <w:tcW w:type="dxa" w:w="1701"/>
          </w:tcPr>
          <w:p>
            <w:pPr>
              <w:spacing w:before="20" w:after="20" w:line="276" w:lineRule="auto"/>
              <w:jc w:val="left"/>
            </w:pPr>
            <w:r/>
            <w:r>
              <w:rPr>
                <w:rFonts w:ascii="Times New Roman" w:hAnsi="Times New Roman" w:eastAsia="宋体"/>
                <w:b w:val="0"/>
                <w:sz w:val="21"/>
              </w:rPr>
              <w:t>Seg</w:t>
            </w:r>
          </w:p>
        </w:tc>
        <w:tc>
          <w:tcPr>
            <w:tcW w:type="dxa" w:w="1701"/>
          </w:tcPr>
          <w:p>
            <w:pPr>
              <w:spacing w:before="20" w:after="20" w:line="276" w:lineRule="auto"/>
              <w:jc w:val="left"/>
            </w:pPr>
            <w:r/>
            <w:r>
              <w:rPr>
                <w:rFonts w:ascii="Times New Roman" w:hAnsi="Times New Roman" w:eastAsia="宋体"/>
                <w:b w:val="0"/>
                <w:sz w:val="21"/>
              </w:rPr>
              <w:t>0.071***（0.016）</w:t>
            </w:r>
          </w:p>
        </w:tc>
        <w:tc>
          <w:tcPr>
            <w:tcW w:type="dxa" w:w="1701"/>
          </w:tcPr>
          <w:p>
            <w:pPr>
              <w:spacing w:before="20" w:after="20" w:line="276" w:lineRule="auto"/>
              <w:jc w:val="left"/>
            </w:pPr>
            <w:r/>
            <w:r>
              <w:rPr>
                <w:rFonts w:ascii="Times New Roman" w:hAnsi="Times New Roman" w:eastAsia="宋体"/>
                <w:b w:val="0"/>
                <w:sz w:val="21"/>
              </w:rPr>
              <w:t>0.058***（0.013）</w:t>
            </w:r>
          </w:p>
        </w:tc>
        <w:tc>
          <w:tcPr>
            <w:tcW w:type="dxa" w:w="1701"/>
          </w:tcPr>
          <w:p>
            <w:pPr>
              <w:spacing w:before="20" w:after="20" w:line="276" w:lineRule="auto"/>
              <w:jc w:val="left"/>
            </w:pPr>
            <w:r/>
            <w:r>
              <w:rPr>
                <w:rFonts w:ascii="Times New Roman" w:hAnsi="Times New Roman" w:eastAsia="宋体"/>
                <w:b w:val="0"/>
                <w:sz w:val="21"/>
              </w:rPr>
              <w:t>0.066***（0.015）</w:t>
            </w:r>
          </w:p>
        </w:tc>
        <w:tc>
          <w:tcPr>
            <w:tcW w:type="dxa" w:w="1701"/>
          </w:tcPr>
          <w:p>
            <w:pPr>
              <w:spacing w:before="20" w:after="20" w:line="276" w:lineRule="auto"/>
              <w:jc w:val="left"/>
            </w:pPr>
            <w:r/>
            <w:r>
              <w:rPr>
                <w:rFonts w:ascii="Times New Roman" w:hAnsi="Times New Roman" w:eastAsia="宋体"/>
                <w:b w:val="0"/>
                <w:sz w:val="21"/>
              </w:rPr>
              <w:t>0.049***（0.012）</w:t>
            </w:r>
          </w:p>
        </w:tc>
      </w:tr>
      <w:tr>
        <w:tc>
          <w:tcPr>
            <w:tcW w:type="dxa" w:w="1701"/>
          </w:tcPr>
          <w:p>
            <w:pPr>
              <w:spacing w:before="20" w:after="20" w:line="276" w:lineRule="auto"/>
              <w:jc w:val="left"/>
            </w:pPr>
            <w:r/>
            <w:r>
              <w:rPr>
                <w:rFonts w:ascii="Times New Roman" w:hAnsi="Times New Roman" w:eastAsia="宋体"/>
                <w:b w:val="0"/>
                <w:sz w:val="21"/>
              </w:rPr>
              <w:t>lnpgdp</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−0.021**（0.009）</w:t>
            </w:r>
          </w:p>
        </w:tc>
        <w:tc>
          <w:tcPr>
            <w:tcW w:type="dxa" w:w="1701"/>
          </w:tcPr>
          <w:p>
            <w:pPr>
              <w:spacing w:before="20" w:after="20" w:line="276" w:lineRule="auto"/>
              <w:jc w:val="left"/>
            </w:pPr>
            <w:r/>
            <w:r>
              <w:rPr>
                <w:rFonts w:ascii="Times New Roman" w:hAnsi="Times New Roman" w:eastAsia="宋体"/>
                <w:b w:val="0"/>
                <w:sz w:val="21"/>
              </w:rPr>
              <w:t>−0.018*（0.010）</w:t>
            </w:r>
          </w:p>
        </w:tc>
        <w:tc>
          <w:tcPr>
            <w:tcW w:type="dxa" w:w="1701"/>
          </w:tcPr>
          <w:p>
            <w:pPr>
              <w:spacing w:before="20" w:after="20" w:line="276" w:lineRule="auto"/>
              <w:jc w:val="left"/>
            </w:pPr>
            <w:r/>
            <w:r>
              <w:rPr>
                <w:rFonts w:ascii="Times New Roman" w:hAnsi="Times New Roman" w:eastAsia="宋体"/>
                <w:b w:val="0"/>
                <w:sz w:val="21"/>
              </w:rPr>
              <w:t>−0.023**（0.010）</w:t>
            </w:r>
          </w:p>
        </w:tc>
      </w:tr>
      <w:tr>
        <w:tc>
          <w:tcPr>
            <w:tcW w:type="dxa" w:w="1701"/>
          </w:tcPr>
          <w:p>
            <w:pPr>
              <w:spacing w:before="20" w:after="20" w:line="276" w:lineRule="auto"/>
              <w:jc w:val="left"/>
            </w:pPr>
            <w:r/>
            <w:r>
              <w:rPr>
                <w:rFonts w:ascii="Times New Roman" w:hAnsi="Times New Roman" w:eastAsia="宋体"/>
                <w:b w:val="0"/>
                <w:sz w:val="21"/>
              </w:rPr>
              <w:t>Ind2</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0.084**（0.035）</w:t>
            </w:r>
          </w:p>
        </w:tc>
        <w:tc>
          <w:tcPr>
            <w:tcW w:type="dxa" w:w="1701"/>
          </w:tcPr>
          <w:p>
            <w:pPr>
              <w:spacing w:before="20" w:after="20" w:line="276" w:lineRule="auto"/>
              <w:jc w:val="left"/>
            </w:pPr>
            <w:r/>
            <w:r>
              <w:rPr>
                <w:rFonts w:ascii="Times New Roman" w:hAnsi="Times New Roman" w:eastAsia="宋体"/>
                <w:b w:val="0"/>
                <w:sz w:val="21"/>
              </w:rPr>
              <w:t>0.079**（0.036）</w:t>
            </w:r>
          </w:p>
        </w:tc>
        <w:tc>
          <w:tcPr>
            <w:tcW w:type="dxa" w:w="1701"/>
          </w:tcPr>
          <w:p>
            <w:pPr>
              <w:spacing w:before="20" w:after="20" w:line="276" w:lineRule="auto"/>
              <w:jc w:val="left"/>
            </w:pPr>
            <w:r/>
            <w:r>
              <w:rPr>
                <w:rFonts w:ascii="Times New Roman" w:hAnsi="Times New Roman" w:eastAsia="宋体"/>
                <w:b w:val="0"/>
                <w:sz w:val="21"/>
              </w:rPr>
              <w:t>0.091**（0.038）</w:t>
            </w:r>
          </w:p>
        </w:tc>
      </w:tr>
      <w:tr>
        <w:tc>
          <w:tcPr>
            <w:tcW w:type="dxa" w:w="1701"/>
          </w:tcPr>
          <w:p>
            <w:pPr>
              <w:spacing w:before="20" w:after="20" w:line="276" w:lineRule="auto"/>
              <w:jc w:val="left"/>
            </w:pPr>
            <w:r/>
            <w:r>
              <w:rPr>
                <w:rFonts w:ascii="Times New Roman" w:hAnsi="Times New Roman" w:eastAsia="宋体"/>
                <w:b w:val="0"/>
                <w:sz w:val="21"/>
              </w:rPr>
              <w:t>Fiscal</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−0.035*（0.019）</w:t>
            </w:r>
          </w:p>
        </w:tc>
        <w:tc>
          <w:tcPr>
            <w:tcW w:type="dxa" w:w="1701"/>
          </w:tcPr>
          <w:p>
            <w:pPr>
              <w:spacing w:before="20" w:after="20" w:line="276" w:lineRule="auto"/>
              <w:jc w:val="left"/>
            </w:pPr>
            <w:r/>
            <w:r>
              <w:rPr>
                <w:rFonts w:ascii="Times New Roman" w:hAnsi="Times New Roman" w:eastAsia="宋体"/>
                <w:b w:val="0"/>
                <w:sz w:val="21"/>
              </w:rPr>
              <w:t>−0.031（0.020）</w:t>
            </w:r>
          </w:p>
        </w:tc>
        <w:tc>
          <w:tcPr>
            <w:tcW w:type="dxa" w:w="1701"/>
          </w:tcPr>
          <w:p>
            <w:pPr>
              <w:spacing w:before="20" w:after="20" w:line="276" w:lineRule="auto"/>
              <w:jc w:val="left"/>
            </w:pPr>
            <w:r/>
            <w:r>
              <w:rPr>
                <w:rFonts w:ascii="Times New Roman" w:hAnsi="Times New Roman" w:eastAsia="宋体"/>
                <w:b w:val="0"/>
                <w:sz w:val="21"/>
              </w:rPr>
              <w:t>−0.038*（0.021）</w:t>
            </w:r>
          </w:p>
        </w:tc>
      </w:tr>
      <w:tr>
        <w:tc>
          <w:tcPr>
            <w:tcW w:type="dxa" w:w="1701"/>
          </w:tcPr>
          <w:p>
            <w:pPr>
              <w:spacing w:before="20" w:after="20" w:line="276" w:lineRule="auto"/>
              <w:jc w:val="left"/>
            </w:pPr>
            <w:r/>
            <w:r>
              <w:rPr>
                <w:rFonts w:ascii="Times New Roman" w:hAnsi="Times New Roman" w:eastAsia="宋体"/>
                <w:b w:val="0"/>
                <w:sz w:val="21"/>
              </w:rPr>
              <w:t>Open</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−0.012（0.011）</w:t>
            </w:r>
          </w:p>
        </w:tc>
        <w:tc>
          <w:tcPr>
            <w:tcW w:type="dxa" w:w="1701"/>
          </w:tcPr>
          <w:p>
            <w:pPr>
              <w:spacing w:before="20" w:after="20" w:line="276" w:lineRule="auto"/>
              <w:jc w:val="left"/>
            </w:pPr>
            <w:r/>
            <w:r>
              <w:rPr>
                <w:rFonts w:ascii="Times New Roman" w:hAnsi="Times New Roman" w:eastAsia="宋体"/>
                <w:b w:val="0"/>
                <w:sz w:val="21"/>
              </w:rPr>
              <w:t>−0.010（0.012）</w:t>
            </w:r>
          </w:p>
        </w:tc>
        <w:tc>
          <w:tcPr>
            <w:tcW w:type="dxa" w:w="1701"/>
          </w:tcPr>
          <w:p>
            <w:pPr>
              <w:spacing w:before="20" w:after="20" w:line="276" w:lineRule="auto"/>
              <w:jc w:val="left"/>
            </w:pPr>
            <w:r/>
            <w:r>
              <w:rPr>
                <w:rFonts w:ascii="Times New Roman" w:hAnsi="Times New Roman" w:eastAsia="宋体"/>
                <w:b w:val="0"/>
                <w:sz w:val="21"/>
              </w:rPr>
              <w:t>−0.014（0.012）</w:t>
            </w:r>
          </w:p>
        </w:tc>
      </w:tr>
      <w:tr>
        <w:tc>
          <w:tcPr>
            <w:tcW w:type="dxa" w:w="1701"/>
          </w:tcPr>
          <w:p>
            <w:pPr>
              <w:spacing w:before="20" w:after="20" w:line="276" w:lineRule="auto"/>
              <w:jc w:val="left"/>
            </w:pPr>
            <w:r/>
            <w:r>
              <w:rPr>
                <w:rFonts w:ascii="Times New Roman" w:hAnsi="Times New Roman" w:eastAsia="宋体"/>
                <w:b w:val="0"/>
                <w:sz w:val="21"/>
              </w:rPr>
              <w:t>Urban</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−0.047**（0.022）</w:t>
            </w:r>
          </w:p>
        </w:tc>
        <w:tc>
          <w:tcPr>
            <w:tcW w:type="dxa" w:w="1701"/>
          </w:tcPr>
          <w:p>
            <w:pPr>
              <w:spacing w:before="20" w:after="20" w:line="276" w:lineRule="auto"/>
              <w:jc w:val="left"/>
            </w:pPr>
            <w:r/>
            <w:r>
              <w:rPr>
                <w:rFonts w:ascii="Times New Roman" w:hAnsi="Times New Roman" w:eastAsia="宋体"/>
                <w:b w:val="0"/>
                <w:sz w:val="21"/>
              </w:rPr>
              <w:t>−0.043*（0.024）</w:t>
            </w:r>
          </w:p>
        </w:tc>
        <w:tc>
          <w:tcPr>
            <w:tcW w:type="dxa" w:w="1701"/>
          </w:tcPr>
          <w:p>
            <w:pPr>
              <w:spacing w:before="20" w:after="20" w:line="276" w:lineRule="auto"/>
              <w:jc w:val="left"/>
            </w:pPr>
            <w:r/>
            <w:r>
              <w:rPr>
                <w:rFonts w:ascii="Times New Roman" w:hAnsi="Times New Roman" w:eastAsia="宋体"/>
                <w:b w:val="0"/>
                <w:sz w:val="21"/>
              </w:rPr>
              <w:t>−0.052**（0.023）</w:t>
            </w:r>
          </w:p>
        </w:tc>
      </w:tr>
      <w:tr>
        <w:tc>
          <w:tcPr>
            <w:tcW w:type="dxa" w:w="1701"/>
          </w:tcPr>
          <w:p>
            <w:pPr>
              <w:spacing w:before="20" w:after="20" w:line="276" w:lineRule="auto"/>
              <w:jc w:val="left"/>
            </w:pPr>
            <w:r/>
            <w:r>
              <w:rPr>
                <w:rFonts w:ascii="Times New Roman" w:hAnsi="Times New Roman" w:eastAsia="宋体"/>
                <w:b w:val="0"/>
                <w:sz w:val="21"/>
              </w:rPr>
              <w:t>省份固定效应</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r>
      <w:tr>
        <w:tc>
          <w:tcPr>
            <w:tcW w:type="dxa" w:w="1701"/>
          </w:tcPr>
          <w:p>
            <w:pPr>
              <w:spacing w:before="20" w:after="20" w:line="276" w:lineRule="auto"/>
              <w:jc w:val="left"/>
            </w:pPr>
            <w:r/>
            <w:r>
              <w:rPr>
                <w:rFonts w:ascii="Times New Roman" w:hAnsi="Times New Roman" w:eastAsia="宋体"/>
                <w:b w:val="0"/>
                <w:sz w:val="21"/>
              </w:rPr>
              <w:t>年份固定效应</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r>
      <w:tr>
        <w:tc>
          <w:tcPr>
            <w:tcW w:type="dxa" w:w="1701"/>
          </w:tcPr>
          <w:p>
            <w:pPr>
              <w:spacing w:before="20" w:after="20" w:line="276" w:lineRule="auto"/>
              <w:jc w:val="left"/>
            </w:pPr>
            <w:r/>
            <w:r>
              <w:rPr>
                <w:rFonts w:ascii="Times New Roman" w:hAnsi="Times New Roman" w:eastAsia="宋体"/>
                <w:b w:val="0"/>
                <w:sz w:val="21"/>
              </w:rPr>
              <w:t>N</w:t>
            </w:r>
          </w:p>
        </w:tc>
        <w:tc>
          <w:tcPr>
            <w:tcW w:type="dxa" w:w="1701"/>
          </w:tcPr>
          <w:p>
            <w:pPr>
              <w:spacing w:before="20" w:after="20" w:line="276" w:lineRule="auto"/>
              <w:jc w:val="center"/>
            </w:pPr>
            <w:r/>
            <w:r>
              <w:rPr>
                <w:rFonts w:ascii="Times New Roman" w:hAnsi="Times New Roman" w:eastAsia="宋体"/>
                <w:b w:val="0"/>
                <w:sz w:val="21"/>
              </w:rPr>
              <w:t>403</w:t>
            </w:r>
          </w:p>
        </w:tc>
        <w:tc>
          <w:tcPr>
            <w:tcW w:type="dxa" w:w="1701"/>
          </w:tcPr>
          <w:p>
            <w:pPr>
              <w:spacing w:before="20" w:after="20" w:line="276" w:lineRule="auto"/>
              <w:jc w:val="center"/>
            </w:pPr>
            <w:r/>
            <w:r>
              <w:rPr>
                <w:rFonts w:ascii="Times New Roman" w:hAnsi="Times New Roman" w:eastAsia="宋体"/>
                <w:b w:val="0"/>
                <w:sz w:val="21"/>
              </w:rPr>
              <w:t>403</w:t>
            </w:r>
          </w:p>
        </w:tc>
        <w:tc>
          <w:tcPr>
            <w:tcW w:type="dxa" w:w="1701"/>
          </w:tcPr>
          <w:p>
            <w:pPr>
              <w:spacing w:before="20" w:after="20" w:line="276" w:lineRule="auto"/>
              <w:jc w:val="center"/>
            </w:pPr>
            <w:r/>
            <w:r>
              <w:rPr>
                <w:rFonts w:ascii="Times New Roman" w:hAnsi="Times New Roman" w:eastAsia="宋体"/>
                <w:b w:val="0"/>
                <w:sz w:val="21"/>
              </w:rPr>
              <w:t>403</w:t>
            </w:r>
          </w:p>
        </w:tc>
        <w:tc>
          <w:tcPr>
            <w:tcW w:type="dxa" w:w="1701"/>
          </w:tcPr>
          <w:p>
            <w:pPr>
              <w:spacing w:before="20" w:after="20" w:line="276" w:lineRule="auto"/>
              <w:jc w:val="center"/>
            </w:pPr>
            <w:r/>
            <w:r>
              <w:rPr>
                <w:rFonts w:ascii="Times New Roman" w:hAnsi="Times New Roman" w:eastAsia="宋体"/>
                <w:b w:val="0"/>
                <w:sz w:val="21"/>
              </w:rPr>
              <w:t>403</w:t>
            </w:r>
          </w:p>
        </w:tc>
      </w:tr>
      <w:tr>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R²（组内）</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0.288</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0.412</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0.397</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0.385</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注：括号内为省份层面聚类稳健标准误；*</w:t>
      </w:r>
      <w:r>
        <w:rPr>
          <w:rFonts w:ascii="Times New Roman" w:hAnsi="Times New Roman" w:eastAsia="宋体"/>
          <w:b/>
          <w:sz w:val="24"/>
        </w:rPr>
        <w:t>、</w:t>
      </w:r>
      <w:r>
        <w:rPr>
          <w:rFonts w:ascii="Times New Roman" w:hAnsi="Times New Roman" w:eastAsia="宋体"/>
          <w:b w:val="0"/>
          <w:sz w:val="24"/>
        </w:rPr>
        <w:t>、*分别表示在1%、5%、10%的水平上显著。下表同。</w:t>
      </w:r>
    </w:p>
    <w:p>
      <w:pPr>
        <w:spacing w:before="0" w:after="0" w:line="360" w:lineRule="auto"/>
        <w:ind w:firstLineChars="200" w:firstLine="480"/>
      </w:pPr>
      <w:r>
        <w:rPr>
          <w:rFonts w:ascii="Times New Roman" w:hAnsi="Times New Roman" w:eastAsia="宋体"/>
          <w:b w:val="0"/>
          <w:sz w:val="24"/>
        </w:rPr>
        <w:t>表8.1的核心信息十分清晰。列（1）中Seg的系数为0.071，在1%的水平上显著为正：即便只依靠双固定效应剔除省份特征与共同冲击，分割程度相对上升的省份，其“内卷”强度也系统性地相对上升。列（2）加入五个控制变量后，系数降至0.058，仍在1%的水平上高度显著；组内R²由0.288升至0.412，说明控制变量吸收了相当一部分与发展阶段、产业结构相关的变异，而分割的独立解释力并未因此瓦解。系数由0.071收缩至0.058这一变化本身具有诊断价值：它表明简单关联中约有两成可归因于“分割较重的省份恰好发展水平较低、工业占比较高”这类可观测的混杂因素，但剔除之后，分割对“内卷”的净效应依然稳固。这正是假说H1的第一重证据——在其他条件不变时，市场分割程度越高的省份，“内卷式”竞争强度越高。</w:t>
      </w:r>
    </w:p>
    <w:p>
      <w:pPr>
        <w:spacing w:before="0" w:after="0" w:line="360" w:lineRule="auto"/>
        <w:ind w:firstLineChars="200" w:firstLine="480"/>
      </w:pPr>
      <w:r>
        <w:rPr>
          <w:rFonts w:ascii="Times New Roman" w:hAnsi="Times New Roman" w:eastAsia="宋体"/>
          <w:b w:val="0"/>
          <w:sz w:val="24"/>
        </w:rPr>
        <w:t>组内变异的识别逻辑还可以从两段典型时序中得到直观印证。第七章显示，全国市场分割指数在样本期内出现过两次显著反弹：2020年疫情冲击下物流受阻，跨省交易成本被动抬高，分割指数由2019年的2.13跳升至2.31；2022年局部封控叠加地方产业竞赛升温，指数再度由2021年的2.17回升至2.32。耐人寻味的是，本书测度的“内卷”指数在同样两个年份出现了同步抬升——由2019年的0.348升至2020年的0.371，又由2021年的0.359升至2022年的0.398；而在分割指数加快收敛的2023—2024年，“内卷”指数的继续攀升则主要由需求侧共同冲击驱动，恰属年份固定效应吸收的部分。分割与“内卷”在年度波动层面的这种咬合，正是回归系数背后的原始数据形态。反过来还可以做一个粗略的反事实推算：2012—2024年全国分割指数累计下降0.68，按列（2）的点估计，这一收敛为“内卷”指数贡献了约0.039的抑制量——若无市场整合的持续推进，2024年的全国“内卷”指数将不是0.470，而可能逼近0.51。换言之，统一大市场建设的既有进展实际上部分对冲了需求收缩的“催卷”压力，只是对冲的力度尚不足以扭转总体攀升的方向，这一判断将在第九章的政策效应评估中得到更严格的检验。</w:t>
      </w:r>
    </w:p>
    <w:p>
      <w:pPr>
        <w:spacing w:before="0" w:after="0" w:line="360" w:lineRule="auto"/>
        <w:ind w:firstLineChars="200" w:firstLine="480"/>
      </w:pPr>
      <w:r>
        <w:rPr>
          <w:rFonts w:ascii="Times New Roman" w:hAnsi="Times New Roman" w:eastAsia="宋体"/>
          <w:b w:val="0"/>
          <w:sz w:val="24"/>
        </w:rPr>
        <w:t>控制变量的表现与理论预期及第三章的机理分析高度吻合，构成对指标体系与模型设定合理性的间接印证。人均GDP对数的系数显著为负（−0.021），说明发展水平越高、需求结构越厚实的经济体，越不易滑入低水平价格缠斗，这与“内卷”本质上是低质量供给对有限需求的过度争夺这一判断一致。第二产业占比的系数显著为正（0.084），且在四列中量级最稳定：工业占比越高，暴露于产能竞争与价格竞争的经济活动份额越大，“内卷”的行业土壤越厚。财政自给率的系数为负（−0.035），弱显著：财政越能自给的省份，以补贴和税收优惠“抢企业、保产值”的动机越弱，这已经隐约指向下一节的补贴竞争渠道。对外开放度的系数为负但不显著，提示外需分流虽可缓解本地市场的竞争拥挤，但在样本期内并非决定性力量。城镇化率显著为负（−0.047），与本地市场规模扩大、服务业占比上升从而稀释同质工业竞争的逻辑相符。</w:t>
      </w:r>
    </w:p>
    <w:p>
      <w:pPr>
        <w:spacing w:before="0" w:after="0" w:line="360" w:lineRule="auto"/>
        <w:ind w:firstLineChars="200" w:firstLine="480"/>
      </w:pPr>
      <w:r>
        <w:rPr>
          <w:rFonts w:ascii="Times New Roman" w:hAnsi="Times New Roman" w:eastAsia="宋体"/>
          <w:b w:val="0"/>
          <w:sz w:val="24"/>
        </w:rPr>
        <w:t>统计显著性只回答“有没有”，经济显著性才回答“大不大”。以列（2）的点估计做换算（如式(8-1)所示）：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Δ</m:t>
            </m:r>
            <m:r>
              <m:rPr>
                <m:sty m:val="i"/>
              </m:rPr>
              <m:t>I</m:t>
            </m:r>
            <m:r>
              <m:rPr>
                <m:sty m:val="i"/>
              </m:rPr>
              <m:t>n</m:t>
            </m:r>
            <m:r>
              <m:rPr>
                <m:sty m:val="i"/>
              </m:rPr>
              <m:t>v</m:t>
            </m:r>
            <m:r>
              <m:rPr>
                <m:sty m:val="p"/>
              </m:rPr>
              <m:t>=</m:t>
            </m:r>
            <m:limUpp>
              <m:e>
                <m:box>
                  <m:e>
                    <m:r>
                      <m:rPr>
                        <m:sty m:val="i"/>
                      </m:rPr>
                      <m:t>β</m:t>
                    </m:r>
                  </m:e>
                </m:box>
              </m:e>
              <m:lim>
                <m:r>
                  <m:rPr>
                    <m:sty m:val="p"/>
                  </m:rPr>
                  <m:t>^</m:t>
                </m:r>
              </m:lim>
            </m:limUpp>
            <m:r>
              <m:rPr>
                <m:sty m:val="p"/>
              </m:rPr>
              <m:t>×</m:t>
            </m:r>
            <m:sSub>
              <m:e>
                <m:r>
                  <m:rPr>
                    <m:sty m:val="i"/>
                  </m:rPr>
                  <m:t>σ</m:t>
                </m:r>
              </m:e>
              <m:sub>
                <m:box>
                  <m:e>
                    <m:r>
                      <m:rPr>
                        <m:sty m:val="i"/>
                      </m:rPr>
                      <m:t>S</m:t>
                    </m:r>
                    <m:r>
                      <m:rPr>
                        <m:sty m:val="i"/>
                      </m:rPr>
                      <m:t>e</m:t>
                    </m:r>
                    <m:r>
                      <m:rPr>
                        <m:sty m:val="i"/>
                      </m:rPr>
                      <m:t>g</m:t>
                    </m:r>
                  </m:e>
                </m:box>
              </m:sub>
            </m:sSub>
            <m:r>
              <m:rPr>
                <m:sty m:val="p"/>
              </m:rPr>
              <m:t>=</m:t>
            </m:r>
            <m:r>
              <m:rPr>
                <m:sty m:val="p"/>
              </m:rPr>
              <m:t>0.058</m:t>
            </m:r>
            <m:r>
              <m:rPr>
                <m:sty m:val="p"/>
              </m:rPr>
              <m:t>×</m:t>
            </m:r>
            <m:r>
              <m:rPr>
                <m:sty m:val="p"/>
              </m:rPr>
              <m:t>0.42</m:t>
            </m:r>
            <m:r>
              <m:rPr>
                <m:sty m:val="p"/>
              </m:rPr>
              <m:t>≈</m:t>
            </m:r>
            <m:r>
              <m:rPr>
                <m:sty m:val="p"/>
              </m:rPr>
              <m:t>0.024</m:t>
            </m:r>
          </m:e>
        </m:box>
      </m:oMath>
      <w:r>
        <w:rPr>
          <w:rFonts w:ascii="Times New Roman" w:hAnsi="Times New Roman" w:eastAsia="宋体"/>
          <w:b w:val="0"/>
          <w:sz w:val="24"/>
        </w:rPr>
        <w:tab/>
        <w:t>(8-1)</w:t>
      </w:r>
    </w:p>
    <w:p>
      <w:pPr>
        <w:spacing w:before="0" w:after="0" w:line="360" w:lineRule="auto"/>
        <w:ind w:firstLineChars="200" w:firstLine="480"/>
      </w:pPr>
      <w:r>
        <w:rPr>
          <w:rFonts w:ascii="Times New Roman" w:hAnsi="Times New Roman" w:eastAsia="宋体"/>
          <w:b w:val="0"/>
          <w:sz w:val="24"/>
        </w:rPr>
        <w:t>其中</w:t>
      </w:r>
      <m:oMath>
        <m:box>
          <m:e>
            <m:limUpp>
              <m:e>
                <m:box>
                  <m:e>
                    <m:r>
                      <m:rPr>
                        <m:sty m:val="i"/>
                      </m:rPr>
                      <m:t>β</m:t>
                    </m:r>
                  </m:e>
                </m:box>
              </m:e>
              <m:lim>
                <m:r>
                  <m:rPr>
                    <m:sty m:val="p"/>
                  </m:rPr>
                  <m:t>^</m:t>
                </m:r>
              </m:lim>
            </m:limUpp>
          </m:e>
        </m:box>
      </m:oMath>
      <w:r>
        <w:rPr>
          <w:rFonts w:ascii="Times New Roman" w:hAnsi="Times New Roman" w:eastAsia="宋体"/>
          <w:b w:val="0"/>
          <w:sz w:val="24"/>
        </w:rPr>
        <w:t>为表8.1列（2）中Seg的点估计，</w:t>
      </w:r>
      <m:oMath>
        <m:box>
          <m:e>
            <m:sSub>
              <m:e>
                <m:r>
                  <m:rPr>
                    <m:sty m:val="i"/>
                  </m:rPr>
                  <m:t>σ</m:t>
                </m:r>
              </m:e>
              <m:sub>
                <m:box>
                  <m:e>
                    <m:r>
                      <m:rPr>
                        <m:sty m:val="i"/>
                      </m:rPr>
                      <m:t>S</m:t>
                    </m:r>
                    <m:r>
                      <m:rPr>
                        <m:sty m:val="i"/>
                      </m:rPr>
                      <m:t>e</m:t>
                    </m:r>
                    <m:r>
                      <m:rPr>
                        <m:sty m:val="i"/>
                      </m:rPr>
                      <m:t>g</m:t>
                    </m:r>
                  </m:e>
                </m:box>
              </m:sub>
            </m:sSub>
            <m:r>
              <m:rPr>
                <m:sty m:val="p"/>
              </m:rPr>
              <m:t>=</m:t>
            </m:r>
            <m:r>
              <m:rPr>
                <m:sty m:val="p"/>
              </m:rPr>
              <m:t>0.42</m:t>
            </m:r>
          </m:e>
        </m:box>
      </m:oMath>
      <w:r>
        <w:rPr>
          <w:rFonts w:ascii="Times New Roman" w:hAnsi="Times New Roman" w:eastAsia="宋体"/>
          <w:b w:val="0"/>
          <w:sz w:val="24"/>
        </w:rPr>
        <w:t>为分割指数的样本标准差（见第六章表6.4）。市场分割指数每上升一个标准差，“内卷”指数上升约0.024，相当于其标准差（0.096）的25.4%，亦相当于样本均值（0.383）的约6.3%。这一量级绝非可以忽略：作为参照，按此点估计推算，2024年西部与东部市场分割指数之差（2.26−1.60＝0.66）对应的“内卷”指数差异约为0.038，占两大区域当年“内卷”指数实际差距（0.514−0.412＝0.102）的三分之一以上。换言之，仅市场分割一个变量，就能在统计意义上“解释”东西部“内卷”落差的约37%。另一个直观参照来自时间维度：0.024大体相当于全国“内卷”指数在2019—2020年外生冲击下的年度跳升幅度（由0.348升至0.371），即分割指数一个标准差的截面差异，其“催卷”能量与一次全国性冲击的年度效应相当。考虑到地方保护对单一行业造成的福利损失已被微观研究证明相当可观——对中国汽车市场的结构估计显示，地方保护使消费者被迫转向本地品牌、承受显著的价格与选择扭曲（Barwick等，2021）——省域加总层面出现如此量级的秩序成本，是完全可以理解的。</w:t>
      </w:r>
    </w:p>
    <w:p>
      <w:pPr>
        <w:spacing w:before="0" w:after="0" w:line="360" w:lineRule="auto"/>
        <w:ind w:firstLineChars="200" w:firstLine="480"/>
      </w:pPr>
      <w:r>
        <w:rPr>
          <w:rFonts w:ascii="Times New Roman" w:hAnsi="Times New Roman" w:eastAsia="宋体"/>
          <w:b w:val="0"/>
          <w:sz w:val="24"/>
        </w:rPr>
        <w:t>列（3）与列（4）的分维度结果进一步揭示了“催卷”效应的内部结构。分割对价格竞争烈度的效应（0.066）明显大于对产能冗余度的效应（0.049），两者均在1%的水平上显著。这一“价格边际反应更强”的格局符合调整成本的经济学逻辑：价格是最灵活的竞争工具，分割引致的本地市场势力与补贴支持一旦形成，企业几乎可以立即将其转化为更具进攻性的定价行为；而产能是存量变量，其冗余的累积须经由投资、建设的时滞方能显现，故当期弹性相对较小。但恰恰是产能维度的显著为正更值得警惕——它意味着分割不仅扭曲当期价格行为，还在源源不断地制造未来的过剩产能，将“内卷”的物质基础不断做厚。两个维度同时显著，说明分割的“催卷”作用同时侵蚀第三章界定的“超低价竞争”与“同质化产能扩张”两大特征事实，与第四章命题4-3（补贴竞争推低价格）和命题4-4（分割引致过度进入）的双重预测严丝合缝。</w:t>
      </w:r>
    </w:p>
    <w:p>
      <w:pPr>
        <w:spacing w:before="0" w:after="0" w:line="360" w:lineRule="auto"/>
        <w:ind w:firstLineChars="200" w:firstLine="480"/>
      </w:pPr>
      <w:r>
        <w:rPr>
          <w:rFonts w:ascii="Times New Roman" w:hAnsi="Times New Roman" w:eastAsia="宋体"/>
          <w:b w:val="0"/>
          <w:sz w:val="24"/>
        </w:rPr>
        <w:t>将基准结果置于文献坐标中，其含义更为完整。市场分割与增长的经典研究表明，分割对本地即期增长可能“有利”，从而使地方政府陷入“分割的囚徒困境”而缺乏单边打破的激励（陆铭、陈钊，2009）；产能过剩的体制成因研究则证明，地区竞争与体制扭曲而非单纯的市场失灵，是中国重复建设与产能过剩的深层根源（江飞涛等，2012）。本书的边际推进在于：以统一口径的省域“内卷”强度指数为结果变量，首次在31省2012—2024年的面板上给出了“分割→内卷”总效应的系统估计，并显示该效应在价格与产能两个边际上同时成立。既有文献或以产能利用率、或以利润率、或以重复建设个案刻画竞争秩序的恶化，指标彼此分立、难以加总；本书的五维合成指数把价格、产能、盈利、同质化与退出五个断面纳入同一标尺，使“分割→内卷”的关系第一次能够在综合意义上被估计与比较，这是对既有研究的直接补充。当然，基准回归还不足以宣称因果——双向因果与时变遗漏变量的威胁将留待本章第四节以工具变量正面处理——但一个在多种设定下稳定于0.05—0.07区间、经济含义可观的正系数，已经为后续的机制分解与因果识别搭好了基准线。</w:t>
      </w:r>
    </w:p>
    <w:p>
      <w:pPr>
        <w:spacing w:before="200" w:after="160" w:line="360" w:lineRule="auto"/>
        <w:outlineLvl w:val="1"/>
      </w:pPr>
      <w:r>
        <w:rPr>
          <w:rFonts w:ascii="Times New Roman" w:hAnsi="Times New Roman" w:eastAsia="黑体"/>
          <w:b w:val="0"/>
          <w:sz w:val="28"/>
        </w:rPr>
        <w:t>（二）机制检验：分割“催卷”的三条传导渠道</w:t>
      </w:r>
    </w:p>
    <w:p>
      <w:pPr>
        <w:spacing w:before="160" w:after="120" w:line="360" w:lineRule="auto"/>
        <w:outlineLvl w:val="2"/>
      </w:pPr>
      <w:r>
        <w:rPr>
          <w:rFonts w:ascii="Times New Roman" w:hAnsi="Times New Roman" w:eastAsia="黑体"/>
          <w:b w:val="0"/>
          <w:sz w:val="24"/>
        </w:rPr>
        <w:t>1．三条渠道的理论逻辑</w:t>
      </w:r>
    </w:p>
    <w:p>
      <w:pPr>
        <w:spacing w:before="0" w:after="0" w:line="360" w:lineRule="auto"/>
        <w:ind w:firstLineChars="200" w:firstLine="480"/>
      </w:pPr>
      <w:r>
        <w:rPr>
          <w:rFonts w:ascii="Times New Roman" w:hAnsi="Times New Roman" w:eastAsia="宋体"/>
          <w:b w:val="0"/>
          <w:sz w:val="24"/>
        </w:rPr>
        <w:t>基准回归确认了“分割加剧内卷”的总效应，但总效应是一只黑箱：分割经由何种行为链条转化为“内卷”？第四章的理论模型给出了三条可检验的传导渠道，本小节先逐一交代其理论逻辑与操作化方案。第一条是补贴竞争渠道，源于命题4-3：市场分割抬高本地企业的市场势力与本地产值的边际政治收益，在晋升激励约束下，地方政府的均衡补贴随分割程度上升而上升；更关键的是，补贴博弈具有囚徒困境结构——单个地区加码补贴可以从邻近地区夺取产量与税基，各地遂相互攀比、竞相加码，合成谬误的结果是行业总产能超过社会最优、价格被推向真实成本之下。补贴的形态在现实中远比财政补助宽泛：晋升竞争下的工业用地低价出让本质上就是一种隐性要素补贴（杨其静、彭艳琼，2015），电价优惠、税收返还、代建厂房、政府引导基金跟投亦然——第五章的行业画像显示，光伏产能的“一哄而上”正是靠这一整套招商政策菜单催熟的。考虑到隐性补贴难以完整观测，本书以辖区上市公司政府补助与营业收入之比（Sub）作为可测度的代理变量；该口径虽只覆盖显性财政补助，但显性与隐性支持在地方竞争中高度同源共生，代理变量的测量误差更多造成渠道效应的低估而非高估，这使得显著的检验结果更具说服力。</w:t>
      </w:r>
    </w:p>
    <w:p>
      <w:pPr>
        <w:spacing w:before="0" w:after="0" w:line="360" w:lineRule="auto"/>
        <w:ind w:firstLineChars="200" w:firstLine="480"/>
      </w:pPr>
      <w:r>
        <w:rPr>
          <w:rFonts w:ascii="Times New Roman" w:hAnsi="Times New Roman" w:eastAsia="宋体"/>
          <w:b w:val="0"/>
          <w:sz w:val="24"/>
        </w:rPr>
        <w:t>第二条是产业同构渠道，源于命题4-4：分割把全国市场切割为多个次尺度区域市场，每个区域都试图在本地复制“有前景”的产业目录，自由进入条件下全行业企业总数系统性冗余、单厂规模低于最小有效规模、平均成本被系统性抬高。发展中国家对前景良好产业的社会性共识本就容易引致投资“潮涌”与事后产能过剩（林毅夫等，2010），地方保护又被证明会显著压低产业的地区专业化程度、造成产业结构趋同（白重恩等，2004），而地方政府决策中的同群模仿效应进一步放大了布局的同步性（邓慧慧、赵家羚，2018）。经验事实与之高度一致：既有测算显示，中国省际制造业结构相似系数由2000年的约0.45升至2014年的约0.58，趋同程度持续上升；第五章的最新事实更为直观——31个省份的“十五五”产业布局全部指向新能源，29个指向氢能，据国家能源局数据，新型储能装机超过100万千瓦的省份已达17个；而据国家发展改革委等六部门公告口径，全国纳入审核目录的开发区多达2543家，庞大的园区存量为“县县点火、省省冒烟”的复制式布局提供了物理载体。本书以省际制造业结构相似系数（Sim）度量该渠道。</w:t>
      </w:r>
    </w:p>
    <w:p>
      <w:pPr>
        <w:spacing w:before="0" w:after="0" w:line="360" w:lineRule="auto"/>
        <w:ind w:firstLineChars="200" w:firstLine="480"/>
      </w:pPr>
      <w:r>
        <w:rPr>
          <w:rFonts w:ascii="Times New Roman" w:hAnsi="Times New Roman" w:eastAsia="宋体"/>
          <w:b w:val="0"/>
          <w:sz w:val="24"/>
        </w:rPr>
        <w:t>第三条是退出粘性渠道，源于命题4-5：分割经济中企业规模小、盈利薄，需求收缩冲击更易将行业推入“价格低于平均成本而无人退出”的“内卷均衡”，而地方政府出于税源、就业与社会稳定考量对本地企业的隐性庇护——续贷安排、补贴续命、缓破产、缓注销——恰恰抬高了退出摩擦参数，这正是第三章“四重扭曲”中退出机制失灵一环的微观内容。司法与破产制度的经验研究显示，司法去地方化改革显著促进了低效企业的破产出清（丁海等，2024），反证退出机制受地方干预左右正是出清失灵的制度根源。行业事实同样触目：据中国光伏行业协会（CPIA）数据，2024年上半年光伏新投产能同比减少75%、超过20个项目终止或延期，但存量产能的实质性退出依然迟缓——据联合资信测算，2024年底国内多晶硅有效产能仍可满足约1365GW的硅片需求、冗余超过100%，“新增刹车容易、存量出清艰难”的不对称暴露无遗。本书以企业退出率（Exit）反向度量退出粘性——分割若经由该渠道起作用，应表现为分割压低退出率、退出率又与“内卷”强度负相关。</w:t>
      </w:r>
    </w:p>
    <w:p>
      <w:pPr>
        <w:spacing w:before="160" w:after="120" w:line="360" w:lineRule="auto"/>
        <w:outlineLvl w:val="2"/>
      </w:pPr>
      <w:r>
        <w:rPr>
          <w:rFonts w:ascii="Times New Roman" w:hAnsi="Times New Roman" w:eastAsia="黑体"/>
          <w:b w:val="0"/>
          <w:sz w:val="24"/>
        </w:rPr>
        <w:t>2．两步法估计结果</w:t>
      </w:r>
    </w:p>
    <w:p>
      <w:pPr>
        <w:spacing w:before="0" w:after="0" w:line="360" w:lineRule="auto"/>
        <w:ind w:firstLineChars="200" w:firstLine="480"/>
      </w:pPr>
      <w:r>
        <w:rPr>
          <w:rFonts w:ascii="Times New Roman" w:hAnsi="Times New Roman" w:eastAsia="宋体"/>
          <w:b w:val="0"/>
          <w:sz w:val="24"/>
        </w:rPr>
        <w:t>按照第六章式(6-11)与式(6-12)的两步法设定，第一步以三个机制变量分别对Seg回归，检验分割是否显著推动各渠道；第二步将机制变量与Seg同时纳入“内卷”方程，考察机制变量的解释力及Seg直接效应的衰减幅度。全部方程保持与基准列（2）一致的控制变量与双固定效应。估计结果如下（见表8.2）。</w:t>
      </w:r>
    </w:p>
    <w:p>
      <w:pPr>
        <w:spacing w:before="160" w:after="80" w:line="312" w:lineRule="auto"/>
        <w:jc w:val="center"/>
      </w:pPr>
      <w:r>
        <w:rPr>
          <w:rFonts w:ascii="Times New Roman" w:hAnsi="Times New Roman" w:eastAsia="黑体"/>
          <w:b w:val="0"/>
          <w:sz w:val="21"/>
        </w:rPr>
        <w:t>表8.2　机制检验：补贴竞争、产业同构与退出粘性</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第一步（1）Sub</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第一步（2）Sim</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第一步（3）Exit</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第二步（4）Inv</w:t>
            </w:r>
          </w:p>
        </w:tc>
      </w:tr>
      <w:tr>
        <w:tc>
          <w:tcPr>
            <w:tcW w:type="dxa" w:w="1701"/>
          </w:tcPr>
          <w:p>
            <w:pPr>
              <w:spacing w:before="20" w:after="20" w:line="276" w:lineRule="auto"/>
              <w:jc w:val="left"/>
            </w:pPr>
            <w:r/>
            <w:r>
              <w:rPr>
                <w:rFonts w:ascii="Times New Roman" w:hAnsi="Times New Roman" w:eastAsia="宋体"/>
                <w:b w:val="0"/>
                <w:sz w:val="21"/>
              </w:rPr>
              <w:t>Seg</w:t>
            </w:r>
          </w:p>
        </w:tc>
        <w:tc>
          <w:tcPr>
            <w:tcW w:type="dxa" w:w="1701"/>
          </w:tcPr>
          <w:p>
            <w:pPr>
              <w:spacing w:before="20" w:after="20" w:line="276" w:lineRule="auto"/>
              <w:jc w:val="left"/>
            </w:pPr>
            <w:r/>
            <w:r>
              <w:rPr>
                <w:rFonts w:ascii="Times New Roman" w:hAnsi="Times New Roman" w:eastAsia="宋体"/>
                <w:b w:val="0"/>
                <w:sz w:val="21"/>
              </w:rPr>
              <w:t>0.214***（0.052）</w:t>
            </w:r>
          </w:p>
        </w:tc>
        <w:tc>
          <w:tcPr>
            <w:tcW w:type="dxa" w:w="1701"/>
          </w:tcPr>
          <w:p>
            <w:pPr>
              <w:spacing w:before="20" w:after="20" w:line="276" w:lineRule="auto"/>
              <w:jc w:val="left"/>
            </w:pPr>
            <w:r/>
            <w:r>
              <w:rPr>
                <w:rFonts w:ascii="Times New Roman" w:hAnsi="Times New Roman" w:eastAsia="宋体"/>
                <w:b w:val="0"/>
                <w:sz w:val="21"/>
              </w:rPr>
              <w:t>0.038***（0.009）</w:t>
            </w:r>
          </w:p>
        </w:tc>
        <w:tc>
          <w:tcPr>
            <w:tcW w:type="dxa" w:w="1701"/>
          </w:tcPr>
          <w:p>
            <w:pPr>
              <w:spacing w:before="20" w:after="20" w:line="276" w:lineRule="auto"/>
              <w:jc w:val="left"/>
            </w:pPr>
            <w:r/>
            <w:r>
              <w:rPr>
                <w:rFonts w:ascii="Times New Roman" w:hAnsi="Times New Roman" w:eastAsia="宋体"/>
                <w:b w:val="0"/>
                <w:sz w:val="21"/>
              </w:rPr>
              <w:t>−0.83**（0.34）</w:t>
            </w:r>
          </w:p>
        </w:tc>
        <w:tc>
          <w:tcPr>
            <w:tcW w:type="dxa" w:w="1701"/>
          </w:tcPr>
          <w:p>
            <w:pPr>
              <w:spacing w:before="20" w:after="20" w:line="276" w:lineRule="auto"/>
              <w:jc w:val="left"/>
            </w:pPr>
            <w:r/>
            <w:r>
              <w:rPr>
                <w:rFonts w:ascii="Times New Roman" w:hAnsi="Times New Roman" w:eastAsia="宋体"/>
                <w:b w:val="0"/>
                <w:sz w:val="21"/>
              </w:rPr>
              <w:t>0.036**（0.014）</w:t>
            </w:r>
          </w:p>
        </w:tc>
      </w:tr>
      <w:tr>
        <w:tc>
          <w:tcPr>
            <w:tcW w:type="dxa" w:w="1701"/>
          </w:tcPr>
          <w:p>
            <w:pPr>
              <w:spacing w:before="20" w:after="20" w:line="276" w:lineRule="auto"/>
              <w:jc w:val="left"/>
            </w:pPr>
            <w:r/>
            <w:r>
              <w:rPr>
                <w:rFonts w:ascii="Times New Roman" w:hAnsi="Times New Roman" w:eastAsia="宋体"/>
                <w:b w:val="0"/>
                <w:sz w:val="21"/>
              </w:rPr>
              <w:t>Sub</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0.041***（0.012）</w:t>
            </w:r>
          </w:p>
        </w:tc>
      </w:tr>
      <w:tr>
        <w:tc>
          <w:tcPr>
            <w:tcW w:type="dxa" w:w="1701"/>
          </w:tcPr>
          <w:p>
            <w:pPr>
              <w:spacing w:before="20" w:after="20" w:line="276" w:lineRule="auto"/>
              <w:jc w:val="left"/>
            </w:pPr>
            <w:r/>
            <w:r>
              <w:rPr>
                <w:rFonts w:ascii="Times New Roman" w:hAnsi="Times New Roman" w:eastAsia="宋体"/>
                <w:b w:val="0"/>
                <w:sz w:val="21"/>
              </w:rPr>
              <w:t>Sim</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0.297***（0.081）</w:t>
            </w:r>
          </w:p>
        </w:tc>
      </w:tr>
      <w:tr>
        <w:tc>
          <w:tcPr>
            <w:tcW w:type="dxa" w:w="1701"/>
          </w:tcPr>
          <w:p>
            <w:pPr>
              <w:spacing w:before="20" w:after="20" w:line="276" w:lineRule="auto"/>
              <w:jc w:val="left"/>
            </w:pPr>
            <w:r/>
            <w:r>
              <w:rPr>
                <w:rFonts w:ascii="Times New Roman" w:hAnsi="Times New Roman" w:eastAsia="宋体"/>
                <w:b w:val="0"/>
                <w:sz w:val="21"/>
              </w:rPr>
              <w:t>Exit</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center"/>
            </w:pPr>
            <w:r/>
            <w:r>
              <w:rPr>
                <w:rFonts w:ascii="Times New Roman" w:hAnsi="Times New Roman" w:eastAsia="宋体"/>
                <w:b w:val="0"/>
                <w:sz w:val="21"/>
              </w:rPr>
              <w:t>—</w:t>
            </w:r>
          </w:p>
        </w:tc>
        <w:tc>
          <w:tcPr>
            <w:tcW w:type="dxa" w:w="1701"/>
          </w:tcPr>
          <w:p>
            <w:pPr>
              <w:spacing w:before="20" w:after="20" w:line="276" w:lineRule="auto"/>
              <w:jc w:val="left"/>
            </w:pPr>
            <w:r/>
            <w:r>
              <w:rPr>
                <w:rFonts w:ascii="Times New Roman" w:hAnsi="Times New Roman" w:eastAsia="宋体"/>
                <w:b w:val="0"/>
                <w:sz w:val="21"/>
              </w:rPr>
              <w:t>−0.0046**（0.0021）</w:t>
            </w:r>
          </w:p>
        </w:tc>
      </w:tr>
      <w:tr>
        <w:tc>
          <w:tcPr>
            <w:tcW w:type="dxa" w:w="1701"/>
          </w:tcPr>
          <w:p>
            <w:pPr>
              <w:spacing w:before="20" w:after="20" w:line="276" w:lineRule="auto"/>
              <w:jc w:val="left"/>
            </w:pPr>
            <w:r/>
            <w:r>
              <w:rPr>
                <w:rFonts w:ascii="Times New Roman" w:hAnsi="Times New Roman" w:eastAsia="宋体"/>
                <w:b w:val="0"/>
                <w:sz w:val="21"/>
              </w:rPr>
              <w:t>控制变量</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r>
      <w:tr>
        <w:tc>
          <w:tcPr>
            <w:tcW w:type="dxa" w:w="1701"/>
          </w:tcPr>
          <w:p>
            <w:pPr>
              <w:spacing w:before="20" w:after="20" w:line="276" w:lineRule="auto"/>
              <w:jc w:val="left"/>
            </w:pPr>
            <w:r/>
            <w:r>
              <w:rPr>
                <w:rFonts w:ascii="Times New Roman" w:hAnsi="Times New Roman" w:eastAsia="宋体"/>
                <w:b w:val="0"/>
                <w:sz w:val="21"/>
              </w:rPr>
              <w:t>省份固定效应</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r>
      <w:tr>
        <w:tc>
          <w:tcPr>
            <w:tcW w:type="dxa" w:w="1701"/>
          </w:tcPr>
          <w:p>
            <w:pPr>
              <w:spacing w:before="20" w:after="20" w:line="276" w:lineRule="auto"/>
              <w:jc w:val="left"/>
            </w:pPr>
            <w:r/>
            <w:r>
              <w:rPr>
                <w:rFonts w:ascii="Times New Roman" w:hAnsi="Times New Roman" w:eastAsia="宋体"/>
                <w:b w:val="0"/>
                <w:sz w:val="21"/>
              </w:rPr>
              <w:t>年份固定效应</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c>
          <w:tcPr>
            <w:tcW w:type="dxa" w:w="1701"/>
          </w:tcPr>
          <w:p>
            <w:pPr>
              <w:spacing w:before="20" w:after="20" w:line="276" w:lineRule="auto"/>
              <w:jc w:val="left"/>
            </w:pPr>
            <w:r/>
            <w:r>
              <w:rPr>
                <w:rFonts w:ascii="Times New Roman" w:hAnsi="Times New Roman" w:eastAsia="宋体"/>
                <w:b w:val="0"/>
                <w:sz w:val="21"/>
              </w:rPr>
              <w:t>是</w:t>
            </w:r>
          </w:p>
        </w:tc>
      </w:tr>
      <w:tr>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N</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1701"/>
            <w:tcBorders>
              <w:bottom w:val="single" w:sz="12" w:color="000000"/>
            </w:tcBorders>
          </w:tcPr>
          <w:p>
            <w:pPr>
              <w:spacing w:before="20" w:after="20" w:line="276" w:lineRule="auto"/>
              <w:jc w:val="center"/>
            </w:pPr>
            <w:r/>
            <w:r>
              <w:rPr>
                <w:rFonts w:ascii="Times New Roman" w:hAnsi="Times New Roman" w:eastAsia="宋体"/>
                <w:b w:val="0"/>
                <w:sz w:val="21"/>
              </w:rPr>
              <w:t>403</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注：列（1）—（3）为式(6-11)的第一步回归，被解释变量依次为补贴强度、产业结构相似系数与企业退出率；列（4）为式(6-12)的第二步回归，三个机制变量与Seg同时纳入。</w:t>
      </w:r>
    </w:p>
    <w:p>
      <w:pPr>
        <w:spacing w:before="0" w:after="0" w:line="360" w:lineRule="auto"/>
        <w:ind w:firstLineChars="200" w:firstLine="480"/>
      </w:pPr>
      <w:r>
        <w:rPr>
          <w:rFonts w:ascii="Times New Roman" w:hAnsi="Times New Roman" w:eastAsia="宋体"/>
          <w:b w:val="0"/>
          <w:sz w:val="24"/>
        </w:rPr>
        <w:t>第一步结果显示，分割对三条渠道的推动作用全部显著且方向与理论预期一致。列（1）中，Seg对补贴强度的系数为0.214，在1%的水平上显著：分割指数每上升一个标准差（0.42），补贴强度上升约0.09个百分点，相当于其样本标准差（0.31）的29%——考虑到补贴强度的样本均值仅为0.68%，这一推动幅度相当于均值的13%左右，印证了“分割越重、补贴越凶”的博弈逻辑。列（2）中，Seg对产业结构相似系数的效应为0.038，同样在1%的水平上显著：分割指数上升一个标准差对应相似系数上升约0.016，相当于其标准差（0.104）的15%，说明市场越分割的省份，其产业结构与全国的趋同程度越高，本地“小而全”的复制冲动越强。列（3）中，Seg对企业退出率的系数为−0.83，在5%的水平上显著为负：分割指数上升一个标准差，企业退出率下降约0.35个百分点，相当于退出率样本均值（6.82%）的5%、标准差（2.15）的16%。分割不仅“催生”进入，还在“阻止”退出——一进一出两个闸门同时失灵，正是产能冗余持续累积的流量机制。三个第一步系数放在一起看，其量级排布也颇具信息量：以标准化幅度计，分割对补贴强度的推动（29%）大于对退出率的抑制（16%）与对同构程度的推动（15%），说明在分割加深的第一时间，地方政府反应最快的政策杠杆是补贴——财政资金的拨付远比产业布局的调整和企业生死的更替灵敏，行为反应的时序结构与政策工具的操作成本高度一致。</w:t>
      </w:r>
    </w:p>
    <w:p>
      <w:pPr>
        <w:spacing w:before="0" w:after="0" w:line="360" w:lineRule="auto"/>
        <w:ind w:firstLineChars="200" w:firstLine="480"/>
      </w:pPr>
      <w:r>
        <w:rPr>
          <w:rFonts w:ascii="Times New Roman" w:hAnsi="Times New Roman" w:eastAsia="宋体"/>
          <w:b w:val="0"/>
          <w:sz w:val="24"/>
        </w:rPr>
        <w:t>第二步结果确认了三条渠道对“内卷”的解释力。列（4）中，补贴强度的系数为0.041、产业相似系数的系数为0.297、企业退出率的系数为−0.0046，分别在1%、1%与5%的水平上显著，方向全部符合理论预期：补贴越强、同构越深、退出越滞，“内卷”越烈。与此同时，Seg的直接效应由基准的0.058降至0.036，显著性水平由1%降至5%，衰减幅度按式(8-2)计算约为38%：</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ρ</m:t>
            </m:r>
            <m:r>
              <m:rPr>
                <m:sty m:val="p"/>
              </m:rPr>
              <m:t>=</m:t>
            </m:r>
            <m:f>
              <m:num>
                <m:box>
                  <m:e>
                    <m:limUpp>
                      <m:e>
                        <m:box>
                          <m:e>
                            <m:r>
                              <m:rPr>
                                <m:sty m:val="i"/>
                              </m:rPr>
                              <m:t>β</m:t>
                            </m:r>
                          </m:e>
                        </m:box>
                      </m:e>
                      <m:lim>
                        <m:r>
                          <m:rPr>
                            <m:sty m:val="p"/>
                          </m:rPr>
                          <m:t>^</m:t>
                        </m:r>
                      </m:lim>
                    </m:limUpp>
                    <m:r>
                      <m:rPr>
                        <m:sty m:val="p"/>
                      </m:rPr>
                      <m:t>−</m:t>
                    </m:r>
                    <m:sSub>
                      <m:e>
                        <m:limUpp>
                          <m:e>
                            <m:box>
                              <m:e>
                                <m:r>
                                  <m:rPr>
                                    <m:sty m:val="i"/>
                                  </m:rPr>
                                  <m:t>b</m:t>
                                </m:r>
                              </m:e>
                            </m:box>
                          </m:e>
                          <m:lim>
                            <m:r>
                              <m:rPr>
                                <m:sty m:val="p"/>
                              </m:rPr>
                              <m:t>^</m:t>
                            </m:r>
                          </m:lim>
                        </m:limUpp>
                      </m:e>
                      <m:sub>
                        <m:box>
                          <m:e>
                            <m:r>
                              <m:rPr>
                                <m:sty m:val="p"/>
                              </m:rPr>
                              <m:t>1</m:t>
                            </m:r>
                          </m:e>
                        </m:box>
                      </m:sub>
                    </m:sSub>
                  </m:e>
                </m:box>
              </m:num>
              <m:den>
                <m:box>
                  <m:e>
                    <m:limUpp>
                      <m:e>
                        <m:box>
                          <m:e>
                            <m:r>
                              <m:rPr>
                                <m:sty m:val="i"/>
                              </m:rPr>
                              <m:t>β</m:t>
                            </m:r>
                          </m:e>
                        </m:box>
                      </m:e>
                      <m:lim>
                        <m:r>
                          <m:rPr>
                            <m:sty m:val="p"/>
                          </m:rPr>
                          <m:t>^</m:t>
                        </m:r>
                      </m:lim>
                    </m:limUpp>
                  </m:e>
                </m:box>
              </m:den>
            </m:f>
            <m:r>
              <m:rPr>
                <m:sty m:val="p"/>
              </m:rPr>
              <m:t>=</m:t>
            </m:r>
            <m:f>
              <m:num>
                <m:box>
                  <m:e>
                    <m:r>
                      <m:rPr>
                        <m:sty m:val="p"/>
                      </m:rPr>
                      <m:t>0.058</m:t>
                    </m:r>
                    <m:r>
                      <m:rPr>
                        <m:sty m:val="p"/>
                      </m:rPr>
                      <m:t>−</m:t>
                    </m:r>
                    <m:r>
                      <m:rPr>
                        <m:sty m:val="p"/>
                      </m:rPr>
                      <m:t>0.036</m:t>
                    </m:r>
                  </m:e>
                </m:box>
              </m:num>
              <m:den>
                <m:box>
                  <m:e>
                    <m:r>
                      <m:rPr>
                        <m:sty m:val="p"/>
                      </m:rPr>
                      <m:t>0.058</m:t>
                    </m:r>
                  </m:e>
                </m:box>
              </m:den>
            </m:f>
            <m:r>
              <m:rPr>
                <m:sty m:val="p"/>
              </m:rPr>
              <m:t>≈</m:t>
            </m:r>
            <m:r>
              <m:rPr>
                <m:sty m:val="p"/>
              </m:rPr>
              <m:t>38</m:t>
            </m:r>
            <m:r>
              <m:rPr>
                <m:sty m:val="i"/>
              </m:rPr>
              <m:t>%</m:t>
            </m:r>
          </m:e>
        </m:box>
      </m:oMath>
      <w:r>
        <w:rPr>
          <w:rFonts w:ascii="Times New Roman" w:hAnsi="Times New Roman" w:eastAsia="宋体"/>
          <w:b w:val="0"/>
          <w:sz w:val="24"/>
        </w:rPr>
        <w:tab/>
        <w:t>(8-2)</w:t>
      </w:r>
    </w:p>
    <w:p>
      <w:pPr>
        <w:spacing w:before="0" w:after="0" w:line="360" w:lineRule="auto"/>
        <w:ind w:firstLineChars="200" w:firstLine="480"/>
      </w:pPr>
      <w:r>
        <w:rPr>
          <w:rFonts w:ascii="Times New Roman" w:hAnsi="Times New Roman" w:eastAsia="宋体"/>
          <w:b w:val="0"/>
          <w:sz w:val="24"/>
        </w:rPr>
        <w:t>其中</w:t>
      </w:r>
      <m:oMath>
        <m:box>
          <m:e>
            <m:sSub>
              <m:e>
                <m:limUpp>
                  <m:e>
                    <m:box>
                      <m:e>
                        <m:r>
                          <m:rPr>
                            <m:sty m:val="i"/>
                          </m:rPr>
                          <m:t>b</m:t>
                        </m:r>
                      </m:e>
                    </m:box>
                  </m:e>
                  <m:lim>
                    <m:r>
                      <m:rPr>
                        <m:sty m:val="p"/>
                      </m:rPr>
                      <m:t>^</m:t>
                    </m:r>
                  </m:lim>
                </m:limUpp>
              </m:e>
              <m:sub>
                <m:box>
                  <m:e>
                    <m:r>
                      <m:rPr>
                        <m:sty m:val="p"/>
                      </m:rPr>
                      <m:t>1</m:t>
                    </m:r>
                  </m:e>
                </m:box>
              </m:sub>
            </m:sSub>
          </m:e>
        </m:box>
      </m:oMath>
      <w:r>
        <w:rPr>
          <w:rFonts w:ascii="Times New Roman" w:hAnsi="Times New Roman" w:eastAsia="宋体"/>
          <w:b w:val="0"/>
          <w:sz w:val="24"/>
        </w:rPr>
        <w:t>为第二步方程中Seg的系数。这一衰减结构表明，补贴竞争、产业同构与退出粘性构成分割影响“内卷”的重要传导渠道，属于典型的部分中介：约四成的总效应经由三条可观测渠道传导，其余六成则由本地市场势力直接扭曲定价行为、分割抑制规模经济等更难单独度量的路径承担。直接效应在控制三渠道后仍显著为正，也提醒我们不能把“反内卷”的政策着力点仅仅局限于补贴清理一端——分割本身的存在就在持续产生“催卷”压力。</w:t>
      </w:r>
    </w:p>
    <w:p>
      <w:pPr>
        <w:spacing w:before="160" w:after="120" w:line="360" w:lineRule="auto"/>
        <w:outlineLvl w:val="2"/>
      </w:pPr>
      <w:r>
        <w:rPr>
          <w:rFonts w:ascii="Times New Roman" w:hAnsi="Times New Roman" w:eastAsia="黑体"/>
          <w:b w:val="0"/>
          <w:sz w:val="24"/>
        </w:rPr>
        <w:t>3．传导路径的整体图景</w:t>
      </w:r>
    </w:p>
    <w:p>
      <w:pPr>
        <w:spacing w:before="0" w:after="0" w:line="360" w:lineRule="auto"/>
        <w:ind w:firstLineChars="200" w:firstLine="480"/>
      </w:pPr>
      <w:r>
        <w:rPr>
          <w:rFonts w:ascii="Times New Roman" w:hAnsi="Times New Roman" w:eastAsia="宋体"/>
          <w:b w:val="0"/>
          <w:sz w:val="24"/>
        </w:rPr>
        <w:t>为直观呈现两步法所刻画的传导结构，本书将各路径系数绘制为机制路径图（见图8.1）。</w:t>
      </w:r>
    </w:p>
    <w:p>
      <w:pPr>
        <w:spacing w:before="120"/>
        <w:jc w:val="center"/>
      </w:pPr>
      <w:r>
        <w:drawing>
          <wp:inline xmlns:a="http://schemas.openxmlformats.org/drawingml/2006/main" xmlns:pic="http://schemas.openxmlformats.org/drawingml/2006/picture">
            <wp:extent cx="5112000" cy="2503635"/>
            <wp:docPr id="23" name="Picture 23"/>
            <wp:cNvGraphicFramePr>
              <a:graphicFrameLocks noChangeAspect="1"/>
            </wp:cNvGraphicFramePr>
            <a:graphic>
              <a:graphicData uri="http://schemas.openxmlformats.org/drawingml/2006/picture">
                <pic:pic>
                  <pic:nvPicPr>
                    <pic:cNvPr id="0" name="fig_8_1.png"/>
                    <pic:cNvPicPr/>
                  </pic:nvPicPr>
                  <pic:blipFill>
                    <a:blip r:embed="rId31"/>
                    <a:stretch>
                      <a:fillRect/>
                    </a:stretch>
                  </pic:blipFill>
                  <pic:spPr>
                    <a:xfrm>
                      <a:off x="0" y="0"/>
                      <a:ext cx="5112000" cy="2503635"/>
                    </a:xfrm>
                    <a:prstGeom prst="rect"/>
                  </pic:spPr>
                </pic:pic>
              </a:graphicData>
            </a:graphic>
          </wp:inline>
        </w:drawing>
      </w:r>
    </w:p>
    <w:p>
      <w:pPr>
        <w:spacing w:before="120" w:after="120" w:line="312" w:lineRule="auto"/>
        <w:jc w:val="center"/>
      </w:pPr>
      <w:r>
        <w:rPr>
          <w:rFonts w:ascii="Times New Roman" w:hAnsi="Times New Roman" w:eastAsia="黑体"/>
          <w:b w:val="0"/>
          <w:sz w:val="21"/>
        </w:rPr>
        <w:t>图8.1　机制检验路径系数图</w:t>
      </w:r>
    </w:p>
    <w:p>
      <w:pPr>
        <w:spacing w:before="0" w:after="0" w:line="360" w:lineRule="auto"/>
        <w:ind w:firstLineChars="200" w:firstLine="480"/>
      </w:pPr>
      <w:r>
        <w:rPr>
          <w:rFonts w:ascii="Times New Roman" w:hAnsi="Times New Roman" w:eastAsia="宋体"/>
          <w:b w:val="0"/>
          <w:sz w:val="24"/>
        </w:rPr>
        <w:t>图8.1以Seg为起点、Inv为终点，三条中介路径与一条直接路径并列：分割每单位变动推动补贴强度上升0.214、产业相似系数上升0.038、企业退出率下降0.83，三者再分别以0.041、0.297与−0.0046的边际效应作用于“内卷”指数，直接路径的系数则由0.058收缩至0.036。路径图的价值在于把散落于表8.2各列的系数还原为一个有方向、有结构的行为叙事：分割首先改变的是地方政府的政策组合——更多补贴、更趋同的产业选择、更宽纵的退出庇护——企业部门再把这套被扭曲的激励环境转化为过度进入、压价竞争与滞留不退的微观行为，最终沉淀为“内卷”指数的攀升。换言之，“内卷”表面上是企业间的缠斗，其上游推手却是行政边界内的政府行为，这正是“规范地方政府和企业行为”须双管齐下的实证依据。按点估计将两段系数相乘，可得各渠道的间接效应贡献：补贴渠道约0.009（0.214×0.041）、同构渠道约0.011（0.038×0.297）、退出渠道约0.004（0.83×0.0046），三者合计约0.024，与差值法测得的中介总量（0.058−0.036＝0.022）量级一致，交叉验证了分解的内部自洽。就相对结构而言，产业同构渠道贡献最大（约占中介总量的近一半），补贴竞争渠道次之（约三分之一强），退出粘性渠道居第三（约六分之一）。这一排序富有政策含义：它意味着治理“内卷式”竞争，除了清理显性补贴之外，更须校正驱动各地产业目录趋同的深层激励，并疏通低效产能的退出通道——这正对应第十一章政策工具箱中“招商引资清单管理”“统一产业规划信息披露”与“健全企业破产与简易退出制度”三组安排。同构渠道贡献居首还提示了一个容易被忽视的治理盲区：补贴是显性的、可审查的，产业布局的趋同却往往以规划、招商目录、园区定位等“合规”形式存在，公平竞争审查的既有框架对其约束有限，这正是“十五五”时期完善规划协调与信息披露机制的价值所在。</w:t>
      </w:r>
    </w:p>
    <w:p>
      <w:pPr>
        <w:spacing w:before="0" w:after="0" w:line="360" w:lineRule="auto"/>
        <w:ind w:firstLineChars="200" w:firstLine="480"/>
      </w:pPr>
      <w:r>
        <w:rPr>
          <w:rFonts w:ascii="Times New Roman" w:hAnsi="Times New Roman" w:eastAsia="宋体"/>
          <w:b w:val="0"/>
          <w:sz w:val="24"/>
        </w:rPr>
        <w:t>对机制结果的解读须保持方法论上的清醒。机制变量本身并非随机分配，两步法给出的是渠道存在性的一致性证据而非严格的因果分解，这一点第六章已有交代。本书的处理是双重的：一方面，以第四章理论模型的结构关系约束解释方向，三条渠道的两段系数方向全部与命题4-3、4-4、4-5的预测一致，误报渠道的可能性大为降低；另一方面，渠道解释还蕴含着可独立检验的异质性含义——若补贴竞争渠道成立，则晋升激励更强、增长目标压力更大的省份“催卷”效应应更强；若退出粘性渠道成立，则沉没成本更高、退出更难的资本密集型产业占比高的省份效应应更强。下一节的异质性分析将检验这些交互含义，为机制识别提供独立于中介回归的旁证。</w:t>
      </w:r>
    </w:p>
    <w:p>
      <w:pPr>
        <w:spacing w:before="200" w:after="160" w:line="360" w:lineRule="auto"/>
        <w:outlineLvl w:val="1"/>
      </w:pPr>
      <w:r>
        <w:rPr>
          <w:rFonts w:ascii="Times New Roman" w:hAnsi="Times New Roman" w:eastAsia="黑体"/>
          <w:b w:val="0"/>
          <w:sz w:val="28"/>
        </w:rPr>
        <w:t>（三）异质性分析：分割“催卷”效应的结构差异</w:t>
      </w:r>
    </w:p>
    <w:p>
      <w:pPr>
        <w:spacing w:before="0" w:after="0" w:line="360" w:lineRule="auto"/>
        <w:ind w:firstLineChars="200" w:firstLine="480"/>
      </w:pPr>
      <w:r>
        <w:rPr>
          <w:rFonts w:ascii="Times New Roman" w:hAnsi="Times New Roman" w:eastAsia="宋体"/>
          <w:b w:val="0"/>
          <w:sz w:val="24"/>
        </w:rPr>
        <w:t>异质性分析在本章承担双重职能。其一是机制旁证：上一节末尾指出，三条渠道各自蕴含特定的交互预测——补贴渠道预测晋升激励更强处效应更大，退出渠道预测沉没成本更高处效应更大，需求放大机制预测需求收缩期效应更大——异质性结果与渠道预测的吻合程度，是机制解释可信度的独立检验；由于交互项检验不依赖机制变量的可观测性与外生性，它与中介回归的证据在方法论上互补而非重复。其二是政策靶向：若“催卷”效应在不同区域、不同激励环境、不同产业结构与不同时期存在系统差异，则统一大市场建设与“反内卷”治理的资源配置就应有轻重缓急，识别“谁在更深地卷”本身就是政策设计的前提；均匀用力的治理既浪费行政资源，也可能在低风险场域造成不必要的干预成本。本书从四个维度切入：一是区域维度，将样本分为东部与中西部两组分别估计；二是增长目标压力维度，以各省政府工作报告目标增速与上年实际增速之差衡量目标压力，高于中位数的省份取1，与Seg构造交互项；三是产业结构维度，以资本密集型产业占比高于中位数的省份取1构造交互项；四是时期维度，以2020年为界构造Seg×Post2020交互项，检验需求约束收紧后分割效应的变化。四组估计均保持基准设定（见表8.3）。</w:t>
      </w:r>
    </w:p>
    <w:p>
      <w:pPr>
        <w:spacing w:before="160" w:after="80" w:line="312" w:lineRule="auto"/>
        <w:jc w:val="center"/>
      </w:pPr>
      <w:r>
        <w:rPr>
          <w:rFonts w:ascii="Times New Roman" w:hAnsi="Times New Roman" w:eastAsia="黑体"/>
          <w:b w:val="0"/>
          <w:sz w:val="21"/>
        </w:rPr>
        <w:t>表8.3　异质性检验结果</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417"/>
        <w:gridCol w:w="1417"/>
        <w:gridCol w:w="1417"/>
        <w:gridCol w:w="1417"/>
        <w:gridCol w:w="1417"/>
        <w:gridCol w:w="1417"/>
      </w:tblGrid>
      <w:tr>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（1）东部样本</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（2）中西部样本</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（3）增长目标压力</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（4）资本密集程度</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（5）时期异质性</w:t>
            </w:r>
          </w:p>
        </w:tc>
      </w:tr>
      <w:tr>
        <w:tc>
          <w:tcPr>
            <w:tcW w:type="dxa" w:w="1417"/>
          </w:tcPr>
          <w:p>
            <w:pPr>
              <w:spacing w:before="20" w:after="20" w:line="276" w:lineRule="auto"/>
              <w:jc w:val="left"/>
            </w:pPr>
            <w:r/>
            <w:r>
              <w:rPr>
                <w:rFonts w:ascii="Times New Roman" w:hAnsi="Times New Roman" w:eastAsia="宋体"/>
                <w:b w:val="0"/>
                <w:sz w:val="21"/>
              </w:rPr>
              <w:t>Seg</w:t>
            </w:r>
          </w:p>
        </w:tc>
        <w:tc>
          <w:tcPr>
            <w:tcW w:type="dxa" w:w="1417"/>
          </w:tcPr>
          <w:p>
            <w:pPr>
              <w:spacing w:before="20" w:after="20" w:line="276" w:lineRule="auto"/>
              <w:jc w:val="left"/>
            </w:pPr>
            <w:r/>
            <w:r>
              <w:rPr>
                <w:rFonts w:ascii="Times New Roman" w:hAnsi="Times New Roman" w:eastAsia="宋体"/>
                <w:b w:val="0"/>
                <w:sz w:val="21"/>
              </w:rPr>
              <w:t>0.041**（0.017）</w:t>
            </w:r>
          </w:p>
        </w:tc>
        <w:tc>
          <w:tcPr>
            <w:tcW w:type="dxa" w:w="1417"/>
          </w:tcPr>
          <w:p>
            <w:pPr>
              <w:spacing w:before="20" w:after="20" w:line="276" w:lineRule="auto"/>
              <w:jc w:val="left"/>
            </w:pPr>
            <w:r/>
            <w:r>
              <w:rPr>
                <w:rFonts w:ascii="Times New Roman" w:hAnsi="Times New Roman" w:eastAsia="宋体"/>
                <w:b w:val="0"/>
                <w:sz w:val="21"/>
              </w:rPr>
              <w:t>0.072***（0.018）</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r>
      <w:tr>
        <w:tc>
          <w:tcPr>
            <w:tcW w:type="dxa" w:w="1417"/>
          </w:tcPr>
          <w:p>
            <w:pPr>
              <w:spacing w:before="20" w:after="20" w:line="276" w:lineRule="auto"/>
              <w:jc w:val="left"/>
            </w:pPr>
            <w:r/>
            <w:r>
              <w:rPr>
                <w:rFonts w:ascii="Times New Roman" w:hAnsi="Times New Roman" w:eastAsia="宋体"/>
                <w:b w:val="0"/>
                <w:sz w:val="21"/>
              </w:rPr>
              <w:t>Seg×高增长目标压力</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left"/>
            </w:pPr>
            <w:r/>
            <w:r>
              <w:rPr>
                <w:rFonts w:ascii="Times New Roman" w:hAnsi="Times New Roman" w:eastAsia="宋体"/>
                <w:b w:val="0"/>
                <w:sz w:val="21"/>
              </w:rPr>
              <w:t>0.027**（0.012）</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r>
      <w:tr>
        <w:tc>
          <w:tcPr>
            <w:tcW w:type="dxa" w:w="1417"/>
          </w:tcPr>
          <w:p>
            <w:pPr>
              <w:spacing w:before="20" w:after="20" w:line="276" w:lineRule="auto"/>
              <w:jc w:val="left"/>
            </w:pPr>
            <w:r/>
            <w:r>
              <w:rPr>
                <w:rFonts w:ascii="Times New Roman" w:hAnsi="Times New Roman" w:eastAsia="宋体"/>
                <w:b w:val="0"/>
                <w:sz w:val="21"/>
              </w:rPr>
              <w:t>Seg×高资本密集占比</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left"/>
            </w:pPr>
            <w:r/>
            <w:r>
              <w:rPr>
                <w:rFonts w:ascii="Times New Roman" w:hAnsi="Times New Roman" w:eastAsia="宋体"/>
                <w:b w:val="0"/>
                <w:sz w:val="21"/>
              </w:rPr>
              <w:t>0.034**（0.014）</w:t>
            </w:r>
          </w:p>
        </w:tc>
        <w:tc>
          <w:tcPr>
            <w:tcW w:type="dxa" w:w="1417"/>
          </w:tcPr>
          <w:p>
            <w:pPr>
              <w:spacing w:before="20" w:after="20" w:line="276" w:lineRule="auto"/>
              <w:jc w:val="center"/>
            </w:pPr>
            <w:r/>
            <w:r>
              <w:rPr>
                <w:rFonts w:ascii="Times New Roman" w:hAnsi="Times New Roman" w:eastAsia="宋体"/>
                <w:b w:val="0"/>
                <w:sz w:val="21"/>
              </w:rPr>
              <w:t>—</w:t>
            </w:r>
          </w:p>
        </w:tc>
      </w:tr>
      <w:tr>
        <w:tc>
          <w:tcPr>
            <w:tcW w:type="dxa" w:w="1417"/>
          </w:tcPr>
          <w:p>
            <w:pPr>
              <w:spacing w:before="20" w:after="20" w:line="276" w:lineRule="auto"/>
              <w:jc w:val="left"/>
            </w:pPr>
            <w:r/>
            <w:r>
              <w:rPr>
                <w:rFonts w:ascii="Times New Roman" w:hAnsi="Times New Roman" w:eastAsia="宋体"/>
                <w:b w:val="0"/>
                <w:sz w:val="21"/>
              </w:rPr>
              <w:t>Seg×Post2020</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left"/>
            </w:pPr>
            <w:r/>
            <w:r>
              <w:rPr>
                <w:rFonts w:ascii="Times New Roman" w:hAnsi="Times New Roman" w:eastAsia="宋体"/>
                <w:b w:val="0"/>
                <w:sz w:val="21"/>
              </w:rPr>
              <w:t>0.019**（0.008）</w:t>
            </w:r>
          </w:p>
        </w:tc>
      </w:tr>
      <w:tr>
        <w:tc>
          <w:tcPr>
            <w:tcW w:type="dxa" w:w="1417"/>
          </w:tcPr>
          <w:p>
            <w:pPr>
              <w:spacing w:before="20" w:after="20" w:line="276" w:lineRule="auto"/>
              <w:jc w:val="left"/>
            </w:pPr>
            <w:r/>
            <w:r>
              <w:rPr>
                <w:rFonts w:ascii="Times New Roman" w:hAnsi="Times New Roman" w:eastAsia="宋体"/>
                <w:b w:val="0"/>
                <w:sz w:val="21"/>
              </w:rPr>
              <w:t>控制变量</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r>
      <w:tr>
        <w:tc>
          <w:tcPr>
            <w:tcW w:type="dxa" w:w="1417"/>
          </w:tcPr>
          <w:p>
            <w:pPr>
              <w:spacing w:before="20" w:after="20" w:line="276" w:lineRule="auto"/>
              <w:jc w:val="left"/>
            </w:pPr>
            <w:r/>
            <w:r>
              <w:rPr>
                <w:rFonts w:ascii="Times New Roman" w:hAnsi="Times New Roman" w:eastAsia="宋体"/>
                <w:b w:val="0"/>
                <w:sz w:val="21"/>
              </w:rPr>
              <w:t>省份固定效应</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r>
      <w:tr>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年份固定效应</w:t>
            </w:r>
          </w:p>
        </w:tc>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是</w:t>
            </w:r>
          </w:p>
        </w:tc>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是</w:t>
            </w:r>
          </w:p>
        </w:tc>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是</w:t>
            </w:r>
          </w:p>
        </w:tc>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是</w:t>
            </w:r>
          </w:p>
        </w:tc>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是</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注：列（1）（2）为分区域子样本回归；列（3）—（5）基于31省全样本（N=403），交互项设定中的低阶项均已纳入方程或被固定效应吸收，限于篇幅未列示。</w:t>
      </w:r>
    </w:p>
    <w:p>
      <w:pPr>
        <w:spacing w:before="0" w:after="0" w:line="360" w:lineRule="auto"/>
        <w:ind w:firstLineChars="200" w:firstLine="480"/>
      </w:pPr>
      <w:r>
        <w:rPr>
          <w:rFonts w:ascii="Times New Roman" w:hAnsi="Times New Roman" w:eastAsia="宋体"/>
          <w:b w:val="0"/>
          <w:sz w:val="24"/>
        </w:rPr>
        <w:t>区域维度的对比十分醒目：中西部样本的Seg系数为0.072，在1%的水平上显著，约为东部样本（0.041，5%水平显著）的1.8倍。结合第七章的测度结果，这一梯度并不意外——2024年西部与东北的市场分割指数分别为2.26与2.19，明显高于东部的1.60，“内卷”指数亦呈同样的梯度（西部0.514、东北0.518，东部仅0.412）。中西部“催卷”弹性更高的经济逻辑至少有三层。其一，市场厚度不足：中西部本地市场规模小，分割造成的次尺度化更接近最小有效规模的临界区间，同等幅度的分割对单厂规模与平均成本的挤压更狠。其二，财政压力更大：财政压力已被证明会系统性改变地方政府的行为边际（席鹏辉、梁若冰，2017），财政自给率偏低的中西部省份更依赖以补贴换产值、以保护保税源，补贴竞争渠道的杠杆更长。其三，产业结构更偏资源与资本密集，退出粘性天然更强——东北的情形尤为典型，2024年其分割指数（2.19）与“内卷”指数（0.518）双双处于高位，重化工业占比高、企业退出通道不畅、隐性庇护传统深厚，几乎集齐了高弹性的全部条件。东部系数虽低却仍在5%的水平上显著，说明没有任何区域对分割的“催卷”效应免疫：即便在市场化程度最高的东部，只要行政边界仍在阻断商品与要素流动，“内卷”的制度性推力就依然在场。这一格局的政策含义是双重的——统一大市场建设是全国性命题而非中西部的“补课”问题，但破除分割的边际收益在中西部更大，区域间协同推进、以要素流动与市场联通反哺后发地区，恰是“全国一盘棋”的效率逻辑所在。</w:t>
      </w:r>
    </w:p>
    <w:p>
      <w:pPr>
        <w:spacing w:before="0" w:after="0" w:line="360" w:lineRule="auto"/>
        <w:ind w:firstLineChars="200" w:firstLine="480"/>
      </w:pPr>
      <w:r>
        <w:rPr>
          <w:rFonts w:ascii="Times New Roman" w:hAnsi="Times New Roman" w:eastAsia="宋体"/>
          <w:b w:val="0"/>
          <w:sz w:val="24"/>
        </w:rPr>
        <w:t>增长目标压力维度的结果为补贴竞争渠道提供了干净的旁证：Seg×高增长目标压力交互项的系数为0.027，在5%的水平上显著为正，相当于基准效应（0.058）的近一半。本书以政府工作报告目标增速与上年实际增速之差度量目标压力，其优点在于同时捕捉了“向上层层加码”的目标设定行为与实际增长动能的落差——目标定得越是高于现实基础，官员完成考核的缺口越大，动用行政资源“堆产值”的冲动越强。目标压力大的省份，其官员面临的晋升锦标赛激励更为陡峭（周黎安，2007），产值的政治溢价更高，分割赋予的本地市场势力就更多地被转化为补贴加码与保护升级，“催卷”效应随之放大。这正是命题4-3比较静态的交互含义——理论模型中，补贴对分割的反应强度随产值政治溢价递增，实证结果与之精确对应。反过来说，这一发现也支持了《“十五五”规划纲要》第十七章“完善有利于统一大市场建设的统计、财税、考核制度”与中央经济工作会议“完善差异化考核评价体系”的部署方向：只要考核棒仍然主要指向本地产值，分割的“催卷”杠杆就始终存在。</w:t>
      </w:r>
    </w:p>
    <w:p>
      <w:pPr>
        <w:spacing w:before="0" w:after="0" w:line="360" w:lineRule="auto"/>
        <w:ind w:firstLineChars="200" w:firstLine="480"/>
      </w:pPr>
      <w:r>
        <w:rPr>
          <w:rFonts w:ascii="Times New Roman" w:hAnsi="Times New Roman" w:eastAsia="宋体"/>
          <w:b w:val="0"/>
          <w:sz w:val="24"/>
        </w:rPr>
        <w:t>资本密集维度的交互项系数为0.034，在5%的水平上显著为正，为退出粘性渠道提供了对称的旁证。资本密集型产业的固定成本与沉没成本高企，产能一旦形成便难以转向，企业与地方政府“扛着亏损等对手先退”的耐受力更强，命题4-5中的退出摩擦参数系统性偏大；同时，此类产业单体投资规模大、对本地GDP与税收的拉动直观可见，恰是招商引资竞赛的重点标的，政府干预新兴产业投资引致产能过剩的光伏案例研究早已揭示了这一机制（余东华、吕逸楠，2015）。两股力量叠加，使资本密集型产业占比高的省份在同等分割程度下累积更多冗余产能、更难实现市场化出清，“内卷”对分割的弹性自然更高。这一结果与第五章重点行业画像高度呼应——光伏、锂电、汽车等“内卷”重灾区，无一不是资本密集、退出艰难的行业。政策实践亦已对这一渠道作出针对性回应：2024年11月工业和信息化部修订《光伏制造行业规范条件》，将新建和改扩建项目最低资本金比例由20%提高至30%，其经济学实质正是提高资本密集型赛道的进入门槛、抑制高杠杆的产能竞逐，与本书交互项所揭示的风险结构相互印证。</w:t>
      </w:r>
    </w:p>
    <w:p>
      <w:pPr>
        <w:spacing w:before="0" w:after="0" w:line="360" w:lineRule="auto"/>
        <w:ind w:firstLineChars="200" w:firstLine="480"/>
      </w:pPr>
      <w:r>
        <w:rPr>
          <w:rFonts w:ascii="Times New Roman" w:hAnsi="Times New Roman" w:eastAsia="宋体"/>
          <w:b w:val="0"/>
          <w:sz w:val="24"/>
        </w:rPr>
        <w:t>时期维度的结果则直接对应假说H3的需求收缩推论：Seg×Post2020交互项的系数为0.019，在5%的水平上显著为正，相当于分割的“催卷”边际效应在2020年后提高约三分之一。其宏观背景清晰可辨：2020年以来外部冲击叠加房地产深度调整，需求约束显著收紧，据国家统计局数据，PPI自2022年10月转负，至2025年12月已连续39个月负增长，工业产能利用率由2021年的77.5%降至2025年的74.4%；本书测度的“内卷”指数亦由2020年的0.371一路攀升至2024年的0.470。按照命题4-5的逻辑，需求收缩本身并不必然导致“内卷”——在退出通畅的经济中，价格下行会触发低效产能出清、供需重新平衡；只有当分割与退出摩擦为亏损企业提供庇护时，需求收缩才会被放大为全行业的持续缠斗。交互项显著为正说明，分割恰恰扮演了这一放大器角色：同样的需求冲击，落在分割更重的省份，转化为更高的“内卷”增量。这也解释了为什么“供强需弱”的宏观矛盾在2022年后与“内卷式”竞争的微观蔓延同步激化，以及为什么中央在部署扩大内需的同时，必须同步“纵深推进全国统一大市场建设”——需求侧与供给秩序侧的治理互为条件。</w:t>
      </w:r>
    </w:p>
    <w:p>
      <w:pPr>
        <w:spacing w:before="0" w:after="0" w:line="360" w:lineRule="auto"/>
        <w:ind w:firstLineChars="200" w:firstLine="480"/>
      </w:pPr>
      <w:r>
        <w:rPr>
          <w:rFonts w:ascii="Times New Roman" w:hAnsi="Times New Roman" w:eastAsia="宋体"/>
          <w:b w:val="0"/>
          <w:sz w:val="24"/>
        </w:rPr>
        <w:t>综合四个维度，异质性分析勾勒出“催卷”效应的完整地形图：分割的危害在市场厚度不足的中西部更深，在晋升激励陡峭的高目标压力省份更强，在退出艰难的资本密集结构中更烈，在需求收缩的2020年后时期更甚。四组交互结果分别印证了补贴竞争渠道（增长目标压力）、退出粘性渠道（资本密集）与需求放大机制（时期），与第二节的中介回归相互咬合，机制解释的三角证据至此闭合。就政策而言，这幅地形图给出了清晰的优先序：中西部高目标压力省份的资本密集型赛道，是分割“催卷”风险的叠加高地，理应成为公平竞争审查、招商行为规范与产能治理的重点监测对象；而2020年后交互效应的增强则提示，越是需求承压的时期，越不能放松对分割的治理——以保护换喘息，换来的只会是更深的缠斗。</w:t>
      </w:r>
    </w:p>
    <w:p>
      <w:pPr>
        <w:spacing w:before="200" w:after="160" w:line="360" w:lineRule="auto"/>
        <w:outlineLvl w:val="1"/>
      </w:pPr>
      <w:r>
        <w:rPr>
          <w:rFonts w:ascii="Times New Roman" w:hAnsi="Times New Roman" w:eastAsia="黑体"/>
          <w:b w:val="0"/>
          <w:sz w:val="28"/>
        </w:rPr>
        <w:t>（四）内生性处理与稳健性检验</w:t>
      </w:r>
    </w:p>
    <w:p>
      <w:pPr>
        <w:spacing w:before="160" w:after="120" w:line="360" w:lineRule="auto"/>
        <w:outlineLvl w:val="2"/>
      </w:pPr>
      <w:r>
        <w:rPr>
          <w:rFonts w:ascii="Times New Roman" w:hAnsi="Times New Roman" w:eastAsia="黑体"/>
          <w:b w:val="0"/>
          <w:sz w:val="24"/>
        </w:rPr>
        <w:t>1．工具变量的选取与有效性论证</w:t>
      </w:r>
    </w:p>
    <w:p>
      <w:pPr>
        <w:spacing w:before="0" w:after="0" w:line="360" w:lineRule="auto"/>
        <w:ind w:firstLineChars="200" w:firstLine="480"/>
      </w:pPr>
      <w:r>
        <w:rPr>
          <w:rFonts w:ascii="Times New Roman" w:hAnsi="Times New Roman" w:eastAsia="宋体"/>
          <w:b w:val="0"/>
          <w:sz w:val="24"/>
        </w:rPr>
        <w:t>前三节的估计仍暴露在三重内生性威胁之下。一是双向因果：“内卷”加深后，本地企业亏损面扩大，地方政府庇护本地市场的动机增强，可能反过来加剧分割，OLS估计因而可能高估分割的作用；二是时变遗漏变量：治理能力、产业政策取向等难以观测且随时间变化的因素可能同时驱动分割与“内卷”，偏误方向先验不明；三是测量误差：任何指数化测度都含有噪声，经典测量误差将使系数向零衰减，OLS估计反而可能低估真实效应。三种偏误方向相互冲突，唯有引入外生变异方能裁决——这也正是工具变量法相对于任何“更多控制变量”策略的不可替代之处：控制变量再多，也无法处理双向因果与测量误差，反而可能引入“坏控制”问题。按照第六章的设计，本书为Seg引入两组工具变量：地形起伏度与年份趋势的交互项（Terrain×t），以及明清驿道密度与年份趋势的交互项（Route×t）。前者以数字高程模型（DEM）数据合成省域高程极差与平均坡度，后者依据历史地图资料将明清主要驿道数字化后除以省域面积，两组工具的原始信息分别沉淀于地质年代与前工业时代，与样本期内的经济决策相隔久远，这是其外生性的第一重直觉。</w:t>
      </w:r>
    </w:p>
    <w:p>
      <w:pPr>
        <w:spacing w:before="0" w:after="0" w:line="360" w:lineRule="auto"/>
        <w:ind w:firstLineChars="200" w:firstLine="480"/>
      </w:pPr>
      <w:r>
        <w:rPr>
          <w:rFonts w:ascii="Times New Roman" w:hAnsi="Times New Roman" w:eastAsia="宋体"/>
          <w:b w:val="0"/>
          <w:sz w:val="24"/>
        </w:rPr>
        <w:t>相关性维度的论证有充分的文献与事实支撑。运输成本是国内市场分割最深层的自然来源，交通基础设施建设已被反复证明能够显著推动区域市场一体化（刘生龙、胡鞍钢，2011），并直接降低国内市场分割程度（范欣等，2017），而地形起伏度正是运输成本与基础设施造价的第一地理决定因素：高起伏度省份路网密度低、绕行系数大、物流成本高，市场整合的进程系统性滞后。历史交通网络的印记同样持久：铁路等历史基础设施对贸易成本与地区福利的影响可以延续百年（Donaldson，2018），当代路网升级降低贸易成本、强化竞争的福利效应亦有严格的量化证据（Asturias等，2019）。明清驿道沿线沉淀的通道走向、市镇分布与商路网络，构成今日省际市场联系的历史底图，驿道密度高的省份在样本期内的市场整合起点与速度均占先机。两组工具与年份趋势交互后，捕捉的是“地理与历史约束在样本期内被技术进步和基础设施投资以不同速度克服”的差异化整合进程，为Seg提供了随时间演化的外生变异。</w:t>
      </w:r>
    </w:p>
    <w:p>
      <w:pPr>
        <w:spacing w:before="0" w:after="0" w:line="360" w:lineRule="auto"/>
        <w:ind w:firstLineChars="200" w:firstLine="480"/>
      </w:pPr>
      <w:r>
        <w:rPr>
          <w:rFonts w:ascii="Times New Roman" w:hAnsi="Times New Roman" w:eastAsia="宋体"/>
          <w:b w:val="0"/>
          <w:sz w:val="24"/>
        </w:rPr>
        <w:t>排他性维度须逐一排查潜在的违背渠道。就地形起伏度而言，其本身由地质过程决定，显然不受当代经济行为反向影响；地形经由农业条件、人口分布、资源禀赋影响经济结构的静态渠道，已被省份固定效应完全吸收——进入识别的只是地形与时间趋势的交互，而非地形水平项本身；地形可能与西部大开发等区域政策的投放强度相关，这一威胁由年份固定效应与第3小节“省份×线性时间趋势”的稳健性设定加以钳制。就驿道密度而言，其走向由明清两代的军政通信需求决定，形成于前工业时代，与当代省域“内卷”强度之间除市场整合通道外缺乏直接关联；驿道可能经由“历史商业传统→当代经济发展水平”的路径间接影响竞争行为，该路径已由人均GDP、城镇化率等控制变量与省份固定效应阻断。此外，两组工具同时使用构成过度识别，过度识别检验未发现与工具联合外生性假设相抵触的证据，两组工具单独使用时的第二阶段估计亦方向一致、量级相近，进一步降低了单一工具失效导致误判的风险。至于第六章提及的方言距离，其作为文化性贸易壁垒的代理虽与市场分割相关，但可能经由劳动力流动、社会信任、商帮网络等多重渠道影响竞争行为，排他性明显弱于地理与历史工具，故本书仅将其作为定性参照而不纳入主设定。当然，任何地理与历史工具都无法在逻辑上绝对排除全部潜在渠道，本书的立场是让固定效应、工具变量与第九章的准自然实验三类识别互为犄角，以结论的三角一致性替代对单一策略的过度信赖。</w:t>
      </w:r>
    </w:p>
    <w:p>
      <w:pPr>
        <w:spacing w:before="160" w:after="120" w:line="360" w:lineRule="auto"/>
        <w:outlineLvl w:val="2"/>
      </w:pPr>
      <w:r>
        <w:rPr>
          <w:rFonts w:ascii="Times New Roman" w:hAnsi="Times New Roman" w:eastAsia="黑体"/>
          <w:b w:val="0"/>
          <w:sz w:val="24"/>
        </w:rPr>
        <w:t>2．两阶段最小二乘估计结果</w:t>
      </w:r>
    </w:p>
    <w:p>
      <w:pPr>
        <w:spacing w:before="0" w:after="0" w:line="360" w:lineRule="auto"/>
        <w:ind w:firstLineChars="200" w:firstLine="480"/>
      </w:pPr>
      <w:r>
        <w:rPr>
          <w:rFonts w:ascii="Times New Roman" w:hAnsi="Times New Roman" w:eastAsia="宋体"/>
          <w:b w:val="0"/>
          <w:sz w:val="24"/>
        </w:rPr>
        <w:t>第一阶段回归将Seg投影到两组工具及全部控制变量与固定效应之上（如式(8-3)所示）：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S</m:t>
            </m:r>
            <m:r>
              <m:rPr>
                <m:sty m:val="i"/>
              </m:rPr>
              <m:t>e</m:t>
            </m:r>
            <m:sSub>
              <m:e>
                <m:r>
                  <m:rPr>
                    <m:sty m:val="i"/>
                  </m:rPr>
                  <m:t>g</m:t>
                </m:r>
              </m:e>
              <m:sub>
                <m:box>
                  <m:e>
                    <m:r>
                      <m:rPr>
                        <m:sty m:val="i"/>
                      </m:rPr>
                      <m:t>i</m:t>
                    </m:r>
                    <m:r>
                      <m:rPr>
                        <m:sty m:val="i"/>
                      </m:rPr>
                      <m:t>t</m:t>
                    </m:r>
                  </m:e>
                </m:box>
              </m:sub>
            </m:sSub>
            <m:r>
              <m:rPr>
                <m:sty m:val="p"/>
              </m:rPr>
              <m:t>=</m:t>
            </m:r>
            <m:sSub>
              <m:e>
                <m:r>
                  <m:rPr>
                    <m:sty m:val="i"/>
                  </m:rPr>
                  <m:t>π</m:t>
                </m:r>
              </m:e>
              <m:sub>
                <m:box>
                  <m:e>
                    <m:r>
                      <m:rPr>
                        <m:sty m:val="p"/>
                      </m:rPr>
                      <m:t>0</m:t>
                    </m:r>
                  </m:e>
                </m:box>
              </m:sub>
            </m:sSub>
            <m:r>
              <m:rPr>
                <m:sty m:val="p"/>
              </m:rPr>
              <m:t>+</m:t>
            </m:r>
            <m:sSub>
              <m:e>
                <m:r>
                  <m:rPr>
                    <m:sty m:val="i"/>
                  </m:rPr>
                  <m:t>π</m:t>
                </m:r>
              </m:e>
              <m:sub>
                <m:box>
                  <m:e>
                    <m:r>
                      <m:rPr>
                        <m:sty m:val="p"/>
                      </m:rPr>
                      <m:t>1</m:t>
                    </m:r>
                  </m:e>
                </m:box>
              </m:sub>
            </m:sSub>
            <m:r>
              <m:rPr>
                <m:sty m:val="p"/>
              </m:rPr>
              <m:t>(</m:t>
            </m:r>
            <m:r>
              <m:rPr>
                <m:sty m:val="i"/>
              </m:rPr>
              <m:t>T</m:t>
            </m:r>
            <m:r>
              <m:rPr>
                <m:sty m:val="i"/>
              </m:rPr>
              <m:t>e</m:t>
            </m:r>
            <m:r>
              <m:rPr>
                <m:sty m:val="i"/>
              </m:rPr>
              <m:t>r</m:t>
            </m:r>
            <m:r>
              <m:rPr>
                <m:sty m:val="i"/>
              </m:rPr>
              <m:t>r</m:t>
            </m:r>
            <m:r>
              <m:rPr>
                <m:sty m:val="i"/>
              </m:rPr>
              <m:t>a</m:t>
            </m:r>
            <m:r>
              <m:rPr>
                <m:sty m:val="i"/>
              </m:rPr>
              <m:t>i</m:t>
            </m:r>
            <m:sSub>
              <m:e>
                <m:r>
                  <m:rPr>
                    <m:sty m:val="i"/>
                  </m:rPr>
                  <m:t>n</m:t>
                </m:r>
              </m:e>
              <m:sub>
                <m:box>
                  <m:e>
                    <m:r>
                      <m:rPr>
                        <m:sty m:val="i"/>
                      </m:rPr>
                      <m:t>i</m:t>
                    </m:r>
                  </m:e>
                </m:box>
              </m:sub>
            </m:sSub>
            <m:r>
              <m:rPr>
                <m:sty m:val="p"/>
              </m:rPr>
              <m:t>×</m:t>
            </m:r>
            <m:r>
              <m:rPr>
                <m:sty m:val="i"/>
              </m:rPr>
              <m:t>t</m:t>
            </m:r>
            <m:r>
              <m:rPr>
                <m:sty m:val="p"/>
              </m:rPr>
              <m:t>)</m:t>
            </m:r>
            <m:r>
              <m:rPr>
                <m:sty m:val="p"/>
              </m:rPr>
              <m:t>+</m:t>
            </m:r>
            <m:sSub>
              <m:e>
                <m:r>
                  <m:rPr>
                    <m:sty m:val="i"/>
                  </m:rPr>
                  <m:t>π</m:t>
                </m:r>
              </m:e>
              <m:sub>
                <m:box>
                  <m:e>
                    <m:r>
                      <m:rPr>
                        <m:sty m:val="p"/>
                      </m:rPr>
                      <m:t>2</m:t>
                    </m:r>
                  </m:e>
                </m:box>
              </m:sub>
            </m:sSub>
            <m:r>
              <m:rPr>
                <m:sty m:val="p"/>
              </m:rPr>
              <m:t>(</m:t>
            </m:r>
            <m:r>
              <m:rPr>
                <m:sty m:val="i"/>
              </m:rPr>
              <m:t>R</m:t>
            </m:r>
            <m:r>
              <m:rPr>
                <m:sty m:val="i"/>
              </m:rPr>
              <m:t>o</m:t>
            </m:r>
            <m:r>
              <m:rPr>
                <m:sty m:val="i"/>
              </m:rPr>
              <m:t>u</m:t>
            </m:r>
            <m:r>
              <m:rPr>
                <m:sty m:val="i"/>
              </m:rPr>
              <m:t>t</m:t>
            </m:r>
            <m:sSub>
              <m:e>
                <m:r>
                  <m:rPr>
                    <m:sty m:val="i"/>
                  </m:rPr>
                  <m:t>e</m:t>
                </m:r>
              </m:e>
              <m:sub>
                <m:box>
                  <m:e>
                    <m:r>
                      <m:rPr>
                        <m:sty m:val="i"/>
                      </m:rPr>
                      <m:t>i</m:t>
                    </m:r>
                  </m:e>
                </m:box>
              </m:sub>
            </m:sSub>
            <m:r>
              <m:rPr>
                <m:sty m:val="p"/>
              </m:rPr>
              <m:t>×</m:t>
            </m:r>
            <m:r>
              <m:rPr>
                <m:sty m:val="i"/>
              </m:rPr>
              <m:t>t</m:t>
            </m:r>
            <m:r>
              <m:rPr>
                <m:sty m:val="p"/>
              </m:rPr>
              <m:t>)</m:t>
            </m:r>
            <m:r>
              <m:rPr>
                <m:sty m:val="p"/>
              </m:rPr>
              <m:t>+</m:t>
            </m:r>
            <m:sSup>
              <m:e>
                <m:r>
                  <m:rPr>
                    <m:sty m:val="i"/>
                  </m:rPr>
                  <m:t>ϕ</m:t>
                </m:r>
              </m:e>
              <m:sup>
                <m:r>
                  <m:rPr>
                    <m:sty m:val="i"/>
                  </m:rPr>
                  <m:t>′</m:t>
                </m:r>
              </m:sup>
            </m:sSup>
            <m:sSub>
              <m:e>
                <m:r>
                  <m:rPr>
                    <m:sty m:val="i"/>
                  </m:rPr>
                  <m:t>X</m:t>
                </m:r>
              </m:e>
              <m:sub>
                <m:box>
                  <m:e>
                    <m:r>
                      <m:rPr>
                        <m:sty m:val="i"/>
                      </m:rPr>
                      <m:t>i</m:t>
                    </m:r>
                    <m:r>
                      <m:rPr>
                        <m:sty m:val="i"/>
                      </m:rPr>
                      <m:t>t</m:t>
                    </m:r>
                  </m:e>
                </m:box>
              </m:sub>
            </m:sSub>
            <m:r>
              <m:rPr>
                <m:sty m:val="p"/>
              </m:rPr>
              <m:t>+</m:t>
            </m:r>
            <m:sSub>
              <m:e>
                <m:r>
                  <m:rPr>
                    <m:sty m:val="i"/>
                  </m:rPr>
                  <m:t>μ</m:t>
                </m:r>
              </m:e>
              <m:sub>
                <m:box>
                  <m:e>
                    <m:r>
                      <m:rPr>
                        <m:sty m:val="i"/>
                      </m:rPr>
                      <m:t>i</m:t>
                    </m:r>
                  </m:e>
                </m:box>
              </m:sub>
            </m:sSub>
            <m:r>
              <m:rPr>
                <m:sty m:val="p"/>
              </m:rPr>
              <m:t>+</m:t>
            </m:r>
            <m:sSub>
              <m:e>
                <m:r>
                  <m:rPr>
                    <m:sty m:val="i"/>
                  </m:rPr>
                  <m:t>λ</m:t>
                </m:r>
              </m:e>
              <m:sub>
                <m:box>
                  <m:e>
                    <m:r>
                      <m:rPr>
                        <m:sty m:val="i"/>
                      </m:rPr>
                      <m:t>t</m:t>
                    </m:r>
                  </m:e>
                </m:box>
              </m:sub>
            </m:sSub>
            <m:r>
              <m:rPr>
                <m:sty m:val="p"/>
              </m:rPr>
              <m:t>+</m:t>
            </m:r>
            <m:sSub>
              <m:e>
                <m:r>
                  <m:rPr>
                    <m:sty m:val="i"/>
                  </m:rPr>
                  <m:t>v</m:t>
                </m:r>
              </m:e>
              <m:sub>
                <m:box>
                  <m:e>
                    <m:r>
                      <m:rPr>
                        <m:sty m:val="i"/>
                      </m:rPr>
                      <m:t>i</m:t>
                    </m:r>
                    <m:r>
                      <m:rPr>
                        <m:sty m:val="i"/>
                      </m:rPr>
                      <m:t>t</m:t>
                    </m:r>
                  </m:e>
                </m:box>
              </m:sub>
            </m:sSub>
          </m:e>
        </m:box>
      </m:oMath>
      <w:r>
        <w:rPr>
          <w:rFonts w:ascii="Times New Roman" w:hAnsi="Times New Roman" w:eastAsia="宋体"/>
          <w:b w:val="0"/>
          <w:sz w:val="24"/>
        </w:rPr>
        <w:tab/>
        <w:t>(8-3)</w:t>
      </w:r>
    </w:p>
    <w:p>
      <w:pPr>
        <w:spacing w:before="0" w:after="0" w:line="360" w:lineRule="auto"/>
        <w:ind w:firstLineChars="200" w:firstLine="480"/>
      </w:pPr>
      <w:r>
        <w:rPr>
          <w:rFonts w:ascii="Times New Roman" w:hAnsi="Times New Roman" w:eastAsia="宋体"/>
          <w:b w:val="0"/>
          <w:sz w:val="24"/>
        </w:rPr>
        <w:t>其中</w:t>
      </w:r>
      <m:oMath>
        <m:box>
          <m:e>
            <m:r>
              <m:rPr>
                <m:sty m:val="i"/>
              </m:rPr>
              <m:t>T</m:t>
            </m:r>
            <m:r>
              <m:rPr>
                <m:sty m:val="i"/>
              </m:rPr>
              <m:t>e</m:t>
            </m:r>
            <m:r>
              <m:rPr>
                <m:sty m:val="i"/>
              </m:rPr>
              <m:t>r</m:t>
            </m:r>
            <m:r>
              <m:rPr>
                <m:sty m:val="i"/>
              </m:rPr>
              <m:t>r</m:t>
            </m:r>
            <m:r>
              <m:rPr>
                <m:sty m:val="i"/>
              </m:rPr>
              <m:t>a</m:t>
            </m:r>
            <m:r>
              <m:rPr>
                <m:sty m:val="i"/>
              </m:rPr>
              <m:t>i</m:t>
            </m:r>
            <m:sSub>
              <m:e>
                <m:r>
                  <m:rPr>
                    <m:sty m:val="i"/>
                  </m:rPr>
                  <m:t>n</m:t>
                </m:r>
              </m:e>
              <m:sub>
                <m:box>
                  <m:e>
                    <m:r>
                      <m:rPr>
                        <m:sty m:val="i"/>
                      </m:rPr>
                      <m:t>i</m:t>
                    </m:r>
                  </m:e>
                </m:box>
              </m:sub>
            </m:sSub>
          </m:e>
        </m:box>
      </m:oMath>
      <w:r>
        <w:rPr>
          <w:rFonts w:ascii="Times New Roman" w:hAnsi="Times New Roman" w:eastAsia="宋体"/>
          <w:b w:val="0"/>
          <w:sz w:val="24"/>
        </w:rPr>
        <w:t>为省份</w:t>
      </w:r>
      <m:oMath>
        <m:box>
          <m:e>
            <m:r>
              <m:rPr>
                <m:sty m:val="i"/>
              </m:rPr>
              <m:t>i</m:t>
            </m:r>
          </m:e>
        </m:box>
      </m:oMath>
      <w:r>
        <w:rPr>
          <w:rFonts w:ascii="Times New Roman" w:hAnsi="Times New Roman" w:eastAsia="宋体"/>
          <w:b w:val="0"/>
          <w:sz w:val="24"/>
        </w:rPr>
        <w:t>的地形起伏度，</w:t>
      </w:r>
      <m:oMath>
        <m:box>
          <m:e>
            <m:r>
              <m:rPr>
                <m:sty m:val="i"/>
              </m:rPr>
              <m:t>R</m:t>
            </m:r>
            <m:r>
              <m:rPr>
                <m:sty m:val="i"/>
              </m:rPr>
              <m:t>o</m:t>
            </m:r>
            <m:r>
              <m:rPr>
                <m:sty m:val="i"/>
              </m:rPr>
              <m:t>u</m:t>
            </m:r>
            <m:r>
              <m:rPr>
                <m:sty m:val="i"/>
              </m:rPr>
              <m:t>t</m:t>
            </m:r>
            <m:sSub>
              <m:e>
                <m:r>
                  <m:rPr>
                    <m:sty m:val="i"/>
                  </m:rPr>
                  <m:t>e</m:t>
                </m:r>
              </m:e>
              <m:sub>
                <m:box>
                  <m:e>
                    <m:r>
                      <m:rPr>
                        <m:sty m:val="i"/>
                      </m:rPr>
                      <m:t>i</m:t>
                    </m:r>
                  </m:e>
                </m:box>
              </m:sub>
            </m:sSub>
          </m:e>
        </m:box>
      </m:oMath>
      <w:r>
        <w:rPr>
          <w:rFonts w:ascii="Times New Roman" w:hAnsi="Times New Roman" w:eastAsia="宋体"/>
          <w:b w:val="0"/>
          <w:sz w:val="24"/>
        </w:rPr>
        <w:t>为明清驿道密度，</w:t>
      </w:r>
      <m:oMath>
        <m:box>
          <m:e>
            <m:r>
              <m:rPr>
                <m:sty m:val="i"/>
              </m:rPr>
              <m:t>t</m:t>
            </m:r>
          </m:e>
        </m:box>
      </m:oMath>
      <w:r>
        <w:rPr>
          <w:rFonts w:ascii="Times New Roman" w:hAnsi="Times New Roman" w:eastAsia="宋体"/>
          <w:b w:val="0"/>
          <w:sz w:val="24"/>
        </w:rPr>
        <w:t>为线性年份趋势，</w:t>
      </w:r>
      <m:oMath>
        <m:box>
          <m:e>
            <m:sSub>
              <m:e>
                <m:r>
                  <m:rPr>
                    <m:sty m:val="i"/>
                  </m:rPr>
                  <m:t>π</m:t>
                </m:r>
              </m:e>
              <m:sub>
                <m:box>
                  <m:e>
                    <m:r>
                      <m:rPr>
                        <m:sty m:val="p"/>
                      </m:rPr>
                      <m:t>1</m:t>
                    </m:r>
                  </m:e>
                </m:box>
              </m:sub>
            </m:sSub>
          </m:e>
        </m:box>
      </m:oMath>
      <w:r>
        <w:rPr>
          <w:rFonts w:ascii="Times New Roman" w:hAnsi="Times New Roman" w:eastAsia="宋体"/>
          <w:b w:val="0"/>
          <w:sz w:val="24"/>
        </w:rPr>
        <w:t>、</w:t>
      </w:r>
      <m:oMath>
        <m:box>
          <m:e>
            <m:sSub>
              <m:e>
                <m:r>
                  <m:rPr>
                    <m:sty m:val="i"/>
                  </m:rPr>
                  <m:t>π</m:t>
                </m:r>
              </m:e>
              <m:sub>
                <m:box>
                  <m:e>
                    <m:r>
                      <m:rPr>
                        <m:sty m:val="p"/>
                      </m:rPr>
                      <m:t>2</m:t>
                    </m:r>
                  </m:e>
                </m:box>
              </m:sub>
            </m:sSub>
          </m:e>
        </m:box>
      </m:oMath>
      <w:r>
        <w:rPr>
          <w:rFonts w:ascii="Times New Roman" w:hAnsi="Times New Roman" w:eastAsia="宋体"/>
          <w:b w:val="0"/>
          <w:sz w:val="24"/>
        </w:rPr>
        <w:t>为工具的第一阶段系数。第一阶段中两组工具与分割指数显著相关，方向与预期一致：地形起伏度大的省份分割收敛显著更慢，驿道密度高的省份收敛显著更快；Kleibergen-Paap rk Wald F统计量为24.7，远超经验法则的临界值10，弱工具问题可以排除。第二阶段以第一阶段拟合值</w:t>
      </w:r>
      <m:oMath>
        <m:box>
          <m:e>
            <m:sSub>
              <m:e>
                <m:limUpp>
                  <m:e>
                    <m:box>
                      <m:e>
                        <m:r>
                          <m:rPr>
                            <m:sty m:val="i"/>
                          </m:rPr>
                          <m:t>S</m:t>
                        </m:r>
                        <m:r>
                          <m:rPr>
                            <m:sty m:val="i"/>
                          </m:rPr>
                          <m:t>e</m:t>
                        </m:r>
                        <m:r>
                          <m:rPr>
                            <m:sty m:val="i"/>
                          </m:rPr>
                          <m:t>g</m:t>
                        </m:r>
                      </m:e>
                    </m:box>
                  </m:e>
                  <m:lim>
                    <m:r>
                      <m:rPr>
                        <m:sty m:val="p"/>
                      </m:rPr>
                      <m:t>^</m:t>
                    </m:r>
                  </m:lim>
                </m:limUpp>
              </m:e>
              <m:sub>
                <m:box>
                  <m:e>
                    <m:r>
                      <m:rPr>
                        <m:sty m:val="i"/>
                      </m:rPr>
                      <m:t>i</m:t>
                    </m:r>
                    <m:r>
                      <m:rPr>
                        <m:sty m:val="i"/>
                      </m:rPr>
                      <m:t>t</m:t>
                    </m:r>
                  </m:e>
                </m:box>
              </m:sub>
            </m:sSub>
          </m:e>
        </m:box>
      </m:oMath>
      <w:r>
        <w:rPr>
          <w:rFonts w:ascii="Times New Roman" w:hAnsi="Times New Roman" w:eastAsia="宋体"/>
          <w:b w:val="0"/>
          <w:sz w:val="24"/>
        </w:rPr>
        <w:t>替代Seg估计“内卷”方程（如式(8-4)所示）：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I</m:t>
            </m:r>
            <m:r>
              <m:rPr>
                <m:sty m:val="i"/>
              </m:rPr>
              <m:t>n</m:t>
            </m:r>
            <m:sSub>
              <m:e>
                <m:r>
                  <m:rPr>
                    <m:sty m:val="i"/>
                  </m:rPr>
                  <m:t>v</m:t>
                </m:r>
              </m:e>
              <m:sub>
                <m:box>
                  <m:e>
                    <m:r>
                      <m:rPr>
                        <m:sty m:val="i"/>
                      </m:rPr>
                      <m:t>i</m:t>
                    </m:r>
                    <m:r>
                      <m:rPr>
                        <m:sty m:val="i"/>
                      </m:rPr>
                      <m:t>t</m:t>
                    </m:r>
                  </m:e>
                </m:box>
              </m:sub>
            </m:sSub>
            <m:r>
              <m:rPr>
                <m:sty m:val="p"/>
              </m:rPr>
              <m:t>=</m:t>
            </m:r>
            <m:r>
              <m:rPr>
                <m:sty m:val="i"/>
              </m:rPr>
              <m:t>α</m:t>
            </m:r>
            <m:r>
              <m:rPr>
                <m:sty m:val="p"/>
              </m:rPr>
              <m:t>+</m:t>
            </m:r>
            <m:sSub>
              <m:e>
                <m:r>
                  <m:rPr>
                    <m:sty m:val="i"/>
                  </m:rPr>
                  <m:t>β</m:t>
                </m:r>
              </m:e>
              <m:sub>
                <m:box>
                  <m:e>
                    <m:r>
                      <m:rPr>
                        <m:sty m:val="i"/>
                      </m:rPr>
                      <m:t>I</m:t>
                    </m:r>
                    <m:r>
                      <m:rPr>
                        <m:sty m:val="i"/>
                      </m:rPr>
                      <m:t>V</m:t>
                    </m:r>
                  </m:e>
                </m:box>
              </m:sub>
            </m:sSub>
            <m:sSub>
              <m:e>
                <m:limUpp>
                  <m:e>
                    <m:box>
                      <m:e>
                        <m:r>
                          <m:rPr>
                            <m:sty m:val="i"/>
                          </m:rPr>
                          <m:t>S</m:t>
                        </m:r>
                        <m:r>
                          <m:rPr>
                            <m:sty m:val="i"/>
                          </m:rPr>
                          <m:t>e</m:t>
                        </m:r>
                        <m:r>
                          <m:rPr>
                            <m:sty m:val="i"/>
                          </m:rPr>
                          <m:t>g</m:t>
                        </m:r>
                      </m:e>
                    </m:box>
                  </m:e>
                  <m:lim>
                    <m:r>
                      <m:rPr>
                        <m:sty m:val="p"/>
                      </m:rPr>
                      <m:t>^</m:t>
                    </m:r>
                  </m:lim>
                </m:limUpp>
              </m:e>
              <m:sub>
                <m:box>
                  <m:e>
                    <m:r>
                      <m:rPr>
                        <m:sty m:val="i"/>
                      </m:rPr>
                      <m:t>i</m:t>
                    </m:r>
                    <m:r>
                      <m:rPr>
                        <m:sty m:val="i"/>
                      </m:rPr>
                      <m:t>t</m:t>
                    </m:r>
                  </m:e>
                </m:box>
              </m:sub>
            </m:sSub>
            <m:r>
              <m:rPr>
                <m:sty m:val="p"/>
              </m:rPr>
              <m:t>+</m:t>
            </m:r>
            <m:sSup>
              <m:e>
                <m:r>
                  <m:rPr>
                    <m:sty m:val="i"/>
                  </m:rPr>
                  <m:t>γ</m:t>
                </m:r>
              </m:e>
              <m:sup>
                <m:r>
                  <m:rPr>
                    <m:sty m:val="i"/>
                  </m:rPr>
                  <m:t>′</m:t>
                </m:r>
              </m:sup>
            </m:sSup>
            <m:sSub>
              <m:e>
                <m:r>
                  <m:rPr>
                    <m:sty m:val="i"/>
                  </m:rPr>
                  <m:t>X</m:t>
                </m:r>
              </m:e>
              <m:sub>
                <m:box>
                  <m:e>
                    <m:r>
                      <m:rPr>
                        <m:sty m:val="i"/>
                      </m:rPr>
                      <m:t>i</m:t>
                    </m:r>
                    <m:r>
                      <m:rPr>
                        <m:sty m:val="i"/>
                      </m:rPr>
                      <m:t>t</m:t>
                    </m:r>
                  </m:e>
                </m:box>
              </m:sub>
            </m:sSub>
            <m:r>
              <m:rPr>
                <m:sty m:val="p"/>
              </m:rPr>
              <m:t>+</m:t>
            </m:r>
            <m:sSub>
              <m:e>
                <m:r>
                  <m:rPr>
                    <m:sty m:val="i"/>
                  </m:rPr>
                  <m:t>μ</m:t>
                </m:r>
              </m:e>
              <m:sub>
                <m:box>
                  <m:e>
                    <m:r>
                      <m:rPr>
                        <m:sty m:val="i"/>
                      </m:rPr>
                      <m:t>i</m:t>
                    </m:r>
                  </m:e>
                </m:box>
              </m:sub>
            </m:sSub>
            <m:r>
              <m:rPr>
                <m:sty m:val="p"/>
              </m:rPr>
              <m:t>+</m:t>
            </m:r>
            <m:sSub>
              <m:e>
                <m:r>
                  <m:rPr>
                    <m:sty m:val="i"/>
                  </m:rPr>
                  <m:t>λ</m:t>
                </m:r>
              </m:e>
              <m:sub>
                <m:box>
                  <m:e>
                    <m:r>
                      <m:rPr>
                        <m:sty m:val="i"/>
                      </m:rPr>
                      <m:t>t</m:t>
                    </m:r>
                  </m:e>
                </m:box>
              </m:sub>
            </m:sSub>
            <m:r>
              <m:rPr>
                <m:sty m:val="p"/>
              </m:rPr>
              <m:t>+</m:t>
            </m:r>
            <m:sSub>
              <m:e>
                <m:r>
                  <m:rPr>
                    <m:sty m:val="i"/>
                  </m:rPr>
                  <m:t>ε</m:t>
                </m:r>
              </m:e>
              <m:sub>
                <m:box>
                  <m:e>
                    <m:r>
                      <m:rPr>
                        <m:sty m:val="i"/>
                      </m:rPr>
                      <m:t>i</m:t>
                    </m:r>
                    <m:r>
                      <m:rPr>
                        <m:sty m:val="i"/>
                      </m:rPr>
                      <m:t>t</m:t>
                    </m:r>
                  </m:e>
                </m:box>
              </m:sub>
            </m:sSub>
          </m:e>
        </m:box>
      </m:oMath>
      <w:r>
        <w:rPr>
          <w:rFonts w:ascii="Times New Roman" w:hAnsi="Times New Roman" w:eastAsia="宋体"/>
          <w:b w:val="0"/>
          <w:sz w:val="24"/>
        </w:rPr>
        <w:tab/>
        <w:t>(8-4)</w:t>
      </w:r>
    </w:p>
    <w:p>
      <w:pPr>
        <w:spacing w:before="0" w:after="0" w:line="360" w:lineRule="auto"/>
        <w:ind w:firstLineChars="200" w:firstLine="480"/>
      </w:pPr>
      <w:r>
        <w:rPr>
          <w:rFonts w:ascii="Times New Roman" w:hAnsi="Times New Roman" w:eastAsia="宋体"/>
          <w:b w:val="0"/>
          <w:sz w:val="24"/>
        </w:rPr>
        <w:t>其中</w:t>
      </w:r>
      <m:oMath>
        <m:box>
          <m:e>
            <m:sSub>
              <m:e>
                <m:r>
                  <m:rPr>
                    <m:sty m:val="i"/>
                  </m:rPr>
                  <m:t>β</m:t>
                </m:r>
              </m:e>
              <m:sub>
                <m:box>
                  <m:e>
                    <m:r>
                      <m:rPr>
                        <m:sty m:val="i"/>
                      </m:rPr>
                      <m:t>I</m:t>
                    </m:r>
                    <m:r>
                      <m:rPr>
                        <m:sty m:val="i"/>
                      </m:rPr>
                      <m:t>V</m:t>
                    </m:r>
                  </m:e>
                </m:box>
              </m:sub>
            </m:sSub>
          </m:e>
        </m:box>
      </m:oMath>
      <w:r>
        <w:rPr>
          <w:rFonts w:ascii="Times New Roman" w:hAnsi="Times New Roman" w:eastAsia="宋体"/>
          <w:b w:val="0"/>
          <w:sz w:val="24"/>
        </w:rPr>
        <w:t>为两阶段最小二乘（2SLS）估计量。工具变量估计与四组稳健性检验的结果汇总如下（见表8.4）。</w:t>
      </w:r>
    </w:p>
    <w:p>
      <w:pPr>
        <w:spacing w:before="160" w:after="80" w:line="312" w:lineRule="auto"/>
        <w:jc w:val="center"/>
      </w:pPr>
      <w:r>
        <w:rPr>
          <w:rFonts w:ascii="Times New Roman" w:hAnsi="Times New Roman" w:eastAsia="黑体"/>
          <w:b w:val="0"/>
          <w:sz w:val="21"/>
        </w:rPr>
        <w:t>表8.4　内生性处理与稳健性检验结果</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417"/>
        <w:gridCol w:w="1417"/>
        <w:gridCol w:w="1417"/>
        <w:gridCol w:w="1417"/>
        <w:gridCol w:w="1417"/>
        <w:gridCol w:w="1417"/>
      </w:tblGrid>
      <w:tr>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（1）IV-2SLS</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（2）滞后一期</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（3）剔除直辖市</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（4）省份×时间趋势</w:t>
            </w:r>
          </w:p>
        </w:tc>
        <w:tc>
          <w:tcPr>
            <w:tcW w:type="dxa" w:w="1417"/>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（5）灯光法分割指数</w:t>
            </w:r>
          </w:p>
        </w:tc>
      </w:tr>
      <w:tr>
        <w:tc>
          <w:tcPr>
            <w:tcW w:type="dxa" w:w="1417"/>
          </w:tcPr>
          <w:p>
            <w:pPr>
              <w:spacing w:before="20" w:after="20" w:line="276" w:lineRule="auto"/>
              <w:jc w:val="left"/>
            </w:pPr>
            <w:r/>
            <w:r>
              <w:rPr>
                <w:rFonts w:ascii="Times New Roman" w:hAnsi="Times New Roman" w:eastAsia="宋体"/>
                <w:b w:val="0"/>
                <w:sz w:val="21"/>
              </w:rPr>
              <w:t>Seg</w:t>
            </w:r>
          </w:p>
        </w:tc>
        <w:tc>
          <w:tcPr>
            <w:tcW w:type="dxa" w:w="1417"/>
          </w:tcPr>
          <w:p>
            <w:pPr>
              <w:spacing w:before="20" w:after="20" w:line="276" w:lineRule="auto"/>
              <w:jc w:val="left"/>
            </w:pPr>
            <w:r/>
            <w:r>
              <w:rPr>
                <w:rFonts w:ascii="Times New Roman" w:hAnsi="Times New Roman" w:eastAsia="宋体"/>
                <w:b w:val="0"/>
                <w:sz w:val="21"/>
              </w:rPr>
              <w:t>0.079***（0.021）</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left"/>
            </w:pPr>
            <w:r/>
            <w:r>
              <w:rPr>
                <w:rFonts w:ascii="Times New Roman" w:hAnsi="Times New Roman" w:eastAsia="宋体"/>
                <w:b w:val="0"/>
                <w:sz w:val="21"/>
              </w:rPr>
              <w:t>0.061***（0.014）</w:t>
            </w:r>
          </w:p>
        </w:tc>
        <w:tc>
          <w:tcPr>
            <w:tcW w:type="dxa" w:w="1417"/>
          </w:tcPr>
          <w:p>
            <w:pPr>
              <w:spacing w:before="20" w:after="20" w:line="276" w:lineRule="auto"/>
              <w:jc w:val="left"/>
            </w:pPr>
            <w:r/>
            <w:r>
              <w:rPr>
                <w:rFonts w:ascii="Times New Roman" w:hAnsi="Times New Roman" w:eastAsia="宋体"/>
                <w:b w:val="0"/>
                <w:sz w:val="21"/>
              </w:rPr>
              <w:t>0.049***（0.015）</w:t>
            </w:r>
          </w:p>
        </w:tc>
        <w:tc>
          <w:tcPr>
            <w:tcW w:type="dxa" w:w="1417"/>
          </w:tcPr>
          <w:p>
            <w:pPr>
              <w:spacing w:before="20" w:after="20" w:line="276" w:lineRule="auto"/>
              <w:jc w:val="center"/>
            </w:pPr>
            <w:r/>
            <w:r>
              <w:rPr>
                <w:rFonts w:ascii="Times New Roman" w:hAnsi="Times New Roman" w:eastAsia="宋体"/>
                <w:b w:val="0"/>
                <w:sz w:val="21"/>
              </w:rPr>
              <w:t>—</w:t>
            </w:r>
          </w:p>
        </w:tc>
      </w:tr>
      <w:tr>
        <w:tc>
          <w:tcPr>
            <w:tcW w:type="dxa" w:w="1417"/>
          </w:tcPr>
          <w:p>
            <w:pPr>
              <w:spacing w:before="20" w:after="20" w:line="276" w:lineRule="auto"/>
              <w:jc w:val="left"/>
            </w:pPr>
            <w:r/>
            <w:r>
              <w:rPr>
                <w:rFonts w:ascii="Times New Roman" w:hAnsi="Times New Roman" w:eastAsia="宋体"/>
                <w:b w:val="0"/>
                <w:sz w:val="21"/>
              </w:rPr>
              <w:t>Seg（滞后一期）</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left"/>
            </w:pPr>
            <w:r/>
            <w:r>
              <w:rPr>
                <w:rFonts w:ascii="Times New Roman" w:hAnsi="Times New Roman" w:eastAsia="宋体"/>
                <w:b w:val="0"/>
                <w:sz w:val="21"/>
              </w:rPr>
              <w:t>0.052***（0.013）</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r>
      <w:tr>
        <w:tc>
          <w:tcPr>
            <w:tcW w:type="dxa" w:w="1417"/>
          </w:tcPr>
          <w:p>
            <w:pPr>
              <w:spacing w:before="20" w:after="20" w:line="276" w:lineRule="auto"/>
              <w:jc w:val="left"/>
            </w:pPr>
            <w:r/>
            <w:r>
              <w:rPr>
                <w:rFonts w:ascii="Times New Roman" w:hAnsi="Times New Roman" w:eastAsia="宋体"/>
                <w:b w:val="0"/>
                <w:sz w:val="21"/>
              </w:rPr>
              <w:t>Seg（灯光法）</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left"/>
            </w:pPr>
            <w:r/>
            <w:r>
              <w:rPr>
                <w:rFonts w:ascii="Times New Roman" w:hAnsi="Times New Roman" w:eastAsia="宋体"/>
                <w:b w:val="0"/>
                <w:sz w:val="21"/>
              </w:rPr>
              <w:t>0.054***（0.016）</w:t>
            </w:r>
          </w:p>
        </w:tc>
      </w:tr>
      <w:tr>
        <w:tc>
          <w:tcPr>
            <w:tcW w:type="dxa" w:w="1417"/>
          </w:tcPr>
          <w:p>
            <w:pPr>
              <w:spacing w:before="20" w:after="20" w:line="276" w:lineRule="auto"/>
              <w:jc w:val="left"/>
            </w:pPr>
            <w:r/>
            <w:r>
              <w:rPr>
                <w:rFonts w:ascii="Times New Roman" w:hAnsi="Times New Roman" w:eastAsia="宋体"/>
                <w:b w:val="0"/>
                <w:sz w:val="21"/>
              </w:rPr>
              <w:t>Kleibergen-Paap rk Wald F</w:t>
            </w:r>
          </w:p>
        </w:tc>
        <w:tc>
          <w:tcPr>
            <w:tcW w:type="dxa" w:w="1417"/>
          </w:tcPr>
          <w:p>
            <w:pPr>
              <w:spacing w:before="20" w:after="20" w:line="276" w:lineRule="auto"/>
              <w:jc w:val="center"/>
            </w:pPr>
            <w:r/>
            <w:r>
              <w:rPr>
                <w:rFonts w:ascii="Times New Roman" w:hAnsi="Times New Roman" w:eastAsia="宋体"/>
                <w:b w:val="0"/>
                <w:sz w:val="21"/>
              </w:rPr>
              <w:t>24.7</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c>
          <w:tcPr>
            <w:tcW w:type="dxa" w:w="1417"/>
          </w:tcPr>
          <w:p>
            <w:pPr>
              <w:spacing w:before="20" w:after="20" w:line="276" w:lineRule="auto"/>
              <w:jc w:val="center"/>
            </w:pPr>
            <w:r/>
            <w:r>
              <w:rPr>
                <w:rFonts w:ascii="Times New Roman" w:hAnsi="Times New Roman" w:eastAsia="宋体"/>
                <w:b w:val="0"/>
                <w:sz w:val="21"/>
              </w:rPr>
              <w:t>—</w:t>
            </w:r>
          </w:p>
        </w:tc>
      </w:tr>
      <w:tr>
        <w:tc>
          <w:tcPr>
            <w:tcW w:type="dxa" w:w="1417"/>
          </w:tcPr>
          <w:p>
            <w:pPr>
              <w:spacing w:before="20" w:after="20" w:line="276" w:lineRule="auto"/>
              <w:jc w:val="left"/>
            </w:pPr>
            <w:r/>
            <w:r>
              <w:rPr>
                <w:rFonts w:ascii="Times New Roman" w:hAnsi="Times New Roman" w:eastAsia="宋体"/>
                <w:b w:val="0"/>
                <w:sz w:val="21"/>
              </w:rPr>
              <w:t>控制变量</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r>
      <w:tr>
        <w:tc>
          <w:tcPr>
            <w:tcW w:type="dxa" w:w="1417"/>
          </w:tcPr>
          <w:p>
            <w:pPr>
              <w:spacing w:before="20" w:after="20" w:line="276" w:lineRule="auto"/>
              <w:jc w:val="left"/>
            </w:pPr>
            <w:r/>
            <w:r>
              <w:rPr>
                <w:rFonts w:ascii="Times New Roman" w:hAnsi="Times New Roman" w:eastAsia="宋体"/>
                <w:b w:val="0"/>
                <w:sz w:val="21"/>
              </w:rPr>
              <w:t>省份固定效应</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r>
      <w:tr>
        <w:tc>
          <w:tcPr>
            <w:tcW w:type="dxa" w:w="1417"/>
          </w:tcPr>
          <w:p>
            <w:pPr>
              <w:spacing w:before="20" w:after="20" w:line="276" w:lineRule="auto"/>
              <w:jc w:val="left"/>
            </w:pPr>
            <w:r/>
            <w:r>
              <w:rPr>
                <w:rFonts w:ascii="Times New Roman" w:hAnsi="Times New Roman" w:eastAsia="宋体"/>
                <w:b w:val="0"/>
                <w:sz w:val="21"/>
              </w:rPr>
              <w:t>年份固定效应</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c>
          <w:tcPr>
            <w:tcW w:type="dxa" w:w="1417"/>
          </w:tcPr>
          <w:p>
            <w:pPr>
              <w:spacing w:before="20" w:after="20" w:line="276" w:lineRule="auto"/>
              <w:jc w:val="left"/>
            </w:pPr>
            <w:r/>
            <w:r>
              <w:rPr>
                <w:rFonts w:ascii="Times New Roman" w:hAnsi="Times New Roman" w:eastAsia="宋体"/>
                <w:b w:val="0"/>
                <w:sz w:val="21"/>
              </w:rPr>
              <w:t>是</w:t>
            </w:r>
          </w:p>
        </w:tc>
      </w:tr>
      <w:tr>
        <w:tc>
          <w:tcPr>
            <w:tcW w:type="dxa" w:w="1417"/>
            <w:tcBorders>
              <w:bottom w:val="single" w:sz="12" w:color="000000"/>
            </w:tcBorders>
          </w:tcPr>
          <w:p>
            <w:pPr>
              <w:spacing w:before="20" w:after="20" w:line="276" w:lineRule="auto"/>
              <w:jc w:val="left"/>
            </w:pPr>
            <w:r/>
            <w:r>
              <w:rPr>
                <w:rFonts w:ascii="Times New Roman" w:hAnsi="Times New Roman" w:eastAsia="宋体"/>
                <w:b w:val="0"/>
                <w:sz w:val="21"/>
              </w:rPr>
              <w:t>N</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372</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351</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1417"/>
            <w:tcBorders>
              <w:bottom w:val="single" w:sz="12" w:color="000000"/>
            </w:tcBorders>
          </w:tcPr>
          <w:p>
            <w:pPr>
              <w:spacing w:before="20" w:after="20" w:line="276" w:lineRule="auto"/>
              <w:jc w:val="center"/>
            </w:pPr>
            <w:r/>
            <w:r>
              <w:rPr>
                <w:rFonts w:ascii="Times New Roman" w:hAnsi="Times New Roman" w:eastAsia="宋体"/>
                <w:b w:val="0"/>
                <w:sz w:val="21"/>
              </w:rPr>
              <w:t>403</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列（1）以地形起伏度×年份趋势与明清驿道密度×年份趋势为工具变量；列（2）以Seg滞后一期为解释变量，样本因滞后损失2012年观测；列（3）剔除北京、天津、上海、重庆四个直辖市；列（4）在基准设定上加入省份×线性时间趋势；列（5）以夜间灯光边界梯度法重新测度的分割指数替换Seg。</w:t>
      </w:r>
    </w:p>
    <w:p>
      <w:pPr>
        <w:spacing w:before="0" w:after="0" w:line="360" w:lineRule="auto"/>
        <w:ind w:firstLineChars="200" w:firstLine="480"/>
      </w:pPr>
      <w:r>
        <w:rPr>
          <w:rFonts w:ascii="Times New Roman" w:hAnsi="Times New Roman" w:eastAsia="宋体"/>
          <w:b w:val="0"/>
          <w:sz w:val="24"/>
        </w:rPr>
        <w:t>表8.4列（1）显示，2SLS估计的Seg系数为0.079，在1%的水平上显著为正，因果方向的判断得以确认：由地理与历史约束驱动的、外生的市场分割变异，确实系统性地推高了“内卷式”竞争强度。工具变量估计值高于OLS基准（0.058）约36%，这一格局包含三重信息。第一，它与测量误差引致的衰减偏误相符：分割指数以八大类商品零售价格的相对波动合成，不可避免地含有测度噪声，OLS由此低估真实效应，2SLS利用工具提取的“干净”变异校正了这一衰减。第二，它提示反向因果并非OLS偏误的主导方向——若“内卷加剧分割”的反馈占优，OLS应高估而非低估，2SLS高于OLS的事实说明衰减偏误与遗漏变量的合力压过了反向因果。第三，按照局部平均处理效应的解读，2SLS识别的是分割程度对地理与历史约束敏感的“依从省份”的效应，这类省份多处于基础设施改善与市场整合进程的边际区间——其市场厚度尚薄、整合红利尚未耗尽，分割程度的边际变化对竞争秩序的冲击更大，“催卷”弹性高于全国平均本在情理之中；这一解读还与上一节“中西部弹性更高”的异质性发现相互印证，因为受地理约束驱动的分割变异恰恰集中于中西部省份。综合而言，0.058—0.079可视为真实效应的合理区间，基准估计毋宁说是保守的下界；即便按区间下限计算，分割一个标准差的“催卷”效应也在“内卷”指数标准差的两成以上，经济显著性的结论不因估计方法的选择而动摇。</w:t>
      </w:r>
    </w:p>
    <w:p>
      <w:pPr>
        <w:spacing w:before="160" w:after="120" w:line="360" w:lineRule="auto"/>
        <w:outlineLvl w:val="2"/>
      </w:pPr>
      <w:r>
        <w:rPr>
          <w:rFonts w:ascii="Times New Roman" w:hAnsi="Times New Roman" w:eastAsia="黑体"/>
          <w:b w:val="0"/>
          <w:sz w:val="24"/>
        </w:rPr>
        <w:t>3．稳健性检验</w:t>
      </w:r>
    </w:p>
    <w:p>
      <w:pPr>
        <w:spacing w:before="0" w:after="0" w:line="360" w:lineRule="auto"/>
        <w:ind w:firstLineChars="200" w:firstLine="480"/>
      </w:pPr>
      <w:r>
        <w:rPr>
          <w:rFonts w:ascii="Times New Roman" w:hAnsi="Times New Roman" w:eastAsia="宋体"/>
          <w:b w:val="0"/>
          <w:sz w:val="24"/>
        </w:rPr>
        <w:t>列（2）—（5）从四个互补方向检验基准结果的稳健性，每一项针对一类特定的识别疑虑。列（2）以滞后一期的Seg替代当期值，斩断同期反向因果的回路——上一年的分割程度不可能由本年的“内卷”冲击决定——系数为0.052，仍在1%的水平上显著，与基准值仅差0.006，说明同期联立偏误即便存在也十分有限。需要说明的是，滞后设定并非内生性的万灵药：若“内卷”与分割同时具有强持续性，滞后项仍可能与扰动项相关，故本书将其定位为对2SLS结果的佐证而非替代；不过，滞后系数与当期系数的高度接近至少表明，分割的“催卷”作用具有跨期持续性，与产能积累、补贴惯性的慢变量属性一致——分割在前、“内卷”在后的时序结构本身也与因果解释相容。</w:t>
      </w:r>
    </w:p>
    <w:p>
      <w:pPr>
        <w:spacing w:before="0" w:after="0" w:line="360" w:lineRule="auto"/>
        <w:ind w:firstLineChars="200" w:firstLine="480"/>
      </w:pPr>
      <w:r>
        <w:rPr>
          <w:rFonts w:ascii="Times New Roman" w:hAnsi="Times New Roman" w:eastAsia="宋体"/>
          <w:b w:val="0"/>
          <w:sz w:val="24"/>
        </w:rPr>
        <w:t>列（3）剔除北京、天津、上海、重庆四个直辖市后重估，系数为0.061，略高于基准且显著性不变。剔除的理由有二：一是直辖市地域范围小、无完整农业腹地、价格体系与产业结构特殊，相对价格法在此类单元上的测度噪声偏大；二是直辖市的行政级别与资源动员能力特殊，其与周边省份的市场关系可能遵循不同逻辑。剔除后结果反而略强，说明基准估计并未被这四个特殊观测驱动，甚至因测度噪声的剔除而更干净。列（4）在双固定效应之外加入省份×线性时间趋势，容许每个省份拥有自己的“内卷”演化斜率，从而吸收西部大开发、东北振兴、自贸区扩容等省份特异性政策进程——这是对时变遗漏变量最苛刻的参数化防御，任何沿时间线性演化的省份特征都被强制吸收——Seg系数降至0.049但仍在1%的水平上显著，核心结论在几乎榨干组内变异的设定下依然存活。列（5）将相对价格法分割指数整体替换为夜间灯光边界梯度法的测度：该方法以省界两侧灯光强度的不连续程度刻画经济活动的边界阻断，数据来源、构造逻辑与价格法完全独立，两种测度的误差结构几乎不可能同源；系数为0.054、1%水平显著，量级与基准高度接近，表明结果不依赖于特定的分割测度方法，第七章测度部分关于两类指数高度一致的讨论在回归层面再获确认。此外，考虑到31个聚类单元数量偏少、常规聚类标准误可能低估不确定性，本书对核心设定同时执行了野聚类自助法推断，Seg系数的显著性结论不变。</w:t>
      </w:r>
    </w:p>
    <w:p>
      <w:pPr>
        <w:spacing w:before="0" w:after="0" w:line="360" w:lineRule="auto"/>
        <w:ind w:firstLineChars="200" w:firstLine="480"/>
      </w:pPr>
      <w:r>
        <w:rPr>
          <w:rFonts w:ascii="Times New Roman" w:hAnsi="Times New Roman" w:eastAsia="宋体"/>
          <w:b w:val="0"/>
          <w:sz w:val="24"/>
        </w:rPr>
        <w:t>纵览全部估计，分割对“内卷”的效应在0.049—0.079的窄幅区间内波动，全部在1%的水平上显著（仅东部子样本为5%），符号无一例外为正。区间上下限之比不足1.7，意味着无论采信哪一种识别策略，效应的经济含义都落在同一个数量级、同一个政策相关的区间之内——这与那种“换一个设定符号就翻转”的脆弱发现形成鲜明对照。固定效应回归控制了不随时间变化的省份特征与共同冲击，工具变量利用地理与历史的外生变异裁决了因果方向，稳健性设定逐一排除了反向因果、特殊样本、省份特异趋势与测度方法依赖的替代解释，三类证据从不同角度逼近同一个数值邻域。这种三角一致性使我们有充分信心将基准系数解释为因果效应：市场分割确实是“内卷式”竞争的重要制度性推手。</w:t>
      </w:r>
    </w:p>
    <w:p>
      <w:pPr>
        <w:spacing w:before="200" w:after="160" w:line="360" w:lineRule="auto"/>
        <w:outlineLvl w:val="1"/>
      </w:pPr>
      <w:r>
        <w:rPr>
          <w:rFonts w:ascii="Times New Roman" w:hAnsi="Times New Roman" w:eastAsia="黑体"/>
          <w:b w:val="0"/>
          <w:sz w:val="28"/>
        </w:rPr>
        <w:t>（五）本章小结：假说H1—H3的证据链</w:t>
      </w:r>
    </w:p>
    <w:p>
      <w:pPr>
        <w:spacing w:before="0" w:after="0" w:line="360" w:lineRule="auto"/>
        <w:ind w:firstLineChars="200" w:firstLine="480"/>
      </w:pPr>
      <w:r>
        <w:rPr>
          <w:rFonts w:ascii="Times New Roman" w:hAnsi="Times New Roman" w:eastAsia="宋体"/>
          <w:b w:val="0"/>
          <w:sz w:val="24"/>
        </w:rPr>
        <w:t>本章以31省2012—2024年面板为基础，沿“基准回归—机制分解—异质性剖面—因果确认”的递进路线，完成了对假说H1—H3的系统检验。三个假说均获得支持，且支持每一假说的证据都来自不止一种方法、不止一个切面，证据链条可以归纳如下。</w:t>
      </w:r>
    </w:p>
    <w:p>
      <w:pPr>
        <w:spacing w:before="0" w:after="0" w:line="360" w:lineRule="auto"/>
        <w:ind w:firstLineChars="200" w:firstLine="480"/>
      </w:pPr>
      <w:r>
        <w:rPr>
          <w:rFonts w:ascii="Times New Roman" w:hAnsi="Times New Roman" w:eastAsia="宋体"/>
          <w:b w:val="0"/>
          <w:sz w:val="24"/>
        </w:rPr>
        <w:t>关于H1（分割加剧内卷），证据来自三个层次的汇聚。基准双固定效应估计显示，市场分割指数对“内卷”强度指数的效应为0.058且在1%的水平上显著，分割指数每上升一个标准差，“内卷”指数上升0.024，相当于其标准差的25.4%；该效应在价格竞争烈度（0.066）与产能冗余度（0.049）两个分维度上同时成立；工具变量估计（0.079）确认了因果方向，滞后解释变量、剔除直辖市、省份时间趋势与灯光法替换四组稳健性检验将效应锁定在0.049—0.079的窄幅区间。统计显著、经济可观、因果可辩、测度不依赖——H1在四重意义上成立。由此，第七章散点图上0.81的相关系数完成了从“相关”到“因果”的升格：市场分割不是“内卷式”竞争的伴生现象，而是其上游的制度性推手。</w:t>
      </w:r>
    </w:p>
    <w:p>
      <w:pPr>
        <w:spacing w:before="0" w:after="0" w:line="360" w:lineRule="auto"/>
        <w:ind w:firstLineChars="200" w:firstLine="480"/>
      </w:pPr>
      <w:r>
        <w:rPr>
          <w:rFonts w:ascii="Times New Roman" w:hAnsi="Times New Roman" w:eastAsia="宋体"/>
          <w:b w:val="0"/>
          <w:sz w:val="24"/>
        </w:rPr>
        <w:t>关于H2（补贴竞争与产业同构渠道），两步法给出了完整的传导证据。第一步，分割显著推高补贴强度（0.214）与产业结构相似系数（0.038）；第二步，两个机制变量显著解释“内卷”强度（分别为0.041与0.297），且Seg直接效应由0.058降至0.036、衰减约38%，构成部分中介。渠道分解显示同构渠道贡献最大、补贴渠道次之；增长目标压力省份“催卷”效应更强（交互项0.027）的异质性发现，为补贴渠道的锦标赛逻辑提供了独立旁证。中介回归与交互检验两类方法论上互补的证据指向同一渠道结构，使H2的成立不系于任何单一识别假设。</w:t>
      </w:r>
    </w:p>
    <w:p>
      <w:pPr>
        <w:spacing w:before="0" w:after="0" w:line="360" w:lineRule="auto"/>
        <w:ind w:firstLineChars="200" w:firstLine="480"/>
      </w:pPr>
      <w:r>
        <w:rPr>
          <w:rFonts w:ascii="Times New Roman" w:hAnsi="Times New Roman" w:eastAsia="宋体"/>
          <w:b w:val="0"/>
          <w:sz w:val="24"/>
        </w:rPr>
        <w:t>关于H3（需求收缩放大、退出摩擦延长），证据同样是双源的。退出粘性一侧：分割显著压低企业退出率（−0.83），退出率又与“内卷”显著负相关（−0.0046），资本密集型产业占比高的省份“催卷”效应更强（交互项0.034），印证了沉没成本与退出摩擦的放大作用；需求收缩一侧：Seg×Post2020交互项显著为正（0.019），表明2020年需求约束收紧后，同等分割对应更高的“内卷”增量，分割正是把需求冲击放大为持续缠斗的制度性放大器。这一发现的含义超出学理层面：它说明“供强需弱”与市场分割不是两个并行的问题，而是相互加持的一体两面——需求侧的扩围与供给秩序侧的统一必须同步推进，单兵突进任何一侧都难以拆解“内卷”的自我强化回路。</w:t>
      </w:r>
    </w:p>
    <w:p>
      <w:pPr>
        <w:spacing w:before="0" w:after="0" w:line="360" w:lineRule="auto"/>
        <w:ind w:firstLineChars="200" w:firstLine="480"/>
      </w:pPr>
      <w:r>
        <w:rPr>
          <w:rFonts w:ascii="Times New Roman" w:hAnsi="Times New Roman" w:eastAsia="宋体"/>
          <w:b w:val="0"/>
          <w:sz w:val="24"/>
        </w:rPr>
        <w:t>这条证据链的政策指向亦随之明朗。既然分割“催卷”的四成效应经由补贴竞争、产业同构与退出粘性三条可观测渠道传导，治理就应当渠道对渠道、工具对工具地精准落子：针对补贴竞争渠道，须以公平竞争审查的刚性约束与地方政府招商引资清单管理拆除攀比加码的博弈结构；针对产业同构渠道，须以全国统一的产业信息发布、规划协调与标准引领校正“人人皆押新赛道”的布局趋同；针对退出粘性渠道，须以破产制度与简易退出机制的健全、产能的市场化调控疏通出清梗阻。习近平在《当前经济工作的重点任务》中要求“制定全国统一大市场建设条例，出台地方政府招商引资鼓励和禁止事项清单，综合运用产能调控、标准引领、价格执法、质量监管和反垄断、反不正当竞争等手段，深入整治‘内卷式’竞争，营造良好市场生态”，这一工具箱的内在结构与本章识别的渠道结构一一对应——政策部署的靶点，恰是实证显示的病灶。系统的政策路径设计将在本书第十一章展开。</w:t>
      </w:r>
    </w:p>
    <w:p>
      <w:pPr>
        <w:spacing w:before="0" w:after="0" w:line="360" w:lineRule="auto"/>
        <w:ind w:firstLineChars="200" w:firstLine="480"/>
      </w:pPr>
      <w:r>
        <w:rPr>
          <w:rFonts w:ascii="Times New Roman" w:hAnsi="Times New Roman" w:eastAsia="宋体"/>
          <w:b w:val="0"/>
          <w:sz w:val="24"/>
        </w:rPr>
        <w:t>三个假说的联合成立，意味着第四章理论模型的核心传导链条——分割抬高本地市场势力与政治溢价、诱发补贴竞争与重复进入、叠加退出摩擦与需求收缩而凝固为“内卷均衡”——在中国省域数据中得到了完整的经验对应，第三章提出的“内卷式竞争陷阱”概念由此获得了测度与计量的双重支撑。但本章回答的只是“分割如何催卷”的正向问题，硬币的另一面尚待翻开：如果分割是“内卷”的制度性推手，那么以统一大市场建设拆除分割，能否反向拆解“内卷”、并进一步释放效率与创新层面的“统一红利”？公平竞争审查制度的准自然实验为回答这一问题提供了难得的识别机会。本书第九章将检验假说H4与H5，对“统一→红利”环节给出系统的因果证据。</w:t>
      </w:r>
    </w:p>
    <w:p>
      <w:r>
        <w:br w:type="page"/>
      </w:r>
    </w:p>
    <w:p>
      <w:pPr>
        <w:spacing w:before="240" w:after="280" w:line="360" w:lineRule="auto"/>
        <w:jc w:val="center"/>
        <w:outlineLvl w:val="0"/>
      </w:pPr>
      <w:r>
        <w:rPr>
          <w:rFonts w:ascii="Times New Roman" w:hAnsi="Times New Roman" w:eastAsia="黑体"/>
          <w:b/>
          <w:sz w:val="30"/>
        </w:rPr>
        <w:t>九、实证分析Ⅲ：统一大市场建设的“统一红利”效应</w:t>
      </w:r>
    </w:p>
    <w:p>
      <w:pPr>
        <w:spacing w:before="0" w:after="0" w:line="360" w:lineRule="auto"/>
        <w:ind w:firstLineChars="200" w:firstLine="480"/>
      </w:pPr>
      <w:r>
        <w:rPr>
          <w:rFonts w:ascii="Times New Roman" w:hAnsi="Times New Roman" w:eastAsia="宋体"/>
          <w:b w:val="0"/>
          <w:sz w:val="24"/>
        </w:rPr>
        <w:t>本书第八章完成了“市场分割—内卷竞争—统一红利”传导链条前半程的检验：市场分割经由补贴竞争、产业同构与退出粘性三条渠道显著加剧“内卷式”竞争，假说H1—H3获得系统支持。逻辑随之走到硬币的另一面——如果分割是“内卷”的制度性推手，那么以统一大市场建设拆除分割，能否反向拆解“内卷”、修复竞争秩序，并进一步在效率与创新层面兑现“统一市场红利”？这正是第四章命题4-1、4-2的逆向运用与命题4-6、4-7、推论4-1所指向的假说H4与H5，也是全书理论框架能否闭环的关键一役。本章依托第六章设定的公平竞争审查强度双重差分设计展开检验：第一节回顾识别策略并以事件研究验证平行趋势，逐年解读政策效应的动态轨迹；第二节估计公平竞争审查对“内卷”强度、补贴强度与市场分割的静态效应，检验“反内卷”与秩序修复功能；第三节考察资源配置效率与全要素生产率效应；第四节考察创新与质量效应；第五节以安慰剂检验与多组稳健性设定巩固识别；第六节在实证弹性与国际文献的双重约束下，对“十五五”时期统一大市场纵深推进的“统一红利”做前瞻性情景测算，并与第四章的福利分解相互呼应，归纳假说H4—H5的完整结论。</w:t>
      </w:r>
    </w:p>
    <w:p>
      <w:pPr>
        <w:spacing w:before="200" w:after="160" w:line="360" w:lineRule="auto"/>
        <w:outlineLvl w:val="1"/>
      </w:pPr>
      <w:r>
        <w:rPr>
          <w:rFonts w:ascii="Times New Roman" w:hAnsi="Times New Roman" w:eastAsia="黑体"/>
          <w:b w:val="0"/>
          <w:sz w:val="28"/>
        </w:rPr>
        <w:t>（一）识别策略回顾与平行趋势检验</w:t>
      </w:r>
    </w:p>
    <w:p>
      <w:pPr>
        <w:spacing w:before="160" w:after="120" w:line="360" w:lineRule="auto"/>
        <w:outlineLvl w:val="2"/>
      </w:pPr>
      <w:r>
        <w:rPr>
          <w:rFonts w:ascii="Times New Roman" w:hAnsi="Times New Roman" w:eastAsia="黑体"/>
          <w:b w:val="0"/>
          <w:sz w:val="24"/>
        </w:rPr>
        <w:t>1．识别策略回顾</w:t>
      </w:r>
    </w:p>
    <w:p>
      <w:pPr>
        <w:spacing w:before="0" w:after="0" w:line="360" w:lineRule="auto"/>
        <w:ind w:firstLineChars="200" w:firstLine="480"/>
      </w:pPr>
      <w:r>
        <w:rPr>
          <w:rFonts w:ascii="Times New Roman" w:hAnsi="Times New Roman" w:eastAsia="宋体"/>
          <w:b w:val="0"/>
          <w:sz w:val="24"/>
        </w:rPr>
        <w:t>先简要重申识别框架的制度基础。公平竞争审查制度由国务院2016年6月以国发〔2016〕34号文件建立，要求政策制定机关对增量政策进行公平竞争审查、对存量政策限期清理，其直接约束对象正是本书理论模型中的补贴博弈与地方保护行为——税收优惠、选择性财政奖励、要素获取壁垒、准入限制等排除、限制竞争的政策措施。据市场监管总局数据，截至《公平竞争审查条例》出台前，全国累计审查政策措施161.8万件，清理存量文件447万件，废止和修订排除、限制竞争的政策措施9.3万件。此后制度沿“增量审查—存量清理—条例升格”的路径渐进刚性化：2024年8月1日《公平竞争审查条例》施行，制度由政策文件升格为行政法规；2025年4月《公平竞争审查条例实施办法》将四类审查标准细化为66项具体情形；《中华人民共和国国民经济和社会发展第十五个五年规划纲要》第十七章进一步要求“强化公平竞争审查刚性约束”。这条持续加码的制度时间线，既是本章选择该制度作为“统一大市场建设”政策冲击代理的依据，也为后文事件研究末段系数的解读提供了制度坐标。</w:t>
      </w:r>
    </w:p>
    <w:p>
      <w:pPr>
        <w:spacing w:before="0" w:after="0" w:line="360" w:lineRule="auto"/>
        <w:ind w:firstLineChars="200" w:firstLine="480"/>
      </w:pPr>
      <w:r>
        <w:rPr>
          <w:rFonts w:ascii="Times New Roman" w:hAnsi="Times New Roman" w:eastAsia="宋体"/>
          <w:b w:val="0"/>
          <w:sz w:val="24"/>
        </w:rPr>
        <w:t>计量设定沿用第六章式(6-13)的强度双重差分模型：被解释变量依次取“内卷式竞争”强度指数、补贴强度、市场分割指数以及全要素生产率、误置代理、创新与利润指标；核心解释变量为</w:t>
      </w:r>
      <m:oMath>
        <m:box>
          <m:e>
            <m:r>
              <m:rPr>
                <m:sty m:val="i"/>
              </m:rPr>
              <m:t>P</m:t>
            </m:r>
            <m:r>
              <m:rPr>
                <m:sty m:val="i"/>
              </m:rPr>
              <m:t>o</m:t>
            </m:r>
            <m:r>
              <m:rPr>
                <m:sty m:val="i"/>
              </m:rPr>
              <m:t>s</m:t>
            </m:r>
            <m:sSub>
              <m:e>
                <m:r>
                  <m:rPr>
                    <m:sty m:val="i"/>
                  </m:rPr>
                  <m:t>t</m:t>
                </m:r>
              </m:e>
              <m:sub>
                <m:box>
                  <m:e>
                    <m:r>
                      <m:rPr>
                        <m:sty m:val="i"/>
                      </m:rPr>
                      <m:t>t</m:t>
                    </m:r>
                  </m:e>
                </m:box>
              </m:sub>
            </m:sSub>
            <m:r>
              <m:rPr>
                <m:sty m:val="p"/>
              </m:rPr>
              <m:t>×</m:t>
            </m:r>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e>
        </m:box>
      </m:oMath>
      <w:r>
        <w:rPr>
          <w:rFonts w:ascii="Times New Roman" w:hAnsi="Times New Roman" w:eastAsia="宋体"/>
          <w:b w:val="0"/>
          <w:sz w:val="24"/>
        </w:rPr>
        <w:t>，其中</w:t>
      </w:r>
      <m:oMath>
        <m:box>
          <m:e>
            <m:r>
              <m:rPr>
                <m:sty m:val="i"/>
              </m:rPr>
              <m:t>P</m:t>
            </m:r>
            <m:r>
              <m:rPr>
                <m:sty m:val="i"/>
              </m:rPr>
              <m:t>o</m:t>
            </m:r>
            <m:r>
              <m:rPr>
                <m:sty m:val="i"/>
              </m:rPr>
              <m:t>s</m:t>
            </m:r>
            <m:sSub>
              <m:e>
                <m:r>
                  <m:rPr>
                    <m:sty m:val="i"/>
                  </m:rPr>
                  <m:t>t</m:t>
                </m:r>
              </m:e>
              <m:sub>
                <m:box>
                  <m:e>
                    <m:r>
                      <m:rPr>
                        <m:sty m:val="i"/>
                      </m:rPr>
                      <m:t>t</m:t>
                    </m:r>
                  </m:e>
                </m:box>
              </m:sub>
            </m:sSub>
          </m:e>
        </m:box>
      </m:oMath>
      <w:r>
        <w:rPr>
          <w:rFonts w:ascii="Times New Roman" w:hAnsi="Times New Roman" w:eastAsia="宋体"/>
          <w:b w:val="0"/>
          <w:sz w:val="24"/>
        </w:rPr>
        <w:t>为2016年及以后取1的时期虚拟变量，</w:t>
      </w:r>
      <m:oMath>
        <m:box>
          <m:e>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e>
        </m:box>
      </m:oMath>
      <w:r>
        <w:rPr>
          <w:rFonts w:ascii="Times New Roman" w:hAnsi="Times New Roman" w:eastAsia="宋体"/>
          <w:b w:val="0"/>
          <w:sz w:val="24"/>
        </w:rPr>
        <w:t>为处理强度，定义为各省2016—2018年人均清理存量政策文件数（标准化）。制度在全国统一推开、不存在纯粹的未处理组，故识别依靠的是省际执行强度的连续差异：清理力度大的省份对政策冲击的暴露程度更深，若制度有效，其结果变量应相对于低强度省份出现系统性改善。所有回归均包含省份与年份双固定效应及第六章表6.3所列控制变量，标准误在省份层面聚类。需要再次强调强度识别的一个保守属性：若制度对全部省份存在同幅度的共同效应，该部分将被年份固定效应吸收，估计量捕捉的只是高强度省份的相对改善，因此本章全部系数都应理解为政策总效应的下界——这一属性使得显著的估计结果更具说服力，也提示后文红利测算宁取审慎口径。</w:t>
      </w:r>
    </w:p>
    <w:p>
      <w:pPr>
        <w:spacing w:before="0" w:after="0" w:line="360" w:lineRule="auto"/>
        <w:ind w:firstLineChars="200" w:firstLine="480"/>
      </w:pPr>
      <w:r>
        <w:rPr>
          <w:rFonts w:ascii="Times New Roman" w:hAnsi="Times New Roman" w:eastAsia="宋体"/>
          <w:b w:val="0"/>
          <w:sz w:val="24"/>
        </w:rPr>
        <w:t>强度双重差分的识别有效性系于两个前提：其一，平行趋势假设——若无该制度，高强度与低强度省份的结果变量将沿平行路径演化；其二，处理强度的预先决定性——</w:t>
      </w:r>
      <m:oMath>
        <m:box>
          <m:e>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e>
        </m:box>
      </m:oMath>
      <w:r>
        <w:rPr>
          <w:rFonts w:ascii="Times New Roman" w:hAnsi="Times New Roman" w:eastAsia="宋体"/>
          <w:b w:val="0"/>
          <w:sz w:val="24"/>
        </w:rPr>
        <w:t>反映的是历史上政策干预沉淀的存量包袱与清理执行力，而非对2016年后“内卷”走势的预期反应。两个前提均不可直接验证，但都有可检验的观测含义：若高强度省份在制度实施前已呈现系统性不同的趋势，或地方政府在制度出台前已因预期而调整行为，事前的动态系数将显著偏离零。为此，按第六章式(6-14)将静态模型动态化为事件研究方程，以政策实施前一年（2015年）为基期，估计2012—2024年逐年的</w:t>
      </w:r>
      <m:oMath>
        <m:box>
          <m:e>
            <m:sSub>
              <m:e>
                <m:limUpp>
                  <m:e>
                    <m:box>
                      <m:e>
                        <m:r>
                          <m:rPr>
                            <m:sty m:val="i"/>
                          </m:rPr>
                          <m:t>θ</m:t>
                        </m:r>
                      </m:e>
                    </m:box>
                  </m:e>
                  <m:lim>
                    <m:r>
                      <m:rPr>
                        <m:sty m:val="p"/>
                      </m:rPr>
                      <m:t>^</m:t>
                    </m:r>
                  </m:lim>
                </m:limUpp>
              </m:e>
              <m:sub>
                <m:box>
                  <m:e>
                    <m:r>
                      <m:rPr>
                        <m:sty m:val="i"/>
                      </m:rPr>
                      <m:t>τ</m:t>
                    </m:r>
                  </m:e>
                </m:box>
              </m:sub>
            </m:sSub>
          </m:e>
        </m:box>
      </m:oMath>
      <w:r>
        <w:rPr>
          <w:rFonts w:ascii="Times New Roman" w:hAnsi="Times New Roman" w:eastAsia="宋体"/>
          <w:b w:val="0"/>
          <w:sz w:val="24"/>
        </w:rPr>
        <w:t>序列，系数刻画高强度省份相对于低强度省份的“内卷”指数动态差异，95%置信区间按系数±1.96倍标准误计算。估计所得动态轨迹（见图9.1）是本章全部因果解释的地基。</w:t>
      </w:r>
    </w:p>
    <w:p>
      <w:pPr>
        <w:spacing w:before="120"/>
        <w:jc w:val="center"/>
      </w:pPr>
      <w:r>
        <w:drawing>
          <wp:inline xmlns:a="http://schemas.openxmlformats.org/drawingml/2006/main" xmlns:pic="http://schemas.openxmlformats.org/drawingml/2006/picture">
            <wp:extent cx="5112000" cy="2777850"/>
            <wp:docPr id="24" name="Picture 24"/>
            <wp:cNvGraphicFramePr>
              <a:graphicFrameLocks noChangeAspect="1"/>
            </wp:cNvGraphicFramePr>
            <a:graphic>
              <a:graphicData uri="http://schemas.openxmlformats.org/drawingml/2006/picture">
                <pic:pic>
                  <pic:nvPicPr>
                    <pic:cNvPr id="0" name="fig_9_1.png"/>
                    <pic:cNvPicPr/>
                  </pic:nvPicPr>
                  <pic:blipFill>
                    <a:blip r:embed="rId32"/>
                    <a:stretch>
                      <a:fillRect/>
                    </a:stretch>
                  </pic:blipFill>
                  <pic:spPr>
                    <a:xfrm>
                      <a:off x="0" y="0"/>
                      <a:ext cx="5112000" cy="2777850"/>
                    </a:xfrm>
                    <a:prstGeom prst="rect"/>
                  </pic:spPr>
                </pic:pic>
              </a:graphicData>
            </a:graphic>
          </wp:inline>
        </w:drawing>
      </w:r>
    </w:p>
    <w:p>
      <w:pPr>
        <w:spacing w:before="120" w:after="120" w:line="312" w:lineRule="auto"/>
        <w:jc w:val="center"/>
      </w:pPr>
      <w:r>
        <w:rPr>
          <w:rFonts w:ascii="Times New Roman" w:hAnsi="Times New Roman" w:eastAsia="黑体"/>
          <w:b w:val="0"/>
          <w:sz w:val="21"/>
        </w:rPr>
        <w:t>图9.1　事件研究动态效应</w:t>
      </w:r>
    </w:p>
    <w:p>
      <w:pPr>
        <w:spacing w:before="0" w:after="0" w:line="360" w:lineRule="auto"/>
        <w:ind w:firstLineChars="200" w:firstLine="480"/>
      </w:pPr>
      <w:r>
        <w:rPr>
          <w:rFonts w:ascii="Times New Roman" w:hAnsi="Times New Roman" w:eastAsia="宋体"/>
          <w:b w:val="0"/>
          <w:sz w:val="24"/>
        </w:rPr>
        <w:t>先看政策实施前的三年。2012年、2013年、2014年的系数分别为+0.002（标准误0.006）、+0.003（0.006）与−0.001（0.005），绝对值均不超过0.003、不足样本期末端效应的一成，符号正负交错、无任何趋势形态，95%置信区间全部宽松地覆盖零。这一形态包含两层信息：其一，平行趋势的事前含义得到支持——在公平竞争审查制度实施之前，日后清理力度大的省份与清理力度小的省份，“内卷”强度的演化路径没有系统差异，高强度省份并非本来就走在“内卷”缓解的轨道上；其二，预期效应可以排除——若地方政府在2016年前已预见审查制度并提前收缩补贴，事前系数应现负向漂移，数据中并未出现。识别假设的两个观测含义均通过检验，静态估计的因果解释由此获得依托。</w:t>
      </w:r>
    </w:p>
    <w:p>
      <w:pPr>
        <w:spacing w:before="0" w:after="0" w:line="360" w:lineRule="auto"/>
        <w:ind w:firstLineChars="200" w:firstLine="480"/>
      </w:pPr>
      <w:r>
        <w:rPr>
          <w:rFonts w:ascii="Times New Roman" w:hAnsi="Times New Roman" w:eastAsia="宋体"/>
          <w:b w:val="0"/>
          <w:sz w:val="24"/>
        </w:rPr>
        <w:t>再看政策实施后系数的逐年演进，其轨迹与制度刚性化的节奏呈现出高度吻合的时间形态。2016年系数为−0.004（0.005），方向转负但远未显著：制度当年6月方才发文，下半年增量审查刚刚起步，存量清理尚未展开，政策落地需要行政流程的沉淀，首年效应微弱在情理之中。2017年系数降至−0.009（0.005），绝对值近乎翻倍，按其标准误衡量已在10%的水平上边际显著：增量审查全面铺开、存量清理进入实施阶段，补贴与保护性文件的边际收缩开始在“内卷”指标上留下痕迹。2018年系数进一步降至−0.013（0.006），首次在5%的水平上显著——这一年恰是存量政策集中清理的收官阶段，效应“由弱转实”的拐点与制度执行的关键节点相互对应。2019年系数为−0.016（0.006），显著性进一步增强，政策效应在制度平稳运行中持续累积。</w:t>
      </w:r>
    </w:p>
    <w:p>
      <w:pPr>
        <w:spacing w:before="0" w:after="0" w:line="360" w:lineRule="auto"/>
        <w:ind w:firstLineChars="200" w:firstLine="480"/>
      </w:pPr>
      <w:r>
        <w:rPr>
          <w:rFonts w:ascii="Times New Roman" w:hAnsi="Times New Roman" w:eastAsia="宋体"/>
          <w:b w:val="0"/>
          <w:sz w:val="24"/>
        </w:rPr>
        <w:t>2020年及以后的轨迹同样具有丰富的解释内涵。2020年系数为−0.015（0.007），较2019年小幅回撤且标准误有所扩大：疫情冲击下物流受阻、地方保护回潮，第七章曾记录同年全国市场分割指数由2.13反弹至2.31，两组独立测度在同一年份出现同向扰动，恰构成相互印证；但系数仍在5%的水平上显著为负，说明极端冲击之下制度约束并未失效，只是效应的累积被暂时打断。2021年系数恢复加深至−0.019（0.007）。2022年降至−0.022（0.008）：这一年《中共中央 国务院关于加快建设全国统一大市场的意见》发布，统一大市场建设全面展开，公平竞争审查从单项制度嵌入系统性政策框架，高强度省份的相对优势进一步扩大——耐人寻味的是，2022年全国分割指数因局部封控与地方产业竞赛一度反弹，而高强度省份的相对效应仍在加深，这正是强度识别剥离共同冲击后的净政策信号。2023年系数为−0.026（0.008），2024年达到样本期最深的−0.029（0.009）：《公平竞争审查条例》于当年8月1日施行，制度升格为行政法规的当年，动态效应也走到最大，约为静态平均效应的1.5倍，相当于样本期“内卷”指数均值的约7.6%。</w:t>
      </w:r>
    </w:p>
    <w:p>
      <w:pPr>
        <w:spacing w:before="0" w:after="0" w:line="360" w:lineRule="auto"/>
        <w:ind w:firstLineChars="200" w:firstLine="480"/>
      </w:pPr>
      <w:r>
        <w:rPr>
          <w:rFonts w:ascii="Times New Roman" w:hAnsi="Times New Roman" w:eastAsia="宋体"/>
          <w:b w:val="0"/>
          <w:sz w:val="24"/>
        </w:rPr>
        <w:t>将十三年的系数序列连成一线，动态形态可以概括为三个特征。第一，阶梯式加深：事后系数由−0.004逐级下探至−0.029，除2020年的疫情扰动外无一年份回弹，政策效应呈现清晰的累积性而非脉冲性——这与公平竞争审查“增量审查＋存量清理＋条例升格”的渐进强化路径在时间形态上互相印证，也符合制度经济学的一般预期：规则型政策改变的是行为的约束结构，其效应随规则可信度的确立而存量化。第二，无衰减迹象：样本期末端效应仍在加深，提示2024年并非政策效应的终点，这一观察将在第六节的前瞻测算中被谨慎利用。第三，动态轨迹为静态估计提供了正确的解读框架：下一节报告的静态系数−0.019，应理解为2016—2024年逐年累积效应的加权平均，而非某个时点的瞬时效应；政策评估若只截取实施初期的短窗口，将系统性低估规则型改革的长期收益。</w:t>
      </w:r>
    </w:p>
    <w:p>
      <w:pPr>
        <w:spacing w:before="0" w:after="0" w:line="360" w:lineRule="auto"/>
        <w:ind w:firstLineChars="200" w:firstLine="480"/>
      </w:pPr>
      <w:r>
        <w:rPr>
          <w:rFonts w:ascii="Times New Roman" w:hAnsi="Times New Roman" w:eastAsia="宋体"/>
          <w:b w:val="0"/>
          <w:sz w:val="24"/>
        </w:rPr>
        <w:t>动态证据还回答了一个容易引起困惑的表面矛盾：既然政策有效，为何本书测度的全国“内卷”指数在样本期末仍在攀升——由2022年的0.398升至2023年的0.437、2024年的0.470？答案在于相对效应与共同冲击的分解。事件研究识别的是高强度省份相对于低强度省份的改善，而2022年以来“供强需弱”加剧、PPI持续负增长构成的全国性“催卷”压力，属于被年份固定效应吸收的共同分量——政策在对冲这股压力，只是对冲的力度尚不足以逆转总体方向。第八章曾以基准弹性做过一个粗略的反事实推算：若无2012—2024年市场整合的持续推进，2024年的全国“内卷”指数将不是0.470而可能逼近0.51；本章的动态系数则从政策端补上了这一判断的另一半——恰恰是在“内卷”总体最烈的2022—2024年，高强度省份的相对效应以每年约0.003—0.004的步幅持续加深，制度的边际约束力不仅没有被需求冲击淹没，反而在政策组合加码中稳步增强。“总量恶化”与“政策有效”并行不悖，前者呼唤治理加力，后者证明治理有方，二者共同指向的结论是：统一大市场建设需要的不是转向，而是纵深。</w:t>
      </w:r>
    </w:p>
    <w:p>
      <w:pPr>
        <w:spacing w:before="200" w:after="160" w:line="360" w:lineRule="auto"/>
        <w:outlineLvl w:val="1"/>
      </w:pPr>
      <w:r>
        <w:rPr>
          <w:rFonts w:ascii="Times New Roman" w:hAnsi="Times New Roman" w:eastAsia="黑体"/>
          <w:b w:val="0"/>
          <w:sz w:val="28"/>
        </w:rPr>
        <w:t>（二）公平竞争审查的“反内卷”效应</w:t>
      </w:r>
    </w:p>
    <w:p>
      <w:pPr>
        <w:spacing w:before="0" w:after="0" w:line="360" w:lineRule="auto"/>
        <w:ind w:firstLineChars="200" w:firstLine="480"/>
      </w:pPr>
      <w:r>
        <w:rPr>
          <w:rFonts w:ascii="Times New Roman" w:hAnsi="Times New Roman" w:eastAsia="宋体"/>
          <w:b w:val="0"/>
          <w:sz w:val="24"/>
        </w:rPr>
        <w:t>平行趋势既立，转入静态效应的估计。本节将式(6-13)依次应用于三个结果变量：“内卷式竞争”强度指数（Inv）、补贴强度（Sub）与市场分割指数（Seg）。三者的组合并非随意：公平竞争审查直接约束的是政策文件——补贴、奖励、准入限制、要素倾斜——因此其效应链条应当是“先政策、后市场”：制度首先压缩补贴与保护性干预（Sub下降），进而拆除政策性壁垒（Seg下降），最终缓解由分割与补贴喂养的“内卷式”竞争（Inv下降）。若三个系数同时显著且方向如此排列，则不仅假说H4成立，第八章确认的“分割→内卷”正向机制也将获得一个反向运行的镜像验证。估计结果（见表9.1）报告如下。</w:t>
      </w:r>
    </w:p>
    <w:p>
      <w:pPr>
        <w:spacing w:before="160" w:after="80" w:line="312" w:lineRule="auto"/>
        <w:jc w:val="center"/>
      </w:pPr>
      <w:r>
        <w:rPr>
          <w:rFonts w:ascii="Times New Roman" w:hAnsi="Times New Roman" w:eastAsia="黑体"/>
          <w:b w:val="0"/>
          <w:sz w:val="21"/>
        </w:rPr>
        <w:t>表9.1　公平竞争审查的“反内卷”与秩序修复效应（强度双重差分估计）</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（1）Inv（“内卷”指数）</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（2）Sub（补贴强度，%）</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（3）Seg（市场分割指数）</w:t>
            </w:r>
          </w:p>
        </w:tc>
      </w:tr>
      <w:tr>
        <w:tc>
          <w:tcPr>
            <w:tcW w:type="dxa" w:w="2126"/>
          </w:tcPr>
          <w:p>
            <w:pPr>
              <w:spacing w:before="20" w:after="20" w:line="276" w:lineRule="auto"/>
              <w:jc w:val="left"/>
            </w:pPr>
            <w:r/>
            <w:r>
              <w:rPr>
                <w:rFonts w:ascii="Times New Roman" w:hAnsi="Times New Roman" w:eastAsia="宋体"/>
                <w:b w:val="0"/>
                <w:sz w:val="21"/>
              </w:rPr>
              <w:t>Post×Intensity</w:t>
            </w:r>
          </w:p>
        </w:tc>
        <w:tc>
          <w:tcPr>
            <w:tcW w:type="dxa" w:w="2126"/>
          </w:tcPr>
          <w:p>
            <w:pPr>
              <w:spacing w:before="20" w:after="20" w:line="276" w:lineRule="auto"/>
              <w:jc w:val="left"/>
            </w:pPr>
            <w:r/>
            <w:r>
              <w:rPr>
                <w:rFonts w:ascii="Times New Roman" w:hAnsi="Times New Roman" w:eastAsia="宋体"/>
                <w:b w:val="0"/>
                <w:sz w:val="21"/>
              </w:rPr>
              <w:t>−0.019***（0.006）</w:t>
            </w:r>
          </w:p>
        </w:tc>
        <w:tc>
          <w:tcPr>
            <w:tcW w:type="dxa" w:w="2126"/>
          </w:tcPr>
          <w:p>
            <w:pPr>
              <w:spacing w:before="20" w:after="20" w:line="276" w:lineRule="auto"/>
              <w:jc w:val="left"/>
            </w:pPr>
            <w:r/>
            <w:r>
              <w:rPr>
                <w:rFonts w:ascii="Times New Roman" w:hAnsi="Times New Roman" w:eastAsia="宋体"/>
                <w:b w:val="0"/>
                <w:sz w:val="21"/>
              </w:rPr>
              <w:t>−0.084**（0.038）</w:t>
            </w:r>
          </w:p>
        </w:tc>
        <w:tc>
          <w:tcPr>
            <w:tcW w:type="dxa" w:w="2126"/>
          </w:tcPr>
          <w:p>
            <w:pPr>
              <w:spacing w:before="20" w:after="20" w:line="276" w:lineRule="auto"/>
              <w:jc w:val="left"/>
            </w:pPr>
            <w:r/>
            <w:r>
              <w:rPr>
                <w:rFonts w:ascii="Times New Roman" w:hAnsi="Times New Roman" w:eastAsia="宋体"/>
                <w:b w:val="0"/>
                <w:sz w:val="21"/>
              </w:rPr>
              <w:t>−0.121***（0.035）</w:t>
            </w:r>
          </w:p>
        </w:tc>
      </w:tr>
      <w:tr>
        <w:tc>
          <w:tcPr>
            <w:tcW w:type="dxa" w:w="2126"/>
          </w:tcPr>
          <w:p>
            <w:pPr>
              <w:spacing w:before="20" w:after="20" w:line="276" w:lineRule="auto"/>
              <w:jc w:val="left"/>
            </w:pPr>
            <w:r/>
            <w:r>
              <w:rPr>
                <w:rFonts w:ascii="Times New Roman" w:hAnsi="Times New Roman" w:eastAsia="宋体"/>
                <w:b w:val="0"/>
                <w:sz w:val="21"/>
              </w:rPr>
              <w:t>控制变量</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Pr>
          <w:p>
            <w:pPr>
              <w:spacing w:before="20" w:after="20" w:line="276" w:lineRule="auto"/>
              <w:jc w:val="left"/>
            </w:pPr>
            <w:r/>
            <w:r>
              <w:rPr>
                <w:rFonts w:ascii="Times New Roman" w:hAnsi="Times New Roman" w:eastAsia="宋体"/>
                <w:b w:val="0"/>
                <w:sz w:val="21"/>
              </w:rPr>
              <w:t>省份固定效应</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Pr>
          <w:p>
            <w:pPr>
              <w:spacing w:before="20" w:after="20" w:line="276" w:lineRule="auto"/>
              <w:jc w:val="left"/>
            </w:pPr>
            <w:r/>
            <w:r>
              <w:rPr>
                <w:rFonts w:ascii="Times New Roman" w:hAnsi="Times New Roman" w:eastAsia="宋体"/>
                <w:b w:val="0"/>
                <w:sz w:val="21"/>
              </w:rPr>
              <w:t>年份固定效应</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N</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注：括号内为省份层面聚类稳健标准误；*</w:t>
      </w:r>
      <w:r>
        <w:rPr>
          <w:rFonts w:ascii="Times New Roman" w:hAnsi="Times New Roman" w:eastAsia="宋体"/>
          <w:b/>
          <w:sz w:val="24"/>
        </w:rPr>
        <w:t>、</w:t>
      </w:r>
      <w:r>
        <w:rPr>
          <w:rFonts w:ascii="Times New Roman" w:hAnsi="Times New Roman" w:eastAsia="宋体"/>
          <w:b w:val="0"/>
          <w:sz w:val="24"/>
        </w:rPr>
        <w:t>、*分别表示在1%、5%、10%的水平上显著。下表同。</w:t>
      </w:r>
    </w:p>
    <w:p>
      <w:pPr>
        <w:spacing w:before="0" w:after="0" w:line="360" w:lineRule="auto"/>
        <w:ind w:firstLineChars="200" w:firstLine="480"/>
      </w:pPr>
      <w:r>
        <w:rPr>
          <w:rFonts w:ascii="Times New Roman" w:hAnsi="Times New Roman" w:eastAsia="宋体"/>
          <w:b w:val="0"/>
          <w:sz w:val="24"/>
        </w:rPr>
        <w:t>列（1）是本章的核心结果。Post×Intensity的系数为−0.019，在1%的水平上显著：处理强度（标准化）每高一个标准差的省份，公平竞争审查制度实施后其“内卷”指数相对多下降0.019，相当于样本期“内卷”指数均值的5.0%，约为其标准差的两成。这一量级应作双重解读。一方面，5.0%的均值占比意味着效应真实而非边际琐碎——考虑到“内卷”指数是由14个基础指标熵权合成的慢变量，其省际相对位次在样本期内高度粘滞，能在双固定效应吸收全部省份特征与共同冲击之后仍剥离出如此幅度的相对改善，制度的行为矫正力可谓可观。另一方面，如前所述，强度识别只捕捉相对效应，制度对全体省份的共同约束——全国性的审查标准趋严、中央层面的政策表态与执法示范——已被年份固定效应吸收，故0.019是政策总效应的下界；事件研究末段−0.029的读数进一步提示，随制度刚性化推进，这一下界本身仍在扩大。</w:t>
      </w:r>
    </w:p>
    <w:p>
      <w:pPr>
        <w:spacing w:before="0" w:after="0" w:line="360" w:lineRule="auto"/>
        <w:ind w:firstLineChars="200" w:firstLine="480"/>
      </w:pPr>
      <w:r>
        <w:rPr>
          <w:rFonts w:ascii="Times New Roman" w:hAnsi="Times New Roman" w:eastAsia="宋体"/>
          <w:b w:val="0"/>
          <w:sz w:val="24"/>
        </w:rPr>
        <w:t>列（2）显示制度显著压缩了补贴强度：系数−0.084在5%的水平上显著，即高强度省份的政府补助与营业收入之比相对多下降0.084个百分点，约为样本均值（0.68%）的12%。这一结果的理论意义在于，它正是第四章命题4-1、4-2的逆向运用在数据中的兑现：补贴竞争是一个囚徒困境，单个地区无激励单边削减补贴，而公平竞争审查以外部规则改变了博弈的支付结构——违规补贴面临审查、纠正与问责，相当于给背离合作解的策略加上了制度成本，从而推动博弈向低补贴的合作均衡收敛。第八章曾测得分割每升一单位推高补贴强度0.214，本节则观察到规则约束下补贴的系统性退坡，一正一反，补贴渠道的可逆性得到确认。补贴退坡的另一面是庇护弱化：财政输血收紧后，低效企业赖以滞留的外部支撑被抽离，退出通道趋于畅通，这与公平竞争审查推动僵尸企业出清的微观证据（李靖、毕茜，2025）以及统一大市场建设提升企业产能利用率的发现（王浩旸等，2025）形成了宏微观互证。</w:t>
      </w:r>
    </w:p>
    <w:p>
      <w:pPr>
        <w:spacing w:before="0" w:after="0" w:line="360" w:lineRule="auto"/>
        <w:ind w:firstLineChars="200" w:firstLine="480"/>
      </w:pPr>
      <w:r>
        <w:rPr>
          <w:rFonts w:ascii="Times New Roman" w:hAnsi="Times New Roman" w:eastAsia="宋体"/>
          <w:b w:val="0"/>
          <w:sz w:val="24"/>
        </w:rPr>
        <w:t>列（3）表明制度同时产生了直接的“破壁”效应：市场分割指数的系数为−0.121，在1%的水平上显著，其幅度约相当于分割指数样本标准差（0.42）的29%，或2012—2024年全国分割指数累计降幅（0.68）的约18%。换言之，仅公平竞争审查一项制度在高强度省份的相对贡献，就抵得上样本期全国市场整合总进展的近五分之一。这一结果印证了本书反复强调的判断：市场分割的主体载体不是山川关隘，而是政策文件——地方保护以文件形式设立，也能以文件清理的形式拆除。审查制度对存量文件的集中清理，实质上是对显性与隐性壁垒的一次制度化排雷，其对分割指数的压缩幅度显著而集中，恰说明政策性分割在总分割中占有相当比重，统一大市场建设“向制度开刀”的路径选择有坚实的经验基础。</w:t>
      </w:r>
    </w:p>
    <w:p>
      <w:pPr>
        <w:spacing w:before="0" w:after="0" w:line="360" w:lineRule="auto"/>
        <w:ind w:firstLineChars="200" w:firstLine="480"/>
      </w:pPr>
      <w:r>
        <w:rPr>
          <w:rFonts w:ascii="Times New Roman" w:hAnsi="Times New Roman" w:eastAsia="宋体"/>
          <w:b w:val="0"/>
          <w:sz w:val="24"/>
        </w:rPr>
        <w:t>三列系数合观，一条完整的传导链条浮出水面：规则约束补贴博弈（−0.084）→政策性壁垒拆除、分割收敛（−0.121）→“内卷式”竞争缓解（−0.019）。链条的每一环都有显著系数支撑，环与环的排序又与制度作用的先后逻辑一致，这使得本节结果不是三个孤立的回归发现，而是一个结构化的证据体系。</w:t>
      </w:r>
    </w:p>
    <w:p>
      <w:pPr>
        <w:spacing w:before="0" w:after="0" w:line="360" w:lineRule="auto"/>
        <w:ind w:firstLineChars="200" w:firstLine="480"/>
      </w:pPr>
      <w:r>
        <w:rPr>
          <w:rFonts w:ascii="Times New Roman" w:hAnsi="Times New Roman" w:eastAsia="宋体"/>
          <w:b w:val="0"/>
          <w:sz w:val="24"/>
        </w:rPr>
        <w:t>这一证据体系与最新的中央政策部署形成了双向印证。习近平在《当前经济工作的重点任务》中要求，“制定全国统一大市场建设条例，出台地方政府招商引资鼓励和禁止事项清单，综合运用产能调控、标准引领、价格执法、质量监管和反垄断、反不正当竞争等手段，深入整治‘内卷式’竞争，营造良好市场生态”。以本节结果观照这一部署，其内在逻辑清晰可辨：公平竞争审查九年实践证明，以规则约束地方政策行为能够同时压缩补贴、拆除壁垒、缓解“内卷”，而“招商引资鼓励和禁止事项清单”正是把审查逻辑从事后清理前移到政策形成端的制度升级——与其在文件出台后纠正，不如在文件起草前划线；“条例”的制定则将统一大市场的基础规则进一步法定化，延续了本章事件研究末段所捕捉的“规则升格—效应加深”轨迹。换言之，本节的计量证据为“规则型治理”这一政策路线提供了经验支撑：治理“内卷式”竞争的最有效抓手，不在于对企业价格行为的逐案干预，而在于对催生“内卷”的政策性土壤的制度化清理。假说H4的前两个维度——“统一降卷”与补贴、分割层面的秩序修复——由此得到确认；H4的第三个维度，即企业利润率与价格秩序的修复，将在第四节连同创新效应一并检验。在此之前，还需回答一个更深层的问题：“内卷”缓解究竟只是竞争烈度的表面降温，还是伴随着资源配置效率的实质改善？这正是选择效应命题的用武之地。</w:t>
      </w:r>
    </w:p>
    <w:p>
      <w:pPr>
        <w:spacing w:before="200" w:after="160" w:line="360" w:lineRule="auto"/>
        <w:outlineLvl w:val="1"/>
      </w:pPr>
      <w:r>
        <w:rPr>
          <w:rFonts w:ascii="Times New Roman" w:hAnsi="Times New Roman" w:eastAsia="黑体"/>
          <w:b w:val="0"/>
          <w:sz w:val="28"/>
        </w:rPr>
        <w:t>（三）资源配置效率与全要素生产率效应</w:t>
      </w:r>
    </w:p>
    <w:p>
      <w:pPr>
        <w:spacing w:before="0" w:after="0" w:line="360" w:lineRule="auto"/>
        <w:ind w:firstLineChars="200" w:firstLine="480"/>
      </w:pPr>
      <w:r>
        <w:rPr>
          <w:rFonts w:ascii="Times New Roman" w:hAnsi="Times New Roman" w:eastAsia="宋体"/>
          <w:b w:val="0"/>
          <w:sz w:val="24"/>
        </w:rPr>
        <w:t>“统一红利”的第一重实质内容是效率。第四章命题4-6基于异质性企业框架（Melitz，2003）证明：市场一体化抬高生存门槛，低效企业退出、要素向高效企业再配置，加总生产率随之提升；反之，分割与庇护使本应退出的企业滞留，企业间边际产出的离散度扩大，构成典型的资源误置。误置的经验度量遵循资源误置文献的标准思路：若要素配置有效，企业间的加成率与要素边际回报应趋于均等，其离散度越大，误置越重（Hsieh和Klenow，2009）；中国制造业企业间生产率与回报的高离散度已被反复证实，潜在的再配置收益可观（聂辉华、贾瑞雪，2011）。据此，本节以三个指标承接命题4-6的观测含义：一是省域全要素生产率对数（lnTFP，LP法估计），度量效率的总量结果；二是行业内加成率离散度（Theil指数），作为产品市场扭曲的误置代理；三是资本回报率离散度，作为要素市场扭曲的误置代理。估计结果（见表9.2）如下。</w:t>
      </w:r>
    </w:p>
    <w:p>
      <w:pPr>
        <w:spacing w:before="160" w:after="80" w:line="312" w:lineRule="auto"/>
        <w:jc w:val="center"/>
      </w:pPr>
      <w:r>
        <w:rPr>
          <w:rFonts w:ascii="Times New Roman" w:hAnsi="Times New Roman" w:eastAsia="黑体"/>
          <w:b w:val="0"/>
          <w:sz w:val="21"/>
        </w:rPr>
        <w:t>表9.2　公平竞争审查的效率效应：全要素生产率与资源误置（强度双重差分估计）</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（1）lnTFP</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（2）加成率离散度</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（3）资本回报率离散度</w:t>
            </w:r>
          </w:p>
        </w:tc>
      </w:tr>
      <w:tr>
        <w:tc>
          <w:tcPr>
            <w:tcW w:type="dxa" w:w="2126"/>
          </w:tcPr>
          <w:p>
            <w:pPr>
              <w:spacing w:before="20" w:after="20" w:line="276" w:lineRule="auto"/>
              <w:jc w:val="left"/>
            </w:pPr>
            <w:r/>
            <w:r>
              <w:rPr>
                <w:rFonts w:ascii="Times New Roman" w:hAnsi="Times New Roman" w:eastAsia="宋体"/>
                <w:b w:val="0"/>
                <w:sz w:val="21"/>
              </w:rPr>
              <w:t>Post×Intensity</w:t>
            </w:r>
          </w:p>
        </w:tc>
        <w:tc>
          <w:tcPr>
            <w:tcW w:type="dxa" w:w="2126"/>
          </w:tcPr>
          <w:p>
            <w:pPr>
              <w:spacing w:before="20" w:after="20" w:line="276" w:lineRule="auto"/>
              <w:jc w:val="left"/>
            </w:pPr>
            <w:r/>
            <w:r>
              <w:rPr>
                <w:rFonts w:ascii="Times New Roman" w:hAnsi="Times New Roman" w:eastAsia="宋体"/>
                <w:b w:val="0"/>
                <w:sz w:val="21"/>
              </w:rPr>
              <w:t>0.014**（0.006）</w:t>
            </w:r>
          </w:p>
        </w:tc>
        <w:tc>
          <w:tcPr>
            <w:tcW w:type="dxa" w:w="2126"/>
          </w:tcPr>
          <w:p>
            <w:pPr>
              <w:spacing w:before="20" w:after="20" w:line="276" w:lineRule="auto"/>
              <w:jc w:val="left"/>
            </w:pPr>
            <w:r/>
            <w:r>
              <w:rPr>
                <w:rFonts w:ascii="Times New Roman" w:hAnsi="Times New Roman" w:eastAsia="宋体"/>
                <w:b w:val="0"/>
                <w:sz w:val="21"/>
              </w:rPr>
              <w:t>−0.038**（0.017）</w:t>
            </w:r>
          </w:p>
        </w:tc>
        <w:tc>
          <w:tcPr>
            <w:tcW w:type="dxa" w:w="2126"/>
          </w:tcPr>
          <w:p>
            <w:pPr>
              <w:spacing w:before="20" w:after="20" w:line="276" w:lineRule="auto"/>
              <w:jc w:val="left"/>
            </w:pPr>
            <w:r/>
            <w:r>
              <w:rPr>
                <w:rFonts w:ascii="Times New Roman" w:hAnsi="Times New Roman" w:eastAsia="宋体"/>
                <w:b w:val="0"/>
                <w:sz w:val="21"/>
              </w:rPr>
              <w:t>−0.026*（0.014）</w:t>
            </w:r>
          </w:p>
        </w:tc>
      </w:tr>
      <w:tr>
        <w:tc>
          <w:tcPr>
            <w:tcW w:type="dxa" w:w="2126"/>
          </w:tcPr>
          <w:p>
            <w:pPr>
              <w:spacing w:before="20" w:after="20" w:line="276" w:lineRule="auto"/>
              <w:jc w:val="left"/>
            </w:pPr>
            <w:r/>
            <w:r>
              <w:rPr>
                <w:rFonts w:ascii="Times New Roman" w:hAnsi="Times New Roman" w:eastAsia="宋体"/>
                <w:b w:val="0"/>
                <w:sz w:val="21"/>
              </w:rPr>
              <w:t>控制变量</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Pr>
          <w:p>
            <w:pPr>
              <w:spacing w:before="20" w:after="20" w:line="276" w:lineRule="auto"/>
              <w:jc w:val="left"/>
            </w:pPr>
            <w:r/>
            <w:r>
              <w:rPr>
                <w:rFonts w:ascii="Times New Roman" w:hAnsi="Times New Roman" w:eastAsia="宋体"/>
                <w:b w:val="0"/>
                <w:sz w:val="21"/>
              </w:rPr>
              <w:t>省份固定效应</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Pr>
          <w:p>
            <w:pPr>
              <w:spacing w:before="20" w:after="20" w:line="276" w:lineRule="auto"/>
              <w:jc w:val="left"/>
            </w:pPr>
            <w:r/>
            <w:r>
              <w:rPr>
                <w:rFonts w:ascii="Times New Roman" w:hAnsi="Times New Roman" w:eastAsia="宋体"/>
                <w:b w:val="0"/>
                <w:sz w:val="21"/>
              </w:rPr>
              <w:t>年份固定效应</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N</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列（1）显示，Post×Intensity对lnTFP的效应为0.014，在5%的水平上显著：处理强度高一个标准差的省份，制度实施后全要素生产率相对提高约1.4%。对这一量级的评价需要放在TFP变量的统计性质中进行。全要素生产率是典型的慢变量，其省际相对格局由要素禀赋、产业结构与技术能力长期塑造，短期政策能够在双固定效应之余移动其相对水平1.4%，在同类政策评估中属于扎实的效应量；且同样由于强度识别的下界属性，若制度对全国TFP存在共同提升，实际总效应还要更大。这一发现与公平竞争审查改善企业生产率的微观证据（王菁华、毕超，2024）在加总层面相互印证：微观层面企业效率的改善与企业间再配置的优化，最终沉淀为省域生产率的相对抬升。</w:t>
      </w:r>
    </w:p>
    <w:p>
      <w:pPr>
        <w:spacing w:before="0" w:after="0" w:line="360" w:lineRule="auto"/>
        <w:ind w:firstLineChars="200" w:firstLine="480"/>
      </w:pPr>
      <w:r>
        <w:rPr>
          <w:rFonts w:ascii="Times New Roman" w:hAnsi="Times New Roman" w:eastAsia="宋体"/>
          <w:b w:val="0"/>
          <w:sz w:val="24"/>
        </w:rPr>
        <w:t>列（2）与列（3）进一步打开效率改善的结构。加成率离散度的系数为−0.038，在5%的水平上显著：制度实施后，高强度省份行业内企业加成率的Theil指数系统性收敛。加成率离散度收窄意味着产品市场上的定价扭曲在消退——此前依靠地方庇护维持高加成的企业失去保护租，依靠补贴以超低价滞留市场的企业失去输血来源，价格与成本的对应关系向竞争性基准回归。这正是选择效应的运行痕迹：竞争的“筛选—再配置”功能被恢复，而非竞争本身被抑制。将本节与上一节合观，可以看到一幅内在一致的图景：“内卷”指数下降与效率指标改善同时发生，表明公平竞争审查缓解“内卷”的方式不是限制竞争烈度、为在位者恢复垄断租，而是拆除扭曲、让优胜劣汰重新运转——用第四章的语言说，统一大市场带来的竞争加剧位于倒U曲线的上升段，与“内卷式”竞争滑向下降段的性质截然相反。</w:t>
      </w:r>
    </w:p>
    <w:p>
      <w:pPr>
        <w:spacing w:before="0" w:after="0" w:line="360" w:lineRule="auto"/>
        <w:ind w:firstLineChars="200" w:firstLine="480"/>
      </w:pPr>
      <w:r>
        <w:rPr>
          <w:rFonts w:ascii="Times New Roman" w:hAnsi="Times New Roman" w:eastAsia="宋体"/>
          <w:b w:val="0"/>
          <w:sz w:val="24"/>
        </w:rPr>
        <w:t>列（3）的资本回报率离散度系数为−0.026，方向与理论一致，但仅在10%的水平上显著，效应的确定性明显弱于加成率维度。这一强弱对比本身携带重要信息。本书第七章曾测得，2024年要素市场分割指数约为商品市场的1.7倍，且2012—2024年商品分割指数下降25.7%、要素分割指数仅下降13.9%，要素市场的整合进度系统性滞后于商品市场。资本回报率的均等化恰恰依赖要素市场的畅通——信贷的属地化配置、土地的行政化供给、隐性担保的地方差异，都不是商品市场规则所能直接触及的。公平竞争审查以政策文件为审查对象，对商品市场竞争秩序的矫正立竿见影，对要素配置扭曲的矫正则受制于要素市场化改革的整体进度，故资本维度的误置收敛更弱、噪声更大。这一发现与《纲要》第十七章将要素市场列为纵深推进重点的部署形成呼应，也为本书第十一章讨论“十五五”要素市场化配置改革提供了实证注脚。</w:t>
      </w:r>
    </w:p>
    <w:p>
      <w:pPr>
        <w:spacing w:before="0" w:after="0" w:line="360" w:lineRule="auto"/>
        <w:ind w:firstLineChars="200" w:firstLine="480"/>
      </w:pPr>
      <w:r>
        <w:rPr>
          <w:rFonts w:ascii="Times New Roman" w:hAnsi="Times New Roman" w:eastAsia="宋体"/>
          <w:b w:val="0"/>
          <w:sz w:val="24"/>
        </w:rPr>
        <w:t>事实上，“十五五”的制度供给已经沿着这一短板展开。《纲要》第十九章对要素市场化配置体制机制作出系统部署，要求“深化拓展要素市场化配置综合改革试点”，“培育全国一体化技术市场和数据市场”，并逐步打破劳动力与人才流动的制度性障碍；2025年中央经济工作会议亦明确“拓展要素市场化改革试点”。以本节证据观之，这些部署恰是把效率红利从“边际显著”推向“充分显著”的关键所在：商品市场整合的边际收益已在加成率维度得到较充分兑现，而资本、土地、劳动力、数据等要素配置扭曲的矫正空间仍然宽阔——第七章测得的要素分割指数（2024年为3.34）意味着，要素市场哪怕只复制商品市场过去十余年的收敛轨迹，其对应的误置改善与生产率增量也将十分可观。就此而言，表9.2列（3）那颗仅有一星的系数，与其说是证据的弱点，不如说是政策的路标。</w:t>
      </w:r>
    </w:p>
    <w:p>
      <w:pPr>
        <w:spacing w:before="0" w:after="0" w:line="360" w:lineRule="auto"/>
        <w:ind w:firstLineChars="200" w:firstLine="480"/>
      </w:pPr>
      <w:r>
        <w:rPr>
          <w:rFonts w:ascii="Times New Roman" w:hAnsi="Times New Roman" w:eastAsia="宋体"/>
          <w:b w:val="0"/>
          <w:sz w:val="24"/>
        </w:rPr>
        <w:t>综合本节：全要素生产率相对提升约1.4%、加成率离散度显著收敛、资本回报率离散度弱显著收敛，三个指标从总量与结构两侧确认了“统一红利”的效率维度，假说H5的资源配置部分获得支持。命题4-6“退出庇护削弱选择效应”的警示同样在数据中留下投影——效率改善与第二节观察到的补贴退坡、庇护弱化同步出现，说明选择效应的兑现确以退出机制的修复为前提。接下来的问题是：效率之外，统一大市场能否触发更具长期意义的创新回报？</w:t>
      </w:r>
    </w:p>
    <w:p>
      <w:pPr>
        <w:spacing w:before="200" w:after="160" w:line="360" w:lineRule="auto"/>
        <w:outlineLvl w:val="1"/>
      </w:pPr>
      <w:r>
        <w:rPr>
          <w:rFonts w:ascii="Times New Roman" w:hAnsi="Times New Roman" w:eastAsia="黑体"/>
          <w:b w:val="0"/>
          <w:sz w:val="28"/>
        </w:rPr>
        <w:t>（四）创新与质量效应</w:t>
      </w:r>
    </w:p>
    <w:p>
      <w:pPr>
        <w:spacing w:before="0" w:after="0" w:line="360" w:lineRule="auto"/>
        <w:ind w:firstLineChars="200" w:firstLine="480"/>
      </w:pPr>
      <w:r>
        <w:rPr>
          <w:rFonts w:ascii="Times New Roman" w:hAnsi="Times New Roman" w:eastAsia="宋体"/>
          <w:b w:val="0"/>
          <w:sz w:val="24"/>
        </w:rPr>
        <w:t>创新效应是“统一红利”中唯一具有增长率意义而非单纯水平意义的分项。第四章命题4-7证明：市场一体化经由两条途径激发创新——其一，统一市场扩大创新回报的可达规模，同样一次研发投入面对的市场由“分省割据”变为全国贯通，回报的规模化压低了创新的临界门槛；其二，选择效应改善存活企业的规模与利润结构，使其具备承担研发固定成本的能力。反过来，“内卷式”竞争对创新的杀伤也有明确机理：价格竞争向成本线以下收敛使全行业准租金枯竭，创新的事后回报无从谈起，企业的最优反应是收缩研发、加码降价，行业滑入竞争—创新倒U曲线的下降段（Aghion等，2005）。据此，若公平竞争审查有效缓解“内卷”，其效应应当延伸至创新与质量指标：新产品销售收入占比上升（差异化竞争替代同质价格竞争）、发明专利申请增加（研发投入的产出端印证），并伴随利润率的秩序性修复（价格竞争退出成本线以下的失序区间）。估计结果（见表9.3）如下。</w:t>
      </w:r>
    </w:p>
    <w:p>
      <w:pPr>
        <w:spacing w:before="160" w:after="80" w:line="312" w:lineRule="auto"/>
        <w:jc w:val="center"/>
      </w:pPr>
      <w:r>
        <w:rPr>
          <w:rFonts w:ascii="Times New Roman" w:hAnsi="Times New Roman" w:eastAsia="黑体"/>
          <w:b w:val="0"/>
          <w:sz w:val="21"/>
        </w:rPr>
        <w:t>表9.3　公平竞争审查的创新与利润效应（强度双重差分估计）</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变量</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（1）新产品销售收入占比（%）</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（2）ln发明专利申请</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（3）营业收入利润率（%）</w:t>
            </w:r>
          </w:p>
        </w:tc>
      </w:tr>
      <w:tr>
        <w:tc>
          <w:tcPr>
            <w:tcW w:type="dxa" w:w="2126"/>
          </w:tcPr>
          <w:p>
            <w:pPr>
              <w:spacing w:before="20" w:after="20" w:line="276" w:lineRule="auto"/>
              <w:jc w:val="left"/>
            </w:pPr>
            <w:r/>
            <w:r>
              <w:rPr>
                <w:rFonts w:ascii="Times New Roman" w:hAnsi="Times New Roman" w:eastAsia="宋体"/>
                <w:b w:val="0"/>
                <w:sz w:val="21"/>
              </w:rPr>
              <w:t>Post×Intensity</w:t>
            </w:r>
          </w:p>
        </w:tc>
        <w:tc>
          <w:tcPr>
            <w:tcW w:type="dxa" w:w="2126"/>
          </w:tcPr>
          <w:p>
            <w:pPr>
              <w:spacing w:before="20" w:after="20" w:line="276" w:lineRule="auto"/>
              <w:jc w:val="left"/>
            </w:pPr>
            <w:r/>
            <w:r>
              <w:rPr>
                <w:rFonts w:ascii="Times New Roman" w:hAnsi="Times New Roman" w:eastAsia="宋体"/>
                <w:b w:val="0"/>
                <w:sz w:val="21"/>
              </w:rPr>
              <w:t>0.71**（0.32）</w:t>
            </w:r>
          </w:p>
        </w:tc>
        <w:tc>
          <w:tcPr>
            <w:tcW w:type="dxa" w:w="2126"/>
          </w:tcPr>
          <w:p>
            <w:pPr>
              <w:spacing w:before="20" w:after="20" w:line="276" w:lineRule="auto"/>
              <w:jc w:val="left"/>
            </w:pPr>
            <w:r/>
            <w:r>
              <w:rPr>
                <w:rFonts w:ascii="Times New Roman" w:hAnsi="Times New Roman" w:eastAsia="宋体"/>
                <w:b w:val="0"/>
                <w:sz w:val="21"/>
              </w:rPr>
              <w:t>0.055**（0.026）</w:t>
            </w:r>
          </w:p>
        </w:tc>
        <w:tc>
          <w:tcPr>
            <w:tcW w:type="dxa" w:w="2126"/>
          </w:tcPr>
          <w:p>
            <w:pPr>
              <w:spacing w:before="20" w:after="20" w:line="276" w:lineRule="auto"/>
              <w:jc w:val="left"/>
            </w:pPr>
            <w:r/>
            <w:r>
              <w:rPr>
                <w:rFonts w:ascii="Times New Roman" w:hAnsi="Times New Roman" w:eastAsia="宋体"/>
                <w:b w:val="0"/>
                <w:sz w:val="21"/>
              </w:rPr>
              <w:t>0.28*（0.15）</w:t>
            </w:r>
          </w:p>
        </w:tc>
      </w:tr>
      <w:tr>
        <w:tc>
          <w:tcPr>
            <w:tcW w:type="dxa" w:w="2126"/>
          </w:tcPr>
          <w:p>
            <w:pPr>
              <w:spacing w:before="20" w:after="20" w:line="276" w:lineRule="auto"/>
              <w:jc w:val="left"/>
            </w:pPr>
            <w:r/>
            <w:r>
              <w:rPr>
                <w:rFonts w:ascii="Times New Roman" w:hAnsi="Times New Roman" w:eastAsia="宋体"/>
                <w:b w:val="0"/>
                <w:sz w:val="21"/>
              </w:rPr>
              <w:t>控制变量</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Pr>
          <w:p>
            <w:pPr>
              <w:spacing w:before="20" w:after="20" w:line="276" w:lineRule="auto"/>
              <w:jc w:val="left"/>
            </w:pPr>
            <w:r/>
            <w:r>
              <w:rPr>
                <w:rFonts w:ascii="Times New Roman" w:hAnsi="Times New Roman" w:eastAsia="宋体"/>
                <w:b w:val="0"/>
                <w:sz w:val="21"/>
              </w:rPr>
              <w:t>省份固定效应</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Pr>
          <w:p>
            <w:pPr>
              <w:spacing w:before="20" w:after="20" w:line="276" w:lineRule="auto"/>
              <w:jc w:val="left"/>
            </w:pPr>
            <w:r/>
            <w:r>
              <w:rPr>
                <w:rFonts w:ascii="Times New Roman" w:hAnsi="Times New Roman" w:eastAsia="宋体"/>
                <w:b w:val="0"/>
                <w:sz w:val="21"/>
              </w:rPr>
              <w:t>年份固定效应</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c>
          <w:tcPr>
            <w:tcW w:type="dxa" w:w="2126"/>
          </w:tcPr>
          <w:p>
            <w:pPr>
              <w:spacing w:before="20" w:after="20" w:line="276" w:lineRule="auto"/>
              <w:jc w:val="left"/>
            </w:pPr>
            <w:r/>
            <w:r>
              <w:rPr>
                <w:rFonts w:ascii="Times New Roman" w:hAnsi="Times New Roman" w:eastAsia="宋体"/>
                <w:b w:val="0"/>
                <w:sz w:val="21"/>
              </w:rPr>
              <w:t>是</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N</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403</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列（1）显示，高强度省份的新产品销售收入占比在制度实施后相对提高0.71个百分点，在5%的水平上显著。新产品占比是竞争模式转换最直接的标尺：在同质化“内卷”中，企业竞争的全部维度坍缩为价格，产品线陈旧而雷同；当补贴退坡、超低价滞留者出清、价格秩序修复之后，差异化才重新成为有利可图的策略。0.71个百分点的相对改善，意味着高强度省份的工业销售结构中，以新产品形态体现的差异化竞争份额出现了可辨识的扩张——竞争没有减少，而是从“价格的内卷”转向了“产品的竞争”，这正是中央财经委员会第六次会议“引导企业提升产品品质”政策指向在数据中的先行印证。这一转换还内含质量竞争的维度。《纲要》第十七章要求“形成优质优价、良性竞争的市场秩序”，其经济学要义在于让价格重新成为质量的信号而非唯一的武器：当地方庇护与补贴使劣质低价供给得以滞留时，“劣币驱逐良币”的逆向选择将惩罚质量投入；而审查制度拆除庇护之后，质量改进的市场回报被恢复，新产品占比的上升正是企业沿质量与差异化维度重新配置竞争资源的结果。从这个意义上说，“优质优价”不是对市场定价的干预目标，而是竞争秩序修复后的自发均衡。</w:t>
      </w:r>
    </w:p>
    <w:p>
      <w:pPr>
        <w:spacing w:before="0" w:after="0" w:line="360" w:lineRule="auto"/>
        <w:ind w:firstLineChars="200" w:firstLine="480"/>
      </w:pPr>
      <w:r>
        <w:rPr>
          <w:rFonts w:ascii="Times New Roman" w:hAnsi="Times New Roman" w:eastAsia="宋体"/>
          <w:b w:val="0"/>
          <w:sz w:val="24"/>
        </w:rPr>
        <w:t>列（2）报告创新投入产出端的证据：发明专利申请的对数效应为0.055，在5%的水平上显著，即高强度省份的发明专利申请相对增加约5.5%。选择发明专利而非全口径专利，是为了过滤策略性申请的噪声、聚焦技术含量最高的创新产出。这一结果与公平竞争审查促进企业创新的微观双重差分证据（杨兴全、张可欣，2023）方向一致、量级可比，表明制度的创新激励效应从企业层面延伸到了省域加总层面。尤须强调其增长含义：按第四章福利分解的定性排序，创新项在静态核算中居中，但它改变的是技术进步的速率而非一次性的水平，长期累积贡献将超过静态各项——专利申请5.5%的相对增量看似温和，其贴现值意义上的红利权重远高于同幅度的水平效应。</w:t>
      </w:r>
    </w:p>
    <w:p>
      <w:pPr>
        <w:spacing w:before="0" w:after="0" w:line="360" w:lineRule="auto"/>
        <w:ind w:firstLineChars="200" w:firstLine="480"/>
      </w:pPr>
      <w:r>
        <w:rPr>
          <w:rFonts w:ascii="Times New Roman" w:hAnsi="Times New Roman" w:eastAsia="宋体"/>
          <w:b w:val="0"/>
          <w:sz w:val="24"/>
        </w:rPr>
        <w:t>列（3）的利润率结果补上了假说H4“秩序修复”的最后一块拼图：规模以上工业营业收入利润率的效应为+0.28个百分点，以近年利润率5%—6%的中枢衡量约相当于5%的相对改善，但仅在10%的水平上边际显著。对这一较弱的显著性，本书的解读是审慎而非回避的。其一，样本期尾部恰逢“内卷”最烈的时段——据国家统计局数据，规上工业利润率由2021年的6.81%一路降至2024年的5.39%，第五章刻画的光伏价格雪崩与汽车价格战正集中于2022—2024年——在如此强劲的全国性下行共同冲击下，政策的相对修复效应能够以正号浮出水面，本身已属不易；其二，结合事件研究末段效应仍在加深的形态判断，利润率修复很可能处于“进行时”而非“完成时”，2024年8月《条例》施行与2025年系列“反内卷”部署的效应尚在样本期之外；其三，10%的显著性要求解读留有余地，本书将其定位为“方向明确、幅度初显”的边际证据，而非定论。价格秩序的最终修复，仍有待统一大市场建设与“内卷式”竞争综合整治的持续推进——这一判断与第五章记录的2025年硅料价格回升、汽车促销回归理性等边际改善迹象相互印证。</w:t>
      </w:r>
    </w:p>
    <w:p>
      <w:pPr>
        <w:spacing w:before="0" w:after="0" w:line="360" w:lineRule="auto"/>
        <w:ind w:firstLineChars="200" w:firstLine="480"/>
      </w:pPr>
      <w:r>
        <w:rPr>
          <w:rFonts w:ascii="Times New Roman" w:hAnsi="Times New Roman" w:eastAsia="宋体"/>
          <w:b w:val="0"/>
          <w:sz w:val="24"/>
        </w:rPr>
        <w:t>本节三项结果与前两节合成的证据结构，对假说H5给出了完整支持：统一大市场建设的推进不仅提升了资源配置效率与全要素生产率，还系统性地改善了创新产出与竞争质量。同时，一个更具政策意涵的反证也随之成立：“反内卷”不是“反竞争”——治理“内卷式”竞争的制度化路径非但没有抑制创新与活力，反而通过恢复竞争的选择功能与创新回报，把竞争从破坏性缠斗导回了建设性赛道。当然，以上全部推断的可信度，最终仍系于识别策略能否经受住系统性的证伪检验，这正是下一节的任务。</w:t>
      </w:r>
    </w:p>
    <w:p>
      <w:pPr>
        <w:spacing w:before="200" w:after="160" w:line="360" w:lineRule="auto"/>
        <w:outlineLvl w:val="1"/>
      </w:pPr>
      <w:r>
        <w:rPr>
          <w:rFonts w:ascii="Times New Roman" w:hAnsi="Times New Roman" w:eastAsia="黑体"/>
          <w:b w:val="0"/>
          <w:sz w:val="28"/>
        </w:rPr>
        <w:t>（五）安慰剂检验与稳健性</w:t>
      </w:r>
    </w:p>
    <w:p>
      <w:pPr>
        <w:spacing w:before="160" w:after="120" w:line="360" w:lineRule="auto"/>
        <w:outlineLvl w:val="2"/>
      </w:pPr>
      <w:r>
        <w:rPr>
          <w:rFonts w:ascii="Times New Roman" w:hAnsi="Times New Roman" w:eastAsia="黑体"/>
          <w:b w:val="0"/>
          <w:sz w:val="24"/>
        </w:rPr>
        <w:t>1．安慰剂检验：随机置换处理强度</w:t>
      </w:r>
    </w:p>
    <w:p>
      <w:pPr>
        <w:spacing w:before="0" w:after="0" w:line="360" w:lineRule="auto"/>
        <w:ind w:firstLineChars="200" w:firstLine="480"/>
      </w:pPr>
      <w:r>
        <w:rPr>
          <w:rFonts w:ascii="Times New Roman" w:hAnsi="Times New Roman" w:eastAsia="宋体"/>
          <w:b w:val="0"/>
          <w:sz w:val="24"/>
        </w:rPr>
        <w:t>核心结果面临的第一类质疑是偶然性：−0.019的估计会不会只是省际“内卷”演化中某种未观测共同趋势与处理强度的巧合相关？证伪该质疑的标准做法是安慰剂检验——若效应由制度真实驱动，则将处理强度在省份间随机打乱后，“伪强度”不应再产生系统性效应；反之，若随机指派也能得到类似量级的负系数，则真实估计的因果解释即告可疑。本书将31个省份的处理强度随机置换并重新估计式(6-13)，重复500次，得到安慰剂系数的经验分布（见图9.2）。</w:t>
      </w:r>
    </w:p>
    <w:p>
      <w:pPr>
        <w:spacing w:before="120"/>
        <w:jc w:val="center"/>
      </w:pPr>
      <w:r>
        <w:drawing>
          <wp:inline xmlns:a="http://schemas.openxmlformats.org/drawingml/2006/main" xmlns:pic="http://schemas.openxmlformats.org/drawingml/2006/picture">
            <wp:extent cx="5112000" cy="3029619"/>
            <wp:docPr id="25" name="Picture 25"/>
            <wp:cNvGraphicFramePr>
              <a:graphicFrameLocks noChangeAspect="1"/>
            </wp:cNvGraphicFramePr>
            <a:graphic>
              <a:graphicData uri="http://schemas.openxmlformats.org/drawingml/2006/picture">
                <pic:pic>
                  <pic:nvPicPr>
                    <pic:cNvPr id="0" name="fig_9_2.png"/>
                    <pic:cNvPicPr/>
                  </pic:nvPicPr>
                  <pic:blipFill>
                    <a:blip r:embed="rId33"/>
                    <a:stretch>
                      <a:fillRect/>
                    </a:stretch>
                  </pic:blipFill>
                  <pic:spPr>
                    <a:xfrm>
                      <a:off x="0" y="0"/>
                      <a:ext cx="5112000" cy="3029619"/>
                    </a:xfrm>
                    <a:prstGeom prst="rect"/>
                  </pic:spPr>
                </pic:pic>
              </a:graphicData>
            </a:graphic>
          </wp:inline>
        </w:drawing>
      </w:r>
    </w:p>
    <w:p>
      <w:pPr>
        <w:spacing w:before="120" w:after="120" w:line="312" w:lineRule="auto"/>
        <w:jc w:val="center"/>
      </w:pPr>
      <w:r>
        <w:rPr>
          <w:rFonts w:ascii="Times New Roman" w:hAnsi="Times New Roman" w:eastAsia="黑体"/>
          <w:b w:val="0"/>
          <w:sz w:val="21"/>
        </w:rPr>
        <w:t>图9.2　安慰剂检验分布</w:t>
      </w:r>
    </w:p>
    <w:p>
      <w:pPr>
        <w:spacing w:before="0" w:after="0" w:line="360" w:lineRule="auto"/>
        <w:ind w:firstLineChars="200" w:firstLine="480"/>
      </w:pPr>
      <w:r>
        <w:rPr>
          <w:rFonts w:ascii="Times New Roman" w:hAnsi="Times New Roman" w:eastAsia="宋体"/>
          <w:b w:val="0"/>
          <w:sz w:val="24"/>
        </w:rPr>
        <w:t>图9.2的信息十分干净：500个安慰剂系数以零为中心对称散布，均值近似为零、标准差为0.006，分布形态接近正态；以竖线标出的真实估计−0.019落在整个经验分布的左尾之外，比绝大多数安慰剂系数低三个经验标准差以上，经验p值小于0.01。这意味着，在处理强度与省份的真实对应关系被打断之后，数据中不存在任何能够复制−0.019的机制——效应既非源于“内卷”指数演化的固有噪声，也非源于与省份特征偶然相关的共同趋势，而只能归于处理强度所刻画的真实政策暴露。安慰剂分布的紧凑（标准差仅0.006）还从侧面说明估计的信噪比可观：真实效应约为安慰剂噪声尺度的三倍，识别不依赖于对噪声的过度解读。</w:t>
      </w:r>
    </w:p>
    <w:p>
      <w:pPr>
        <w:spacing w:before="160" w:after="120" w:line="360" w:lineRule="auto"/>
        <w:outlineLvl w:val="2"/>
      </w:pPr>
      <w:r>
        <w:rPr>
          <w:rFonts w:ascii="Times New Roman" w:hAnsi="Times New Roman" w:eastAsia="黑体"/>
          <w:b w:val="0"/>
          <w:sz w:val="24"/>
        </w:rPr>
        <w:t>2．识别威胁的逐项排查</w:t>
      </w:r>
    </w:p>
    <w:p>
      <w:pPr>
        <w:spacing w:before="0" w:after="0" w:line="360" w:lineRule="auto"/>
        <w:ind w:firstLineChars="200" w:firstLine="480"/>
      </w:pPr>
      <w:r>
        <w:rPr>
          <w:rFonts w:ascii="Times New Roman" w:hAnsi="Times New Roman" w:eastAsia="宋体"/>
          <w:b w:val="0"/>
          <w:sz w:val="24"/>
        </w:rPr>
        <w:t>第二类质疑指向同期政策的混杂，其中最需正面回应的是供给侧结构性改革。该改革于2015年底部署、2016年起全面推进，与公平竞争审查制度的实施时点几乎重合，且其去产能指向同样作用于“内卷”相关指标。本书从三个层面排除其干扰。第一，供给侧结构性改革是全国统一部署的共同冲击，其对全体省份的平均效应已被年份固定效应完全吸收，能够混杂估计的只剩其地区执行强度与审查清理强度的相关部分。第二，针对这一剩余威胁，本书在方程中加入分省去产能任务暴露程度与年份趋势的交互项予以控制，核心系数的符号与显著性保持稳定（限于篇幅未列表报告）。第三，多结果的证据结构本身构成反驳：去产能政策的直接作用面是产能与价格维度，难以解释补贴强度、市场分割、发明专利等结果变量为何同步且方向一致地响应——本章表9.1至表9.3共九个结果变量，估计方向全部与理论预期一致，若归因于某项混杂政策，该政策须恰好同时作用于竞争秩序、资源配置与创新回报三个层面，而这恰恰只有公平竞争审查这样的规则型制度才具备的作用谱系。</w:t>
      </w:r>
    </w:p>
    <w:p>
      <w:pPr>
        <w:spacing w:before="0" w:after="0" w:line="360" w:lineRule="auto"/>
        <w:ind w:firstLineChars="200" w:firstLine="480"/>
      </w:pPr>
      <w:r>
        <w:rPr>
          <w:rFonts w:ascii="Times New Roman" w:hAnsi="Times New Roman" w:eastAsia="宋体"/>
          <w:b w:val="0"/>
          <w:sz w:val="24"/>
        </w:rPr>
        <w:t>第三类质疑针对处理强度本身的内生性：清理文件数会不会反映的不是历史包袱，而是各省对未来“内卷”走势的预判？三点证据否定了这一担忧。其一，</w:t>
      </w:r>
      <m:oMath>
        <m:box>
          <m:e>
            <m:r>
              <m:rPr>
                <m:sty m:val="i"/>
              </m:rPr>
              <m:t>I</m:t>
            </m:r>
            <m:r>
              <m:rPr>
                <m:sty m:val="i"/>
              </m:rPr>
              <m:t>n</m:t>
            </m:r>
            <m:r>
              <m:rPr>
                <m:sty m:val="i"/>
              </m:rPr>
              <m:t>t</m:t>
            </m:r>
            <m:r>
              <m:rPr>
                <m:sty m:val="i"/>
              </m:rPr>
              <m:t>e</m:t>
            </m:r>
            <m:r>
              <m:rPr>
                <m:sty m:val="i"/>
              </m:rPr>
              <m:t>n</m:t>
            </m:r>
            <m:r>
              <m:rPr>
                <m:sty m:val="i"/>
              </m:rPr>
              <m:t>s</m:t>
            </m:r>
            <m:r>
              <m:rPr>
                <m:sty m:val="i"/>
              </m:rPr>
              <m:t>i</m:t>
            </m:r>
            <m:r>
              <m:rPr>
                <m:sty m:val="i"/>
              </m:rPr>
              <m:t>t</m:t>
            </m:r>
            <m:sSub>
              <m:e>
                <m:r>
                  <m:rPr>
                    <m:sty m:val="i"/>
                  </m:rPr>
                  <m:t>y</m:t>
                </m:r>
              </m:e>
              <m:sub>
                <m:box>
                  <m:e>
                    <m:r>
                      <m:rPr>
                        <m:sty m:val="i"/>
                      </m:rPr>
                      <m:t>i</m:t>
                    </m:r>
                  </m:e>
                </m:box>
              </m:sub>
            </m:sSub>
          </m:e>
        </m:box>
      </m:oMath>
      <w:r>
        <w:rPr>
          <w:rFonts w:ascii="Times New Roman" w:hAnsi="Times New Roman" w:eastAsia="宋体"/>
          <w:b w:val="0"/>
          <w:sz w:val="24"/>
        </w:rPr>
        <w:t>取制度实施初期（2016—2018年）的清理规模，存量文件的多寡由此前二十余年政策干预的沉淀决定，在时序上先于结果变量的样本期演化；其二，若强度与事后走势的预期相关，事前系数应系统性偏离零，而图9.1显示2012—2014年系数紧贴零线；其三，将处理强度替换为各省审查纠正数重新定义、剔除四个直辖市、对结果变量做缩尾处理，以及以第六章构建的统一大市场发展指数作为辅助解释变量的补充设定，所得结论方向一致、显著性无实质变化（限于篇幅未列表报告）。</w:t>
      </w:r>
    </w:p>
    <w:p>
      <w:pPr>
        <w:spacing w:before="0" w:after="0" w:line="360" w:lineRule="auto"/>
        <w:ind w:firstLineChars="200" w:firstLine="480"/>
      </w:pPr>
      <w:r>
        <w:rPr>
          <w:rFonts w:ascii="Times New Roman" w:hAnsi="Times New Roman" w:eastAsia="宋体"/>
          <w:b w:val="0"/>
          <w:sz w:val="24"/>
        </w:rPr>
        <w:t>最后仍需申明估计的边界与外部效度。强度双重差分识别的是相对效应，全国性共同改善被固定效应吸收，故本章系数体系整体上是政策总效应的保守下界；而制度环境在样本期后仍在持续刚性化——据市场监管总局数据，截至2026年年中该制度实施十年累计审查政策措施188万件、废止和修订排除限制竞争政策措施12.3万件，仅2025年即审查5.8万件、推动修改调整1万余件，滥用行政权力排除限制竞争专项行动立案96件、办结75件——制度的执行密度不减反增，提示样本期内观察到的效应轨迹在2025年之后大概率仍在延伸。识别的内部有效性与制度演进的外部事实相互支撑，为下一节把回望的估计转化为前瞻的测算提供了必要的信心基础。</w:t>
      </w:r>
    </w:p>
    <w:p>
      <w:pPr>
        <w:spacing w:before="200" w:after="160" w:line="360" w:lineRule="auto"/>
        <w:outlineLvl w:val="1"/>
      </w:pPr>
      <w:r>
        <w:rPr>
          <w:rFonts w:ascii="Times New Roman" w:hAnsi="Times New Roman" w:eastAsia="黑体"/>
          <w:b w:val="0"/>
          <w:sz w:val="28"/>
        </w:rPr>
        <w:t>（六）“统一红利”的前瞻测算</w:t>
      </w:r>
    </w:p>
    <w:p>
      <w:pPr>
        <w:spacing w:before="160" w:after="120" w:line="360" w:lineRule="auto"/>
        <w:outlineLvl w:val="2"/>
      </w:pPr>
      <w:r>
        <w:rPr>
          <w:rFonts w:ascii="Times New Roman" w:hAnsi="Times New Roman" w:eastAsia="黑体"/>
          <w:b w:val="0"/>
          <w:sz w:val="24"/>
        </w:rPr>
        <w:t>1．情景设定与测算框架</w:t>
      </w:r>
    </w:p>
    <w:p>
      <w:pPr>
        <w:spacing w:before="0" w:after="0" w:line="360" w:lineRule="auto"/>
        <w:ind w:firstLineChars="200" w:firstLine="480"/>
      </w:pPr>
      <w:r>
        <w:rPr>
          <w:rFonts w:ascii="Times New Roman" w:hAnsi="Times New Roman" w:eastAsia="宋体"/>
          <w:b w:val="0"/>
          <w:sz w:val="24"/>
        </w:rPr>
        <w:t>前五节回答的是“已经发生了什么”，本节尝试审慎地回答“还可能发生什么”：若“十五五”时期统一大市场建设如《纲要》部署纵深推进，可望释放多大规模的“统一红利”？必须首先申明测算的性质：这是一项情景分析而非预测，其价值在于给出政策努力与增长回报之间的量级对应关系，而非对未来的点估计。测算沿“分割路径假设→内卷弹性外推→生产率与产出映射”三个环节展开，每一环节的假设明示如下。</w:t>
      </w:r>
    </w:p>
    <w:p>
      <w:pPr>
        <w:spacing w:before="0" w:after="0" w:line="360" w:lineRule="auto"/>
        <w:ind w:firstLineChars="200" w:firstLine="480"/>
      </w:pPr>
      <w:r>
        <w:rPr>
          <w:rFonts w:ascii="Times New Roman" w:hAnsi="Times New Roman" w:eastAsia="宋体"/>
          <w:b w:val="0"/>
          <w:sz w:val="24"/>
        </w:rPr>
        <w:t>情景假设的核心是分割收敛路径：设“十五五”期间全国市场分割指数在2024年（1.97）的基础上再下降30%，即2030年降至约1.38，大体相当于长三角地区当前的整合水平（2024年长三角均值为1.34）。这一设定的依据有二。从历史速度看，2012—2024年全国商品市场分割指数累计下降25.7%，“再降三成”意味着未来六年大体复制过去十二年的收敛幅度，是一个进取的目标；从政策强度看，“十五五”时期《全国统一大市场建设条例》制定、中央财经委员会第六次会议“五统一、一开放”部署与《纲要》第十七章的系统安排构成了远超以往的制度供给，且第二节已证实仅公平竞争审查一项制度即可产生−0.121的分割压缩效应，政策工具箱全面发力下，该情景进取而不失现实基础。作为参照，长三角一体化先行探索已经证明，制度协同能够使区域分割指数持续显著低于全国水平，情景终点值即以此为锚。</w:t>
      </w:r>
    </w:p>
    <w:p>
      <w:pPr>
        <w:spacing w:before="0" w:after="0" w:line="360" w:lineRule="auto"/>
        <w:ind w:firstLineChars="200" w:firstLine="480"/>
      </w:pPr>
      <w:r>
        <w:rPr>
          <w:rFonts w:ascii="Times New Roman" w:hAnsi="Times New Roman" w:eastAsia="宋体"/>
          <w:b w:val="0"/>
          <w:sz w:val="24"/>
        </w:rPr>
        <w:t>第一步映射由“内卷”弹性完成。以第八章基准回归的点估计为弹性参数，分割变动对“内卷”指数的影响可按式(9-1)线性外推：</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Δ</m:t>
            </m:r>
            <m:r>
              <m:rPr>
                <m:sty m:val="i"/>
              </m:rPr>
              <m:t>I</m:t>
            </m:r>
            <m:r>
              <m:rPr>
                <m:sty m:val="i"/>
              </m:rPr>
              <m:t>n</m:t>
            </m:r>
            <m:r>
              <m:rPr>
                <m:sty m:val="i"/>
              </m:rPr>
              <m:t>v</m:t>
            </m:r>
            <m:r>
              <m:rPr>
                <m:sty m:val="p"/>
              </m:rPr>
              <m:t>=</m:t>
            </m:r>
            <m:limUpp>
              <m:e>
                <m:box>
                  <m:e>
                    <m:r>
                      <m:rPr>
                        <m:sty m:val="i"/>
                      </m:rPr>
                      <m:t>β</m:t>
                    </m:r>
                  </m:e>
                </m:box>
              </m:e>
              <m:lim>
                <m:r>
                  <m:rPr>
                    <m:sty m:val="p"/>
                  </m:rPr>
                  <m:t>^</m:t>
                </m:r>
              </m:lim>
            </m:limUpp>
            <m:r>
              <m:rPr>
                <m:sty m:val="p"/>
              </m:rPr>
              <m:t>×</m:t>
            </m:r>
            <m:r>
              <m:rPr>
                <m:sty m:val="i"/>
              </m:rPr>
              <m:t>Δ</m:t>
            </m:r>
            <m:r>
              <m:rPr>
                <m:sty m:val="i"/>
              </m:rPr>
              <m:t>S</m:t>
            </m:r>
            <m:r>
              <m:rPr>
                <m:sty m:val="i"/>
              </m:rPr>
              <m:t>e</m:t>
            </m:r>
            <m:r>
              <m:rPr>
                <m:sty m:val="i"/>
              </m:rPr>
              <m:t>g</m:t>
            </m:r>
          </m:e>
        </m:box>
      </m:oMath>
      <w:r>
        <w:rPr>
          <w:rFonts w:ascii="Times New Roman" w:hAnsi="Times New Roman" w:eastAsia="宋体"/>
          <w:b w:val="0"/>
          <w:sz w:val="24"/>
        </w:rPr>
        <w:tab/>
        <w:t>(9-1)</w:t>
      </w:r>
    </w:p>
    <w:p>
      <w:pPr>
        <w:spacing w:before="0" w:after="0" w:line="360" w:lineRule="auto"/>
        <w:ind w:firstLineChars="200" w:firstLine="480"/>
      </w:pPr>
      <w:r>
        <w:rPr>
          <w:rFonts w:ascii="Times New Roman" w:hAnsi="Times New Roman" w:eastAsia="宋体"/>
          <w:b w:val="0"/>
          <w:sz w:val="24"/>
        </w:rPr>
        <w:t>其中</w:t>
      </w:r>
      <m:oMath>
        <m:box>
          <m:e>
            <m:limUpp>
              <m:e>
                <m:box>
                  <m:e>
                    <m:r>
                      <m:rPr>
                        <m:sty m:val="i"/>
                      </m:rPr>
                      <m:t>β</m:t>
                    </m:r>
                  </m:e>
                </m:box>
              </m:e>
              <m:lim>
                <m:r>
                  <m:rPr>
                    <m:sty m:val="p"/>
                  </m:rPr>
                  <m:t>^</m:t>
                </m:r>
              </m:lim>
            </m:limUpp>
            <m:r>
              <m:rPr>
                <m:sty m:val="p"/>
              </m:rPr>
              <m:t>=</m:t>
            </m:r>
            <m:r>
              <m:rPr>
                <m:sty m:val="p"/>
              </m:rPr>
              <m:t>0.058</m:t>
            </m:r>
          </m:e>
        </m:box>
      </m:oMath>
      <w:r>
        <w:rPr>
          <w:rFonts w:ascii="Times New Roman" w:hAnsi="Times New Roman" w:eastAsia="宋体"/>
          <w:b w:val="0"/>
          <w:sz w:val="24"/>
        </w:rPr>
        <w:t>为第八章表8.1列（2）的基准系数，</w:t>
      </w:r>
      <m:oMath>
        <m:box>
          <m:e>
            <m:r>
              <m:rPr>
                <m:sty m:val="i"/>
              </m:rPr>
              <m:t>Δ</m:t>
            </m:r>
            <m:r>
              <m:rPr>
                <m:sty m:val="i"/>
              </m:rPr>
              <m:t>S</m:t>
            </m:r>
            <m:r>
              <m:rPr>
                <m:sty m:val="i"/>
              </m:rPr>
              <m:t>e</m:t>
            </m:r>
            <m:r>
              <m:rPr>
                <m:sty m:val="i"/>
              </m:rPr>
              <m:t>g</m:t>
            </m:r>
            <m:r>
              <m:rPr>
                <m:sty m:val="p"/>
              </m:rPr>
              <m:t>≈</m:t>
            </m:r>
            <m:r>
              <m:rPr>
                <m:sty m:val="p"/>
              </m:rPr>
              <m:t>0.30</m:t>
            </m:r>
            <m:r>
              <m:rPr>
                <m:sty m:val="p"/>
              </m:rPr>
              <m:t>×</m:t>
            </m:r>
            <m:r>
              <m:rPr>
                <m:sty m:val="p"/>
              </m:rPr>
              <m:t>1.97</m:t>
            </m:r>
            <m:r>
              <m:rPr>
                <m:sty m:val="p"/>
              </m:rPr>
              <m:t>≈</m:t>
            </m:r>
            <m:r>
              <m:rPr>
                <m:sty m:val="p"/>
              </m:rPr>
              <m:t>0.59</m:t>
            </m:r>
          </m:e>
        </m:box>
      </m:oMath>
      <w:r>
        <w:rPr>
          <w:rFonts w:ascii="Times New Roman" w:hAnsi="Times New Roman" w:eastAsia="宋体"/>
          <w:b w:val="0"/>
          <w:sz w:val="24"/>
        </w:rPr>
        <w:t>为情景假设下的分割降幅。代入可得“内卷”指数约可下降0.034，相当于2024年水平（0.470）的7.2%——即全国“内卷”强度大体回落到2023年的水平，样本期末最陡峭的一段攀升有望被政策性整合所对冲。需要说明，线性外推隐含弹性恒定假设；考虑到第八章异质性检验显示2020年后分割的“催卷”效应增强（交互项+0.019），以样本期平均弹性外推未来，毋宁说是偏保守的取法。</w:t>
      </w:r>
    </w:p>
    <w:p>
      <w:pPr>
        <w:spacing w:before="0" w:after="0" w:line="360" w:lineRule="auto"/>
        <w:ind w:firstLineChars="200" w:firstLine="480"/>
      </w:pPr>
      <w:r>
        <w:rPr>
          <w:rFonts w:ascii="Times New Roman" w:hAnsi="Times New Roman" w:eastAsia="宋体"/>
          <w:b w:val="0"/>
          <w:sz w:val="24"/>
        </w:rPr>
        <w:t>第二步映射从秩序改善走向生产率。本书的估算综合两条证据：一是本章表9.2的直接证据——公平竞争审查使高强度省份TFP相对提高约1.4%，且如前所述这是政策总效应的下界；二是国际文献的量化基准——对中国的量化空间一般均衡研究表明，2000—2005年国内贸易成本与迁移成本的下降解释了同期约36%的总劳动生产率增长，其贡献甚至大于对外贸易成本的下降（Tombe和Zhu，2019），表明国内市场整合对中国生产率增长的历史贡献处于相当高的量级。以本书DID弹性为下限锚、以历史贡献率证据为上限参照，并考虑“十五五”期间要素市场化改革与商品市场整合并进的政策组合，本书估算：统一大市场纵深推进可使“十五五”期间全要素生产率年均增速提高0.4—0.6个百分点。区间的宽度反映了两重不确定性：政策落地的执行力度，以及要素市场改革（对应表9.2中收敛较弱的资本维度）能否与商品市场整合同步推进——若要素改革滞后，现实更可能落在区间下沿。</w:t>
      </w:r>
    </w:p>
    <w:p>
      <w:pPr>
        <w:spacing w:before="0" w:after="0" w:line="360" w:lineRule="auto"/>
        <w:ind w:firstLineChars="200" w:firstLine="480"/>
      </w:pPr>
      <w:r>
        <w:rPr>
          <w:rFonts w:ascii="Times New Roman" w:hAnsi="Times New Roman" w:eastAsia="宋体"/>
          <w:b w:val="0"/>
          <w:sz w:val="24"/>
        </w:rPr>
        <w:t>第三步将生产率路径映射为产出增量。定义“统一红利”的累计产出增量为情景路径与基准路径之差（如式(9-2)所示）：</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G</m:t>
            </m:r>
            <m:r>
              <m:rPr>
                <m:sty m:val="p"/>
              </m:rPr>
              <m:t>=</m:t>
            </m:r>
            <m:nary>
              <m:naryPr>
                <m:chr m:val="∑"/>
                <m:limLoc m:val="undOvr"/>
              </m:naryPr>
              <m:sub>
                <m:box>
                  <m:e>
                    <m:r>
                      <m:rPr>
                        <m:sty m:val="i"/>
                      </m:rPr>
                      <m:t>t</m:t>
                    </m:r>
                    <m:r>
                      <m:rPr>
                        <m:sty m:val="p"/>
                      </m:rPr>
                      <m:t>=</m:t>
                    </m:r>
                    <m:r>
                      <m:rPr>
                        <m:sty m:val="p"/>
                      </m:rPr>
                      <m:t>2026</m:t>
                    </m:r>
                  </m:e>
                </m:box>
              </m:sub>
              <m:sup>
                <m:box>
                  <m:e>
                    <m:r>
                      <m:rPr>
                        <m:sty m:val="p"/>
                      </m:rPr>
                      <m:t>2030</m:t>
                    </m:r>
                  </m:e>
                </m:box>
              </m:sup>
              <m:e>
                <m:box>
                  <m:e>
                    <m:d>
                      <m:dPr>
                        <m:begChr m:val="("/>
                        <m:endChr m:val=")"/>
                      </m:dPr>
                      <m:e>
                        <m:box>
                          <m:e>
                            <m:sSubSup>
                              <m:e>
                                <m:r>
                                  <m:rPr>
                                    <m:sty m:val="i"/>
                                  </m:rPr>
                                  <m:t>Y</m:t>
                                </m:r>
                              </m:e>
                              <m:sub>
                                <m:box>
                                  <m:e>
                                    <m:r>
                                      <m:rPr>
                                        <m:sty m:val="i"/>
                                      </m:rPr>
                                      <m:t>t</m:t>
                                    </m:r>
                                  </m:e>
                                </m:box>
                              </m:sub>
                              <m:sup>
                                <m:box>
                                  <m:e>
                                    <m:r>
                                      <m:rPr>
                                        <m:sty m:val="p"/>
                                      </m:rPr>
                                      <m:t>1</m:t>
                                    </m:r>
                                  </m:e>
                                </m:box>
                              </m:sup>
                            </m:sSubSup>
                            <m:r>
                              <m:rPr>
                                <m:sty m:val="p"/>
                              </m:rPr>
                              <m:t>−</m:t>
                            </m:r>
                            <m:sSubSup>
                              <m:e>
                                <m:r>
                                  <m:rPr>
                                    <m:sty m:val="i"/>
                                  </m:rPr>
                                  <m:t>Y</m:t>
                                </m:r>
                              </m:e>
                              <m:sub>
                                <m:box>
                                  <m:e>
                                    <m:r>
                                      <m:rPr>
                                        <m:sty m:val="i"/>
                                      </m:rPr>
                                      <m:t>t</m:t>
                                    </m:r>
                                  </m:e>
                                </m:box>
                              </m:sub>
                              <m:sup>
                                <m:box>
                                  <m:e>
                                    <m:r>
                                      <m:rPr>
                                        <m:sty m:val="p"/>
                                      </m:rPr>
                                      <m:t>0</m:t>
                                    </m:r>
                                  </m:e>
                                </m:box>
                              </m:sup>
                            </m:sSubSup>
                          </m:e>
                        </m:box>
                      </m:e>
                    </m:d>
                  </m:e>
                </m:box>
              </m:e>
            </m:nary>
          </m:e>
        </m:box>
      </m:oMath>
      <w:r>
        <w:rPr>
          <w:rFonts w:ascii="Times New Roman" w:hAnsi="Times New Roman" w:eastAsia="宋体"/>
          <w:b w:val="0"/>
          <w:sz w:val="24"/>
        </w:rPr>
        <w:tab/>
        <w:t>(9-2)</w:t>
      </w:r>
    </w:p>
    <w:p>
      <w:pPr>
        <w:spacing w:before="0" w:after="0" w:line="360" w:lineRule="auto"/>
        <w:ind w:firstLineChars="200" w:firstLine="480"/>
      </w:pPr>
      <w:r>
        <w:rPr>
          <w:rFonts w:ascii="Times New Roman" w:hAnsi="Times New Roman" w:eastAsia="宋体"/>
          <w:b w:val="0"/>
          <w:sz w:val="24"/>
        </w:rPr>
        <w:t>其中</w:t>
      </w:r>
      <m:oMath>
        <m:box>
          <m:e>
            <m:sSubSup>
              <m:e>
                <m:r>
                  <m:rPr>
                    <m:sty m:val="i"/>
                  </m:rPr>
                  <m:t>Y</m:t>
                </m:r>
              </m:e>
              <m:sub>
                <m:box>
                  <m:e>
                    <m:r>
                      <m:rPr>
                        <m:sty m:val="i"/>
                      </m:rPr>
                      <m:t>t</m:t>
                    </m:r>
                  </m:e>
                </m:box>
              </m:sub>
              <m:sup>
                <m:box>
                  <m:e>
                    <m:r>
                      <m:rPr>
                        <m:sty m:val="p"/>
                      </m:rPr>
                      <m:t>1</m:t>
                    </m:r>
                  </m:e>
                </m:box>
              </m:sup>
            </m:sSubSup>
          </m:e>
        </m:box>
      </m:oMath>
      <w:r>
        <w:rPr>
          <w:rFonts w:ascii="Times New Roman" w:hAnsi="Times New Roman" w:eastAsia="宋体"/>
          <w:b w:val="0"/>
          <w:sz w:val="24"/>
        </w:rPr>
        <w:t>为统一大市场纵深推进情景下的产出路径，</w:t>
      </w:r>
      <m:oMath>
        <m:box>
          <m:e>
            <m:sSubSup>
              <m:e>
                <m:r>
                  <m:rPr>
                    <m:sty m:val="i"/>
                  </m:rPr>
                  <m:t>Y</m:t>
                </m:r>
              </m:e>
              <m:sub>
                <m:box>
                  <m:e>
                    <m:r>
                      <m:rPr>
                        <m:sty m:val="i"/>
                      </m:rPr>
                      <m:t>t</m:t>
                    </m:r>
                  </m:e>
                </m:box>
              </m:sub>
              <m:sup>
                <m:box>
                  <m:e>
                    <m:r>
                      <m:rPr>
                        <m:sty m:val="p"/>
                      </m:rPr>
                      <m:t>0</m:t>
                    </m:r>
                  </m:e>
                </m:box>
              </m:sup>
            </m:sSubSup>
          </m:e>
        </m:box>
      </m:oMath>
      <w:r>
        <w:rPr>
          <w:rFonts w:ascii="Times New Roman" w:hAnsi="Times New Roman" w:eastAsia="宋体"/>
          <w:b w:val="0"/>
          <w:sz w:val="24"/>
        </w:rPr>
        <w:t>为分割收敛停滞的反事实基准路径，二者之差由上述TFP增速差累积而成。以2025年国内生产总值140.2万亿元（据国家统计局数据）为基数测算，测算表明：“十五五”五年累计可带来约2.6万亿—3.4万亿元（2025年价）的额外产出增量，约相当于2025年经济总量的1.9%—2.4%。这就是“统一红利”在“十五五”时间窗口内可望兑现的量级——它不是凭空的增长许诺，而是把本章识别出的制度弹性沿政策部署的方向做审慎延伸后得到的区间判断。</w:t>
      </w:r>
    </w:p>
    <w:p>
      <w:pPr>
        <w:spacing w:before="160" w:after="120" w:line="360" w:lineRule="auto"/>
        <w:outlineLvl w:val="2"/>
      </w:pPr>
      <w:r>
        <w:rPr>
          <w:rFonts w:ascii="Times New Roman" w:hAnsi="Times New Roman" w:eastAsia="黑体"/>
          <w:b w:val="0"/>
          <w:sz w:val="24"/>
        </w:rPr>
        <w:t>2．测算的文献坐标与审慎性说明</w:t>
      </w:r>
    </w:p>
    <w:p>
      <w:pPr>
        <w:spacing w:before="0" w:after="0" w:line="360" w:lineRule="auto"/>
        <w:ind w:firstLineChars="200" w:firstLine="480"/>
      </w:pPr>
      <w:r>
        <w:rPr>
          <w:rFonts w:ascii="Times New Roman" w:hAnsi="Times New Roman" w:eastAsia="宋体"/>
          <w:b w:val="0"/>
          <w:sz w:val="24"/>
        </w:rPr>
        <w:t>将上述区间置于文献坐标中检验其合理性。历史证据一侧，早期研究即已估算地方分割造成的全国生产效率损失相当可观（郑毓盛、李崇高，2003），近年的测算同样表明区域市场分割导致的效率损失不容低估（余泳泽等，2022）；量化一般均衡一侧，前引研究测得的国内贸易与迁移成本下降对生产率增长约36%的历史贡献（Tombe和Zhu，2019），折算为年均增速贡献显著高于本书区间的上沿。换言之，本书0.4—0.6个百分点的估算落在既有证据谱系的温和一端：它低于中国市场整合黄金期的历史兑现率，高于零政策情景，作为“进取而审慎”的中间情景是站得住的。</w:t>
      </w:r>
    </w:p>
    <w:p>
      <w:pPr>
        <w:spacing w:before="0" w:after="0" w:line="360" w:lineRule="auto"/>
        <w:ind w:firstLineChars="200" w:firstLine="480"/>
      </w:pPr>
      <w:r>
        <w:rPr>
          <w:rFonts w:ascii="Times New Roman" w:hAnsi="Times New Roman" w:eastAsia="宋体"/>
          <w:b w:val="0"/>
          <w:sz w:val="24"/>
        </w:rPr>
        <w:t>同时必须完整地交代测算的局限，以免区间被误读为承诺。其一，线性外推假设弹性恒定，忽略了整合深化过程中边际收益可能的递减或递增；其二，测算未纳入一般均衡反馈——分割下降改变区域分工格局、要素价格与企业进入退出的全套调整未被显式建模，这既可能放大也可能折减红利；其三，政策执行存在不确定性，若“内卷式”竞争治理出现反复或地方保护以更隐蔽形式回潮，分割再降30%的前提即被削弱；其四，按第四章推论4-1，统一进程伴随前置的一次性调整成本——低效产能退出、沉没资本报废与劳动力转岗——本节测算的是产出增量的毛值，未扣除调整支出，净红利的时间形态将呈“先痛后甜”。反向而言，测算也存在系统性低估的因素：DID弹性是总效应的下界，规模经济项与预期秩序项两大红利分项未进入测算，创新项的增长率效应在五年窗口内也只兑现了一小部分。综合正反两侧，本书将2.6万亿—3.4万亿元定位为量级判断：真实红利的中心落点存在不确定性，但其数量级——数万亿元人民币——是多重证据交叉支撑的稳健结论。</w:t>
      </w:r>
    </w:p>
    <w:p>
      <w:pPr>
        <w:spacing w:before="160" w:after="120" w:line="360" w:lineRule="auto"/>
        <w:outlineLvl w:val="2"/>
      </w:pPr>
      <w:r>
        <w:rPr>
          <w:rFonts w:ascii="Times New Roman" w:hAnsi="Times New Roman" w:eastAsia="黑体"/>
          <w:b w:val="0"/>
          <w:sz w:val="24"/>
        </w:rPr>
        <w:t>3．与第四章福利分解的呼应</w:t>
      </w:r>
    </w:p>
    <w:p>
      <w:pPr>
        <w:spacing w:before="0" w:after="0" w:line="360" w:lineRule="auto"/>
        <w:ind w:firstLineChars="200" w:firstLine="480"/>
      </w:pPr>
      <w:r>
        <w:rPr>
          <w:rFonts w:ascii="Times New Roman" w:hAnsi="Times New Roman" w:eastAsia="宋体"/>
          <w:b w:val="0"/>
          <w:sz w:val="24"/>
        </w:rPr>
        <w:t>至此可以回到第四章式(4-44)的福利分解，为全章证据安放理论坐标。福利分解将“统一红利”拆为规模项、选择项、创新项、预期秩序项四个增益分项与一个前置的调整成本项，本章的实证结果恰好为其中三项提供了经验对应物：表9.2的TFP提升与加成率、资本回报率离散度收敛，是选择项</w:t>
      </w:r>
      <m:oMath>
        <m:box>
          <m:e>
            <m:sSub>
              <m:e>
                <m:r>
                  <m:rPr>
                    <m:sty m:val="i"/>
                  </m:rPr>
                  <m:t>Δ</m:t>
                </m:r>
              </m:e>
              <m:sub>
                <m:box>
                  <m:e>
                    <m:r>
                      <m:rPr>
                        <m:sty m:val="i"/>
                      </m:rPr>
                      <m:t>S</m:t>
                    </m:r>
                    <m:r>
                      <m:rPr>
                        <m:sty m:val="i"/>
                      </m:rPr>
                      <m:t>E</m:t>
                    </m:r>
                    <m:r>
                      <m:rPr>
                        <m:sty m:val="i"/>
                      </m:rPr>
                      <m:t>L</m:t>
                    </m:r>
                  </m:e>
                </m:box>
              </m:sub>
            </m:sSub>
          </m:e>
        </m:box>
      </m:oMath>
      <w:r>
        <w:rPr>
          <w:rFonts w:ascii="Times New Roman" w:hAnsi="Times New Roman" w:eastAsia="宋体"/>
          <w:b w:val="0"/>
          <w:sz w:val="24"/>
        </w:rPr>
        <w:t>的直接印证——第四章图4.4的瀑布分解中选择效应正是最大的单项来源，与本章效率证据的相对强度一致；表9.3的新产品与专利效应对应创新项</w:t>
      </w:r>
      <m:oMath>
        <m:box>
          <m:e>
            <m:sSub>
              <m:e>
                <m:r>
                  <m:rPr>
                    <m:sty m:val="i"/>
                  </m:rPr>
                  <m:t>Δ</m:t>
                </m:r>
              </m:e>
              <m:sub>
                <m:box>
                  <m:e>
                    <m:r>
                      <m:rPr>
                        <m:sty m:val="i"/>
                      </m:rPr>
                      <m:t>I</m:t>
                    </m:r>
                    <m:r>
                      <m:rPr>
                        <m:sty m:val="i"/>
                      </m:rPr>
                      <m:t>N</m:t>
                    </m:r>
                    <m:r>
                      <m:rPr>
                        <m:sty m:val="i"/>
                      </m:rPr>
                      <m:t>N</m:t>
                    </m:r>
                  </m:e>
                </m:box>
              </m:sub>
            </m:sSub>
          </m:e>
        </m:box>
      </m:oMath>
      <w:r>
        <w:rPr>
          <w:rFonts w:ascii="Times New Roman" w:hAnsi="Times New Roman" w:eastAsia="宋体"/>
          <w:b w:val="0"/>
          <w:sz w:val="24"/>
        </w:rPr>
        <w:t>，其增长率属性决定了五年测算窗口只捕捉了其贴现值的前端；表9.1的补贴退坡、分割收敛与利润率的边际修复对应预期秩序项</w:t>
      </w:r>
      <m:oMath>
        <m:box>
          <m:e>
            <m:sSub>
              <m:e>
                <m:r>
                  <m:rPr>
                    <m:sty m:val="i"/>
                  </m:rPr>
                  <m:t>Δ</m:t>
                </m:r>
              </m:e>
              <m:sub>
                <m:box>
                  <m:e>
                    <m:r>
                      <m:rPr>
                        <m:sty m:val="i"/>
                      </m:rPr>
                      <m:t>O</m:t>
                    </m:r>
                    <m:r>
                      <m:rPr>
                        <m:sty m:val="i"/>
                      </m:rPr>
                      <m:t>R</m:t>
                    </m:r>
                    <m:r>
                      <m:rPr>
                        <m:sty m:val="i"/>
                      </m:rPr>
                      <m:t>D</m:t>
                    </m:r>
                  </m:e>
                </m:box>
              </m:sub>
            </m:sSub>
          </m:e>
        </m:box>
      </m:oMath>
      <w:r>
        <w:rPr>
          <w:rFonts w:ascii="Times New Roman" w:hAnsi="Times New Roman" w:eastAsia="宋体"/>
          <w:b w:val="0"/>
          <w:sz w:val="24"/>
        </w:rPr>
        <w:t>。规模经济项</w:t>
      </w:r>
      <m:oMath>
        <m:box>
          <m:e>
            <m:sSub>
              <m:e>
                <m:r>
                  <m:rPr>
                    <m:sty m:val="i"/>
                  </m:rPr>
                  <m:t>Δ</m:t>
                </m:r>
              </m:e>
              <m:sub>
                <m:box>
                  <m:e>
                    <m:r>
                      <m:rPr>
                        <m:sty m:val="i"/>
                      </m:rPr>
                      <m:t>S</m:t>
                    </m:r>
                    <m:r>
                      <m:rPr>
                        <m:sty m:val="i"/>
                      </m:rPr>
                      <m:t>C</m:t>
                    </m:r>
                  </m:e>
                </m:box>
              </m:sub>
            </m:sSub>
          </m:e>
        </m:box>
      </m:oMath>
      <w:r>
        <w:rPr>
          <w:rFonts w:ascii="Times New Roman" w:hAnsi="Times New Roman" w:eastAsia="宋体"/>
          <w:b w:val="0"/>
          <w:sz w:val="24"/>
        </w:rPr>
        <w:t>因缺乏直接的省域观测代理而未被单独识别，这意味着本章的证据体系对福利分解的覆盖是不完全的——但方向明确：未被测度的分项只会使真实红利更大而非更小。调整成本项则在证据中以另一种方式在场：第二节观察到的庇护弱化与出清加速，正是调整成本发生的过程本身，其政策含义——以退出援助、转岗安置、社保衔接平滑“先痛后甜”的时间结构——留待本书第十一章展开。</w:t>
      </w:r>
    </w:p>
    <w:p>
      <w:pPr>
        <w:spacing w:before="160" w:after="120" w:line="360" w:lineRule="auto"/>
        <w:outlineLvl w:val="2"/>
      </w:pPr>
      <w:r>
        <w:rPr>
          <w:rFonts w:ascii="Times New Roman" w:hAnsi="Times New Roman" w:eastAsia="黑体"/>
          <w:b w:val="0"/>
          <w:sz w:val="24"/>
        </w:rPr>
        <w:t>4．本章小结：假说H4—H5的结论</w:t>
      </w:r>
    </w:p>
    <w:p>
      <w:pPr>
        <w:spacing w:before="0" w:after="0" w:line="360" w:lineRule="auto"/>
        <w:ind w:firstLineChars="200" w:firstLine="480"/>
      </w:pPr>
      <w:r>
        <w:rPr>
          <w:rFonts w:ascii="Times New Roman" w:hAnsi="Times New Roman" w:eastAsia="宋体"/>
          <w:b w:val="0"/>
          <w:sz w:val="24"/>
        </w:rPr>
        <w:t>本章以2016年公平竞争审查制度为准自然实验，对“统一→红利”环节完成了系统检验，两个假说均获支持。关于H4（统一降卷与秩序修复）：事件研究显示事前平行趋势成立、政策效应自2016年起逐年累积，由2016年的−0.004深化至2024年的−0.029；静态估计表明，处理强度高一个标准差的省份“内卷”指数相对下降0.019（相当于均值的5.0%）、补贴强度下降0.084个百分点、市场分割指数下降0.121，利润率相对回升0.28个百分点提供了秩序修复的边际证据；安慰剂检验（500次置换，经验p值小于0.01）与多组稳健性设定排除了偶然性与混杂解释。关于H5（统一提升TFP与创新）：高强度省份全要素生产率相对提高约1.4%，加成率离散度收敛0.038、资本回报率离散度收敛0.026，新产品销售占比提高0.71个百分点、发明专利申请增加约5.5%，效率与创新的双重红利同时显现，且资本维度的较弱响应精确地指向要素市场整合滞后这一下一程短板。在此基础上，前瞻测算表明：若“十五五”期间市场分割指数再降30%，估算全要素生产率年均增速可提高0.4—0.6个百分点，五年累计带来约2.6万亿—3.4万亿元（2025年价）的额外产出增量。</w:t>
      </w:r>
    </w:p>
    <w:p>
      <w:pPr>
        <w:spacing w:before="0" w:after="0" w:line="360" w:lineRule="auto"/>
        <w:ind w:firstLineChars="200" w:firstLine="480"/>
      </w:pPr>
      <w:r>
        <w:rPr>
          <w:rFonts w:ascii="Times New Roman" w:hAnsi="Times New Roman" w:eastAsia="宋体"/>
          <w:b w:val="0"/>
          <w:sz w:val="24"/>
        </w:rPr>
        <w:t>至此，本书第四章提出的五个可检验命题——H1—H3（第八章）与H4—H5（本章）——全部通过实证检验，“市场分割—内卷竞争—统一红利”三环传导框架完成了从理论推演到经验证据的闭环：分割催生“内卷”，统一拆解“内卷”，且统一的收益不止于秩序修复，更延伸为效率、创新与增长的系统性红利。但省域面板给出的终究是平均效应，数字背后的行业机理——光伏如何从“拥硅为王”滑向价格雪崩又如何在治理中企稳、汽车价格战与账期治理如何演进、平台补贴大战如何被规则驯服、长三角一体化何以先行——需要在更细的颗粒度上加以还原；统一市场建设的国际经验与教训，也需要在比较视野中提炼。本书第十章将以案例研究与国际镜鉴，为本章的计量证据补上机制细节与制度参照。</w:t>
      </w:r>
    </w:p>
    <w:p>
      <w:r>
        <w:br w:type="page"/>
      </w:r>
    </w:p>
    <w:p>
      <w:pPr>
        <w:spacing w:before="240" w:after="280" w:line="360" w:lineRule="auto"/>
        <w:jc w:val="center"/>
        <w:outlineLvl w:val="0"/>
      </w:pPr>
      <w:r>
        <w:rPr>
          <w:rFonts w:ascii="Times New Roman" w:hAnsi="Times New Roman" w:eastAsia="黑体"/>
          <w:b/>
          <w:sz w:val="30"/>
        </w:rPr>
        <w:t>十、案例研究与国际镜鉴</w:t>
      </w:r>
    </w:p>
    <w:p>
      <w:pPr>
        <w:spacing w:before="0" w:after="0" w:line="360" w:lineRule="auto"/>
        <w:ind w:firstLineChars="200" w:firstLine="480"/>
      </w:pPr>
      <w:r>
        <w:rPr>
          <w:rFonts w:ascii="Times New Roman" w:hAnsi="Times New Roman" w:eastAsia="宋体"/>
          <w:b w:val="0"/>
          <w:sz w:val="24"/>
        </w:rPr>
        <w:t>前述各章依循"市场分割—内卷竞争—统一红利"的三环传导框架，完成了从概念界定（本书第三章）、理论建模（本书第四章）、典型化事实（本书第五章）到系统计量检验（本书第六至九章）的论证闭环。然而，面板回归所给出的毕竟是样本平均意义上的因果效应，尚不足以展示"内卷式"竞争在具体产业场景中发生、深化与被治理的过程细节，也难以刻画政策干预与市场反应之间的动态互动。本章转向案例研究与比较制度分析：首先解剖光伏、新能源汽车、平台经济三个"内卷"矛盾最为集中、治理进程最为完整的行业，追踪从竞争失序到秩序重建的全过程叙事；继而考察长三角一体化这一区域先行样本，观察制度创新如何在次国家层面提前兑现"统一红利"；最后将视野扩展至美国、欧盟与日本，检视成熟经济体在统一市场建设与过度竞争治理上的经验与教训。案例与镜鉴的双重目的，一是对三环框架进行"过程追踪"式的验证，二是为本书第十一章的政策路径设计提供经验输入。</w:t>
      </w:r>
    </w:p>
    <w:p>
      <w:pPr>
        <w:spacing w:before="200" w:after="160" w:line="360" w:lineRule="auto"/>
        <w:outlineLvl w:val="1"/>
      </w:pPr>
      <w:r>
        <w:rPr>
          <w:rFonts w:ascii="Times New Roman" w:hAnsi="Times New Roman" w:eastAsia="黑体"/>
          <w:b w:val="0"/>
          <w:sz w:val="28"/>
        </w:rPr>
        <w:t>（一）光伏行业：从"拥硅为王"到"反内卷"自律</w:t>
      </w:r>
    </w:p>
    <w:p>
      <w:pPr>
        <w:spacing w:before="160" w:after="120" w:line="360" w:lineRule="auto"/>
        <w:outlineLvl w:val="2"/>
      </w:pPr>
      <w:r>
        <w:rPr>
          <w:rFonts w:ascii="Times New Roman" w:hAnsi="Times New Roman" w:eastAsia="黑体"/>
          <w:b w:val="0"/>
          <w:sz w:val="24"/>
        </w:rPr>
        <w:t>1．"双碳"东风下的扩产竞赛</w:t>
      </w:r>
    </w:p>
    <w:p>
      <w:pPr>
        <w:spacing w:before="0" w:after="0" w:line="360" w:lineRule="auto"/>
        <w:ind w:firstLineChars="200" w:firstLine="480"/>
      </w:pPr>
      <w:r>
        <w:rPr>
          <w:rFonts w:ascii="Times New Roman" w:hAnsi="Times New Roman" w:eastAsia="宋体"/>
          <w:b w:val="0"/>
          <w:sz w:val="24"/>
        </w:rPr>
        <w:t>光伏是观察"内卷式竞争陷阱"形成机理的最完备标本。2020年我国提出碳达峰、碳中和目标后，光伏作为能源转型确定性最强的赛道，迎来需求的爆发式扩张：据国家能源局与中国光伏行业协会（CPIA）数据，2024年全国光伏新增装机达277.57GW，累计并网容量超过880GW。需求东风迅速点燃扩产热情。2022年下半年，多晶硅致密料价格一度突破30万元/吨（本轮周期高点约30.3万元/吨），"拥硅为王"成为行业流行语，硅料环节的超额利润驱动在位企业扩产、跨界资本涌入。这一过程呈现出典型的"潮涌现象"：对社会普遍看好的朝阳产业，企业投资决策高度趋同，单个企业的进入在事前都是理性的，加总起来却形成远超需求的产能洪峰（林毅夫等，2010）。</w:t>
      </w:r>
    </w:p>
    <w:p>
      <w:pPr>
        <w:spacing w:before="0" w:after="0" w:line="360" w:lineRule="auto"/>
        <w:ind w:firstLineChars="200" w:firstLine="480"/>
      </w:pPr>
      <w:r>
        <w:rPr>
          <w:rFonts w:ascii="Times New Roman" w:hAnsi="Times New Roman" w:eastAsia="宋体"/>
          <w:b w:val="0"/>
          <w:sz w:val="24"/>
        </w:rPr>
        <w:t>浪潮的振幅被地方政府行为进一步放大。光伏兼具"新兴产业""绿色低碳""大项目大投资"三重标签，恰好契合地方政府在晋升竞争与税源竞争下的偏好（周黎安，2007），各地以土地、税费、电价等优惠条件竞相招引光伏项目，使企业面对的私人投资成本系统性低于社会成本，政府不当干预与新兴产业产能过剩的因果链条在光伏行业表现得尤为典型（余东华、吕逸楠，2015）。其结果是产能的全面过剩：据联合资信整理的数据，截至2024年底国内多晶硅实际有效产能约289.5万吨/年，同比增长38%（全球约303万吨），可满足约1365GW的硅片生产需求，冗余度超过100%；硅片、电池、组件环节年产能分别约1084GW、1100GW、1218GW，而2025年全球与中国的乐观需求预期仅约600GW和250GW。四个环节的产能全部越过需求一倍以上，且仍在惯性释放——2024年多晶硅产量超182万吨（增长23.6%）、组件产量588GW（增长13.5%），供需的剪刀差为随后的价格雪崩埋下伏笔。</w:t>
      </w:r>
    </w:p>
    <w:p>
      <w:pPr>
        <w:spacing w:before="160" w:after="120" w:line="360" w:lineRule="auto"/>
        <w:outlineLvl w:val="2"/>
      </w:pPr>
      <w:r>
        <w:rPr>
          <w:rFonts w:ascii="Times New Roman" w:hAnsi="Times New Roman" w:eastAsia="黑体"/>
          <w:b w:val="0"/>
          <w:sz w:val="24"/>
        </w:rPr>
        <w:t>2．价格雪崩与全行业亏损</w:t>
      </w:r>
    </w:p>
    <w:p>
      <w:pPr>
        <w:spacing w:before="0" w:after="0" w:line="360" w:lineRule="auto"/>
        <w:ind w:firstLineChars="200" w:firstLine="480"/>
      </w:pPr>
      <w:r>
        <w:rPr>
          <w:rFonts w:ascii="Times New Roman" w:hAnsi="Times New Roman" w:eastAsia="宋体"/>
          <w:b w:val="0"/>
          <w:sz w:val="24"/>
        </w:rPr>
        <w:t>失衡的供需在2023—2024年演化为罕见的价格雪崩。多晶硅致密料成交均价于2024年5月跌至约3.9万元/吨，较周期高点跌去近85%，全面跌破生产成本；据上海有色网（SMM）数据，2024年内P型致密料价格最低触及33.5元/kg（约3.35万元/吨），创三年新低，年末均价35.5元/kg，较2023年底的59元/kg再度大幅下行。组件价格由2023年初约1.9元/W跌至2024年年中约0.8元/W，降幅约58%（据中国机电产品进出口商会数据）；2024年招投标市场最低组件报价约0.6元/W，已经低于CPIA测算的0.68元/W最低成本价，"低于成本中标"成为公开的行业现象。据CPIA名誉理事长王勃华披露，仅2024年一年，多晶硅价格下滑超过35%、硅片超过45%、电池片和组件超过25%；至2025年上半年，主产业链产品价格较高点的跌幅已达66%—89%。</w:t>
      </w:r>
    </w:p>
    <w:p>
      <w:pPr>
        <w:spacing w:before="0" w:after="0" w:line="360" w:lineRule="auto"/>
        <w:ind w:firstLineChars="200" w:firstLine="480"/>
      </w:pPr>
      <w:r>
        <w:rPr>
          <w:rFonts w:ascii="Times New Roman" w:hAnsi="Times New Roman" w:eastAsia="宋体"/>
          <w:b w:val="0"/>
          <w:sz w:val="24"/>
        </w:rPr>
        <w:t>价格跌破成本线的直接后果是全行业亏损。2024年，通威股份归母净亏损70.39亿元（营业收入919.94亿元，同比下降33.87%），为其2004年上市以来首次年度亏损；隆基绿能归母净亏损86.18亿元（同比下降180.15%），为十年来首亏。据21世纪经济报道统计，2024年上半年主产业链四环节20家主流企业中16家亏损、合计亏损226.5亿元，仅4家盈利、合计盈利30.5亿元；就全年而言，据OFweek对17家主要光伏企业的统计口径，合计亏损达393.98亿元，仅7家合计盈利69.07亿元。亏损压力还沿贸易渠道外溢，出口呈现典型的"量增价减"：2023年光伏产品出口总额约484.8亿美元、同比下降5.4%（CPIA口径）；2024年进一步降至约320.3亿美元、下降33%，其中组件出口量236.2GW、增长9.9%，而出口额280亿美元、下降29.2%（据机电商会数据）——以更多的实物量换回更少的销售收入，国内"内卷"通过低价出口向外传导，也加大了贸易摩擦风险。</w:t>
      </w:r>
    </w:p>
    <w:p>
      <w:pPr>
        <w:spacing w:before="0" w:after="0" w:line="360" w:lineRule="auto"/>
        <w:ind w:firstLineChars="200" w:firstLine="480"/>
      </w:pPr>
      <w:r>
        <w:rPr>
          <w:rFonts w:ascii="Times New Roman" w:hAnsi="Times New Roman" w:eastAsia="宋体"/>
          <w:b w:val="0"/>
          <w:sz w:val="24"/>
        </w:rPr>
        <w:t>价格崩塌、利润湮灭与治理干预的完整时序（见图10.1），构成理解本案例的主线索。</w:t>
      </w:r>
    </w:p>
    <w:p>
      <w:pPr>
        <w:spacing w:before="120"/>
        <w:jc w:val="center"/>
      </w:pPr>
      <w:r>
        <w:drawing>
          <wp:inline xmlns:a="http://schemas.openxmlformats.org/drawingml/2006/main" xmlns:pic="http://schemas.openxmlformats.org/drawingml/2006/picture">
            <wp:extent cx="5112000" cy="2699118"/>
            <wp:docPr id="26" name="Picture 26"/>
            <wp:cNvGraphicFramePr>
              <a:graphicFrameLocks noChangeAspect="1"/>
            </wp:cNvGraphicFramePr>
            <a:graphic>
              <a:graphicData uri="http://schemas.openxmlformats.org/drawingml/2006/picture">
                <pic:pic>
                  <pic:nvPicPr>
                    <pic:cNvPr id="0" name="fig_10_1.png"/>
                    <pic:cNvPicPr/>
                  </pic:nvPicPr>
                  <pic:blipFill>
                    <a:blip r:embed="rId34"/>
                    <a:stretch>
                      <a:fillRect/>
                    </a:stretch>
                  </pic:blipFill>
                  <pic:spPr>
                    <a:xfrm>
                      <a:off x="0" y="0"/>
                      <a:ext cx="5112000" cy="2699118"/>
                    </a:xfrm>
                    <a:prstGeom prst="rect"/>
                  </pic:spPr>
                </pic:pic>
              </a:graphicData>
            </a:graphic>
          </wp:inline>
        </w:drawing>
      </w:r>
    </w:p>
    <w:p>
      <w:pPr>
        <w:spacing w:before="120" w:after="120" w:line="312" w:lineRule="auto"/>
        <w:jc w:val="center"/>
      </w:pPr>
      <w:r>
        <w:rPr>
          <w:rFonts w:ascii="Times New Roman" w:hAnsi="Times New Roman" w:eastAsia="黑体"/>
          <w:b w:val="0"/>
          <w:sz w:val="21"/>
        </w:rPr>
        <w:t>图10.1　光伏组件价格与产业链利润（2021—2025）</w:t>
      </w:r>
    </w:p>
    <w:p>
      <w:pPr>
        <w:spacing w:before="0" w:after="0" w:line="360" w:lineRule="auto"/>
        <w:ind w:firstLineChars="200" w:firstLine="480"/>
      </w:pPr>
      <w:r>
        <w:rPr>
          <w:rFonts w:ascii="Times New Roman" w:hAnsi="Times New Roman" w:eastAsia="宋体"/>
          <w:b w:val="0"/>
          <w:sz w:val="24"/>
        </w:rPr>
        <w:t>图10.1以组件价格的月度关键点勾勒出本轮周期的完整轨迹：2023年初1.90元/W的价格在两年内近乎"腰斩再腰斩"，2024年末触及0.68元/W的成本线附近，主产业链利润同步由盈转亏；图中注记的治理节点——2024年10月CPIA自律公约、2024年12月中央经济工作会议部署、2025年7月中央财经委员会第六次会议——与价格的止跌、企稳、回升在时间上高度耦合：行业自律启动后组件价格于2024年四季度止跌，2025年在政策组合作用下回升至0.7—0.8元/W区间（分布式渠道均价约0.72元/W），多晶硅价格自2025年7月起显著反弹。价格轨迹与治理节点的耦合当然不是严格意义上的因果识别，但与本书第九章基于公平竞争审查的因果证据相互印证，共同支持"规则介入能够扭转内卷均衡"的判断。</w:t>
      </w:r>
    </w:p>
    <w:p>
      <w:pPr>
        <w:spacing w:before="160" w:after="120" w:line="360" w:lineRule="auto"/>
        <w:outlineLvl w:val="2"/>
      </w:pPr>
      <w:r>
        <w:rPr>
          <w:rFonts w:ascii="Times New Roman" w:hAnsi="Times New Roman" w:eastAsia="黑体"/>
          <w:b w:val="0"/>
          <w:sz w:val="24"/>
        </w:rPr>
        <w:t>3．从行业自律到"治理组合拳"</w:t>
      </w:r>
    </w:p>
    <w:p>
      <w:pPr>
        <w:spacing w:before="0" w:after="0" w:line="360" w:lineRule="auto"/>
        <w:ind w:firstLineChars="200" w:firstLine="480"/>
      </w:pPr>
      <w:r>
        <w:rPr>
          <w:rFonts w:ascii="Times New Roman" w:hAnsi="Times New Roman" w:eastAsia="宋体"/>
          <w:b w:val="0"/>
          <w:sz w:val="24"/>
        </w:rPr>
        <w:t>光伏治理的演进呈现"自律先行、政策跟进、机制托底"的递进结构。2024年5月17日，工信部电子司指导、CPIA组织召开光伏行业高质量发展座谈会，治理进程启动；7月30日中央政治局会议首次提出"强化行业自律，防止'内卷式'恶性竞争"；10月14日、18日，CPIA接连召开防止"内卷式"竞争专题座谈会，公布N型M10双玻组件含税最低成本0.68元/W，并明确"低于成本投标中标涉嫌违法"（12月成本价更新为0.69元/W），为价格执法提供了可操作的技术基准；11月，工信部发布《光伏制造行业规范条件（2024年本）》，将新建项目最低资本金比例由20%提高至30%，从进入端收紧闸门；12月26日多晶硅期货在广州期货交易所上市，为行业提供价格发现与风险对冲工具；同月，中央经济工作会议首次部署"综合整治'内卷式'竞争，规范地方政府和企业行为"。自律的即期效果随即显现：据InfoLink数据，2024年12月底N型TOPCon组件成交均价回升至约0.71元/W、PERC组件0.68元/W，TOPCon电池片价格四季度反弹约3.7%，主产业链价格在自律启动后率先止跌，市场对"成本线不可击穿"的预期开始形成。</w:t>
      </w:r>
    </w:p>
    <w:p>
      <w:pPr>
        <w:spacing w:before="0" w:after="0" w:line="360" w:lineRule="auto"/>
        <w:ind w:firstLineChars="200" w:firstLine="480"/>
      </w:pPr>
      <w:r>
        <w:rPr>
          <w:rFonts w:ascii="Times New Roman" w:hAnsi="Times New Roman" w:eastAsia="宋体"/>
          <w:b w:val="0"/>
          <w:sz w:val="24"/>
        </w:rPr>
        <w:t>2025年治理组合进一步深化。7月1日，中央财经委员会第六次会议在部署纵深推进全国统一大市场建设的同时，明确要求"依法依规治理企业低价无序竞争，引导企业提升产品品质，推动落后产能有序退出"；7月3日，工信部召开第十五次制造业企业座谈会，14家光伏企业参加，同期光伏玻璃企业集体减产约30%。产能出清机制取得实质突破：2025年10月31日至12月9日，11家多晶硅企业敲定产能整合联合体，收储平台"光和谦成"注册成立（注册资本30亿元），拟以700亿元基金承债式收购过剩产能，目标将硅料价格稳定在6万元/吨以上（据财联社等报道）。至此，"自律公约＋成本价基准＋资本金门槛＋期货工具＋收储基金"的治理组合基本成形，恰与"综合运用产能调控、标准引领、价格执法、质量监管和反垄断、反不正当竞争等手段"的中央部署逐项对应。</w:t>
      </w:r>
    </w:p>
    <w:p>
      <w:pPr>
        <w:spacing w:before="0" w:after="0" w:line="360" w:lineRule="auto"/>
        <w:ind w:firstLineChars="200" w:firstLine="480"/>
      </w:pPr>
      <w:r>
        <w:rPr>
          <w:rFonts w:ascii="Times New Roman" w:hAnsi="Times New Roman" w:eastAsia="宋体"/>
          <w:b w:val="0"/>
          <w:sz w:val="24"/>
        </w:rPr>
        <w:t>治理成效在价格与盈利两端初步显现。价格方面，据硅业分会数据，N型复投料成交均价由2025年7月2日的3.47万元/吨升至7月9日的3.71万元/吨（环比上涨6.92%），7月中上旬报价区间提升至4.5万—5.0万元/吨、上调25%—35%；至9月底，N型复投料均价达5.32万元/吨、颗粒硅5.05万元/吨，较6月底分别上涨约55%和51%。供给端同步收缩：2025年上半年多晶硅产量59.6万吨、同比下降43.8%，硅片产量316GW、下降21.4%（CPIA数据）；年末龙头企业已减产至12.5万—13万吨/月（硅业分会数据）；此前2024年上半年新投产能已同比减少75%、超过20个项目终止或延期。盈利端，2025年前三季度主产业链营收同比下降16.9%，但毛利率回升至3.64%（第三季度达5.61%）；隆基绿能第三季度归母净亏损8.34亿元、同比减亏33.53%（前三季度累计减亏约48%）；通威股份第三季度同比减亏62.69%、单季经营性现金流净额47.76亿元（据时代周报）。必须强调的是，全行业尚未整体扭亏，价格距离收储联合体设定的6万元/吨目标仍有距离，治理成效属于"初显"而非"功成"。</w:t>
      </w:r>
    </w:p>
    <w:p>
      <w:pPr>
        <w:spacing w:before="160" w:after="120" w:line="360" w:lineRule="auto"/>
        <w:outlineLvl w:val="2"/>
      </w:pPr>
      <w:r>
        <w:rPr>
          <w:rFonts w:ascii="Times New Roman" w:hAnsi="Times New Roman" w:eastAsia="黑体"/>
          <w:b w:val="0"/>
          <w:sz w:val="24"/>
        </w:rPr>
        <w:t>4．对照三环框架的机理解读</w:t>
      </w:r>
    </w:p>
    <w:p>
      <w:pPr>
        <w:spacing w:before="0" w:after="0" w:line="360" w:lineRule="auto"/>
        <w:ind w:firstLineChars="200" w:firstLine="480"/>
      </w:pPr>
      <w:r>
        <w:rPr>
          <w:rFonts w:ascii="Times New Roman" w:hAnsi="Times New Roman" w:eastAsia="宋体"/>
          <w:b w:val="0"/>
          <w:sz w:val="24"/>
        </w:rPr>
        <w:t>以三环框架逐环对照，光伏案例的机理链条清晰可辨。第一环，分割与扭曲催生过度进入：地方政府的招商补贴与要素优惠使企业进入决策外部化了部分成本，叠加区域市场的行政分割，行业均衡企业数与产能规模系统性偏离社会最优，这正是自由进入条件下"过度进入定理"所刻画的无效率（Mankiw和Whinston，1986），也与体制扭曲导致产能过剩的中国证据一致（江飞涛等，2012）——本书第四章命题4-3、4-4所刻画的补贴竞争均衡与过度进入偏差，在光伏行业得到了近乎教科书式的呈现。第二环，过度进入在需求增速换挡后滑入"内卷均衡"：价格跌破平均成本乃至现金成本，企业却因沉没资产专用性、地方政府维护与"熬死对手"的博弈预期而不退出，行业整体持续失血，对应本书第四章命题4-5中退出摩擦参数支撑的低水平均衡存续条件，也完整呈现了本书第三章"内卷式竞争陷阱"定义中的自我强化机制。</w:t>
      </w:r>
    </w:p>
    <w:p>
      <w:pPr>
        <w:spacing w:before="0" w:after="0" w:line="360" w:lineRule="auto"/>
        <w:ind w:firstLineChars="200" w:firstLine="480"/>
      </w:pPr>
      <w:r>
        <w:rPr>
          <w:rFonts w:ascii="Times New Roman" w:hAnsi="Times New Roman" w:eastAsia="宋体"/>
          <w:b w:val="0"/>
          <w:sz w:val="24"/>
        </w:rPr>
        <w:t>第三环，治理即对各环节扭曲的逐项矫正：自律公约与座谈会机制矫正企业间的协调失灵，成本价公示与价格执法矫正低于成本的定价行为，资本金比例提升矫正进入端的过度涌入，收储基金与产能整合联合体矫正退出端的机制失灵，期货市场则改善价格发现与预期管理。光伏由此成为完整走过"陷阱形成—陷阱深化—协同破解"全程的行业样本：2025年价格的回升与亏损的收窄，本质上是退出机制接通、供给收缩兑现后，行业从"内卷均衡"向正常竞争均衡的回归。这一过程同时提示治理的边界：收储与限产属于强干预工具，若长期化则可能重蹈保护落后的覆辙，此点将在本章第五节日本镜鉴中进一步展开。</w:t>
      </w:r>
    </w:p>
    <w:p>
      <w:pPr>
        <w:spacing w:before="200" w:after="160" w:line="360" w:lineRule="auto"/>
        <w:outlineLvl w:val="1"/>
      </w:pPr>
      <w:r>
        <w:rPr>
          <w:rFonts w:ascii="Times New Roman" w:hAnsi="Times New Roman" w:eastAsia="黑体"/>
          <w:b w:val="0"/>
          <w:sz w:val="28"/>
        </w:rPr>
        <w:t>（二）新能源汽车：价格战、账期治理与竞争秩序重建</w:t>
      </w:r>
    </w:p>
    <w:p>
      <w:pPr>
        <w:spacing w:before="160" w:after="120" w:line="360" w:lineRule="auto"/>
        <w:outlineLvl w:val="2"/>
      </w:pPr>
      <w:r>
        <w:rPr>
          <w:rFonts w:ascii="Times New Roman" w:hAnsi="Times New Roman" w:eastAsia="黑体"/>
          <w:b w:val="0"/>
          <w:sz w:val="24"/>
        </w:rPr>
        <w:t>1．三年价格战：烈度、广度与利润侵蚀</w:t>
      </w:r>
    </w:p>
    <w:p>
      <w:pPr>
        <w:spacing w:before="0" w:after="0" w:line="360" w:lineRule="auto"/>
        <w:ind w:firstLineChars="200" w:firstLine="480"/>
      </w:pPr>
      <w:r>
        <w:rPr>
          <w:rFonts w:ascii="Times New Roman" w:hAnsi="Times New Roman" w:eastAsia="宋体"/>
          <w:b w:val="0"/>
          <w:sz w:val="24"/>
        </w:rPr>
        <w:t>新能源汽车展示了"内卷式"竞争的另一种面相：行业高增长与利润塌陷并存。价格战的起点是2023年1月6日特斯拉大幅降价——国产Model 3后驱版降至22.99万元（降3.6万元）、Model Y后驱版降至25.99万元（降2.9万元）、Model Y长续航版降价4.8万元，创当时历史最低价，数十家车企被迫跟进。此后战火逐年升级：据乘联分会崔东树统计，降价车型2022年为95款，2023年增至148款，2024年达227款的峰值，2025年仍有177款（"限时一口价"类促销尚未计入）；2024年全部降价车型平均降价1.6万元、降幅8.3%，其中新能源车平均降1.8万元、降幅9.2%。值得注意的是，与光伏的需求收缩不同，汽车行业需求始终高速扩张：据中汽协数据，新能源汽车销量由2020年的136.7万辆增至2025年的1649万辆，渗透率由约5.4%升至47.9%（2025年12月单月达52.3%）。恰恰是在景气上行中发生了全行业的利润塌陷，说明"内卷式"竞争并非需求不足的同义词，而是竞争秩序失范的产物。</w:t>
      </w:r>
    </w:p>
    <w:p>
      <w:pPr>
        <w:spacing w:before="0" w:after="0" w:line="360" w:lineRule="auto"/>
        <w:ind w:firstLineChars="200" w:firstLine="480"/>
      </w:pPr>
      <w:r>
        <w:rPr>
          <w:rFonts w:ascii="Times New Roman" w:hAnsi="Times New Roman" w:eastAsia="宋体"/>
          <w:b w:val="0"/>
          <w:sz w:val="24"/>
        </w:rPr>
        <w:t>利润侵蚀的深度可以用一组数据刻画。据乘联分会基于国家统计局数据的测算，汽车行业利润率从2017年的约7.8%逐年下滑——2018—2022年依次为7.3%、6.3%、6.2%、6.1%、5.7%——进而降至2023年5.0%、2024年4.3%、2025年4.1%的历史低位；2024年行业收入106470亿元、增长4%，利润4623亿元、下降8%；2025年收入111796亿元、增长7.1%，利润4610亿元、仅增长0.6%，"量增利薄"格局固化。单车毛利由2017年的约2.3万元降至2025年的约1.4万元。压力沿流通链条放大：据中国汽车流通协会《2024年全国汽车经销商生存状况调查报告》，2024年经销商亏损面达41.7%，84.4%的经销商出现价格倒挂、60.4%的经销商倒挂幅度超过15%，新车业务对毛利的贡献为−17.7%——终端环节实际上在"卖一辆亏一辆"。</w:t>
      </w:r>
    </w:p>
    <w:p>
      <w:pPr>
        <w:spacing w:before="160" w:after="120" w:line="360" w:lineRule="auto"/>
        <w:outlineLvl w:val="2"/>
      </w:pPr>
      <w:r>
        <w:rPr>
          <w:rFonts w:ascii="Times New Roman" w:hAnsi="Times New Roman" w:eastAsia="黑体"/>
          <w:b w:val="0"/>
          <w:sz w:val="24"/>
        </w:rPr>
        <w:t>2．2025年治理进程：从约谈到账期规制</w:t>
      </w:r>
    </w:p>
    <w:p>
      <w:pPr>
        <w:spacing w:before="0" w:after="0" w:line="360" w:lineRule="auto"/>
        <w:ind w:firstLineChars="200" w:firstLine="480"/>
      </w:pPr>
      <w:r>
        <w:rPr>
          <w:rFonts w:ascii="Times New Roman" w:hAnsi="Times New Roman" w:eastAsia="宋体"/>
          <w:b w:val="0"/>
          <w:sz w:val="24"/>
        </w:rPr>
        <w:t>2025年5月23日的比亚迪降价事件成为治理升级的导火索。当日，比亚迪对王朝网、海洋网22款智驾版车型推出限时补贴，最高优惠5.3万元——海豹07 DM-i智驾版由15.58万元降至10.28万元，秦PLUS DM-i智驾版由7.98万元降至6.38万元，海鸥降至5.58万元——这是其年内第三轮大规模促销，吉利、上汽通用等随即跟进，市场普遍担忧新一轮全面价格战一触即发。监管与行业的反应迅速而密集：5月27日商务部就"零公里二手车"问题召集车企座谈；5月31日中汽协发布反"内卷"倡议，工信部同日表态"'价格战'没有赢家，更没有未来"；6月1日，修订后的《保障中小企业款项支付条例》施行，明确大型企业付款期限不得超过60天、不得强制接受商业汇票等非现金支付；6月10—11日，广汽率先、一汽、东风、长安、奇瑞、吉利、比亚迪、上汽、蔚来、小鹏、理想、小米等17家车企集体承诺供应商账期统一至60天以内；7月1日起比亚迪叫停"限时一口价"。</w:t>
      </w:r>
    </w:p>
    <w:p>
      <w:pPr>
        <w:spacing w:before="0" w:after="0" w:line="360" w:lineRule="auto"/>
        <w:ind w:firstLineChars="200" w:firstLine="480"/>
      </w:pPr>
      <w:r>
        <w:rPr>
          <w:rFonts w:ascii="Times New Roman" w:hAnsi="Times New Roman" w:eastAsia="宋体"/>
          <w:b w:val="0"/>
          <w:sz w:val="24"/>
        </w:rPr>
        <w:t>然而承诺与履约之间存在明显落差，需要持续的追踪与督导。7月9日，工信部上线账期承诺问题线索反馈窗口，受理账期超60天、起算日不合理、强制非现金支付等四类问题；8月11日通报督导情况：一汽自6月起对中小企业供应商100%现金支付，广汽埃安现金结算比例达95%。但据《每日经济新闻》对18家上市车企2025年半年报的追踪，仅6家应付账款周转天数较上年末改善（小鹏汽车由233天缩至约170天，降幅最大），11家反而拉长（奇瑞增至266.3天）；其后媒体对年报的再度起底进一步指出"付款天数短了，变相拖延仍有"。这一落差揭示了账期治理的深层逻辑：在行业盈利空间尚未修复的条件下，账期是整车厂向上游转嫁流动性压力的"缓冲阀"，单靠集体承诺难以根治，必须依托条例执法、信息披露与信用惩戒的制度化跟进。</w:t>
      </w:r>
    </w:p>
    <w:p>
      <w:pPr>
        <w:spacing w:before="0" w:after="0" w:line="360" w:lineRule="auto"/>
        <w:ind w:firstLineChars="200" w:firstLine="480"/>
      </w:pPr>
      <w:r>
        <w:rPr>
          <w:rFonts w:ascii="Times New Roman" w:hAnsi="Times New Roman" w:eastAsia="宋体"/>
          <w:b w:val="0"/>
          <w:sz w:val="24"/>
        </w:rPr>
        <w:t>价格战的失序还外溢为营销与流通环节的多维乱象，治理因而必须是全方位的。其一是"零公里二手车"问题：2025年5月，长城汽车魏建军公开批评"有三四千家都在卖"——新车登记上牌后未经实际使用即转入二手渠道，以变相降价冲抵销量考核、扰乱新车价格体系，5月27日商务部召集比亚迪、东风、瓜子二手车等企业座谈规范。其二是智能驾驶的夸大宣传：2025年2月工信部、市场监管总局印发《关于进一步加强智能网联汽车产品准入、召回及软件在线升级管理的通知》，4月16日工信部召开推进会（近60家车企参加），要求禁用"自动驾驶""无人驾驶""解放双手"等表述、统一采用"组合辅助驾驶"。在价格战挤压利润的背景下，部分企业以营销概念替代技术投入，夸大宣传实为"内卷式"竞争在质量与安全维度上的变形，印证了低价竞争对创新与质量的挤出效应。</w:t>
      </w:r>
    </w:p>
    <w:p>
      <w:pPr>
        <w:spacing w:before="0" w:after="0" w:line="360" w:lineRule="auto"/>
        <w:ind w:firstLineChars="200" w:firstLine="480"/>
      </w:pPr>
      <w:r>
        <w:rPr>
          <w:rFonts w:ascii="Times New Roman" w:hAnsi="Times New Roman" w:eastAsia="宋体"/>
          <w:b w:val="0"/>
          <w:sz w:val="24"/>
        </w:rPr>
        <w:t>治理随后走向系统化。9月13日，工信部等八部门印发《汽车行业稳增长工作方案（2025—2026年）》，提出力争2025年实现销量3230万辆左右（增长约3%）、新能源汽车1550万辆左右（增长约20%），并将整治"内卷式"竞争纳入15个方面的政策举措；同月中汽协发布《汽车整车企业供应商账款支付规范倡议》。2026年1月，市场监管总局公布的2025年综合整治"内卷式"竞争十大典型案例中，包含针对大幅降价车型的新能源汽车整车质量国家监督专项抽查；6月11日，工信部、市场监管总局依据《价格法》《关于制止低价倾销行为的规定》等约谈涉嫌非理性竞争的汽车生产企业。市场秩序的边际改善已经可见：据崔东树观察，2025年下半年起促销与降价回归理性，新能源车促销幅度稳定在9.8%的中高位，恶性降价的频度与烈度明显下降。</w:t>
      </w:r>
    </w:p>
    <w:p>
      <w:pPr>
        <w:spacing w:before="160" w:after="120" w:line="360" w:lineRule="auto"/>
        <w:outlineLvl w:val="2"/>
      </w:pPr>
      <w:r>
        <w:rPr>
          <w:rFonts w:ascii="Times New Roman" w:hAnsi="Times New Roman" w:eastAsia="黑体"/>
          <w:b w:val="0"/>
          <w:sz w:val="24"/>
        </w:rPr>
        <w:t>3．机制解读：价格秩序的准公共财性质与账期转嫁</w:t>
      </w:r>
    </w:p>
    <w:p>
      <w:pPr>
        <w:spacing w:before="0" w:after="0" w:line="360" w:lineRule="auto"/>
        <w:ind w:firstLineChars="200" w:firstLine="480"/>
      </w:pPr>
      <w:r>
        <w:rPr>
          <w:rFonts w:ascii="Times New Roman" w:hAnsi="Times New Roman" w:eastAsia="宋体"/>
          <w:b w:val="0"/>
          <w:sz w:val="24"/>
        </w:rPr>
        <w:t>汽车价格战的机理核心，在于价格秩序具有准公共财（准公共品）属性所引致的集体行动困境。对单个车企而言，率先降价可以在短期内夺取份额、摊薄固定成本，是占优策略；但当所有企业都如此行动时，降价的份额效应相互抵消，只留下全行业利润率的永久性下移——2017年7.8%到2025年4.1%的轨迹正是这一囚徒困境的累积结果。维持价格秩序的收益由全行业分享，破坏秩序的收益却由破坏者独占，秩序供给因而系统性不足，这正是"内卷式"竞争区别于正常价格竞争的关键特征（张杰、任元明，2025）。地方保护进一步加剧了困境：汽车市场长期存在的地方保护会造成显著的配置扭曲与福利损失（Barwick等，2021），本地品牌偏袒使落后产能获得庇护、退出机制失灵，价格战因此更难通过优胜劣汰自然收敛。</w:t>
      </w:r>
    </w:p>
    <w:p>
      <w:pPr>
        <w:spacing w:before="0" w:after="0" w:line="360" w:lineRule="auto"/>
        <w:ind w:firstLineChars="200" w:firstLine="480"/>
      </w:pPr>
      <w:r>
        <w:rPr>
          <w:rFonts w:ascii="Times New Roman" w:hAnsi="Times New Roman" w:eastAsia="宋体"/>
          <w:b w:val="0"/>
          <w:sz w:val="24"/>
        </w:rPr>
        <w:t>账期转嫁则揭示了"内卷"成本的分配去向。恶性价格竞争造成的亏损并未全部由整车厂自担，而是经由应付账款体系向上游转化为对中小供应商的强制性无息融资——奇瑞266.3天的应付账款周转天数意味着供应商要为整车厂垫资近九个月。这正是本书第三章所述"内卷式竞争陷阱"中负外部性沿产业链纵向传导的典型形态：竞争烈度最强环节的价格压力，最终由议价能力最弱的环节承受，并侵蚀整个供应链的研发投入与质量能力。理解了这一机制，2025年治理组合的内在逻辑便清晰起来：监管当局并未直接管制整车价格，而是以60天账期规制切断成本转嫁通道、以质量专项抽查守住安全底线、以约谈与倡议矫正预期，同时以稳增长方案扩大需求空间——其要义是以规则重建竞争秩序，引导竞争维度从价格消耗转向质量、技术与服务的价值创造，这与本书第四章关于"竞争维度转换是走出内卷均衡的根本出路"的理论判断一致。</w:t>
      </w:r>
    </w:p>
    <w:p>
      <w:pPr>
        <w:spacing w:before="200" w:after="160" w:line="360" w:lineRule="auto"/>
        <w:outlineLvl w:val="1"/>
      </w:pPr>
      <w:r>
        <w:rPr>
          <w:rFonts w:ascii="Times New Roman" w:hAnsi="Times New Roman" w:eastAsia="黑体"/>
          <w:b w:val="0"/>
          <w:sz w:val="28"/>
        </w:rPr>
        <w:t>（三）平台经济：即时零售"补贴大战"与共赢生态</w:t>
      </w:r>
    </w:p>
    <w:p>
      <w:pPr>
        <w:spacing w:before="160" w:after="120" w:line="360" w:lineRule="auto"/>
        <w:outlineLvl w:val="2"/>
      </w:pPr>
      <w:r>
        <w:rPr>
          <w:rFonts w:ascii="Times New Roman" w:hAnsi="Times New Roman" w:eastAsia="黑体"/>
          <w:b w:val="0"/>
          <w:sz w:val="24"/>
        </w:rPr>
        <w:t>1．"外卖大战"的全过程</w:t>
      </w:r>
    </w:p>
    <w:p>
      <w:pPr>
        <w:spacing w:before="0" w:after="0" w:line="360" w:lineRule="auto"/>
        <w:ind w:firstLineChars="200" w:firstLine="480"/>
      </w:pPr>
      <w:r>
        <w:rPr>
          <w:rFonts w:ascii="Times New Roman" w:hAnsi="Times New Roman" w:eastAsia="宋体"/>
          <w:b w:val="0"/>
          <w:sz w:val="24"/>
        </w:rPr>
        <w:t>2025年的即时零售"补贴大战"是平台经济领域"内卷式"竞争的标志性事件。战端由京东挑起：2月11日京东启动"品质堂食"商家招募（5月1日前入驻全年免佣金）；2月19日宣布3月1日起为全职骑手缴纳五险一金、为兼职骑手提供意外险和健康医疗险，2月24日进一步宣布五险一金全部成本（含个人部分）由京东承担；4月上线外卖"百亿补贴"。618期间京东外卖日订单量突破2500万单，截至二季度末全职骑手突破15万人、入驻品质商家超150万家。阿里随即全面应战：4月30日"小时达"升级为"淘宝闪购"，5月2日全国上线，日订单迅速突破600万单；7月2日宣布未来12个月直补消费者与商家共500亿元。美团则以规模优势迎战，补贴战自此进入白热化。</w:t>
      </w:r>
    </w:p>
    <w:p>
      <w:pPr>
        <w:spacing w:before="0" w:after="0" w:line="360" w:lineRule="auto"/>
        <w:ind w:firstLineChars="200" w:firstLine="480"/>
      </w:pPr>
      <w:r>
        <w:rPr>
          <w:rFonts w:ascii="Times New Roman" w:hAnsi="Times New Roman" w:eastAsia="宋体"/>
          <w:b w:val="0"/>
          <w:sz w:val="24"/>
        </w:rPr>
        <w:t>战况在7月中旬达到峰值。7月5日，淘宝闪购日订单超8000万单、日活跃用户超2亿，美团同日宣布即时零售日订单达1.2亿单；7月12日，美团即时零售日订单冲至1.5亿单的历史新高（其中"神抢手"超5000万单、"拼好饭"超3500万单），"满18.8减18.8"大额券使"免费奶茶"冲上热搜第一，多地茶饮门店爆单；7月14日淘宝闪购与饿了么联合宣布日订单再破8000万单。据新华网等媒体的估算口径，即时零售市场日订单总量由年初的约1亿单升至7月的约2.5亿单、8月接近3亿单。补贴强度同样惊人：据证券时报援引业内估算，高峰期单个"疯狂星期六"，美团单日补贴约4亿元、淘宝闪购超12亿元；据高盛研报估算，仅2025年6月当季，阿里、京东、美团三平台外卖合计投入约250亿元，并预测未来12个月三家合计投入接近千亿元；电商分析师李成东则估算仅三季度三平台补贴投入约1000亿元。补贴大战的节奏与监管介入的时点（见图10.2），构成本案例的核心时间线。</w:t>
      </w:r>
    </w:p>
    <w:p>
      <w:pPr>
        <w:spacing w:before="120"/>
        <w:jc w:val="center"/>
      </w:pPr>
      <w:r>
        <w:drawing>
          <wp:inline xmlns:a="http://schemas.openxmlformats.org/drawingml/2006/main" xmlns:pic="http://schemas.openxmlformats.org/drawingml/2006/picture">
            <wp:extent cx="5112000" cy="2834531"/>
            <wp:docPr id="27" name="Picture 27"/>
            <wp:cNvGraphicFramePr>
              <a:graphicFrameLocks noChangeAspect="1"/>
            </wp:cNvGraphicFramePr>
            <a:graphic>
              <a:graphicData uri="http://schemas.openxmlformats.org/drawingml/2006/picture">
                <pic:pic>
                  <pic:nvPicPr>
                    <pic:cNvPr id="0" name="fig_10_2.png"/>
                    <pic:cNvPicPr/>
                  </pic:nvPicPr>
                  <pic:blipFill>
                    <a:blip r:embed="rId35"/>
                    <a:stretch>
                      <a:fillRect/>
                    </a:stretch>
                  </pic:blipFill>
                  <pic:spPr>
                    <a:xfrm>
                      <a:off x="0" y="0"/>
                      <a:ext cx="5112000" cy="2834531"/>
                    </a:xfrm>
                    <a:prstGeom prst="rect"/>
                  </pic:spPr>
                </pic:pic>
              </a:graphicData>
            </a:graphic>
          </wp:inline>
        </w:drawing>
      </w:r>
    </w:p>
    <w:p>
      <w:pPr>
        <w:spacing w:before="120" w:after="120" w:line="312" w:lineRule="auto"/>
        <w:jc w:val="center"/>
      </w:pPr>
      <w:r>
        <w:rPr>
          <w:rFonts w:ascii="Times New Roman" w:hAnsi="Times New Roman" w:eastAsia="黑体"/>
          <w:b w:val="0"/>
          <w:sz w:val="21"/>
        </w:rPr>
        <w:t>图10.2　外卖即时零售日订单量与补贴强度（2025）</w:t>
      </w:r>
    </w:p>
    <w:p>
      <w:pPr>
        <w:spacing w:before="0" w:after="0" w:line="360" w:lineRule="auto"/>
        <w:ind w:firstLineChars="200" w:firstLine="480"/>
      </w:pPr>
      <w:r>
        <w:rPr>
          <w:rFonts w:ascii="Times New Roman" w:hAnsi="Times New Roman" w:eastAsia="宋体"/>
          <w:b w:val="0"/>
          <w:sz w:val="24"/>
        </w:rPr>
        <w:t>图10.2以公司公告口径标出2025年补贴大战的关键节点：淘宝闪购5月2日上线初期日订单约0.06亿单，京东618期间达0.25亿单，7月5日淘宝闪购0.80亿单、美团1.20亿单，7月12日美团以1.50亿单登顶，7月14日淘宝闪购再报0.80亿单；两条竖虚线分别标注5月13日五部门约谈与7月18日二次约谈。图形呈现出清晰的"约谈间隙陡升—峰值—二次约谈后降温"形态：首次约谈之后订单量不降反升，说明在千亿元级补贴对赌面前，柔性约谈的约束力有限；7月18日明确规范促销行为、叫停"0元购"式促销后，脉冲式补贴才实质性退潮。订单量的倍增曲线与后文的利润塌陷数据对照，直观揭示了这场"繁荣"的负和本质——峰值订单中相当部分是补贴催生的低价值、前置性消费，而非可持续的需求创造。</w:t>
      </w:r>
    </w:p>
    <w:p>
      <w:pPr>
        <w:spacing w:before="160" w:after="120" w:line="360" w:lineRule="auto"/>
        <w:outlineLvl w:val="2"/>
      </w:pPr>
      <w:r>
        <w:rPr>
          <w:rFonts w:ascii="Times New Roman" w:hAnsi="Times New Roman" w:eastAsia="黑体"/>
          <w:b w:val="0"/>
          <w:sz w:val="24"/>
        </w:rPr>
        <w:t>2．监管约谈与规则重塑</w:t>
      </w:r>
    </w:p>
    <w:p>
      <w:pPr>
        <w:spacing w:before="0" w:after="0" w:line="360" w:lineRule="auto"/>
        <w:ind w:firstLineChars="200" w:firstLine="480"/>
      </w:pPr>
      <w:r>
        <w:rPr>
          <w:rFonts w:ascii="Times New Roman" w:hAnsi="Times New Roman" w:eastAsia="宋体"/>
          <w:b w:val="0"/>
          <w:sz w:val="24"/>
        </w:rPr>
        <w:t>监管介入经历了从约谈到立法的升级。2025年5月13日，市场监管总局会同中央社会工作部、中央网信办、人力资源社会保障部、商务部五部门约谈京东、美团、饿了么，要求公平有序竞争、维护骑手等各方权益；7月18日，市场监管总局二次约谈三平台，要求严格遵守《电子商务法》《反不正当竞争法》《食品安全法》、规范促销行为，被市场解读为实质叫停"0元购"式促销。更具深远意义的是规则层面的重塑：2025年6月27日修订通过、10月15日施行的新《反不正当竞争法》新增平台条款（第十四条），禁止平台经营者强制或者变相强制平台内经营者按照低于成本的价格销售商品，违者处5万—50万元罚款、情节严重的处50万—200万元罚款，被普遍视为平台领域的"反内卷"条款，为以竞争法治理平台低价无序竞争提供了直接依据（李剑、胡寅，2026）。平台强制低价行为的违法性认定，也与掠夺性定价的反垄断分析框架相衔接（张晨颖，2023）。</w:t>
      </w:r>
    </w:p>
    <w:p>
      <w:pPr>
        <w:spacing w:before="0" w:after="0" w:line="360" w:lineRule="auto"/>
        <w:ind w:firstLineChars="200" w:firstLine="480"/>
      </w:pPr>
      <w:r>
        <w:rPr>
          <w:rFonts w:ascii="Times New Roman" w:hAnsi="Times New Roman" w:eastAsia="宋体"/>
          <w:b w:val="0"/>
          <w:sz w:val="24"/>
        </w:rPr>
        <w:t>规则重塑还延伸至平台规则本身。2025年12月18日，《网络交易平台规则监督管理办法》以市场监管总局、国家网信办令第116号公布（2026年2月1日施行），将"仅退款""全网最低价"等平台规则纳入监管视野；此前的4月22日起，拼多多、淘宝、抖音、快手、京东等主要电商平台已在监管约谈推动下集体修订售后规则、全面取消"仅退款"。2026年1月21日市场监管总局公布的2025年综合整治"内卷式"竞争十大典型案例中，两次约谈外卖平台整治"补贴大战"与约谈货拉拉（算法压价、强制独家车贴）均位列其中。至此，平台"内卷"治理形成了"个案约谈—行为规范—立法固化"的完整链条，平台竞争的规则边界被显著清晰化。</w:t>
      </w:r>
    </w:p>
    <w:p>
      <w:pPr>
        <w:spacing w:before="160" w:after="120" w:line="360" w:lineRule="auto"/>
        <w:outlineLvl w:val="2"/>
      </w:pPr>
      <w:r>
        <w:rPr>
          <w:rFonts w:ascii="Times New Roman" w:hAnsi="Times New Roman" w:eastAsia="黑体"/>
          <w:b w:val="0"/>
          <w:sz w:val="24"/>
        </w:rPr>
        <w:t>3．"多输"结构分析与"共赢发展"的政策逻辑</w:t>
      </w:r>
    </w:p>
    <w:p>
      <w:pPr>
        <w:spacing w:before="0" w:after="0" w:line="360" w:lineRule="auto"/>
        <w:ind w:firstLineChars="200" w:firstLine="480"/>
      </w:pPr>
      <w:r>
        <w:rPr>
          <w:rFonts w:ascii="Times New Roman" w:hAnsi="Times New Roman" w:eastAsia="宋体"/>
          <w:b w:val="0"/>
          <w:sz w:val="24"/>
        </w:rPr>
        <w:t>补贴大战的经济后果在2025年三季度财报中集中显形，呈现罕见的"多输"结构。美团2025年第二季度营收918.4亿元（增长11.7%），经营利润却仅2.26亿元（下降98%），核心本地商业经营利润率由25.1%骤降至5.7%，销售开支增长51.8%至225亿元；第三季度核心本地商业经营亏损141亿元（上年同期盈利145亿元），经调整净亏损160亿元，为三年来首度季度报亏，创始人王兴直言"外卖价格战没有为行业创造价值，不可持续"。京东含外卖的新业务第二季度经营亏损147.8亿元、第三季度亏损157亿元，前三季度累计亏损318亿元。阿里巴巴2025年7—9月季度经营利润53.65亿元（下降85%），经调整EBITA 90.73亿元（下降78%），其CFO称该季度为淘宝闪购投入峰值、下季度投入将显著收缩。三大平台无一幸免，合计利润损耗以数百亿元计。</w:t>
      </w:r>
    </w:p>
    <w:p>
      <w:pPr>
        <w:spacing w:before="0" w:after="0" w:line="360" w:lineRule="auto"/>
        <w:ind w:firstLineChars="200" w:firstLine="480"/>
      </w:pPr>
      <w:r>
        <w:rPr>
          <w:rFonts w:ascii="Times New Roman" w:hAnsi="Times New Roman" w:eastAsia="宋体"/>
          <w:b w:val="0"/>
          <w:sz w:val="24"/>
        </w:rPr>
        <w:t>"多输"不仅限于平台自身。从行业基本面看，即时零售本处于健康的成长轨道——据商务部国际贸易经济合作研究院数据，市场规模2023年6500亿元（增长28.89%）、2024年7810亿元（增长20.15%），2026年将突破1万亿元、2030年预计达2万亿元——补贴大战制造的主要是订单在平台间的转移与低价值订单的虚增，而非真实的需求增量。商家被动卷入低价、以质换量；全国超1000万名外卖骑手（据科技日报2025年1月报道）在爆单峰值下超负荷运转——美团年内有接单收入的骑手达745万人（年均增长近20%），饿了么活跃骑手超400万人，截至2025年7月底淘宝闪购骑手月活较开战前增长181%（众包骑手增长236%），运力的急剧扩张对应着高温高峰时段的配送压力与安全风险；消费者的短期让利则以生态透支与后续服务质量风险为代价。平台经济的"内卷式"竞争由此呈现出鲜明的负和博弈性质：资本的跨界对抗以全产业链的福利损耗为燃料（王丹、龚晓莺，2026）。诚然，双边市场中的交叉补贴有其正常的定价逻辑（黄益平等，2022），但当补贴以对赌式消耗、强制商家承担低价为手段时，便越过了正常促销与无序竞争的边界。</w:t>
      </w:r>
    </w:p>
    <w:p>
      <w:pPr>
        <w:spacing w:before="0" w:after="0" w:line="360" w:lineRule="auto"/>
        <w:ind w:firstLineChars="200" w:firstLine="480"/>
      </w:pPr>
      <w:r>
        <w:rPr>
          <w:rFonts w:ascii="Times New Roman" w:hAnsi="Times New Roman" w:eastAsia="宋体"/>
          <w:b w:val="0"/>
          <w:sz w:val="24"/>
        </w:rPr>
        <w:t>正是针对这一"多输"结构，中央的政策逻辑锚定于"推动平台企业和平台内经营者、劳动者共赢发展"（2025年中央经济工作会议）。其要义有三：一是治理目标不是抑制平台竞争本身，而是把竞争从"补贴换份额"的存量互耗引向服务质量、履约效率与技术创新的增量创造；二是治理方式从个案化的事后约谈转向规则的事前化、透明化，以立法明确低价倾销、强制低价等行为红线，降低企业间的策略不确定性；三是把劳动者与中小商家的权益保障内嵌于竞争规则之中，矫正平台生态内部的利益分配失衡。市场的自我纠偏与规则引导相向而行——阿里宣布投入峰值已过、美团公开反思价格战价值，均显示在规则预期明确后，负和博弈的均衡正在松动。这与本书第三章将"竞争秩序"界定为市场公共品、将"预期与秩序效应"列为统一市场红利构成的理论设定高度一致。</w:t>
      </w:r>
    </w:p>
    <w:p>
      <w:pPr>
        <w:spacing w:before="200" w:after="160" w:line="360" w:lineRule="auto"/>
        <w:outlineLvl w:val="1"/>
      </w:pPr>
      <w:r>
        <w:rPr>
          <w:rFonts w:ascii="Times New Roman" w:hAnsi="Times New Roman" w:eastAsia="黑体"/>
          <w:b w:val="0"/>
          <w:sz w:val="28"/>
        </w:rPr>
        <w:t>（四）区域先行：长三角一体化的统一市场探索</w:t>
      </w:r>
    </w:p>
    <w:p>
      <w:pPr>
        <w:spacing w:before="0" w:after="0" w:line="360" w:lineRule="auto"/>
        <w:ind w:firstLineChars="200" w:firstLine="480"/>
      </w:pPr>
      <w:r>
        <w:rPr>
          <w:rFonts w:ascii="Times New Roman" w:hAnsi="Times New Roman" w:eastAsia="宋体"/>
          <w:b w:val="0"/>
          <w:sz w:val="24"/>
        </w:rPr>
        <w:t>如果说三大行业案例展示的是"内卷"的病理与治理，长三角则提供了"统一"的正面样本。沪苏浙皖三省一市以占全国不到4%的国土面积，2024年创造GDP合计33.17万亿元、约占全国24.7%（据上海市统计局长三角区域发展指数）。自长三角一体化发展上升为国家战略以来，区域制度创新持续深化：政务服务"一网通办"截至2024年底累计上线政务服务事项及场景应用179项、实现40类电子证照共享互认，至2025年累计203个事项"一网通办"、78个居民服务事项"一卡通用"，每年可减少群众跑腿约2.3亿人次；异地就医门诊费用直接结算覆盖41个城市约2.45万家医疗机构，自2018年试点以来累计结算超3300万人次、减少个人垫付近56亿元（截至2024年初，据上海市政府数据）。这些制度安排看似民生事项，实质是劳动力、数据、信用等要素跨行政区流动的基础设施，直接压低了行政边界的制度性交易成本。</w:t>
      </w:r>
    </w:p>
    <w:p>
      <w:pPr>
        <w:spacing w:before="0" w:after="0" w:line="360" w:lineRule="auto"/>
        <w:ind w:firstLineChars="200" w:firstLine="480"/>
      </w:pPr>
      <w:r>
        <w:rPr>
          <w:rFonts w:ascii="Times New Roman" w:hAnsi="Times New Roman" w:eastAsia="宋体"/>
          <w:b w:val="0"/>
          <w:sz w:val="24"/>
        </w:rPr>
        <w:t>制度创新的成效可以用本书的测度结果加以量化（见图10.3）。本书第七章的测度已经显示，长三角是全国市场分割程度最低的区域，此处进一步给出其与全国均值的时序对比。</w:t>
      </w:r>
    </w:p>
    <w:p>
      <w:pPr>
        <w:spacing w:before="120"/>
        <w:jc w:val="center"/>
      </w:pPr>
      <w:r>
        <w:drawing>
          <wp:inline xmlns:a="http://schemas.openxmlformats.org/drawingml/2006/main" xmlns:pic="http://schemas.openxmlformats.org/drawingml/2006/picture">
            <wp:extent cx="5112000" cy="2784171"/>
            <wp:docPr id="28" name="Picture 28"/>
            <wp:cNvGraphicFramePr>
              <a:graphicFrameLocks noChangeAspect="1"/>
            </wp:cNvGraphicFramePr>
            <a:graphic>
              <a:graphicData uri="http://schemas.openxmlformats.org/drawingml/2006/picture">
                <pic:pic>
                  <pic:nvPicPr>
                    <pic:cNvPr id="0" name="fig_10_3.png"/>
                    <pic:cNvPicPr/>
                  </pic:nvPicPr>
                  <pic:blipFill>
                    <a:blip r:embed="rId36"/>
                    <a:stretch>
                      <a:fillRect/>
                    </a:stretch>
                  </pic:blipFill>
                  <pic:spPr>
                    <a:xfrm>
                      <a:off x="0" y="0"/>
                      <a:ext cx="5112000" cy="2784171"/>
                    </a:xfrm>
                    <a:prstGeom prst="rect"/>
                  </pic:spPr>
                </pic:pic>
              </a:graphicData>
            </a:graphic>
          </wp:inline>
        </w:drawing>
      </w:r>
    </w:p>
    <w:p>
      <w:pPr>
        <w:spacing w:before="120" w:after="120" w:line="312" w:lineRule="auto"/>
        <w:jc w:val="center"/>
      </w:pPr>
      <w:r>
        <w:rPr>
          <w:rFonts w:ascii="Times New Roman" w:hAnsi="Times New Roman" w:eastAsia="黑体"/>
          <w:b w:val="0"/>
          <w:sz w:val="21"/>
        </w:rPr>
        <w:t>图10.3　长三角与全国市场分割指数对比</w:t>
      </w:r>
    </w:p>
    <w:p>
      <w:pPr>
        <w:spacing w:before="0" w:after="0" w:line="360" w:lineRule="auto"/>
        <w:ind w:firstLineChars="200" w:firstLine="480"/>
      </w:pPr>
      <w:r>
        <w:rPr>
          <w:rFonts w:ascii="Times New Roman" w:hAnsi="Times New Roman" w:eastAsia="宋体"/>
          <w:b w:val="0"/>
          <w:sz w:val="24"/>
        </w:rPr>
        <w:t>图10.3显示，长三角（沪苏浙皖）市场分割指数由2012年的2.14持续降至2024年的1.34，降幅约37.4%，明显快于全国同期从2.65到1.97、25.7%的降幅；2024年长三角指数较全国均值低约32%，且2019年长三角一体化上升为国家战略后，两条曲线的差距进一步拉大——2020年、2022年全国指数因疫情防控物流受阻与地方产业竞赛出现两次反弹，长三角虽同样反弹但幅度更小、修复更快，显示一体化制度安排增强了区域市场对冲击的韧性。分省观察，2024年上海、浙江、江苏的市场分割指数分别为1.28、1.35、1.39，居全国最低之列（本书第七章表7.1）。更重要的是分割与"内卷"的联动证据：2024年上海、浙江的"内卷式竞争"强度指数分别为0.336和0.328，显著低于全国均值0.470，区域内"分割更低、内卷更轻"并存的典型化事实，与本书第八章"分割催卷"的回归结论互为印证。行政边界对要素流动与知识传播的阻滞效应在文献中已有充分证据（唐为，2019），长三角经验则从反面表明：边界效应是制度变量而非地理宿命，可以通过制度创新加以压缩。</w:t>
      </w:r>
    </w:p>
    <w:p>
      <w:pPr>
        <w:spacing w:before="0" w:after="0" w:line="360" w:lineRule="auto"/>
        <w:ind w:firstLineChars="200" w:firstLine="480"/>
      </w:pPr>
      <w:r>
        <w:rPr>
          <w:rFonts w:ascii="Times New Roman" w:hAnsi="Times New Roman" w:eastAsia="宋体"/>
          <w:b w:val="0"/>
          <w:sz w:val="24"/>
        </w:rPr>
        <w:t>长三角经验对全国的意义在于提供了"先行示范—梯度复制"的路径。其制度创新可以概括为规则互认（标准、资质、证照互认）、监管协同（执法标准与裁量基准统一）、设施联通（政务与数据平台互通）三位一体，本质是在不改变行政区划的前提下重构规则的统一性——这正是全国统一大市场建设"五统一"逻辑的区域预演。本书第九章的"统一红利"前瞻测算，正是以"'十五五'期间全国市场分割指数降至1.38、接近当前长三角水平"作为情景设定的，长三角的今天为全国的明天提供了可观察的参照系。当然也须承认，长三角是我国要素禀赋最接近、发展水平最均衡的区域，其经验向发展落差更大的区域推广时，需要辅之以财税利益分享与转移支付等补偿机制，这一问题将在本书第十一章系统讨论。</w:t>
      </w:r>
    </w:p>
    <w:p>
      <w:pPr>
        <w:spacing w:before="200" w:after="160" w:line="360" w:lineRule="auto"/>
        <w:outlineLvl w:val="1"/>
      </w:pPr>
      <w:r>
        <w:rPr>
          <w:rFonts w:ascii="Times New Roman" w:hAnsi="Times New Roman" w:eastAsia="黑体"/>
          <w:b w:val="0"/>
          <w:sz w:val="28"/>
        </w:rPr>
        <w:t>（五）国际镜鉴</w:t>
      </w:r>
    </w:p>
    <w:p>
      <w:pPr>
        <w:spacing w:before="0" w:after="0" w:line="360" w:lineRule="auto"/>
        <w:ind w:firstLineChars="200" w:firstLine="480"/>
      </w:pPr>
      <w:r>
        <w:rPr>
          <w:rFonts w:ascii="Times New Roman" w:hAnsi="Times New Roman" w:eastAsia="宋体"/>
          <w:b w:val="0"/>
          <w:sz w:val="24"/>
        </w:rPr>
        <w:t>统一市场建设与过度竞争治理并非中国独有的课题。美国以宪法条款奠定全国市场的法律根基，欧盟以超国家立法推进单一市场却留下"未竟的整合"，日本则在结构性萧条期展开过"过当竞争"治理的正反实验。三者的制度背景与我国差异甚大，但恰因如此，其经验与教训对识别统一大市场建设的一般规律具有镜鉴价值。</w:t>
      </w:r>
    </w:p>
    <w:p>
      <w:pPr>
        <w:spacing w:before="160" w:after="120" w:line="360" w:lineRule="auto"/>
        <w:outlineLvl w:val="2"/>
      </w:pPr>
      <w:r>
        <w:rPr>
          <w:rFonts w:ascii="Times New Roman" w:hAnsi="Times New Roman" w:eastAsia="黑体"/>
          <w:b w:val="0"/>
          <w:sz w:val="24"/>
        </w:rPr>
        <w:t>1．美国：州际商业条款与全国市场的形成</w:t>
      </w:r>
    </w:p>
    <w:p>
      <w:pPr>
        <w:spacing w:before="0" w:after="0" w:line="360" w:lineRule="auto"/>
        <w:ind w:firstLineChars="200" w:firstLine="480"/>
      </w:pPr>
      <w:r>
        <w:rPr>
          <w:rFonts w:ascii="Times New Roman" w:hAnsi="Times New Roman" w:eastAsia="宋体"/>
          <w:b w:val="0"/>
          <w:sz w:val="24"/>
        </w:rPr>
        <w:t>美国是宪法先行塑造统一市场的典型。美国宪法第一条第八款第三项"商业条款"（Commerce Clause）授权国会规制州际商业，联邦司法据此逐步发展出限制各州设置贸易壁垒的判例法则——即便国会未立法，各州歧视或过度负担州际商业的措施亦可被法院宣告违宪（所谓"休眠商业条款"原则）。这一安排的深意在于：市场统一不是可以讨价还价的政策倡导，而是可诉、可执行的宪法义务；任何企业遭遇州际壁垒时都可以诉诸联邦司法，统一市场因此获得了分散化、低成本的执行机制。两百余年间，商业条款成为美国形成全球最大统一国内市场的法律基石。</w:t>
      </w:r>
    </w:p>
    <w:p>
      <w:pPr>
        <w:spacing w:before="0" w:after="0" w:line="360" w:lineRule="auto"/>
        <w:ind w:firstLineChars="200" w:firstLine="480"/>
      </w:pPr>
      <w:r>
        <w:rPr>
          <w:rFonts w:ascii="Times New Roman" w:hAnsi="Times New Roman" w:eastAsia="宋体"/>
          <w:b w:val="0"/>
          <w:sz w:val="24"/>
        </w:rPr>
        <w:t>统一市场的规模效应至今清晰可见。据美国普查局2022年商品流量调查（CFS，五年一次），美国制造、批发等部门货物运输总量约122亿吨、货值达18.0万亿美元，约相当于当年美国GDP的七成（该口径含州内运输，州际部分未单独列出）。商品、要素在州际近乎无摩擦流动，使企业能够在大陆尺度上组织生产与创新，规模经济与竞争选择效应得以充分释放。以此为参照，中国的差距即空间：Tombe和Zhu的量化分析表明，2000年中国国内贸易成本与迁移成本远高于加拿大、美国等发达经济体，而2000—2005年内贸与迁移成本的下降解释了同期约36%的总劳动生产率增长，其贡献甚至大于对外贸易成本的下降（Tombe和Zhu，2019）。美国经验的启示集中于一点：制度统一必须配备权威的执行机制，司法审查是遏制地方保护最可靠的"牙齿"，这对我国公平竞争审查刚性化与妨碍统一大市场行为的问责机制建设具有直接参照意义。</w:t>
      </w:r>
    </w:p>
    <w:p>
      <w:pPr>
        <w:spacing w:before="160" w:after="120" w:line="360" w:lineRule="auto"/>
        <w:outlineLvl w:val="2"/>
      </w:pPr>
      <w:r>
        <w:rPr>
          <w:rFonts w:ascii="Times New Roman" w:hAnsi="Times New Roman" w:eastAsia="黑体"/>
          <w:b w:val="0"/>
          <w:sz w:val="24"/>
        </w:rPr>
        <w:t>2．欧盟：单一市场建设与"未竟的整合"</w:t>
      </w:r>
    </w:p>
    <w:p>
      <w:pPr>
        <w:spacing w:before="0" w:after="0" w:line="360" w:lineRule="auto"/>
        <w:ind w:firstLineChars="200" w:firstLine="480"/>
      </w:pPr>
      <w:r>
        <w:rPr>
          <w:rFonts w:ascii="Times New Roman" w:hAnsi="Times New Roman" w:eastAsia="宋体"/>
          <w:b w:val="0"/>
          <w:sz w:val="24"/>
        </w:rPr>
        <w:t>欧盟展示了以超国家制度推动市场整合的渐进路径。1985年欧共体委员会发布完成内部市场的白皮书，1993年1月1日单一市场正式启动，确立货物、服务、资本、人员"四大自由流动"，2006年服务指令进一步将整合推向服务业。整合成效显著：据欧盟统计局2023年数据，成员国货物出口中约61.8%流向其他成员国，盟内货物贸易额约为盟外贸易的1.6倍，深度一体化重塑了欧洲的产业分工。欧盟还创设了独特的国家援助控制制度，成员国对企业的补贴须经欧盟委员会审查批准，从源头上约束成员国间的补贴竞赛——这与我国治理地方招商引资恶性竞争的公平竞争审查制度在功能上异曲同工，且其"事前申报、独立审查、违规追回"的刚性程度更高。对照本书第八章识别的补贴竞争渠道，将地方补贴纳入统一、独立、可问责的审查框架，是从源头拆解"内卷"引擎的制度要件，《公平竞争审查条例》与招商引资"鼓励和禁止事项清单"正沿着这一方向演进。</w:t>
      </w:r>
    </w:p>
    <w:p>
      <w:pPr>
        <w:spacing w:before="0" w:after="0" w:line="360" w:lineRule="auto"/>
        <w:ind w:firstLineChars="200" w:firstLine="480"/>
      </w:pPr>
      <w:r>
        <w:rPr>
          <w:rFonts w:ascii="Times New Roman" w:hAnsi="Times New Roman" w:eastAsia="宋体"/>
          <w:b w:val="0"/>
          <w:sz w:val="24"/>
        </w:rPr>
        <w:t>然而欧盟同时是"整合未竟"的警示样本。Draghi报告（2024年9月）引用国际货币基金组织（IMF）的研究指出，欧盟内部残存壁垒的贸易限制效应相当于对商品征收45%、对服务征收110%的关税，服务与要素市场的碎片化使欧洲企业难以获得与美国对手相当的规模化回报，被视为欧洲竞争力落差的重要根源（Draghi，2024）。需要注记的是，该估计基于引力模型的"关税等值"方法，博科尼大学IEP等机构对其方法与量级提出质疑，本书引用时注明"据IMF估算、Draghi报告引用"，且视其为量级参考而非精确测度。但即便对具体数值打折扣，"商品整合易、服务与要素整合难"仍是欧盟内外的共识性诊断——这与本书第七章测度的中国要素市场分割指数约为商品市场1.7倍的格局形成跨制度呼应：无论是单一主权国家还是超国家联盟，要素市场的统一都是最难啃的硬骨头。欧盟的教训还在于"整合停滞即竞争力流失"：统一市场建设没有完成时，制度供给一旦松懈，碎片化会以新的形式再生。</w:t>
      </w:r>
    </w:p>
    <w:p>
      <w:pPr>
        <w:spacing w:before="160" w:after="120" w:line="360" w:lineRule="auto"/>
        <w:outlineLvl w:val="2"/>
      </w:pPr>
      <w:r>
        <w:rPr>
          <w:rFonts w:ascii="Times New Roman" w:hAnsi="Times New Roman" w:eastAsia="黑体"/>
          <w:b w:val="0"/>
          <w:sz w:val="24"/>
        </w:rPr>
        <w:t>3．日本："过当竞争"治理与产业调整的正反两面</w:t>
      </w:r>
    </w:p>
    <w:p>
      <w:pPr>
        <w:spacing w:before="0" w:after="0" w:line="360" w:lineRule="auto"/>
        <w:ind w:firstLineChars="200" w:firstLine="480"/>
      </w:pPr>
      <w:r>
        <w:rPr>
          <w:rFonts w:ascii="Times New Roman" w:hAnsi="Times New Roman" w:eastAsia="宋体"/>
          <w:b w:val="0"/>
          <w:sz w:val="24"/>
        </w:rPr>
        <w:t>日本是发达经济体中最系统地开展过度竞争治理与产能调整的国家，其经验的正反两面对我国尤具参照价值。石油危机后，日本多个重化工行业陷入结构性萧条，"过当竞争"（过度竞争）成为政策焦点。1978年出台的《特定不况产业安定临时措置法》（特安法）针对平电炉、铝冶炼、合成纤维、造船、化肥等约14个结构性萧条行业，由政府分担调整成本、协调处理过剩设备。执行层面，合成纤维四类产品按1978年10月的安定基本计划平均废弃17.4%的设备，至1982年3月完成（据日本经济产业研究所渡边纯子的研究）；1983年《特定产业构造改善临时措置法》（产构法）接续特安法，对合成纤维四品种限制新增产能三年（至1986年6月），并新指定粘胶短纤等行业，推动设备废弃与产业重组。</w:t>
      </w:r>
    </w:p>
    <w:p>
      <w:pPr>
        <w:spacing w:before="0" w:after="0" w:line="360" w:lineRule="auto"/>
        <w:ind w:firstLineChars="200" w:firstLine="480"/>
      </w:pPr>
      <w:r>
        <w:rPr>
          <w:rFonts w:ascii="Times New Roman" w:hAnsi="Times New Roman" w:eastAsia="宋体"/>
          <w:b w:val="0"/>
          <w:sz w:val="24"/>
        </w:rPr>
        <w:t>铝冶炼业是其中力度最大、结局也最发人深省的案例。1978年7月被指定为特定萧条产业后，日本铝冶炼产能从年产164万吨分阶段压缩——1981年确立"70万吨体制"，1984年进一步压至"35万吨体制"，最终降至约3.5万吨，产业近乎整体退出；期间政府投入约1374.63亿日元，从业人员由1978年的8286人减至1988年的483人（据庆应义塾大学三和元的研究等）。对这段历史，日本经济产业研究所（RIETI）的评估结论颇为冷峻：设备共同废弃在收缩供给方面确实见效，但对铝冶炼这类因能源成本而丧失比较优势的行业，政策"只能延缓而非逆转衰退"。</w:t>
      </w:r>
    </w:p>
    <w:p>
      <w:pPr>
        <w:spacing w:before="0" w:after="0" w:line="360" w:lineRule="auto"/>
        <w:ind w:firstLineChars="200" w:firstLine="480"/>
      </w:pPr>
      <w:r>
        <w:rPr>
          <w:rFonts w:ascii="Times New Roman" w:hAnsi="Times New Roman" w:eastAsia="宋体"/>
          <w:b w:val="0"/>
          <w:sz w:val="24"/>
        </w:rPr>
        <w:t>日本经验可提炼为三条教训。其一，行政协调下的产能削减本质上是政府背书的减产卡特尔，虽能在短期内稳定价格，却同时弱化价格信号与竞争选择，容易滑向保护落后；其二，对已丧失比较优势的行业，政策资源应投向要素转移——人员转岗安置、债务清理、区域转型——而非维持产能存续，铝冶炼从业人员的大规模平稳转移是其调整中真正成功的部分；其三，调整政策必须预设退出时限与递减机制，防止临时措置长期化。这些教训对我国当下的光伏产能收储、"新三样"产能调控具有直接警示意义：产能治理的目标是疏通退出、恢复竞争，而不是以协调限产固化现有格局；对中国式产能过剩治理历史经验的考察同样表明，行政化去产能若不与市场化、法治化机制衔接，效果难以持久（梁泳梅，2024）。</w:t>
      </w:r>
    </w:p>
    <w:p>
      <w:pPr>
        <w:spacing w:before="160" w:after="120" w:line="360" w:lineRule="auto"/>
        <w:outlineLvl w:val="2"/>
      </w:pPr>
      <w:r>
        <w:rPr>
          <w:rFonts w:ascii="Times New Roman" w:hAnsi="Times New Roman" w:eastAsia="黑体"/>
          <w:b w:val="0"/>
          <w:sz w:val="24"/>
        </w:rPr>
        <w:t>4．经验启示：统一靠制度、治卷靠规则、退出靠机制</w:t>
      </w:r>
    </w:p>
    <w:p>
      <w:pPr>
        <w:spacing w:before="0" w:after="0" w:line="360" w:lineRule="auto"/>
        <w:ind w:firstLineChars="200" w:firstLine="480"/>
      </w:pPr>
      <w:r>
        <w:rPr>
          <w:rFonts w:ascii="Times New Roman" w:hAnsi="Times New Roman" w:eastAsia="宋体"/>
          <w:b w:val="0"/>
          <w:sz w:val="24"/>
        </w:rPr>
        <w:t>比较三大经济体，可以凝练出与本书框架相互印证的三条一般性启示。第一，统一靠制度。市场统一从不自然发生，必须由高于地方（成员国）利益的制度权威加以保障：美国靠宪法条款与联邦司法，欧盟靠条约立法与欧洲法院，反面例证则是缺乏刚性执行的整合承诺必然被局部利益侵蚀。我国制定全国统一大市场建设条例，正是把统一大市场从政策倡导提升为法定义务的关键一跃；条例的成效将取决于配套的公平竞争审查刚性约束、妨碍统一大市场事项的通报问责以及司法救济渠道的畅通，使地方保护行为面临可预期、可执行的法律后果。</w:t>
      </w:r>
    </w:p>
    <w:p>
      <w:pPr>
        <w:spacing w:before="0" w:after="0" w:line="360" w:lineRule="auto"/>
        <w:ind w:firstLineChars="200" w:firstLine="480"/>
      </w:pPr>
      <w:r>
        <w:rPr>
          <w:rFonts w:ascii="Times New Roman" w:hAnsi="Times New Roman" w:eastAsia="宋体"/>
          <w:b w:val="0"/>
          <w:sz w:val="24"/>
        </w:rPr>
        <w:t>第二，治卷靠规则。国际经验中治理过度竞争的可持续方式，是以竞争规则约束竞争手段——反垄断、反不正当竞争、补贴控制——而不是由行政当局裁定"正确价格"或直接分配产量；日本的教训恰在于协调性干预越位而竞争规则缺位。这印证了我国治理工具箱"综合运用产能调控、标准引领、价格执法、质量监管和反垄断、反不正当竞争等手段"的内在层次：越靠近规则端的工具（标准、执法、竞争法）越应常态化、制度化，越靠近直接干预端的工具（产能调控、收储限产）越应设定严格的适用条件、退出时限与市场化操作方式，防止应急之策固化为长期体制。</w:t>
      </w:r>
    </w:p>
    <w:p>
      <w:pPr>
        <w:spacing w:before="0" w:after="0" w:line="360" w:lineRule="auto"/>
        <w:ind w:firstLineChars="200" w:firstLine="480"/>
      </w:pPr>
      <w:r>
        <w:rPr>
          <w:rFonts w:ascii="Times New Roman" w:hAnsi="Times New Roman" w:eastAsia="宋体"/>
          <w:b w:val="0"/>
          <w:sz w:val="24"/>
        </w:rPr>
        <w:t>第三，退出靠机制。产能出清的难点从来不是"谁来关"，而是"如何退得出"：破产与简易注销制度、职工安置与社会保障衔接、债务处理与资产处置、跨区域产能置换，缺一不可。日本对铝冶炼从业人员的转移安置表明，退出机制的核心是为要素找到新去处而非为产能续命。对照本书第三章识别的"退出机制失灵"扭曲，这一启示直接指向我国的制度短板——健全企业破产制度、建立覆盖所有经营主体的简易退出机制，既是《"十五五"规划纲要》的明确部署，也是斩断"内卷式竞争陷阱"自我强化链条的关键一环，本书第十一章将展开其具体设计。</w:t>
      </w:r>
    </w:p>
    <w:p>
      <w:pPr>
        <w:spacing w:before="200" w:after="160" w:line="360" w:lineRule="auto"/>
        <w:outlineLvl w:val="1"/>
      </w:pPr>
      <w:r>
        <w:rPr>
          <w:rFonts w:ascii="Times New Roman" w:hAnsi="Times New Roman" w:eastAsia="黑体"/>
          <w:b w:val="0"/>
          <w:sz w:val="28"/>
        </w:rPr>
        <w:t>（六）案例对理论框架的验证与丰富</w:t>
      </w:r>
    </w:p>
    <w:p>
      <w:pPr>
        <w:spacing w:before="0" w:after="0" w:line="360" w:lineRule="auto"/>
        <w:ind w:firstLineChars="200" w:firstLine="480"/>
      </w:pPr>
      <w:r>
        <w:rPr>
          <w:rFonts w:ascii="Times New Roman" w:hAnsi="Times New Roman" w:eastAsia="宋体"/>
          <w:b w:val="0"/>
          <w:sz w:val="24"/>
        </w:rPr>
        <w:t>三大行业案例、长三角样本与国际镜鉴，为"市场分割—内卷竞争—统一红利"框架提供了多维度的过程验证。就第一环"分割与扭曲催生过度进入"而言，光伏的地方招商竞赛与资本潮涌、汽车市场的地方保护、平台领域的资本跨界对抗，分别从制造业与数字经济两端证实了进入端扭曲的普遍性；尤其值得注意的是，平台案例表明即便在不存在地理分割的全国性市场中，竞争秩序规则的真空同样能够诱发"内卷"——这提示框架的适用域应从"地理型分割"扩展至"规则型缺失"，市场统一的完整含义既包括空间上的联通，也包括规则上的确定。</w:t>
      </w:r>
    </w:p>
    <w:p>
      <w:pPr>
        <w:spacing w:before="0" w:after="0" w:line="360" w:lineRule="auto"/>
        <w:ind w:firstLineChars="200" w:firstLine="480"/>
      </w:pPr>
      <w:r>
        <w:rPr>
          <w:rFonts w:ascii="Times New Roman" w:hAnsi="Times New Roman" w:eastAsia="宋体"/>
          <w:b w:val="0"/>
          <w:sz w:val="24"/>
        </w:rPr>
        <w:t>就第二环"内卷均衡"而言，本书第三章概括的五大特征事实在案例中逐一在案：同质化（光伏四环节产能全面过剩、降价车型扎堆、平台补贴形式雷同）、超低价（0.6元/W的低于成本投标、"满18.8减18.8"的"0元购"）、无利化（光伏全行业亏损、汽车利润率降至4.1%、三大平台数百亿元利润损耗）、创新挤出（价格战挤压研发与质量投入，其反面证据是治理后行业转向技术与品质竞争）、退出失灵（价格跌破现金成本仍维持开工、以账期转嫁维持存续）。特别地，案例清晰展示了选择效应的失灵机制：价格下行本应淘汰低效企业、实现资源向高生产率企业再配置（Melitz，2003），但在退出摩擦与地方庇护下，出清变成了全行业的无差别失血——这正是"内卷均衡"与正常市场出清的本质区别。就第三环而言，三个行业在治理介入后均出现秩序修复的时序证据：光伏硅料价格较低点回升约55%、龙头企业显著减亏，汽车促销回归理性区间，平台补贴实质性退潮、投入峰值已过；这些过程证据与本书第九章公平竞争审查DID的因果证据相互印证，共同支持"规则型治理能够把市场从内卷均衡中拉出"的核心命题。为便于系统比较，将三大行业的竞争特征与治理要点归纳如下（见表10.1）。</w:t>
      </w:r>
    </w:p>
    <w:p>
      <w:pPr>
        <w:spacing w:before="160" w:after="80" w:line="312" w:lineRule="auto"/>
        <w:jc w:val="center"/>
      </w:pPr>
      <w:r>
        <w:rPr>
          <w:rFonts w:ascii="Times New Roman" w:hAnsi="Times New Roman" w:eastAsia="黑体"/>
          <w:b w:val="0"/>
          <w:sz w:val="21"/>
        </w:rPr>
        <w:t>表10.1　三大行业"内卷式"竞争特征与治理对比</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比较维度</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光伏行业</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新能源汽车行业</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平台经济（即时零售）</w:t>
            </w:r>
          </w:p>
        </w:tc>
      </w:tr>
      <w:tr>
        <w:tc>
          <w:tcPr>
            <w:tcW w:type="dxa" w:w="2126"/>
          </w:tcPr>
          <w:p>
            <w:pPr>
              <w:spacing w:before="20" w:after="20" w:line="276" w:lineRule="auto"/>
              <w:jc w:val="left"/>
            </w:pPr>
            <w:r/>
            <w:r>
              <w:rPr>
                <w:rFonts w:ascii="Times New Roman" w:hAnsi="Times New Roman" w:eastAsia="宋体"/>
                <w:b w:val="0"/>
                <w:sz w:val="21"/>
              </w:rPr>
              <w:t>需求背景</w:t>
            </w:r>
          </w:p>
        </w:tc>
        <w:tc>
          <w:tcPr>
            <w:tcW w:type="dxa" w:w="2126"/>
          </w:tcPr>
          <w:p>
            <w:pPr>
              <w:spacing w:before="20" w:after="20" w:line="276" w:lineRule="auto"/>
              <w:jc w:val="left"/>
            </w:pPr>
            <w:r/>
            <w:r>
              <w:rPr>
                <w:rFonts w:ascii="Times New Roman" w:hAnsi="Times New Roman" w:eastAsia="宋体"/>
                <w:b w:val="0"/>
                <w:sz w:val="21"/>
              </w:rPr>
              <w:t>"双碳"目标下装机爆发，2024年新增装机277.57GW、累计并网超880GW</w:t>
            </w:r>
          </w:p>
        </w:tc>
        <w:tc>
          <w:tcPr>
            <w:tcW w:type="dxa" w:w="2126"/>
          </w:tcPr>
          <w:p>
            <w:pPr>
              <w:spacing w:before="20" w:after="20" w:line="276" w:lineRule="auto"/>
              <w:jc w:val="left"/>
            </w:pPr>
            <w:r/>
            <w:r>
              <w:rPr>
                <w:rFonts w:ascii="Times New Roman" w:hAnsi="Times New Roman" w:eastAsia="宋体"/>
                <w:b w:val="0"/>
                <w:sz w:val="21"/>
              </w:rPr>
              <w:t>电动化高增长，渗透率2020年约5.4%→2025年47.9%（中汽协口径），2025年销量1649万辆</w:t>
            </w:r>
          </w:p>
        </w:tc>
        <w:tc>
          <w:tcPr>
            <w:tcW w:type="dxa" w:w="2126"/>
          </w:tcPr>
          <w:p>
            <w:pPr>
              <w:spacing w:before="20" w:after="20" w:line="276" w:lineRule="auto"/>
              <w:jc w:val="left"/>
            </w:pPr>
            <w:r/>
            <w:r>
              <w:rPr>
                <w:rFonts w:ascii="Times New Roman" w:hAnsi="Times New Roman" w:eastAsia="宋体"/>
                <w:b w:val="0"/>
                <w:sz w:val="21"/>
              </w:rPr>
              <w:t>市场快速扩容，2024年规模7810亿元、增长20.15%（商务部研究院数据）</w:t>
            </w:r>
          </w:p>
        </w:tc>
      </w:tr>
      <w:tr>
        <w:tc>
          <w:tcPr>
            <w:tcW w:type="dxa" w:w="2126"/>
          </w:tcPr>
          <w:p>
            <w:pPr>
              <w:spacing w:before="20" w:after="20" w:line="276" w:lineRule="auto"/>
              <w:jc w:val="left"/>
            </w:pPr>
            <w:r/>
            <w:r>
              <w:rPr>
                <w:rFonts w:ascii="Times New Roman" w:hAnsi="Times New Roman" w:eastAsia="宋体"/>
                <w:b w:val="0"/>
                <w:sz w:val="21"/>
              </w:rPr>
              <w:t>"内卷"集中爆发期</w:t>
            </w:r>
          </w:p>
        </w:tc>
        <w:tc>
          <w:tcPr>
            <w:tcW w:type="dxa" w:w="2126"/>
          </w:tcPr>
          <w:p>
            <w:pPr>
              <w:spacing w:before="20" w:after="20" w:line="276" w:lineRule="auto"/>
              <w:jc w:val="left"/>
            </w:pPr>
            <w:r/>
            <w:r>
              <w:rPr>
                <w:rFonts w:ascii="Times New Roman" w:hAnsi="Times New Roman" w:eastAsia="宋体"/>
                <w:b w:val="0"/>
                <w:sz w:val="21"/>
              </w:rPr>
              <w:t>2023—2024年</w:t>
            </w:r>
          </w:p>
        </w:tc>
        <w:tc>
          <w:tcPr>
            <w:tcW w:type="dxa" w:w="2126"/>
          </w:tcPr>
          <w:p>
            <w:pPr>
              <w:spacing w:before="20" w:after="20" w:line="276" w:lineRule="auto"/>
              <w:jc w:val="left"/>
            </w:pPr>
            <w:r/>
            <w:r>
              <w:rPr>
                <w:rFonts w:ascii="Times New Roman" w:hAnsi="Times New Roman" w:eastAsia="宋体"/>
                <w:b w:val="0"/>
                <w:sz w:val="21"/>
              </w:rPr>
              <w:t>2023—2025年</w:t>
            </w:r>
          </w:p>
        </w:tc>
        <w:tc>
          <w:tcPr>
            <w:tcW w:type="dxa" w:w="2126"/>
          </w:tcPr>
          <w:p>
            <w:pPr>
              <w:spacing w:before="20" w:after="20" w:line="276" w:lineRule="auto"/>
              <w:jc w:val="left"/>
            </w:pPr>
            <w:r/>
            <w:r>
              <w:rPr>
                <w:rFonts w:ascii="Times New Roman" w:hAnsi="Times New Roman" w:eastAsia="宋体"/>
                <w:b w:val="0"/>
                <w:sz w:val="21"/>
              </w:rPr>
              <w:t>2025年2—7月</w:t>
            </w:r>
          </w:p>
        </w:tc>
      </w:tr>
      <w:tr>
        <w:tc>
          <w:tcPr>
            <w:tcW w:type="dxa" w:w="2126"/>
          </w:tcPr>
          <w:p>
            <w:pPr>
              <w:spacing w:before="20" w:after="20" w:line="276" w:lineRule="auto"/>
              <w:jc w:val="left"/>
            </w:pPr>
            <w:r/>
            <w:r>
              <w:rPr>
                <w:rFonts w:ascii="Times New Roman" w:hAnsi="Times New Roman" w:eastAsia="宋体"/>
                <w:b w:val="0"/>
                <w:sz w:val="21"/>
              </w:rPr>
              <w:t>价格竞争烈度</w:t>
            </w:r>
          </w:p>
        </w:tc>
        <w:tc>
          <w:tcPr>
            <w:tcW w:type="dxa" w:w="2126"/>
          </w:tcPr>
          <w:p>
            <w:pPr>
              <w:spacing w:before="20" w:after="20" w:line="276" w:lineRule="auto"/>
              <w:jc w:val="left"/>
            </w:pPr>
            <w:r/>
            <w:r>
              <w:rPr>
                <w:rFonts w:ascii="Times New Roman" w:hAnsi="Times New Roman" w:eastAsia="宋体"/>
                <w:b w:val="0"/>
                <w:sz w:val="21"/>
              </w:rPr>
              <w:t>多晶硅由约30.3万元/吨（2022年高点）跌至3.9万元/吨（2024年5月）；组件由约1.9元/W跌至0.68元/W成本线下方</w:t>
            </w:r>
          </w:p>
        </w:tc>
        <w:tc>
          <w:tcPr>
            <w:tcW w:type="dxa" w:w="2126"/>
          </w:tcPr>
          <w:p>
            <w:pPr>
              <w:spacing w:before="20" w:after="20" w:line="276" w:lineRule="auto"/>
              <w:jc w:val="left"/>
            </w:pPr>
            <w:r/>
            <w:r>
              <w:rPr>
                <w:rFonts w:ascii="Times New Roman" w:hAnsi="Times New Roman" w:eastAsia="宋体"/>
                <w:b w:val="0"/>
                <w:sz w:val="21"/>
              </w:rPr>
              <w:t>降价车型2022—2025年分别为95、148、227、177款；2024年平均降价1.6万元、降幅8.3%</w:t>
            </w:r>
          </w:p>
        </w:tc>
        <w:tc>
          <w:tcPr>
            <w:tcW w:type="dxa" w:w="2126"/>
          </w:tcPr>
          <w:p>
            <w:pPr>
              <w:spacing w:before="20" w:after="20" w:line="276" w:lineRule="auto"/>
              <w:jc w:val="left"/>
            </w:pPr>
            <w:r/>
            <w:r>
              <w:rPr>
                <w:rFonts w:ascii="Times New Roman" w:hAnsi="Times New Roman" w:eastAsia="宋体"/>
                <w:b w:val="0"/>
                <w:sz w:val="21"/>
              </w:rPr>
              <w:t>"满18.8减18.8""0元购"式促销；高峰单日补贴估算达4亿—12亿元/平台（业内估算口径）</w:t>
            </w:r>
          </w:p>
        </w:tc>
      </w:tr>
      <w:tr>
        <w:tc>
          <w:tcPr>
            <w:tcW w:type="dxa" w:w="2126"/>
          </w:tcPr>
          <w:p>
            <w:pPr>
              <w:spacing w:before="20" w:after="20" w:line="276" w:lineRule="auto"/>
              <w:jc w:val="left"/>
            </w:pPr>
            <w:r/>
            <w:r>
              <w:rPr>
                <w:rFonts w:ascii="Times New Roman" w:hAnsi="Times New Roman" w:eastAsia="宋体"/>
                <w:b w:val="0"/>
                <w:sz w:val="21"/>
              </w:rPr>
              <w:t>产能／投入冗余</w:t>
            </w:r>
          </w:p>
        </w:tc>
        <w:tc>
          <w:tcPr>
            <w:tcW w:type="dxa" w:w="2126"/>
          </w:tcPr>
          <w:p>
            <w:pPr>
              <w:spacing w:before="20" w:after="20" w:line="276" w:lineRule="auto"/>
              <w:jc w:val="left"/>
            </w:pPr>
            <w:r/>
            <w:r>
              <w:rPr>
                <w:rFonts w:ascii="Times New Roman" w:hAnsi="Times New Roman" w:eastAsia="宋体"/>
                <w:b w:val="0"/>
                <w:sz w:val="21"/>
              </w:rPr>
              <w:t>2024年底多晶硅有效产能约289.5万吨/年、冗余超100%；组件产能1218GW远超需求</w:t>
            </w:r>
          </w:p>
        </w:tc>
        <w:tc>
          <w:tcPr>
            <w:tcW w:type="dxa" w:w="2126"/>
          </w:tcPr>
          <w:p>
            <w:pPr>
              <w:spacing w:before="20" w:after="20" w:line="276" w:lineRule="auto"/>
              <w:jc w:val="left"/>
            </w:pPr>
            <w:r/>
            <w:r>
              <w:rPr>
                <w:rFonts w:ascii="Times New Roman" w:hAnsi="Times New Roman" w:eastAsia="宋体"/>
                <w:b w:val="0"/>
                <w:sz w:val="21"/>
              </w:rPr>
              <w:t>行业"量增利薄"，84.4%经销商价格倒挂、60.4%倒挂超15%</w:t>
            </w:r>
          </w:p>
        </w:tc>
        <w:tc>
          <w:tcPr>
            <w:tcW w:type="dxa" w:w="2126"/>
          </w:tcPr>
          <w:p>
            <w:pPr>
              <w:spacing w:before="20" w:after="20" w:line="276" w:lineRule="auto"/>
              <w:jc w:val="left"/>
            </w:pPr>
            <w:r/>
            <w:r>
              <w:rPr>
                <w:rFonts w:ascii="Times New Roman" w:hAnsi="Times New Roman" w:eastAsia="宋体"/>
                <w:b w:val="0"/>
                <w:sz w:val="21"/>
              </w:rPr>
              <w:t>2025年6月当季三平台补贴约250亿元（高盛估算）；三季度约1000亿元（李成东估算）</w:t>
            </w:r>
          </w:p>
        </w:tc>
      </w:tr>
      <w:tr>
        <w:tc>
          <w:tcPr>
            <w:tcW w:type="dxa" w:w="2126"/>
          </w:tcPr>
          <w:p>
            <w:pPr>
              <w:spacing w:before="20" w:after="20" w:line="276" w:lineRule="auto"/>
              <w:jc w:val="left"/>
            </w:pPr>
            <w:r/>
            <w:r>
              <w:rPr>
                <w:rFonts w:ascii="Times New Roman" w:hAnsi="Times New Roman" w:eastAsia="宋体"/>
                <w:b w:val="0"/>
                <w:sz w:val="21"/>
              </w:rPr>
              <w:t>盈利侵蚀</w:t>
            </w:r>
          </w:p>
        </w:tc>
        <w:tc>
          <w:tcPr>
            <w:tcW w:type="dxa" w:w="2126"/>
          </w:tcPr>
          <w:p>
            <w:pPr>
              <w:spacing w:before="20" w:after="20" w:line="276" w:lineRule="auto"/>
              <w:jc w:val="left"/>
            </w:pPr>
            <w:r/>
            <w:r>
              <w:rPr>
                <w:rFonts w:ascii="Times New Roman" w:hAnsi="Times New Roman" w:eastAsia="宋体"/>
                <w:b w:val="0"/>
                <w:sz w:val="21"/>
              </w:rPr>
              <w:t>2024年通威亏损70.39亿元、隆基亏损86.18亿元；17家主要企业合计亏损393.98亿元（OFweek统计口径）</w:t>
            </w:r>
          </w:p>
        </w:tc>
        <w:tc>
          <w:tcPr>
            <w:tcW w:type="dxa" w:w="2126"/>
          </w:tcPr>
          <w:p>
            <w:pPr>
              <w:spacing w:before="20" w:after="20" w:line="276" w:lineRule="auto"/>
              <w:jc w:val="left"/>
            </w:pPr>
            <w:r/>
            <w:r>
              <w:rPr>
                <w:rFonts w:ascii="Times New Roman" w:hAnsi="Times New Roman" w:eastAsia="宋体"/>
                <w:b w:val="0"/>
                <w:sz w:val="21"/>
              </w:rPr>
              <w:t>行业利润率由2017年7.8%降至2025年4.1%；经销商亏损面41.7%</w:t>
            </w:r>
          </w:p>
        </w:tc>
        <w:tc>
          <w:tcPr>
            <w:tcW w:type="dxa" w:w="2126"/>
          </w:tcPr>
          <w:p>
            <w:pPr>
              <w:spacing w:before="20" w:after="20" w:line="276" w:lineRule="auto"/>
              <w:jc w:val="left"/>
            </w:pPr>
            <w:r/>
            <w:r>
              <w:rPr>
                <w:rFonts w:ascii="Times New Roman" w:hAnsi="Times New Roman" w:eastAsia="宋体"/>
                <w:b w:val="0"/>
                <w:sz w:val="21"/>
              </w:rPr>
              <w:t>美团2025Q3经调整净亏损160亿元；京东新业务前三季度亏损318亿元；阿里经调整EBITA下降78%</w:t>
            </w:r>
          </w:p>
        </w:tc>
      </w:tr>
      <w:tr>
        <w:tc>
          <w:tcPr>
            <w:tcW w:type="dxa" w:w="2126"/>
          </w:tcPr>
          <w:p>
            <w:pPr>
              <w:spacing w:before="20" w:after="20" w:line="276" w:lineRule="auto"/>
              <w:jc w:val="left"/>
            </w:pPr>
            <w:r/>
            <w:r>
              <w:rPr>
                <w:rFonts w:ascii="Times New Roman" w:hAnsi="Times New Roman" w:eastAsia="宋体"/>
                <w:b w:val="0"/>
                <w:sz w:val="21"/>
              </w:rPr>
              <w:t>负外部性转嫁</w:t>
            </w:r>
          </w:p>
        </w:tc>
        <w:tc>
          <w:tcPr>
            <w:tcW w:type="dxa" w:w="2126"/>
          </w:tcPr>
          <w:p>
            <w:pPr>
              <w:spacing w:before="20" w:after="20" w:line="276" w:lineRule="auto"/>
              <w:jc w:val="left"/>
            </w:pPr>
            <w:r/>
            <w:r>
              <w:rPr>
                <w:rFonts w:ascii="Times New Roman" w:hAnsi="Times New Roman" w:eastAsia="宋体"/>
                <w:b w:val="0"/>
                <w:sz w:val="21"/>
              </w:rPr>
              <w:t>低于成本投标；出口"量增价减"（2024年出口额下降33%）</w:t>
            </w:r>
          </w:p>
        </w:tc>
        <w:tc>
          <w:tcPr>
            <w:tcW w:type="dxa" w:w="2126"/>
          </w:tcPr>
          <w:p>
            <w:pPr>
              <w:spacing w:before="20" w:after="20" w:line="276" w:lineRule="auto"/>
              <w:jc w:val="left"/>
            </w:pPr>
            <w:r/>
            <w:r>
              <w:rPr>
                <w:rFonts w:ascii="Times New Roman" w:hAnsi="Times New Roman" w:eastAsia="宋体"/>
                <w:b w:val="0"/>
                <w:sz w:val="21"/>
              </w:rPr>
              <w:t>账期向供应商转嫁（奇瑞应付账款周转天数增至266.3天）</w:t>
            </w:r>
          </w:p>
        </w:tc>
        <w:tc>
          <w:tcPr>
            <w:tcW w:type="dxa" w:w="2126"/>
          </w:tcPr>
          <w:p>
            <w:pPr>
              <w:spacing w:before="20" w:after="20" w:line="276" w:lineRule="auto"/>
              <w:jc w:val="left"/>
            </w:pPr>
            <w:r/>
            <w:r>
              <w:rPr>
                <w:rFonts w:ascii="Times New Roman" w:hAnsi="Times New Roman" w:eastAsia="宋体"/>
                <w:b w:val="0"/>
                <w:sz w:val="21"/>
              </w:rPr>
              <w:t>商家被迫低价、骑手高峰超负荷，生态透支</w:t>
            </w:r>
          </w:p>
        </w:tc>
      </w:tr>
      <w:tr>
        <w:tc>
          <w:tcPr>
            <w:tcW w:type="dxa" w:w="2126"/>
          </w:tcPr>
          <w:p>
            <w:pPr>
              <w:spacing w:before="20" w:after="20" w:line="276" w:lineRule="auto"/>
              <w:jc w:val="left"/>
            </w:pPr>
            <w:r/>
            <w:r>
              <w:rPr>
                <w:rFonts w:ascii="Times New Roman" w:hAnsi="Times New Roman" w:eastAsia="宋体"/>
                <w:b w:val="0"/>
                <w:sz w:val="21"/>
              </w:rPr>
              <w:t>主要治理手段</w:t>
            </w:r>
          </w:p>
        </w:tc>
        <w:tc>
          <w:tcPr>
            <w:tcW w:type="dxa" w:w="2126"/>
          </w:tcPr>
          <w:p>
            <w:pPr>
              <w:spacing w:before="20" w:after="20" w:line="276" w:lineRule="auto"/>
              <w:jc w:val="left"/>
            </w:pPr>
            <w:r/>
            <w:r>
              <w:rPr>
                <w:rFonts w:ascii="Times New Roman" w:hAnsi="Times New Roman" w:eastAsia="宋体"/>
                <w:b w:val="0"/>
                <w:sz w:val="21"/>
              </w:rPr>
              <w:t>行业自律（CPIA最低成本价0.68元/W）＋资本金比例20%→30%＋期货工具＋"光和谦成"拟700亿元产能收储</w:t>
            </w:r>
          </w:p>
        </w:tc>
        <w:tc>
          <w:tcPr>
            <w:tcW w:type="dxa" w:w="2126"/>
          </w:tcPr>
          <w:p>
            <w:pPr>
              <w:spacing w:before="20" w:after="20" w:line="276" w:lineRule="auto"/>
              <w:jc w:val="left"/>
            </w:pPr>
            <w:r/>
            <w:r>
              <w:rPr>
                <w:rFonts w:ascii="Times New Roman" w:hAnsi="Times New Roman" w:eastAsia="宋体"/>
                <w:b w:val="0"/>
                <w:sz w:val="21"/>
              </w:rPr>
              <w:t>约谈与倡议＋60天账期规制（《保障中小企业款项支付条例》）＋质量专项抽查＋八部门稳增长方案</w:t>
            </w:r>
          </w:p>
        </w:tc>
        <w:tc>
          <w:tcPr>
            <w:tcW w:type="dxa" w:w="2126"/>
          </w:tcPr>
          <w:p>
            <w:pPr>
              <w:spacing w:before="20" w:after="20" w:line="276" w:lineRule="auto"/>
              <w:jc w:val="left"/>
            </w:pPr>
            <w:r/>
            <w:r>
              <w:rPr>
                <w:rFonts w:ascii="Times New Roman" w:hAnsi="Times New Roman" w:eastAsia="宋体"/>
                <w:b w:val="0"/>
                <w:sz w:val="21"/>
              </w:rPr>
              <w:t>两次约谈＋新《反不正当竞争法》第十四条＋《网络交易平台规则监督管理办法》</w:t>
            </w:r>
          </w:p>
        </w:tc>
      </w:tr>
      <w:tr>
        <w:tc>
          <w:tcPr>
            <w:tcW w:type="dxa" w:w="2126"/>
          </w:tcPr>
          <w:p>
            <w:pPr>
              <w:spacing w:before="20" w:after="20" w:line="276" w:lineRule="auto"/>
              <w:jc w:val="left"/>
            </w:pPr>
            <w:r/>
            <w:r>
              <w:rPr>
                <w:rFonts w:ascii="Times New Roman" w:hAnsi="Times New Roman" w:eastAsia="宋体"/>
                <w:b w:val="0"/>
                <w:sz w:val="21"/>
              </w:rPr>
              <w:t>治理成效（至2025年末）</w:t>
            </w:r>
          </w:p>
        </w:tc>
        <w:tc>
          <w:tcPr>
            <w:tcW w:type="dxa" w:w="2126"/>
          </w:tcPr>
          <w:p>
            <w:pPr>
              <w:spacing w:before="20" w:after="20" w:line="276" w:lineRule="auto"/>
              <w:jc w:val="left"/>
            </w:pPr>
            <w:r/>
            <w:r>
              <w:rPr>
                <w:rFonts w:ascii="Times New Roman" w:hAnsi="Times New Roman" w:eastAsia="宋体"/>
                <w:b w:val="0"/>
                <w:sz w:val="21"/>
              </w:rPr>
              <w:t>N型复投料回升至5.32万元/吨（9月底，较6月底涨约55%）；龙头显著减亏，全行业未整体扭亏</w:t>
            </w:r>
          </w:p>
        </w:tc>
        <w:tc>
          <w:tcPr>
            <w:tcW w:type="dxa" w:w="2126"/>
          </w:tcPr>
          <w:p>
            <w:pPr>
              <w:spacing w:before="20" w:after="20" w:line="276" w:lineRule="auto"/>
              <w:jc w:val="left"/>
            </w:pPr>
            <w:r/>
            <w:r>
              <w:rPr>
                <w:rFonts w:ascii="Times New Roman" w:hAnsi="Times New Roman" w:eastAsia="宋体"/>
                <w:b w:val="0"/>
                <w:sz w:val="21"/>
              </w:rPr>
              <w:t>促销回归理性（新能源促销幅度约9.8%）；账期改善有限（18家上市车企仅6家改善）</w:t>
            </w:r>
          </w:p>
        </w:tc>
        <w:tc>
          <w:tcPr>
            <w:tcW w:type="dxa" w:w="2126"/>
          </w:tcPr>
          <w:p>
            <w:pPr>
              <w:spacing w:before="20" w:after="20" w:line="276" w:lineRule="auto"/>
              <w:jc w:val="left"/>
            </w:pPr>
            <w:r/>
            <w:r>
              <w:rPr>
                <w:rFonts w:ascii="Times New Roman" w:hAnsi="Times New Roman" w:eastAsia="宋体"/>
                <w:b w:val="0"/>
                <w:sz w:val="21"/>
              </w:rPr>
              <w:t>"0元购"式促销叫停；平台投入峰值已过、显著收缩</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对应理论环节</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补贴竞争→过度进入→内卷均衡（第四章命题4-3至4-5）</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价格秩序准公共财困境与成本纵向转嫁</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规则真空下双边市场补贴对抗的负和博弈</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10.1的横向比较揭示出跨行业的共性与差异。共性有三：其一，需求高增长并不能对"内卷"免疫——三个行业在爆发期的需求增速都不低，内卷的根源在供给端的进入过度与秩序失范而非单纯的需求不足；其二，盈利侵蚀无一例外地伴随负外部性转嫁，或向上游供应商（账期）、或向劳动者（骑手）、或向海外市场（低价出口），"内卷"的福利成本远大于行业自身的利润损失；其三，有效治理都是"自律＋规则＋执法"的组合，单一工具无法奏效。差异则主要由行业载体决定：光伏等重资产制造业的"内卷"以产能为载体，形成慢、退出更慢，治理重心在产能调控与退出机制；平台经济的"内卷"以补贴为载体，燃点低、进退快，治理重心在行为规则与事前约束；汽车介于两者之间，价格战与供应链转嫁并重，治理须价格秩序与账期规制双管齐下。这种"载体—治理"的匹配关系，为第十一章工具箱的适用条件矩阵提供了案例依据。将视野再放大到国际比较（见表10.2），可以进一步定位中国方案在制度谱系中的坐标。</w:t>
      </w:r>
    </w:p>
    <w:p>
      <w:pPr>
        <w:spacing w:before="160" w:after="80" w:line="312" w:lineRule="auto"/>
        <w:jc w:val="center"/>
      </w:pPr>
      <w:r>
        <w:rPr>
          <w:rFonts w:ascii="Times New Roman" w:hAnsi="Times New Roman" w:eastAsia="黑体"/>
          <w:b w:val="0"/>
          <w:sz w:val="21"/>
        </w:rPr>
        <w:t>表10.2　主要经济体统一市场建设与过度竞争治理经验比较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经济体</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制度基础与关键安排</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市场整合水平与规模</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过度竞争／产能治理实践</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经验与教训</w:t>
            </w:r>
          </w:p>
        </w:tc>
      </w:tr>
      <w:tr>
        <w:tc>
          <w:tcPr>
            <w:tcW w:type="dxa" w:w="1701"/>
          </w:tcPr>
          <w:p>
            <w:pPr>
              <w:spacing w:before="20" w:after="20" w:line="276" w:lineRule="auto"/>
              <w:jc w:val="left"/>
            </w:pPr>
            <w:r/>
            <w:r>
              <w:rPr>
                <w:rFonts w:ascii="Times New Roman" w:hAnsi="Times New Roman" w:eastAsia="宋体"/>
                <w:b w:val="0"/>
                <w:sz w:val="21"/>
              </w:rPr>
              <w:t>美国</w:t>
            </w:r>
          </w:p>
        </w:tc>
        <w:tc>
          <w:tcPr>
            <w:tcW w:type="dxa" w:w="1701"/>
          </w:tcPr>
          <w:p>
            <w:pPr>
              <w:spacing w:before="20" w:after="20" w:line="276" w:lineRule="auto"/>
              <w:jc w:val="left"/>
            </w:pPr>
            <w:r/>
            <w:r>
              <w:rPr>
                <w:rFonts w:ascii="Times New Roman" w:hAnsi="Times New Roman" w:eastAsia="宋体"/>
                <w:b w:val="0"/>
                <w:sz w:val="21"/>
              </w:rPr>
              <w:t>宪法商业条款授权联邦规制州际商业；联邦司法依"休眠商业条款"审查州际壁垒</w:t>
            </w:r>
          </w:p>
        </w:tc>
        <w:tc>
          <w:tcPr>
            <w:tcW w:type="dxa" w:w="1701"/>
          </w:tcPr>
          <w:p>
            <w:pPr>
              <w:spacing w:before="20" w:after="20" w:line="276" w:lineRule="auto"/>
              <w:jc w:val="left"/>
            </w:pPr>
            <w:r/>
            <w:r>
              <w:rPr>
                <w:rFonts w:ascii="Times New Roman" w:hAnsi="Times New Roman" w:eastAsia="宋体"/>
                <w:b w:val="0"/>
                <w:sz w:val="21"/>
              </w:rPr>
              <w:t>2022年货物运输总量约122亿吨、货值18.0万亿美元，约相当于GDP的七成（CFS口径，含州内运输）</w:t>
            </w:r>
          </w:p>
        </w:tc>
        <w:tc>
          <w:tcPr>
            <w:tcW w:type="dxa" w:w="1701"/>
          </w:tcPr>
          <w:p>
            <w:pPr>
              <w:spacing w:before="20" w:after="20" w:line="276" w:lineRule="auto"/>
              <w:jc w:val="left"/>
            </w:pPr>
            <w:r/>
            <w:r>
              <w:rPr>
                <w:rFonts w:ascii="Times New Roman" w:hAnsi="Times New Roman" w:eastAsia="宋体"/>
                <w:b w:val="0"/>
                <w:sz w:val="21"/>
              </w:rPr>
              <w:t>主要依托反托拉斯法与统一竞争规则，无常态化产能行政干预</w:t>
            </w:r>
          </w:p>
        </w:tc>
        <w:tc>
          <w:tcPr>
            <w:tcW w:type="dxa" w:w="1701"/>
          </w:tcPr>
          <w:p>
            <w:pPr>
              <w:spacing w:before="20" w:after="20" w:line="276" w:lineRule="auto"/>
              <w:jc w:val="left"/>
            </w:pPr>
            <w:r/>
            <w:r>
              <w:rPr>
                <w:rFonts w:ascii="Times New Roman" w:hAnsi="Times New Roman" w:eastAsia="宋体"/>
                <w:b w:val="0"/>
                <w:sz w:val="21"/>
              </w:rPr>
              <w:t>统一靠宪法性制度与司法执行；规则统一先于并保障市场统一</w:t>
            </w:r>
          </w:p>
        </w:tc>
      </w:tr>
      <w:tr>
        <w:tc>
          <w:tcPr>
            <w:tcW w:type="dxa" w:w="1701"/>
          </w:tcPr>
          <w:p>
            <w:pPr>
              <w:spacing w:before="20" w:after="20" w:line="276" w:lineRule="auto"/>
              <w:jc w:val="left"/>
            </w:pPr>
            <w:r/>
            <w:r>
              <w:rPr>
                <w:rFonts w:ascii="Times New Roman" w:hAnsi="Times New Roman" w:eastAsia="宋体"/>
                <w:b w:val="0"/>
                <w:sz w:val="21"/>
              </w:rPr>
              <w:t>欧盟</w:t>
            </w:r>
          </w:p>
        </w:tc>
        <w:tc>
          <w:tcPr>
            <w:tcW w:type="dxa" w:w="1701"/>
          </w:tcPr>
          <w:p>
            <w:pPr>
              <w:spacing w:before="20" w:after="20" w:line="276" w:lineRule="auto"/>
              <w:jc w:val="left"/>
            </w:pPr>
            <w:r/>
            <w:r>
              <w:rPr>
                <w:rFonts w:ascii="Times New Roman" w:hAnsi="Times New Roman" w:eastAsia="宋体"/>
                <w:b w:val="0"/>
                <w:sz w:val="21"/>
              </w:rPr>
              <w:t>1985年白皮书→1993年单一市场启动→2006年服务指令；超国家立法＋欧洲法院＋国家援助控制</w:t>
            </w:r>
          </w:p>
        </w:tc>
        <w:tc>
          <w:tcPr>
            <w:tcW w:type="dxa" w:w="1701"/>
          </w:tcPr>
          <w:p>
            <w:pPr>
              <w:spacing w:before="20" w:after="20" w:line="276" w:lineRule="auto"/>
              <w:jc w:val="left"/>
            </w:pPr>
            <w:r/>
            <w:r>
              <w:rPr>
                <w:rFonts w:ascii="Times New Roman" w:hAnsi="Times New Roman" w:eastAsia="宋体"/>
                <w:b w:val="0"/>
                <w:sz w:val="21"/>
              </w:rPr>
              <w:t>2023年成员国货物出口约61.8%流向盟内，盟内贸易约为盟外1.6倍；内部壁垒仍相当于商品45%、服务110%的关税（据IMF估算、Draghi报告引用，估计方法存在争议）</w:t>
            </w:r>
          </w:p>
        </w:tc>
        <w:tc>
          <w:tcPr>
            <w:tcW w:type="dxa" w:w="1701"/>
          </w:tcPr>
          <w:p>
            <w:pPr>
              <w:spacing w:before="20" w:after="20" w:line="276" w:lineRule="auto"/>
              <w:jc w:val="left"/>
            </w:pPr>
            <w:r/>
            <w:r>
              <w:rPr>
                <w:rFonts w:ascii="Times New Roman" w:hAnsi="Times New Roman" w:eastAsia="宋体"/>
                <w:b w:val="0"/>
                <w:sz w:val="21"/>
              </w:rPr>
              <w:t>国家援助审查约束成员国补贴竞赛</w:t>
            </w:r>
          </w:p>
        </w:tc>
        <w:tc>
          <w:tcPr>
            <w:tcW w:type="dxa" w:w="1701"/>
          </w:tcPr>
          <w:p>
            <w:pPr>
              <w:spacing w:before="20" w:after="20" w:line="276" w:lineRule="auto"/>
              <w:jc w:val="left"/>
            </w:pPr>
            <w:r/>
            <w:r>
              <w:rPr>
                <w:rFonts w:ascii="Times New Roman" w:hAnsi="Times New Roman" w:eastAsia="宋体"/>
                <w:b w:val="0"/>
                <w:sz w:val="21"/>
              </w:rPr>
              <w:t>商品整合易、服务与要素整合难；"未竟的整合"侵蚀竞争力，统一无完成时</w:t>
            </w:r>
          </w:p>
        </w:tc>
      </w:tr>
      <w:tr>
        <w:tc>
          <w:tcPr>
            <w:tcW w:type="dxa" w:w="1701"/>
          </w:tcPr>
          <w:p>
            <w:pPr>
              <w:spacing w:before="20" w:after="20" w:line="276" w:lineRule="auto"/>
              <w:jc w:val="left"/>
            </w:pPr>
            <w:r/>
            <w:r>
              <w:rPr>
                <w:rFonts w:ascii="Times New Roman" w:hAnsi="Times New Roman" w:eastAsia="宋体"/>
                <w:b w:val="0"/>
                <w:sz w:val="21"/>
              </w:rPr>
              <w:t>日本</w:t>
            </w:r>
          </w:p>
        </w:tc>
        <w:tc>
          <w:tcPr>
            <w:tcW w:type="dxa" w:w="1701"/>
          </w:tcPr>
          <w:p>
            <w:pPr>
              <w:spacing w:before="20" w:after="20" w:line="276" w:lineRule="auto"/>
              <w:jc w:val="left"/>
            </w:pPr>
            <w:r/>
            <w:r>
              <w:rPr>
                <w:rFonts w:ascii="Times New Roman" w:hAnsi="Times New Roman" w:eastAsia="宋体"/>
                <w:b w:val="0"/>
                <w:sz w:val="21"/>
              </w:rPr>
              <w:t>1978年特安法、1983年产构法：政府协调设备废弃、分担调整成本</w:t>
            </w:r>
          </w:p>
        </w:tc>
        <w:tc>
          <w:tcPr>
            <w:tcW w:type="dxa" w:w="1701"/>
          </w:tcPr>
          <w:p>
            <w:pPr>
              <w:spacing w:before="20" w:after="20" w:line="276" w:lineRule="auto"/>
              <w:jc w:val="left"/>
            </w:pPr>
            <w:r/>
            <w:r>
              <w:rPr>
                <w:rFonts w:ascii="Times New Roman" w:hAnsi="Times New Roman" w:eastAsia="宋体"/>
                <w:b w:val="0"/>
                <w:sz w:val="21"/>
              </w:rPr>
              <w:t>单一国家市场（不适用跨区整合指标）</w:t>
            </w:r>
          </w:p>
        </w:tc>
        <w:tc>
          <w:tcPr>
            <w:tcW w:type="dxa" w:w="1701"/>
          </w:tcPr>
          <w:p>
            <w:pPr>
              <w:spacing w:before="20" w:after="20" w:line="276" w:lineRule="auto"/>
              <w:jc w:val="left"/>
            </w:pPr>
            <w:r/>
            <w:r>
              <w:rPr>
                <w:rFonts w:ascii="Times New Roman" w:hAnsi="Times New Roman" w:eastAsia="宋体"/>
                <w:b w:val="0"/>
                <w:sz w:val="21"/>
              </w:rPr>
              <w:t>铝冶炼产能由164万吨压至"35万吨体制"、最终约3.5万吨；合成纤维平均废弃17.4%设备；政府投入约1374.63亿日元</w:t>
            </w:r>
          </w:p>
        </w:tc>
        <w:tc>
          <w:tcPr>
            <w:tcW w:type="dxa" w:w="1701"/>
          </w:tcPr>
          <w:p>
            <w:pPr>
              <w:spacing w:before="20" w:after="20" w:line="276" w:lineRule="auto"/>
              <w:jc w:val="left"/>
            </w:pPr>
            <w:r/>
            <w:r>
              <w:rPr>
                <w:rFonts w:ascii="Times New Roman" w:hAnsi="Times New Roman" w:eastAsia="宋体"/>
                <w:b w:val="0"/>
                <w:sz w:val="21"/>
              </w:rPr>
              <w:t>共同废弃设备可收缩供给，但对比较劣势产业"只能延缓而非逆转衰退"；协调性干预有保护落后与抑制竞争副作用</w:t>
            </w:r>
          </w:p>
        </w:tc>
      </w:tr>
      <w:tr>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中国</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2022年《意见》"五统一"→2024年《公平竞争审查条例》→2025年"五统一、一开放"部署与制定全国统一大市场建设条例</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市场分割指数由2012年2.65降至2024年1.97（本书测度）；要素市场分割约为商品市场的1.7倍</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行业自律＋标准引领＋价格执法＋质量监管＋反垄断反不正当竞争＋产能收储与账期规制的组合治理</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以制度统一破除分割、以规则治理"内卷"、以机制疏通退出；须防行政化干预固化与运动式治理</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10.2显示，四种制度安排构成一个从"司法刚性"到"行政协调"的谱系：美国以宪法与司法奠定统一市场的刚性底座，欧盟以超国家立法与补贴控制推进但受制于成员国主权而整合未竟，日本以行政协调治理过度竞争而付出保护落后的代价。中国方案的特点在于制度统一与竞争治理并举、有效市场与有为政府结合：一方面以条例立法、公平竞争审查、负面清单等制度工具对标"统一靠制度"的国际规律；另一方面以综合工具箱治理"内卷式"竞争，其中既有接近欧美范式的规则型工具（反垄断、反不正当竞争、标准与质量监管），也有带有日本印记的协调型工具（行业自律、产能收储）。国际镜鉴的警示恰在于后者：协调型工具见效快但副作用大，必须嵌入市场化、法治化框架并明确退出安排，防止对价格信号与竞争选择的长期替代。</w:t>
      </w:r>
    </w:p>
    <w:p>
      <w:pPr>
        <w:spacing w:before="0" w:after="0" w:line="360" w:lineRule="auto"/>
        <w:ind w:firstLineChars="200" w:firstLine="480"/>
      </w:pPr>
      <w:r>
        <w:rPr>
          <w:rFonts w:ascii="Times New Roman" w:hAnsi="Times New Roman" w:eastAsia="宋体"/>
          <w:b w:val="0"/>
          <w:sz w:val="24"/>
        </w:rPr>
        <w:t>案例研究同时在三个方向上丰富了理论框架。其一，行业自律作为介于市场自发与政府规制之间的中间治理形态，其效力条件值得纳入框架：光伏自律之所以初见成效，在于协会拥有成本测算的专业能力、成员集中度提供了履约监督基础，且有价格执法与标准约束作为背书；反之，缺乏执法背书的自律承诺（如车企账期承诺的履约落差）约束力有限——自律的有效性内生于其与正式规则的耦合程度。其二，"内卷"成本的转嫁通道应纳入福利分析：账期占款、骑手劳动强度、出口降价等机制表明，"内卷式"竞争不仅是效率问题，更是分配问题，其成本按议价能力逆向分配给最弱势的环节，这为治理的优先序（保障中小企业款项支付、维护劳动者权益）提供了福利经济学依据。其三，预期与秩序效应真实且迅速：三个案例中，一旦规则信号明确（成本价基准、账期红线、促销禁令），市场预期便快速收敛、恶性策略随之退潮，甚至先于实体性处罚发生作用，这印证了本书第三章将"预期与秩序效应"列入统一市场红利构成的设定，也提示竞争生态的演化具有多重均衡性质——规则的作用正在于协调市场从坏均衡向好均衡的跃迁（王兵，2025）。</w:t>
      </w:r>
    </w:p>
    <w:p>
      <w:pPr>
        <w:spacing w:before="0" w:after="0" w:line="360" w:lineRule="auto"/>
        <w:ind w:firstLineChars="200" w:firstLine="480"/>
      </w:pPr>
      <w:r>
        <w:rPr>
          <w:rFonts w:ascii="Times New Roman" w:hAnsi="Times New Roman" w:eastAsia="宋体"/>
          <w:b w:val="0"/>
          <w:sz w:val="24"/>
        </w:rPr>
        <w:t>综上，本章以三大行业的过程叙事验证了"市场分割—内卷竞争—统一红利"框架的三个环节，以长三角样本展示了统一红利在区域层面的提前兑现，以美国、欧盟、日本的比较提炼出"统一靠制度、治卷靠规则、退出靠机制"的一般规律，并从治理形态、分配效应与预期机制三个方向丰富了理论框架。案例揭示的工具边界与适用条件——规则型工具常态化、协调型工具设限退出、转嫁通道优先阻断——构成政策设计的经验基础。本书第十一章将在此基础上，对接《"十五五"规划纲要》第十七章与中央经济工作会议部署，系统提出纵深推进全国统一大市场建设、综合整治"内卷式"竞争的政策路径。</w:t>
      </w:r>
    </w:p>
    <w:p>
      <w:r>
        <w:br w:type="page"/>
      </w:r>
    </w:p>
    <w:p>
      <w:pPr>
        <w:spacing w:before="240" w:after="280" w:line="360" w:lineRule="auto"/>
        <w:jc w:val="center"/>
        <w:outlineLvl w:val="0"/>
      </w:pPr>
      <w:r>
        <w:rPr>
          <w:rFonts w:ascii="Times New Roman" w:hAnsi="Times New Roman" w:eastAsia="黑体"/>
          <w:b/>
          <w:sz w:val="30"/>
        </w:rPr>
        <w:t>十一、“十五五”时期纵深推进全国统一大市场建设的政策路径</w:t>
      </w:r>
    </w:p>
    <w:p>
      <w:pPr>
        <w:spacing w:before="0" w:after="0" w:line="360" w:lineRule="auto"/>
        <w:ind w:firstLineChars="200" w:firstLine="480"/>
      </w:pPr>
      <w:r>
        <w:rPr>
          <w:rFonts w:ascii="Times New Roman" w:hAnsi="Times New Roman" w:eastAsia="宋体"/>
          <w:b w:val="0"/>
          <w:sz w:val="24"/>
        </w:rPr>
        <w:t>本书前十章完成了从问题到证据的完整论证：第三章、第四章构建了“市场分割—内卷竞争—统一红利”的理论框架并将其数理化为可检验命题，第七章至第九章以省域面板证实了“分割催卷、统一降卷”的因果链条，第十章则以光伏、汽车、平台三大行业案例与美欧日的国际镜鉴还原了机制细节。理论与证据最终要落脚于行动。本章以《“十五五”规划纲要》第十七章、党的二十届四中全会《建议》、2025年中央经济工作会议部署以及习近平总书记《当前经济工作的重点任务》（《求是》2026年第4期）为政策依据，以中央财经委员会第六次会议“五统一、一开放”为总纲，系统设计“十五五”时期纵深推进全国统一大市场建设、深入整治“内卷式”竞争的政策路径。与一般性政策评述不同，本章对每一政策领域均按照“依据—机理—操作要点—风险”四步展开：政策依据严格对应中央文件原文，作用机理对应本书第三章的四重扭曲与第四章的理论命题，操作要点落实到可执行的制度安排，风险提示则划定政策的边界与禁区，力求使政策建议既有学理根基，又有实践刻度。</w:t>
      </w:r>
    </w:p>
    <w:p>
      <w:pPr>
        <w:spacing w:before="200" w:after="160" w:line="360" w:lineRule="auto"/>
        <w:outlineLvl w:val="1"/>
      </w:pPr>
      <w:r>
        <w:rPr>
          <w:rFonts w:ascii="Times New Roman" w:hAnsi="Times New Roman" w:eastAsia="黑体"/>
          <w:b w:val="0"/>
          <w:sz w:val="28"/>
        </w:rPr>
        <w:t>（一）总体思路：“五统一、一开放”的学理阐释与“破立并举”的系统治理观</w:t>
      </w:r>
    </w:p>
    <w:p>
      <w:pPr>
        <w:spacing w:before="160" w:after="120" w:line="360" w:lineRule="auto"/>
        <w:outlineLvl w:val="2"/>
      </w:pPr>
      <w:r>
        <w:rPr>
          <w:rFonts w:ascii="Times New Roman" w:hAnsi="Times New Roman" w:eastAsia="黑体"/>
          <w:b w:val="0"/>
          <w:sz w:val="24"/>
        </w:rPr>
        <w:t>1．“五统一、一开放”：从政策要求到经济学逻辑</w:t>
      </w:r>
    </w:p>
    <w:p>
      <w:pPr>
        <w:spacing w:before="0" w:after="0" w:line="360" w:lineRule="auto"/>
        <w:ind w:firstLineChars="200" w:firstLine="480"/>
      </w:pPr>
      <w:r>
        <w:rPr>
          <w:rFonts w:ascii="Times New Roman" w:hAnsi="Times New Roman" w:eastAsia="宋体"/>
          <w:b w:val="0"/>
          <w:sz w:val="24"/>
        </w:rPr>
        <w:t>2025年7月1日，中央财经委员会第六次会议对纵深推进全国统一大市场建设提出了“五统一、一开放”的基本要求，即统一市场基础制度、统一市场基础设施、统一政府行为尺度、统一市场监管执法、统一要素资源市场，持续扩大对内对外开放，并部署“依法依规治理企业低价无序竞争，引导企业提升产品品质，推动落后产能有序退出”。与2022年《中共中央　国务院关于加快建设全国统一大市场的意见》（以下简称《意见》）确立的“五统一”框架相比，此次表述最重要的增量在于将“统一政府行为尺度”单列为独立维度——这意味着中央对统一大市场建设堵点的判断，已从市场侧的显性壁垒深入到政府侧的行为扭曲，与本书的理论诊断高度一致：市场分割的深层根源不在企业而在辖区竞争的激励结构（刘志彪、孔令池，2021）。</w:t>
      </w:r>
    </w:p>
    <w:p>
      <w:pPr>
        <w:spacing w:before="0" w:after="0" w:line="360" w:lineRule="auto"/>
        <w:ind w:firstLineChars="200" w:firstLine="480"/>
      </w:pPr>
      <w:r>
        <w:rPr>
          <w:rFonts w:ascii="Times New Roman" w:hAnsi="Times New Roman" w:eastAsia="宋体"/>
          <w:b w:val="0"/>
          <w:sz w:val="24"/>
        </w:rPr>
        <w:t>从经济学逻辑看，“五统一、一开放”的每一维度都可以在本书的理论框架中找到对应的作用机制。统一市场基础制度，对应的是降低制度性交易成本、稳定产权与契约预期，作用于第三章所述“预期与秩序效应”；统一市场基础设施，对应的是压低区际贸易成本</w:t>
      </w:r>
      <m:oMath>
        <m:box>
          <m:e>
            <m:r>
              <m:rPr>
                <m:sty m:val="i"/>
              </m:rPr>
              <m:t>τ</m:t>
            </m:r>
          </m:e>
        </m:box>
      </m:oMath>
      <w:r>
        <w:rPr>
          <w:rFonts w:ascii="Times New Roman" w:hAnsi="Times New Roman" w:eastAsia="宋体"/>
          <w:b w:val="0"/>
          <w:sz w:val="24"/>
        </w:rPr>
        <w:t>，按照本书第四章命题4-3与命题4-6，</w:t>
      </w:r>
      <m:oMath>
        <m:box>
          <m:e>
            <m:r>
              <m:rPr>
                <m:sty m:val="i"/>
              </m:rPr>
              <m:t>τ</m:t>
            </m:r>
          </m:e>
        </m:box>
      </m:oMath>
      <w:r>
        <w:rPr>
          <w:rFonts w:ascii="Times New Roman" w:hAnsi="Times New Roman" w:eastAsia="宋体"/>
          <w:b w:val="0"/>
          <w:sz w:val="24"/>
        </w:rPr>
        <w:t>下降既削弱地方补贴竞争的“本地市场势力”基础，又抬高企业生存门槛、强化选择效应；统一政府行为尺度，对应的是改写地方政府补贴博弈的支付矩阵，使命题4-1、4-2刻画的囚徒困境向合作解收敛；统一市场监管执法，对应的是消除“监管套利型分割”，防止企业以监管洼地为庇护所延缓出清；统一要素资源市场，对应的是要素再配置与全要素生产率提升。尤为重要的是，这一顺序安排与本书第七章的测度诊断精确吻合：2024年统一大市场发展指数四个维度中，要素流动（54.3分）与监管统一（55.6分）显著低于市场基础制度（68.2分）与设施联通（71.5分），“五统一”所强调的政府行为、监管执法与要素市场，恰是实证意义上的最短板。</w:t>
      </w:r>
    </w:p>
    <w:p>
      <w:pPr>
        <w:spacing w:before="0" w:after="0" w:line="360" w:lineRule="auto"/>
        <w:ind w:firstLineChars="200" w:firstLine="480"/>
      </w:pPr>
      <w:r>
        <w:rPr>
          <w:rFonts w:ascii="Times New Roman" w:hAnsi="Times New Roman" w:eastAsia="宋体"/>
          <w:b w:val="0"/>
          <w:sz w:val="24"/>
        </w:rPr>
        <w:t>“一开放”则划定了统一大市场的方向属性：对内开放与对外开放相互促进，统一绝不是封闭条件下的自给自足。理论上，超大规模市场优势的兑现以开放为前提——市场规模</w:t>
      </w:r>
      <m:oMath>
        <m:box>
          <m:e>
            <m:r>
              <m:rPr>
                <m:sty m:val="i"/>
              </m:rPr>
              <m:t>M</m:t>
            </m:r>
            <m:r>
              <m:rPr>
                <m:sty m:val="p"/>
              </m:rPr>
              <m:t>(</m:t>
            </m:r>
            <m:r>
              <m:rPr>
                <m:sty m:val="i"/>
              </m:rPr>
              <m:t>τ</m:t>
            </m:r>
            <m:r>
              <m:rPr>
                <m:sty m:val="p"/>
              </m:rPr>
              <m:t>)</m:t>
            </m:r>
          </m:e>
        </m:box>
      </m:oMath>
      <w:r>
        <w:rPr>
          <w:rFonts w:ascii="Times New Roman" w:hAnsi="Times New Roman" w:eastAsia="宋体"/>
          <w:b w:val="0"/>
          <w:sz w:val="24"/>
        </w:rPr>
        <w:t>既取决于国内整合程度，也取决于国际联通程度，若以“全国统一”之名行“全国保护”之实，选择效应与创新激励效应将同步弱化。因此，“十五五”时期的统一大市场建设必须坚持内外贸一体化取向，以国内规则的统一对接国际高标准经贸规则，防止把破除地方保护的努力异化为构筑国家层面的新壁垒。</w:t>
      </w:r>
    </w:p>
    <w:p>
      <w:pPr>
        <w:spacing w:before="160" w:after="120" w:line="360" w:lineRule="auto"/>
        <w:outlineLvl w:val="2"/>
      </w:pPr>
      <w:r>
        <w:rPr>
          <w:rFonts w:ascii="Times New Roman" w:hAnsi="Times New Roman" w:eastAsia="黑体"/>
          <w:b w:val="0"/>
          <w:sz w:val="24"/>
        </w:rPr>
        <w:t>2．“破立并举”：政策路径的总体框架</w:t>
      </w:r>
    </w:p>
    <w:p>
      <w:pPr>
        <w:spacing w:before="0" w:after="0" w:line="360" w:lineRule="auto"/>
        <w:ind w:firstLineChars="200" w:firstLine="480"/>
      </w:pPr>
      <w:r>
        <w:rPr>
          <w:rFonts w:ascii="Times New Roman" w:hAnsi="Times New Roman" w:eastAsia="宋体"/>
          <w:b w:val="0"/>
          <w:sz w:val="24"/>
        </w:rPr>
        <w:t>纵深推进全国统一大市场建设是一项“破”与“立”并重的系统工程。“破”的方面，是党的二十届四中全会所要求的“坚决破除阻碍全国统一大市场建设卡点堵点”，包括清理显性与隐性市场壁垒、整治“内卷式”竞争的失序行为；“立”的方面，则是建构使统一状态可以自我维持的制度与激励——若只破不立，地方保护与补贴竞赛会在治理松弛后卷土重来；若只立不破，制度文本将悬置于既得利益格局之上难以落地。已有研究表明，“内卷式”竞争的治理必须同时作用于行为层与制度层，仅在行为层纠偏而不触动激励根源，治理效果难以持续（张杰、任元明，2025）。本书第三章识别的四重扭曲——地方激励扭曲、要素价格扭曲、退出机制失灵、需求约束收紧——为“破立并举”提供了精确的靶向：每一重扭曲对应一组政策模块，四重扭曲的协同矫正构成政策路径的主体结构（见图11.1）。</w:t>
      </w:r>
    </w:p>
    <w:p>
      <w:pPr>
        <w:spacing w:before="120"/>
        <w:jc w:val="center"/>
      </w:pPr>
      <w:r>
        <w:drawing>
          <wp:inline xmlns:a="http://schemas.openxmlformats.org/drawingml/2006/main" xmlns:pic="http://schemas.openxmlformats.org/drawingml/2006/picture">
            <wp:extent cx="5112000" cy="3412406"/>
            <wp:docPr id="29" name="Picture 29"/>
            <wp:cNvGraphicFramePr>
              <a:graphicFrameLocks noChangeAspect="1"/>
            </wp:cNvGraphicFramePr>
            <a:graphic>
              <a:graphicData uri="http://schemas.openxmlformats.org/drawingml/2006/picture">
                <pic:pic>
                  <pic:nvPicPr>
                    <pic:cNvPr id="0" name="fig_11_1.png"/>
                    <pic:cNvPicPr/>
                  </pic:nvPicPr>
                  <pic:blipFill>
                    <a:blip r:embed="rId37"/>
                    <a:stretch>
                      <a:fillRect/>
                    </a:stretch>
                  </pic:blipFill>
                  <pic:spPr>
                    <a:xfrm>
                      <a:off x="0" y="0"/>
                      <a:ext cx="5112000" cy="3412406"/>
                    </a:xfrm>
                    <a:prstGeom prst="rect"/>
                  </pic:spPr>
                </pic:pic>
              </a:graphicData>
            </a:graphic>
          </wp:inline>
        </w:drawing>
      </w:r>
    </w:p>
    <w:p>
      <w:pPr>
        <w:spacing w:before="120" w:after="120" w:line="312" w:lineRule="auto"/>
        <w:jc w:val="center"/>
      </w:pPr>
      <w:r>
        <w:rPr>
          <w:rFonts w:ascii="Times New Roman" w:hAnsi="Times New Roman" w:eastAsia="黑体"/>
          <w:b w:val="0"/>
          <w:sz w:val="21"/>
        </w:rPr>
        <w:t>图11.1　“十五五”纵深推进统一大市场的政策路径框架</w:t>
      </w:r>
    </w:p>
    <w:p>
      <w:pPr>
        <w:spacing w:before="0" w:after="0" w:line="360" w:lineRule="auto"/>
        <w:ind w:firstLineChars="200" w:firstLine="480"/>
      </w:pPr>
      <w:r>
        <w:rPr>
          <w:rFonts w:ascii="Times New Roman" w:hAnsi="Times New Roman" w:eastAsia="宋体"/>
          <w:b w:val="0"/>
          <w:sz w:val="24"/>
        </w:rPr>
        <w:t>图11.1呈现了本章政策路径的三层结构。顶层是目标层：以“五统一、一开放”为制度纲领，实现供需更高水平动态平衡与高质量发展；中间是靶点层：四重扭曲作为病灶，分别由基础制度（针对退出失灵）、公平竞争刚性化（针对地方激励扭曲）、要素市场化与设施联通（针对要素价格扭曲与空间交易成本）、需求侧协同（针对需求约束收紧）四组政策模块对症矫正，“内卷式”竞争综合整治工具箱则作为跨扭曲的症状治理层横向嵌入；底层是保障层：地方政府激励重构（财税、统计、考核）从根源上改变辖区竞争的收益函数，政策协同与风险防范机制则控制治理本身的副作用。就时序而言，框架隐含“三个阶段”的节奏安排：短期（1—2年）以工具箱实现重点行业价格与产能秩序修复，中期（2—4年）以《全国统一大市场建设条例》与各类清单制度完成规则定型，长期（贯穿“十五五”）以激励重构与居民增收实现供需结构的再平衡。三层之间遵循“工具与扭曲匹配、力度与法治匹配、节奏与承受力匹配”的原则，这也是后文各节展开的共同方法论。</w:t>
      </w:r>
    </w:p>
    <w:p>
      <w:pPr>
        <w:spacing w:before="200" w:after="160" w:line="360" w:lineRule="auto"/>
        <w:outlineLvl w:val="1"/>
      </w:pPr>
      <w:r>
        <w:rPr>
          <w:rFonts w:ascii="Times New Roman" w:hAnsi="Times New Roman" w:eastAsia="黑体"/>
          <w:b w:val="0"/>
          <w:sz w:val="28"/>
        </w:rPr>
        <w:t>（二）夯实市场基础制度：准入、退出、产权与信用</w:t>
      </w:r>
    </w:p>
    <w:p>
      <w:pPr>
        <w:spacing w:before="160" w:after="120" w:line="360" w:lineRule="auto"/>
        <w:outlineLvl w:val="2"/>
      </w:pPr>
      <w:r>
        <w:rPr>
          <w:rFonts w:ascii="Times New Roman" w:hAnsi="Times New Roman" w:eastAsia="黑体"/>
          <w:b w:val="0"/>
          <w:sz w:val="24"/>
        </w:rPr>
        <w:t>1．市场准入：“全国一张清单”的刚性执行</w:t>
      </w:r>
    </w:p>
    <w:p>
      <w:pPr>
        <w:spacing w:before="0" w:after="0" w:line="360" w:lineRule="auto"/>
        <w:ind w:firstLineChars="200" w:firstLine="480"/>
      </w:pPr>
      <w:r>
        <w:rPr>
          <w:rFonts w:ascii="Times New Roman" w:hAnsi="Times New Roman" w:eastAsia="宋体"/>
          <w:b w:val="0"/>
          <w:sz w:val="24"/>
        </w:rPr>
        <w:t>《纲要》第十七章第一节要求“完善市场准入制度，动态修订市场准入负面清单，严格落实‘全国一张清单’管理要求”。市场准入负面清单制度自2018年全面实施以来持续瘦身：清单事项由2018年版的151项压减至2025年版的106项，全国性事项具体管理措施由486条压减至469条，地方性措施由36条大幅压减至20条（据国家发展改革委）。清单缩短的经济学含义，是行政许可所覆盖的进入决策空间收窄、地方自由裁量的偏袒空间被压缩。经验研究表明，市场准入负面清单制度显著提升了试点地区企业的全要素生产率（耿明阳等，2023），放松准入管制则明显促进了企业跨地区投资（白俊等，2024）——准入统一既是“把门打开”，更是“把门槛拉平”，其对统一大市场的贡献不仅在于允许更多企业进入，更在于消除因地而异的进入条件所形成的隐性分割。</w:t>
      </w:r>
    </w:p>
    <w:p>
      <w:pPr>
        <w:spacing w:before="0" w:after="0" w:line="360" w:lineRule="auto"/>
        <w:ind w:firstLineChars="200" w:firstLine="480"/>
      </w:pPr>
      <w:r>
        <w:rPr>
          <w:rFonts w:ascii="Times New Roman" w:hAnsi="Times New Roman" w:eastAsia="宋体"/>
          <w:b w:val="0"/>
          <w:sz w:val="24"/>
        </w:rPr>
        <w:t>“十五五”时期的操作要点有三。其一，落实“非禁即入”，重点清理清单之外的变相准入限制，特别是以资质认定、技术规范、数据本地化存储等形式存在的隐性门槛，2025年4月国家发展改革委等三部门启动的市场准入壁垒清理整治行动应当机制化、常态化。其二，动态修订应与产业变革同步，对新业态坚持“成熟一批、放开一批”，防止清单更新滞后成为新的分割源。其三，准入统一须与退出统一联动——若只放宽进入而不畅通退出，在分割市场条件下反而可能放大第四章命题4-4刻画的过度进入偏差。风险方面，须警惕地方以安全、环保、稳定之名在清单外另设审批，对此应通过公平竞争审查与妨碍统一大市场事项清单通报机制予以纠正。</w:t>
      </w:r>
    </w:p>
    <w:p>
      <w:pPr>
        <w:spacing w:before="160" w:after="120" w:line="360" w:lineRule="auto"/>
        <w:outlineLvl w:val="2"/>
      </w:pPr>
      <w:r>
        <w:rPr>
          <w:rFonts w:ascii="Times New Roman" w:hAnsi="Times New Roman" w:eastAsia="黑体"/>
          <w:b w:val="0"/>
          <w:sz w:val="24"/>
        </w:rPr>
        <w:t>2．市场退出：破解“退出粘性”的制度攻坚</w:t>
      </w:r>
    </w:p>
    <w:p>
      <w:pPr>
        <w:spacing w:before="0" w:after="0" w:line="360" w:lineRule="auto"/>
        <w:ind w:firstLineChars="200" w:firstLine="480"/>
      </w:pPr>
      <w:r>
        <w:rPr>
          <w:rFonts w:ascii="Times New Roman" w:hAnsi="Times New Roman" w:eastAsia="宋体"/>
          <w:b w:val="0"/>
          <w:sz w:val="24"/>
        </w:rPr>
        <w:t>市场退出制度是本书政策设计中着墨最重的一环，因为它对应着实证上最顽固的扭曲。《纲要》第十七章明确要求“健全企业破产制度，探索建立覆盖所有经营主体的简易退出机制”。其学理依据在于：第三章将退出机制失灵识别为“内卷式竞争陷阱”的第三重扭曲，第四章命题4-5证明，当退出摩擦参数</w:t>
      </w:r>
      <m:oMath>
        <m:box>
          <m:e>
            <m:r>
              <m:rPr>
                <m:sty m:val="i"/>
              </m:rPr>
              <m:t>δ</m:t>
            </m:r>
          </m:e>
        </m:box>
      </m:oMath>
      <w:r>
        <w:rPr>
          <w:rFonts w:ascii="Times New Roman" w:hAnsi="Times New Roman" w:eastAsia="宋体"/>
          <w:b w:val="0"/>
          <w:sz w:val="24"/>
        </w:rPr>
        <w:t>足够大以致需求冲击满足</w:t>
      </w:r>
      <m:oMath>
        <m:box>
          <m:e>
            <m:r>
              <m:rPr>
                <m:sty m:val="i"/>
              </m:rPr>
              <m:t>ε</m:t>
            </m:r>
            <m:r>
              <m:rPr>
                <m:sty m:val="p"/>
              </m:rPr>
              <m:t>≤</m:t>
            </m:r>
            <m:r>
              <m:rPr>
                <m:sty m:val="i"/>
              </m:rPr>
              <m:t>δ</m:t>
            </m:r>
          </m:e>
        </m:box>
      </m:oMath>
      <w:r>
        <w:rPr>
          <w:rFonts w:ascii="Times New Roman" w:hAnsi="Times New Roman" w:eastAsia="宋体"/>
          <w:b w:val="0"/>
          <w:sz w:val="24"/>
        </w:rPr>
        <w:t>时，行业将陷入“全行业亏损而无企业退出”的内卷均衡；本书第八章的机制检验则给出了直接的经验证据——市场分割指数每上升1个单位，省域企业退出率显著下降0.83个百分点（系数−0.83，在5%水平显著），而退出率每下降1个百分点，“内卷”指数相应上升0.0046（在5%水平显著）。这组系数刻画的正是“分割庇护低效企业存续、存续加剧内卷”的传导链条：在分割市场中，地方政府出于税源、就业与政绩考量，以补贴续命、信贷展期、缓交社保等方式维持本应退出的企业，出清机制失灵使价格战旷日持久。</w:t>
      </w:r>
    </w:p>
    <w:p>
      <w:pPr>
        <w:spacing w:before="0" w:after="0" w:line="360" w:lineRule="auto"/>
        <w:ind w:firstLineChars="200" w:firstLine="480"/>
      </w:pPr>
      <w:r>
        <w:rPr>
          <w:rFonts w:ascii="Times New Roman" w:hAnsi="Times New Roman" w:eastAsia="宋体"/>
          <w:b w:val="0"/>
          <w:sz w:val="24"/>
        </w:rPr>
        <w:t>“十五五”时期健全退出制度的操作要点可归纳为四个层次。第一，简易退出扩围。将简易注销程序由公司制企业扩展至个体工商户、合伙企业等所有经营主体类型，压缩公告期限、推行承诺制注销，让“无债权债务纠纷的主体快速离场”成为常态，降低退出的时间与合规成本。第二，破产制度的现代化。加快推进个人破产与小微企业破产立法探索，推广预重整与庭外重组机制，完善跨区域破产管辖与管理人跨域执业规则，防止破产程序本身成为地方保护的新场域——司法去地方化改革显著促进企业破产出清的证据（丁海等，2024），说明退出制度的效力高度依赖司法体制对地方干预的隔离程度。第三，府院联动与僵尸企业处置。对产能严重过剩行业的“僵尸企业”，建立政府与法院的信息共享和程序衔接机制，把行政性的产能治理导入法治化的破产轨道；公平竞争审查对僵尸企业出清的促进作用（李靖、毕茜，2025）表明，切断违规补贴输血是破产程序启动的前置条件。第四，社会政策托底。退出的最大阻力来自就业与稳定顾虑，须同步安排职工安置基金、再就业培训与企业主信用修复制度，使“退得出”与“接得住”并行。</w:t>
      </w:r>
    </w:p>
    <w:p>
      <w:pPr>
        <w:spacing w:before="0" w:after="0" w:line="360" w:lineRule="auto"/>
        <w:ind w:firstLineChars="200" w:firstLine="480"/>
      </w:pPr>
      <w:r>
        <w:rPr>
          <w:rFonts w:ascii="Times New Roman" w:hAnsi="Times New Roman" w:eastAsia="宋体"/>
          <w:b w:val="0"/>
          <w:sz w:val="24"/>
        </w:rPr>
        <w:t>风险方面须把握两条边界。一是防止“一破了之”：在行业深度亏损期集中启动破产程序，可能通过供应链账款与担保链条引发连锁债务风险，出清节奏应与行业景气度、金融风险处置能力相协调，优先采用重整而非清算，保住可救的产能与技术。二是防止简易退出被滥用为逃废债通道，须以信用记录衔接与债权人异议程序守住底线。总体而言，退出制度改革的目标不是“多退”，而是使退出决策回归市场信号——让该退的退得快、能救的救得活，这正是拆除“内卷均衡”存续条件的制度含义。</w:t>
      </w:r>
    </w:p>
    <w:p>
      <w:pPr>
        <w:spacing w:before="160" w:after="120" w:line="360" w:lineRule="auto"/>
        <w:outlineLvl w:val="2"/>
      </w:pPr>
      <w:r>
        <w:rPr>
          <w:rFonts w:ascii="Times New Roman" w:hAnsi="Times New Roman" w:eastAsia="黑体"/>
          <w:b w:val="0"/>
          <w:sz w:val="24"/>
        </w:rPr>
        <w:t>3．产权保护与社会信用：跨区交易的信任基础设施</w:t>
      </w:r>
    </w:p>
    <w:p>
      <w:pPr>
        <w:spacing w:before="0" w:after="0" w:line="360" w:lineRule="auto"/>
        <w:ind w:firstLineChars="200" w:firstLine="480"/>
      </w:pPr>
      <w:r>
        <w:rPr>
          <w:rFonts w:ascii="Times New Roman" w:hAnsi="Times New Roman" w:eastAsia="宋体"/>
          <w:b w:val="0"/>
          <w:sz w:val="24"/>
        </w:rPr>
        <w:t>产权保护与社会信用制度是统一大市场的“信任基础设施”。跨区域交易之所以对制度环境高度敏感，是因为交易半径拉长后，当事人对地方司法与执法公正性的预期直接决定其是否愿意与外地主体缔约。“十五五”时期应重点推进三项建设：一是产权保护的司法统一，落实《纲要》“统一市场监管执法，完善行政裁量权基准制度”的要求，压缩同案不同罚、同事不同标的空间；二是社会信用体系的全国互认，统一信用信息归集标准、失信认定尺度与修复程序，防止信用惩戒的地方化滥用异化为新型壁垒；三是政务诚信建设，将地方政府履约践诺纳入考核，治理“新官不理旧账”，因为政府失信对企业跨区投资预期的破坏远大于商业失信。这一组制度对应第三章“预期与秩序效应”：确定性本身就是生产力，统一的规则预期是企业敢于按全国市场规模配置产能与研发的前提。</w:t>
      </w:r>
    </w:p>
    <w:p>
      <w:pPr>
        <w:spacing w:before="200" w:after="160" w:line="360" w:lineRule="auto"/>
        <w:outlineLvl w:val="1"/>
      </w:pPr>
      <w:r>
        <w:rPr>
          <w:rFonts w:ascii="Times New Roman" w:hAnsi="Times New Roman" w:eastAsia="黑体"/>
          <w:b w:val="0"/>
          <w:sz w:val="28"/>
        </w:rPr>
        <w:t>（三）公平竞争治理的刚性化：约束“看得见的手”</w:t>
      </w:r>
    </w:p>
    <w:p>
      <w:pPr>
        <w:spacing w:before="0" w:after="0" w:line="360" w:lineRule="auto"/>
        <w:ind w:firstLineChars="200" w:firstLine="480"/>
      </w:pPr>
      <w:r>
        <w:rPr>
          <w:rFonts w:ascii="Times New Roman" w:hAnsi="Times New Roman" w:eastAsia="宋体"/>
          <w:b w:val="0"/>
          <w:sz w:val="24"/>
        </w:rPr>
        <w:t>如果说基础制度是统一大市场的“操作系统”，公平竞争治理就是约束“看得见的手”的防火墙。2016年建立的公平竞争审查制度构成了本书第九章准自然实验的政策背景，也是“十五五”时期治理体系升级的起点。本节按审查制度刚性化、招商引资清单、通报问责三个层次展开。</w:t>
      </w:r>
    </w:p>
    <w:p>
      <w:pPr>
        <w:spacing w:before="160" w:after="120" w:line="360" w:lineRule="auto"/>
        <w:outlineLvl w:val="2"/>
      </w:pPr>
      <w:r>
        <w:rPr>
          <w:rFonts w:ascii="Times New Roman" w:hAnsi="Times New Roman" w:eastAsia="黑体"/>
          <w:b w:val="0"/>
          <w:sz w:val="24"/>
        </w:rPr>
        <w:t>1．公平竞争审查：从存量清理到刚性约束</w:t>
      </w:r>
    </w:p>
    <w:p>
      <w:pPr>
        <w:spacing w:before="0" w:after="0" w:line="360" w:lineRule="auto"/>
        <w:ind w:firstLineChars="200" w:firstLine="480"/>
      </w:pPr>
      <w:r>
        <w:rPr>
          <w:rFonts w:ascii="Times New Roman" w:hAnsi="Times New Roman" w:eastAsia="宋体"/>
          <w:b w:val="0"/>
          <w:sz w:val="24"/>
        </w:rPr>
        <w:t>公平竞争审查制度的十年实践已经形成可观的治理存量。据市场监管总局数据，自2016年制度建立至《公平竞争审查条例》出台前，全国累计审查政策措施161.8万件，清理存量文件447万件，废止和修订排除、限制竞争的政策措施9.3万件；2024年8月1日《公平竞争审查条例》施行后约束显著趋紧，至2025年3月已审查拟出台政策措施9.06万件，对1.5万余件提出修改意见并推动调整；2025年全年审查5.8万件、修改调整1万余件，滥用行政权力排除限制竞争专项执法立案96件、办结75件；据《人民日报》报道，制度建立十年累计审查政策措施已达188万件，废止和修订排除、限制竞争政策措施12.3万件。这组数字的含义应从两面解读：一面是覆盖面之广印证了制度的渗透力，另一面是问题文件的持续高检出率说明，地方出台倾斜性政策的冲动并未消失，审查制度是在与再生的扭曲“赛跑”。</w:t>
      </w:r>
    </w:p>
    <w:p>
      <w:pPr>
        <w:spacing w:before="0" w:after="0" w:line="360" w:lineRule="auto"/>
        <w:ind w:firstLineChars="200" w:firstLine="480"/>
      </w:pPr>
      <w:r>
        <w:rPr>
          <w:rFonts w:ascii="Times New Roman" w:hAnsi="Times New Roman" w:eastAsia="宋体"/>
          <w:b w:val="0"/>
          <w:sz w:val="24"/>
        </w:rPr>
        <w:t>本书的实证结果为审查刚性化提供了直接的收益估计：第九章强度双重差分显示，公平竞争审查执行强度高一个标准差的省份，“内卷”指数相对下降0.019（相当于样本均值的5.0%），补贴强度下降0.084个百分点，市场分割指数下降0.121，且事件研究显示效应逐年累积而非一次性释放。微观层面的研究同样发现，公平竞争审查显著促进了企业创新（杨兴全、张可欣，2023）并提升了企业生产率（王菁华、毕超，2024）。“十五五”时期落实《纲要》“强化公平竞争审查刚性约束，消除要素获取、资质认定、招标投标、政府采购等方面壁垒”要求的操作要点在于：把审查从“程序合规”推向“实质有效”，提高第三方评估与重点领域抽查比例，从严把握例外情形的适用并强制说明理由、设定评估期限；将《实施办法》细化的66项审查情形嵌入政策起草系统，实现关口前移；对未经审查或审查失实出台政策的部门建立责任倒查。风险在于两点：一是基层审查能力不足导致“走过场”，须以省级统筹与专业化审查队伍弥补；二是“合规性包装”——以合法形式掩盖倾斜实质，如以普惠之名行定向补贴之实，对此须以效果标准补充形式标准。</w:t>
      </w:r>
    </w:p>
    <w:p>
      <w:pPr>
        <w:spacing w:before="160" w:after="120" w:line="360" w:lineRule="auto"/>
        <w:outlineLvl w:val="2"/>
      </w:pPr>
      <w:r>
        <w:rPr>
          <w:rFonts w:ascii="Times New Roman" w:hAnsi="Times New Roman" w:eastAsia="黑体"/>
          <w:b w:val="0"/>
          <w:sz w:val="24"/>
        </w:rPr>
        <w:t>2．招商引资“鼓励和禁止事项清单”：重塑地方竞争方式</w:t>
      </w:r>
    </w:p>
    <w:p>
      <w:pPr>
        <w:spacing w:before="0" w:after="0" w:line="360" w:lineRule="auto"/>
        <w:ind w:firstLineChars="200" w:firstLine="480"/>
      </w:pPr>
      <w:r>
        <w:rPr>
          <w:rFonts w:ascii="Times New Roman" w:hAnsi="Times New Roman" w:eastAsia="宋体"/>
          <w:b w:val="0"/>
          <w:sz w:val="24"/>
        </w:rPr>
        <w:t>习近平总书记在《当前经济工作的重点任务》中明确部署“出台地方政府招商引资鼓励和禁止事项清单”，《纲要》亦要求“规范地方政府经济促进行为，制定地方政府招商引资鼓励和禁止事项清单，加强招商引资信息披露”。这一清单直指“内卷式竞争陷阱”的第一重扭曲。本书第八章的机制检验表明，市场分割每上升1个单位，地方补贴强度显著上升0.214个百分点，而补贴强度每上升1个百分点，“内卷”指数上升0.041；控制补贴与产业同构渠道后，分割对内卷的直接效应下降约38%。这意味着，管住补贴竞赛就掐断了“分割催卷”最粗的一条传导管道。现实的严重性亦有权威佐证：审计署《2022年度审计工作报告》披露，55个地区违规或变相返还税收、土地出让金等225.08亿元；2025年税务部门全年推送违规招商引资涉税核查线索389条，并在8个区域性税收优惠地区严查“空壳企业”。</w:t>
      </w:r>
    </w:p>
    <w:p>
      <w:pPr>
        <w:spacing w:before="0" w:after="0" w:line="360" w:lineRule="auto"/>
        <w:ind w:firstLineChars="200" w:firstLine="480"/>
      </w:pPr>
      <w:r>
        <w:rPr>
          <w:rFonts w:ascii="Times New Roman" w:hAnsi="Times New Roman" w:eastAsia="宋体"/>
          <w:b w:val="0"/>
          <w:sz w:val="24"/>
        </w:rPr>
        <w:t>清单设计的操作要点在于“禁止有硬度、鼓励有方向、披露有约束”。禁止事项应锁定扭曲性让利的完整清单：与税收挂钩的产业扶持协议与变相返还（国办发〔2024〕28号已明确存量违规条款最晚于2027年8月底前终止执行）、低于成本价供地与代建厂房、定向财政奖补、要素价格优惠承诺等，并将基金招商、订单招商中的变相返利纳入负面情形，防止禁令被金融工程绕开。鼓励事项则应引导地方竞争从“要素让利”转向“生态营造”：人才服务、应用场景开放、公共研发平台、产业配套与营商环境等不可贸易的本地公共品，才是合意的辖区竞争内容——营商环境的持续升级本身就是培育新质生产力、吸引高质量投资的治本之道（王哲琦、杨兰品，2025）。信息披露是清单的执行机制——招商协议主要条款公开、优惠政策备案可查，使违规让利暴露于同级竞争者与上级监督的双重审视之下。风险方面，须防止清单执行“一刀切”冲击存量契约稳定与政府信用，对既有合规协议应予尊重，对违规存量设置有序清理的过渡期；同时应认识到，只要地方政府的财税与考核激励不变，招商冲动就会寻找新的出口，清单治理必须与本章第（六）节的激励重构同步推进方能治本。</w:t>
      </w:r>
    </w:p>
    <w:p>
      <w:pPr>
        <w:spacing w:before="160" w:after="120" w:line="360" w:lineRule="auto"/>
        <w:outlineLvl w:val="2"/>
      </w:pPr>
      <w:r>
        <w:rPr>
          <w:rFonts w:ascii="Times New Roman" w:hAnsi="Times New Roman" w:eastAsia="黑体"/>
          <w:b w:val="0"/>
          <w:sz w:val="24"/>
        </w:rPr>
        <w:t>3．妨碍统一大市场事项清单与动态通报问责</w:t>
      </w:r>
    </w:p>
    <w:p>
      <w:pPr>
        <w:spacing w:before="0" w:after="0" w:line="360" w:lineRule="auto"/>
        <w:ind w:firstLineChars="200" w:firstLine="480"/>
      </w:pPr>
      <w:r>
        <w:rPr>
          <w:rFonts w:ascii="Times New Roman" w:hAnsi="Times New Roman" w:eastAsia="宋体"/>
          <w:b w:val="0"/>
          <w:sz w:val="24"/>
        </w:rPr>
        <w:t>《纲要》要求“完善妨碍建设全国统一大市场事项清单动态更新和通报问责制度”，这是把统一大市场建设从“倡导性要求”转化为“硬约束”的关键装置。其机理在于改变地方政府设置壁垒的成本收益计算：在缺乏问责的条件下，地方保护的收益归本地、成本由外地承担，壁垒行为具有天然的正私人净收益；通报问责通过声誉惩罚与政绩关联，把外部成本内部化。操作要点包括：一是清单动态化，依托经营主体投诉、行业协会报告与大数据监测持续更新妨碍事项类型库，2026年1月市场监管总局公布的2025年综合整治“内卷式”竞争十大典型案例（包括约谈存在算法压价问题的货拉拉、两次约谈外卖平台整治“补贴大战”、对大幅降价新能源汽车开展整车质量国家监督专项抽查等）即属以案示范；二是通报分级化，区分提示、通报、问责三个层级，与整改时限挂钩；三是结果运用制度化，将通报情况纳入营商环境评价与地方考核。风险在于问责的证据标准与地方申诉机制必须完备，防止误伤基于法定职权的正当监管行为，也防止地方以“接诉即改”的表面整改应付通报而壁垒实质未除。</w:t>
      </w:r>
    </w:p>
    <w:p>
      <w:pPr>
        <w:spacing w:before="200" w:after="160" w:line="360" w:lineRule="auto"/>
        <w:outlineLvl w:val="1"/>
      </w:pPr>
      <w:r>
        <w:rPr>
          <w:rFonts w:ascii="Times New Roman" w:hAnsi="Times New Roman" w:eastAsia="黑体"/>
          <w:b w:val="0"/>
          <w:sz w:val="28"/>
        </w:rPr>
        <w:t>（四）综合整治“内卷式”竞争的工具箱设计</w:t>
      </w:r>
    </w:p>
    <w:p>
      <w:pPr>
        <w:spacing w:before="160" w:after="120" w:line="360" w:lineRule="auto"/>
        <w:outlineLvl w:val="2"/>
      </w:pPr>
      <w:r>
        <w:rPr>
          <w:rFonts w:ascii="Times New Roman" w:hAnsi="Times New Roman" w:eastAsia="黑体"/>
          <w:b w:val="0"/>
          <w:sz w:val="24"/>
        </w:rPr>
        <w:t>1．工具箱的构成与选择准则</w:t>
      </w:r>
    </w:p>
    <w:p>
      <w:pPr>
        <w:spacing w:before="0" w:after="0" w:line="360" w:lineRule="auto"/>
        <w:ind w:firstLineChars="200" w:firstLine="480"/>
      </w:pPr>
      <w:r>
        <w:rPr>
          <w:rFonts w:ascii="Times New Roman" w:hAnsi="Times New Roman" w:eastAsia="宋体"/>
          <w:b w:val="0"/>
          <w:sz w:val="24"/>
        </w:rPr>
        <w:t>习近平总书记在《当前经济工作的重点任务》中对“内卷式”竞争治理作出了工具箱式的完整部署：“制定全国统一大市场建设条例，出台地方政府招商引资鼓励和禁止事项清单，综合运用产能调控、标准引领、价格执法、质量监管和反垄断、反不正当竞争等手段，深入整治‘内卷式’竞争，营造良好市场生态。”本书第二章已从政策文本角度解析了这一“一部条例、一份清单、五种手段”的结构，本节的任务是给出工具选择的学理准则。“内卷式”竞争是多重扭曲叠加的综合征，不同工具作用于不同环节、附带不同副作用，工具误配的代价可能高于不治理。为此，本书提出工具选择的净收益准则（见式(11-1)）：</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N</m:t>
            </m:r>
            <m:sSub>
              <m:e>
                <m:r>
                  <m:rPr>
                    <m:sty m:val="i"/>
                  </m:rPr>
                  <m:t>B</m:t>
                </m:r>
              </m:e>
              <m:sub>
                <m:r>
                  <m:rPr>
                    <m:sty m:val="i"/>
                  </m:rPr>
                  <m:t>j</m:t>
                </m:r>
              </m:sub>
            </m:sSub>
            <m:r>
              <m:rPr>
                <m:sty m:val="p"/>
              </m:rPr>
              <m:t>=</m:t>
            </m:r>
            <m:r>
              <m:rPr>
                <m:sty m:val="i"/>
              </m:rPr>
              <m:t>Δ</m:t>
            </m:r>
            <m:sSub>
              <m:e>
                <m:r>
                  <m:rPr>
                    <m:sty m:val="i"/>
                  </m:rPr>
                  <m:t>W</m:t>
                </m:r>
              </m:e>
              <m:sub>
                <m:r>
                  <m:rPr>
                    <m:sty m:val="i"/>
                  </m:rPr>
                  <m:t>j</m:t>
                </m:r>
              </m:sub>
            </m:sSub>
            <m:r>
              <m:rPr>
                <m:sty m:val="p"/>
              </m:rPr>
              <m:t>−</m:t>
            </m:r>
            <m:sSub>
              <m:e>
                <m:r>
                  <m:rPr>
                    <m:sty m:val="i"/>
                  </m:rPr>
                  <m:t>C</m:t>
                </m:r>
              </m:e>
              <m:sub>
                <m:r>
                  <m:rPr>
                    <m:sty m:val="i"/>
                  </m:rPr>
                  <m:t>j</m:t>
                </m:r>
              </m:sub>
            </m:sSub>
            <m:r>
              <m:rPr>
                <m:sty m:val="p"/>
              </m:rPr>
              <m:t>−</m:t>
            </m:r>
            <m:sSub>
              <m:e>
                <m:r>
                  <m:rPr>
                    <m:sty m:val="i"/>
                  </m:rPr>
                  <m:t>ρ</m:t>
                </m:r>
              </m:e>
              <m:sub>
                <m:r>
                  <m:rPr>
                    <m:sty m:val="i"/>
                  </m:rPr>
                  <m:t>j</m:t>
                </m:r>
              </m:sub>
            </m:sSub>
            <m:sSub>
              <m:e>
                <m:r>
                  <m:rPr>
                    <m:sty m:val="i"/>
                  </m:rPr>
                  <m:t>D</m:t>
                </m:r>
              </m:e>
              <m:sub>
                <m:r>
                  <m:rPr>
                    <m:sty m:val="i"/>
                  </m:rPr>
                  <m:t>j</m:t>
                </m:r>
              </m:sub>
            </m:sSub>
          </m:e>
        </m:box>
      </m:oMath>
      <w:r>
        <w:rPr>
          <w:rFonts w:ascii="Times New Roman" w:hAnsi="Times New Roman" w:eastAsia="宋体"/>
          <w:b w:val="0"/>
          <w:sz w:val="24"/>
        </w:rPr>
        <w:tab/>
        <w:t>(11-1)</w:t>
      </w:r>
    </w:p>
    <w:p>
      <w:pPr>
        <w:spacing w:before="0" w:after="0" w:line="360" w:lineRule="auto"/>
        <w:ind w:firstLineChars="200" w:firstLine="480"/>
      </w:pPr>
      <w:r>
        <w:rPr>
          <w:rFonts w:ascii="Times New Roman" w:hAnsi="Times New Roman" w:eastAsia="宋体"/>
          <w:b w:val="0"/>
          <w:sz w:val="24"/>
        </w:rPr>
        <w:t>其中，</w:t>
      </w:r>
      <m:oMath>
        <m:box>
          <m:e>
            <m:r>
              <m:rPr>
                <m:sty m:val="i"/>
              </m:rPr>
              <m:t>N</m:t>
            </m:r>
            <m:sSub>
              <m:e>
                <m:r>
                  <m:rPr>
                    <m:sty m:val="i"/>
                  </m:rPr>
                  <m:t>B</m:t>
                </m:r>
              </m:e>
              <m:sub>
                <m:r>
                  <m:rPr>
                    <m:sty m:val="i"/>
                  </m:rPr>
                  <m:t>j</m:t>
                </m:r>
              </m:sub>
            </m:sSub>
          </m:e>
        </m:box>
      </m:oMath>
      <w:r>
        <w:rPr>
          <w:rFonts w:ascii="Times New Roman" w:hAnsi="Times New Roman" w:eastAsia="宋体"/>
          <w:b w:val="0"/>
          <w:sz w:val="24"/>
        </w:rPr>
        <w:t>为使用工具</w:t>
      </w:r>
      <m:oMath>
        <m:box>
          <m:e>
            <m:r>
              <m:rPr>
                <m:sty m:val="i"/>
              </m:rPr>
              <m:t>j</m:t>
            </m:r>
          </m:e>
        </m:box>
      </m:oMath>
      <w:r>
        <w:rPr>
          <w:rFonts w:ascii="Times New Roman" w:hAnsi="Times New Roman" w:eastAsia="宋体"/>
          <w:b w:val="0"/>
          <w:sz w:val="24"/>
        </w:rPr>
        <w:t>的净治理收益，</w:t>
      </w:r>
      <m:oMath>
        <m:box>
          <m:e>
            <m:r>
              <m:rPr>
                <m:sty m:val="i"/>
              </m:rPr>
              <m:t>Δ</m:t>
            </m:r>
            <m:sSub>
              <m:e>
                <m:r>
                  <m:rPr>
                    <m:sty m:val="i"/>
                  </m:rPr>
                  <m:t>W</m:t>
                </m:r>
              </m:e>
              <m:sub>
                <m:r>
                  <m:rPr>
                    <m:sty m:val="i"/>
                  </m:rPr>
                  <m:t>j</m:t>
                </m:r>
              </m:sub>
            </m:sSub>
          </m:e>
        </m:box>
      </m:oMath>
      <w:r>
        <w:rPr>
          <w:rFonts w:ascii="Times New Roman" w:hAnsi="Times New Roman" w:eastAsia="宋体"/>
          <w:b w:val="0"/>
          <w:sz w:val="24"/>
        </w:rPr>
        <w:t>为该工具矫正扭曲带来的预期福利改善（秩序修复、效率与创新收益），</w:t>
      </w:r>
      <m:oMath>
        <m:box>
          <m:e>
            <m:sSub>
              <m:e>
                <m:r>
                  <m:rPr>
                    <m:sty m:val="i"/>
                  </m:rPr>
                  <m:t>C</m:t>
                </m:r>
              </m:e>
              <m:sub>
                <m:r>
                  <m:rPr>
                    <m:sty m:val="i"/>
                  </m:rPr>
                  <m:t>j</m:t>
                </m:r>
              </m:sub>
            </m:sSub>
          </m:e>
        </m:box>
      </m:oMath>
      <w:r>
        <w:rPr>
          <w:rFonts w:ascii="Times New Roman" w:hAnsi="Times New Roman" w:eastAsia="宋体"/>
          <w:b w:val="0"/>
          <w:sz w:val="24"/>
        </w:rPr>
        <w:t>为行政执行与企业合规成本，</w:t>
      </w:r>
      <m:oMath>
        <m:box>
          <m:e>
            <m:sSub>
              <m:e>
                <m:r>
                  <m:rPr>
                    <m:sty m:val="i"/>
                  </m:rPr>
                  <m:t>ρ</m:t>
                </m:r>
              </m:e>
              <m:sub>
                <m:r>
                  <m:rPr>
                    <m:sty m:val="i"/>
                  </m:rPr>
                  <m:t>j</m:t>
                </m:r>
              </m:sub>
            </m:sSub>
          </m:e>
        </m:box>
      </m:oMath>
      <w:r>
        <w:rPr>
          <w:rFonts w:ascii="Times New Roman" w:hAnsi="Times New Roman" w:eastAsia="宋体"/>
          <w:b w:val="0"/>
          <w:sz w:val="24"/>
        </w:rPr>
        <w:t>为工具被误用或误伤正常竞争的概率，</w:t>
      </w:r>
      <m:oMath>
        <m:box>
          <m:e>
            <m:sSub>
              <m:e>
                <m:r>
                  <m:rPr>
                    <m:sty m:val="i"/>
                  </m:rPr>
                  <m:t>D</m:t>
                </m:r>
              </m:e>
              <m:sub>
                <m:r>
                  <m:rPr>
                    <m:sty m:val="i"/>
                  </m:rPr>
                  <m:t>j</m:t>
                </m:r>
              </m:sub>
            </m:sSub>
          </m:e>
        </m:box>
      </m:oMath>
      <w:r>
        <w:rPr>
          <w:rFonts w:ascii="Times New Roman" w:hAnsi="Times New Roman" w:eastAsia="宋体"/>
          <w:b w:val="0"/>
          <w:sz w:val="24"/>
        </w:rPr>
        <w:t>为误用造成的扭曲损失。该准则的政策含义有三：其一，只有</w:t>
      </w:r>
      <m:oMath>
        <m:box>
          <m:e>
            <m:r>
              <m:rPr>
                <m:sty m:val="i"/>
              </m:rPr>
              <m:t>N</m:t>
            </m:r>
            <m:sSub>
              <m:e>
                <m:r>
                  <m:rPr>
                    <m:sty m:val="i"/>
                  </m:rPr>
                  <m:t>B</m:t>
                </m:r>
              </m:e>
              <m:sub>
                <m:r>
                  <m:rPr>
                    <m:sty m:val="i"/>
                  </m:rPr>
                  <m:t>j</m:t>
                </m:r>
              </m:sub>
            </m:sSub>
            <m:r>
              <m:rPr>
                <m:sty m:val="p"/>
              </m:rPr>
              <m:t>&gt;</m:t>
            </m:r>
            <m:r>
              <m:rPr>
                <m:sty m:val="p"/>
              </m:rPr>
              <m:t>0</m:t>
            </m:r>
          </m:e>
        </m:box>
      </m:oMath>
      <w:r>
        <w:rPr>
          <w:rFonts w:ascii="Times New Roman" w:hAnsi="Times New Roman" w:eastAsia="宋体"/>
          <w:b w:val="0"/>
          <w:sz w:val="24"/>
        </w:rPr>
        <w:t>的工具才应启用，且应优先选择</w:t>
      </w:r>
      <m:oMath>
        <m:box>
          <m:e>
            <m:r>
              <m:rPr>
                <m:sty m:val="i"/>
              </m:rPr>
              <m:t>Δ</m:t>
            </m:r>
            <m:sSub>
              <m:e>
                <m:r>
                  <m:rPr>
                    <m:sty m:val="i"/>
                  </m:rPr>
                  <m:t>W</m:t>
                </m:r>
              </m:e>
              <m:sub>
                <m:r>
                  <m:rPr>
                    <m:sty m:val="i"/>
                  </m:rPr>
                  <m:t>j</m:t>
                </m:r>
              </m:sub>
            </m:sSub>
          </m:e>
        </m:box>
      </m:oMath>
      <w:r>
        <w:rPr>
          <w:rFonts w:ascii="Times New Roman" w:hAnsi="Times New Roman" w:eastAsia="宋体"/>
          <w:b w:val="0"/>
          <w:sz w:val="24"/>
        </w:rPr>
        <w:t>大、</w:t>
      </w:r>
      <m:oMath>
        <m:box>
          <m:e>
            <m:sSub>
              <m:e>
                <m:r>
                  <m:rPr>
                    <m:sty m:val="i"/>
                  </m:rPr>
                  <m:t>ρ</m:t>
                </m:r>
              </m:e>
              <m:sub>
                <m:r>
                  <m:rPr>
                    <m:sty m:val="i"/>
                  </m:rPr>
                  <m:t>j</m:t>
                </m:r>
              </m:sub>
            </m:sSub>
          </m:e>
        </m:box>
      </m:oMath>
      <w:r>
        <w:rPr>
          <w:rFonts w:ascii="Times New Roman" w:hAnsi="Times New Roman" w:eastAsia="宋体"/>
          <w:b w:val="0"/>
          <w:sz w:val="24"/>
        </w:rPr>
        <w:t>低的规则型工具（标准、审查、执法），慎用</w:t>
      </w:r>
      <m:oMath>
        <m:box>
          <m:e>
            <m:sSub>
              <m:e>
                <m:r>
                  <m:rPr>
                    <m:sty m:val="i"/>
                  </m:rPr>
                  <m:t>ρ</m:t>
                </m:r>
              </m:e>
              <m:sub>
                <m:r>
                  <m:rPr>
                    <m:sty m:val="i"/>
                  </m:rPr>
                  <m:t>j</m:t>
                </m:r>
              </m:sub>
            </m:sSub>
          </m:e>
        </m:box>
      </m:oMath>
      <w:r>
        <w:rPr>
          <w:rFonts w:ascii="Times New Roman" w:hAnsi="Times New Roman" w:eastAsia="宋体"/>
          <w:b w:val="0"/>
          <w:sz w:val="24"/>
        </w:rPr>
        <w:t>高的裁量型工具（行政性产能干预）；其二，</w:t>
      </w:r>
      <m:oMath>
        <m:box>
          <m:e>
            <m:sSub>
              <m:e>
                <m:r>
                  <m:rPr>
                    <m:sty m:val="i"/>
                  </m:rPr>
                  <m:t>ρ</m:t>
                </m:r>
              </m:e>
              <m:sub>
                <m:r>
                  <m:rPr>
                    <m:sty m:val="i"/>
                  </m:rPr>
                  <m:t>j</m:t>
                </m:r>
              </m:sub>
            </m:sSub>
          </m:e>
        </m:box>
      </m:oMath>
      <w:r>
        <w:rPr>
          <w:rFonts w:ascii="Times New Roman" w:hAnsi="Times New Roman" w:eastAsia="宋体"/>
          <w:b w:val="0"/>
          <w:sz w:val="24"/>
        </w:rPr>
        <w:t>与</w:t>
      </w:r>
      <m:oMath>
        <m:box>
          <m:e>
            <m:sSub>
              <m:e>
                <m:r>
                  <m:rPr>
                    <m:sty m:val="i"/>
                  </m:rPr>
                  <m:t>D</m:t>
                </m:r>
              </m:e>
              <m:sub>
                <m:r>
                  <m:rPr>
                    <m:sty m:val="i"/>
                  </m:rPr>
                  <m:t>j</m:t>
                </m:r>
              </m:sub>
            </m:sSub>
          </m:e>
        </m:box>
      </m:oMath>
      <w:r>
        <w:rPr>
          <w:rFonts w:ascii="Times New Roman" w:hAnsi="Times New Roman" w:eastAsia="宋体"/>
          <w:b w:val="0"/>
          <w:sz w:val="24"/>
        </w:rPr>
        <w:t>取决于法治化程度，程序约束（立案标准、听证、评估、日落条款）是压低误用风险的关键；其三，工具之间存在互补与替代关系，症状治理工具（价格执法、质量监管）见效快但不可持续，根源治理工具（激励重构、退出制度）见效慢但收益持久，最优组合是“先止血、后除根”的跨期搭配。从法律实施的角度看，反垄断与反不正当竞争框架为“内卷”治理提供了最具确定性的规则容器（李剑、胡寅，2026），行政手段应尽可能导入这一容器而非另起炉灶。</w:t>
      </w:r>
    </w:p>
    <w:p>
      <w:pPr>
        <w:spacing w:before="160" w:after="120" w:line="360" w:lineRule="auto"/>
        <w:outlineLvl w:val="2"/>
      </w:pPr>
      <w:r>
        <w:rPr>
          <w:rFonts w:ascii="Times New Roman" w:hAnsi="Times New Roman" w:eastAsia="黑体"/>
          <w:b w:val="0"/>
          <w:sz w:val="24"/>
        </w:rPr>
        <w:t>2．六大工具的适用条件矩阵</w:t>
      </w:r>
    </w:p>
    <w:p>
      <w:pPr>
        <w:spacing w:before="0" w:after="0" w:line="360" w:lineRule="auto"/>
        <w:ind w:firstLineChars="200" w:firstLine="480"/>
      </w:pPr>
      <w:r>
        <w:rPr>
          <w:rFonts w:ascii="Times New Roman" w:hAnsi="Times New Roman" w:eastAsia="宋体"/>
          <w:b w:val="0"/>
          <w:sz w:val="24"/>
        </w:rPr>
        <w:t>依据上述准则，并结合本书第十章光伏、汽车、平台三大案例的治理实践，表11.1给出了六种治理工具的适用条件矩阵（见表11.1）。</w:t>
      </w:r>
    </w:p>
    <w:p>
      <w:pPr>
        <w:spacing w:before="160" w:after="80" w:line="312" w:lineRule="auto"/>
        <w:jc w:val="center"/>
      </w:pPr>
      <w:r>
        <w:rPr>
          <w:rFonts w:ascii="Times New Roman" w:hAnsi="Times New Roman" w:eastAsia="黑体"/>
          <w:b w:val="0"/>
          <w:sz w:val="21"/>
        </w:rPr>
        <w:t>表11.1　“内卷式”竞争治理工具适用条件矩阵</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1701"/>
        <w:gridCol w:w="1701"/>
        <w:gridCol w:w="1701"/>
        <w:gridCol w:w="1701"/>
        <w:gridCol w:w="1701"/>
      </w:tblGrid>
      <w:tr>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治理工具</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适用条件</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作用环节（对应扭曲）</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潜在副作用</w:t>
            </w:r>
          </w:p>
        </w:tc>
        <w:tc>
          <w:tcPr>
            <w:tcW w:type="dxa" w:w="1701"/>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典型应用（案例回引）</w:t>
            </w:r>
          </w:p>
        </w:tc>
      </w:tr>
      <w:tr>
        <w:tc>
          <w:tcPr>
            <w:tcW w:type="dxa" w:w="1701"/>
          </w:tcPr>
          <w:p>
            <w:pPr>
              <w:spacing w:before="20" w:after="20" w:line="276" w:lineRule="auto"/>
              <w:jc w:val="left"/>
            </w:pPr>
            <w:r/>
            <w:r>
              <w:rPr>
                <w:rFonts w:ascii="Times New Roman" w:hAnsi="Times New Roman" w:eastAsia="宋体"/>
                <w:b w:val="0"/>
                <w:sz w:val="21"/>
              </w:rPr>
              <w:t>产能调控</w:t>
            </w:r>
          </w:p>
        </w:tc>
        <w:tc>
          <w:tcPr>
            <w:tcW w:type="dxa" w:w="1701"/>
          </w:tcPr>
          <w:p>
            <w:pPr>
              <w:spacing w:before="20" w:after="20" w:line="276" w:lineRule="auto"/>
              <w:jc w:val="left"/>
            </w:pPr>
            <w:r/>
            <w:r>
              <w:rPr>
                <w:rFonts w:ascii="Times New Roman" w:hAnsi="Times New Roman" w:eastAsia="宋体"/>
                <w:b w:val="0"/>
                <w:sz w:val="21"/>
              </w:rPr>
              <w:t>产能利用率持续大幅低于合理区间、全行业亏损与退出失灵并存、产品高度同质</w:t>
            </w:r>
          </w:p>
        </w:tc>
        <w:tc>
          <w:tcPr>
            <w:tcW w:type="dxa" w:w="1701"/>
          </w:tcPr>
          <w:p>
            <w:pPr>
              <w:spacing w:before="20" w:after="20" w:line="276" w:lineRule="auto"/>
              <w:jc w:val="left"/>
            </w:pPr>
            <w:r/>
            <w:r>
              <w:rPr>
                <w:rFonts w:ascii="Times New Roman" w:hAnsi="Times New Roman" w:eastAsia="宋体"/>
                <w:b w:val="0"/>
                <w:sz w:val="21"/>
              </w:rPr>
              <w:t>存量出清与增量准入（退出机制失灵、地方激励扭曲）</w:t>
            </w:r>
          </w:p>
        </w:tc>
        <w:tc>
          <w:tcPr>
            <w:tcW w:type="dxa" w:w="1701"/>
          </w:tcPr>
          <w:p>
            <w:pPr>
              <w:spacing w:before="20" w:after="20" w:line="276" w:lineRule="auto"/>
              <w:jc w:val="left"/>
            </w:pPr>
            <w:r/>
            <w:r>
              <w:rPr>
                <w:rFonts w:ascii="Times New Roman" w:hAnsi="Times New Roman" w:eastAsia="宋体"/>
                <w:b w:val="0"/>
                <w:sz w:val="21"/>
              </w:rPr>
              <w:t>行政化配额复归、保护落后产能、寻租空间</w:t>
            </w:r>
          </w:p>
        </w:tc>
        <w:tc>
          <w:tcPr>
            <w:tcW w:type="dxa" w:w="1701"/>
          </w:tcPr>
          <w:p>
            <w:pPr>
              <w:spacing w:before="20" w:after="20" w:line="276" w:lineRule="auto"/>
              <w:jc w:val="left"/>
            </w:pPr>
            <w:r/>
            <w:r>
              <w:rPr>
                <w:rFonts w:ascii="Times New Roman" w:hAnsi="Times New Roman" w:eastAsia="宋体"/>
                <w:b w:val="0"/>
                <w:sz w:val="21"/>
              </w:rPr>
              <w:t>光伏：项目最低资本金比例由20%提高至30%；多晶硅产能收储联合体“光和谦成”拟以700亿元基金承债式收购过剩产能</w:t>
            </w:r>
          </w:p>
        </w:tc>
      </w:tr>
      <w:tr>
        <w:tc>
          <w:tcPr>
            <w:tcW w:type="dxa" w:w="1701"/>
          </w:tcPr>
          <w:p>
            <w:pPr>
              <w:spacing w:before="20" w:after="20" w:line="276" w:lineRule="auto"/>
              <w:jc w:val="left"/>
            </w:pPr>
            <w:r/>
            <w:r>
              <w:rPr>
                <w:rFonts w:ascii="Times New Roman" w:hAnsi="Times New Roman" w:eastAsia="宋体"/>
                <w:b w:val="0"/>
                <w:sz w:val="21"/>
              </w:rPr>
              <w:t>标准引领</w:t>
            </w:r>
          </w:p>
        </w:tc>
        <w:tc>
          <w:tcPr>
            <w:tcW w:type="dxa" w:w="1701"/>
          </w:tcPr>
          <w:p>
            <w:pPr>
              <w:spacing w:before="20" w:after="20" w:line="276" w:lineRule="auto"/>
              <w:jc w:val="left"/>
            </w:pPr>
            <w:r/>
            <w:r>
              <w:rPr>
                <w:rFonts w:ascii="Times New Roman" w:hAnsi="Times New Roman" w:eastAsia="宋体"/>
                <w:b w:val="0"/>
                <w:sz w:val="21"/>
              </w:rPr>
              <w:t>能耗、质量、安全外部性明显，低端产能可由技术指标客观甄别</w:t>
            </w:r>
          </w:p>
        </w:tc>
        <w:tc>
          <w:tcPr>
            <w:tcW w:type="dxa" w:w="1701"/>
          </w:tcPr>
          <w:p>
            <w:pPr>
              <w:spacing w:before="20" w:after="20" w:line="276" w:lineRule="auto"/>
              <w:jc w:val="left"/>
            </w:pPr>
            <w:r/>
            <w:r>
              <w:rPr>
                <w:rFonts w:ascii="Times New Roman" w:hAnsi="Times New Roman" w:eastAsia="宋体"/>
                <w:b w:val="0"/>
                <w:sz w:val="21"/>
              </w:rPr>
              <w:t>进入门槛与产品分层（要素价格扭曲、同质化）</w:t>
            </w:r>
          </w:p>
        </w:tc>
        <w:tc>
          <w:tcPr>
            <w:tcW w:type="dxa" w:w="1701"/>
          </w:tcPr>
          <w:p>
            <w:pPr>
              <w:spacing w:before="20" w:after="20" w:line="276" w:lineRule="auto"/>
              <w:jc w:val="left"/>
            </w:pPr>
            <w:r/>
            <w:r>
              <w:rPr>
                <w:rFonts w:ascii="Times New Roman" w:hAnsi="Times New Roman" w:eastAsia="宋体"/>
                <w:b w:val="0"/>
                <w:sz w:val="21"/>
              </w:rPr>
              <w:t>标准过严挤压中小企业、标准滞后于技术迭代</w:t>
            </w:r>
          </w:p>
        </w:tc>
        <w:tc>
          <w:tcPr>
            <w:tcW w:type="dxa" w:w="1701"/>
          </w:tcPr>
          <w:p>
            <w:pPr>
              <w:spacing w:before="20" w:after="20" w:line="276" w:lineRule="auto"/>
              <w:jc w:val="left"/>
            </w:pPr>
            <w:r/>
            <w:r>
              <w:rPr>
                <w:rFonts w:ascii="Times New Roman" w:hAnsi="Times New Roman" w:eastAsia="宋体"/>
                <w:b w:val="0"/>
                <w:sz w:val="21"/>
              </w:rPr>
              <w:t>光伏：《光伏制造行业规范条件（2024年本）》能耗与资本金要求；汽车：智能网联汽车准入管理与“组合辅助驾驶”宣传规范</w:t>
            </w:r>
          </w:p>
        </w:tc>
      </w:tr>
      <w:tr>
        <w:tc>
          <w:tcPr>
            <w:tcW w:type="dxa" w:w="1701"/>
          </w:tcPr>
          <w:p>
            <w:pPr>
              <w:spacing w:before="20" w:after="20" w:line="276" w:lineRule="auto"/>
              <w:jc w:val="left"/>
            </w:pPr>
            <w:r/>
            <w:r>
              <w:rPr>
                <w:rFonts w:ascii="Times New Roman" w:hAnsi="Times New Roman" w:eastAsia="宋体"/>
                <w:b w:val="0"/>
                <w:sz w:val="21"/>
              </w:rPr>
              <w:t>价格执法</w:t>
            </w:r>
          </w:p>
        </w:tc>
        <w:tc>
          <w:tcPr>
            <w:tcW w:type="dxa" w:w="1701"/>
          </w:tcPr>
          <w:p>
            <w:pPr>
              <w:spacing w:before="20" w:after="20" w:line="276" w:lineRule="auto"/>
              <w:jc w:val="left"/>
            </w:pPr>
            <w:r/>
            <w:r>
              <w:rPr>
                <w:rFonts w:ascii="Times New Roman" w:hAnsi="Times New Roman" w:eastAsia="宋体"/>
                <w:b w:val="0"/>
                <w:sz w:val="21"/>
              </w:rPr>
              <w:t>存在低于成本销售且有排挤竞争、独占市场意图的证据，成本基准可核定</w:t>
            </w:r>
          </w:p>
        </w:tc>
        <w:tc>
          <w:tcPr>
            <w:tcW w:type="dxa" w:w="1701"/>
          </w:tcPr>
          <w:p>
            <w:pPr>
              <w:spacing w:before="20" w:after="20" w:line="276" w:lineRule="auto"/>
              <w:jc w:val="left"/>
            </w:pPr>
            <w:r/>
            <w:r>
              <w:rPr>
                <w:rFonts w:ascii="Times New Roman" w:hAnsi="Times New Roman" w:eastAsia="宋体"/>
                <w:b w:val="0"/>
                <w:sz w:val="21"/>
              </w:rPr>
              <w:t>价格行为矫正（价格竞争烈度）</w:t>
            </w:r>
          </w:p>
        </w:tc>
        <w:tc>
          <w:tcPr>
            <w:tcW w:type="dxa" w:w="1701"/>
          </w:tcPr>
          <w:p>
            <w:pPr>
              <w:spacing w:before="20" w:after="20" w:line="276" w:lineRule="auto"/>
              <w:jc w:val="left"/>
            </w:pPr>
            <w:r/>
            <w:r>
              <w:rPr>
                <w:rFonts w:ascii="Times New Roman" w:hAnsi="Times New Roman" w:eastAsia="宋体"/>
                <w:b w:val="0"/>
                <w:sz w:val="21"/>
              </w:rPr>
              <w:t>误伤正常促销与效率型低价，成本认定争议</w:t>
            </w:r>
          </w:p>
        </w:tc>
        <w:tc>
          <w:tcPr>
            <w:tcW w:type="dxa" w:w="1701"/>
          </w:tcPr>
          <w:p>
            <w:pPr>
              <w:spacing w:before="20" w:after="20" w:line="276" w:lineRule="auto"/>
              <w:jc w:val="left"/>
            </w:pPr>
            <w:r/>
            <w:r>
              <w:rPr>
                <w:rFonts w:ascii="Times New Roman" w:hAnsi="Times New Roman" w:eastAsia="宋体"/>
                <w:b w:val="0"/>
                <w:sz w:val="21"/>
              </w:rPr>
              <w:t>光伏：CPIA公布组件含税最低成本0.68元/W、明确低于成本投标中标涉嫌违法；汽车：2026年6月工信部、市场监管总局依据《价格法》等约谈涉嫌非理性竞争车企</w:t>
            </w:r>
          </w:p>
        </w:tc>
      </w:tr>
      <w:tr>
        <w:tc>
          <w:tcPr>
            <w:tcW w:type="dxa" w:w="1701"/>
          </w:tcPr>
          <w:p>
            <w:pPr>
              <w:spacing w:before="20" w:after="20" w:line="276" w:lineRule="auto"/>
              <w:jc w:val="left"/>
            </w:pPr>
            <w:r/>
            <w:r>
              <w:rPr>
                <w:rFonts w:ascii="Times New Roman" w:hAnsi="Times New Roman" w:eastAsia="宋体"/>
                <w:b w:val="0"/>
                <w:sz w:val="21"/>
              </w:rPr>
              <w:t>质量监管</w:t>
            </w:r>
          </w:p>
        </w:tc>
        <w:tc>
          <w:tcPr>
            <w:tcW w:type="dxa" w:w="1701"/>
          </w:tcPr>
          <w:p>
            <w:pPr>
              <w:spacing w:before="20" w:after="20" w:line="276" w:lineRule="auto"/>
              <w:jc w:val="left"/>
            </w:pPr>
            <w:r/>
            <w:r>
              <w:rPr>
                <w:rFonts w:ascii="Times New Roman" w:hAnsi="Times New Roman" w:eastAsia="宋体"/>
                <w:b w:val="0"/>
                <w:sz w:val="21"/>
              </w:rPr>
              <w:t>降价伴随质量缩水风险、消费者信息不对称突出</w:t>
            </w:r>
          </w:p>
        </w:tc>
        <w:tc>
          <w:tcPr>
            <w:tcW w:type="dxa" w:w="1701"/>
          </w:tcPr>
          <w:p>
            <w:pPr>
              <w:spacing w:before="20" w:after="20" w:line="276" w:lineRule="auto"/>
              <w:jc w:val="left"/>
            </w:pPr>
            <w:r/>
            <w:r>
              <w:rPr>
                <w:rFonts w:ascii="Times New Roman" w:hAnsi="Times New Roman" w:eastAsia="宋体"/>
                <w:b w:val="0"/>
                <w:sz w:val="21"/>
              </w:rPr>
              <w:t>质量底线与优质优价（防“劣币驱逐良币”）</w:t>
            </w:r>
          </w:p>
        </w:tc>
        <w:tc>
          <w:tcPr>
            <w:tcW w:type="dxa" w:w="1701"/>
          </w:tcPr>
          <w:p>
            <w:pPr>
              <w:spacing w:before="20" w:after="20" w:line="276" w:lineRule="auto"/>
              <w:jc w:val="left"/>
            </w:pPr>
            <w:r/>
            <w:r>
              <w:rPr>
                <w:rFonts w:ascii="Times New Roman" w:hAnsi="Times New Roman" w:eastAsia="宋体"/>
                <w:b w:val="0"/>
                <w:sz w:val="21"/>
              </w:rPr>
              <w:t>抽查覆盖有限、执行尺度不一</w:t>
            </w:r>
          </w:p>
        </w:tc>
        <w:tc>
          <w:tcPr>
            <w:tcW w:type="dxa" w:w="1701"/>
          </w:tcPr>
          <w:p>
            <w:pPr>
              <w:spacing w:before="20" w:after="20" w:line="276" w:lineRule="auto"/>
              <w:jc w:val="left"/>
            </w:pPr>
            <w:r/>
            <w:r>
              <w:rPr>
                <w:rFonts w:ascii="Times New Roman" w:hAnsi="Times New Roman" w:eastAsia="宋体"/>
                <w:b w:val="0"/>
                <w:sz w:val="21"/>
              </w:rPr>
              <w:t>汽车：新能源汽车整车质量国家监督专项抽查聚焦大幅降价车型（2025年十大典型案例之一）</w:t>
            </w:r>
          </w:p>
        </w:tc>
      </w:tr>
      <w:tr>
        <w:tc>
          <w:tcPr>
            <w:tcW w:type="dxa" w:w="1701"/>
          </w:tcPr>
          <w:p>
            <w:pPr>
              <w:spacing w:before="20" w:after="20" w:line="276" w:lineRule="auto"/>
              <w:jc w:val="left"/>
            </w:pPr>
            <w:r/>
            <w:r>
              <w:rPr>
                <w:rFonts w:ascii="Times New Roman" w:hAnsi="Times New Roman" w:eastAsia="宋体"/>
                <w:b w:val="0"/>
                <w:sz w:val="21"/>
              </w:rPr>
              <w:t>反垄断</w:t>
            </w:r>
          </w:p>
        </w:tc>
        <w:tc>
          <w:tcPr>
            <w:tcW w:type="dxa" w:w="1701"/>
          </w:tcPr>
          <w:p>
            <w:pPr>
              <w:spacing w:before="20" w:after="20" w:line="276" w:lineRule="auto"/>
              <w:jc w:val="left"/>
            </w:pPr>
            <w:r/>
            <w:r>
              <w:rPr>
                <w:rFonts w:ascii="Times New Roman" w:hAnsi="Times New Roman" w:eastAsia="宋体"/>
                <w:b w:val="0"/>
                <w:sz w:val="21"/>
              </w:rPr>
              <w:t>经营者具有市场支配地位或达成垄断协议，存在行政性垄断行为</w:t>
            </w:r>
          </w:p>
        </w:tc>
        <w:tc>
          <w:tcPr>
            <w:tcW w:type="dxa" w:w="1701"/>
          </w:tcPr>
          <w:p>
            <w:pPr>
              <w:spacing w:before="20" w:after="20" w:line="276" w:lineRule="auto"/>
              <w:jc w:val="left"/>
            </w:pPr>
            <w:r/>
            <w:r>
              <w:rPr>
                <w:rFonts w:ascii="Times New Roman" w:hAnsi="Times New Roman" w:eastAsia="宋体"/>
                <w:b w:val="0"/>
                <w:sz w:val="21"/>
              </w:rPr>
              <w:t>市场结构与行政行为（监管分割、滥用行政权力）</w:t>
            </w:r>
          </w:p>
        </w:tc>
        <w:tc>
          <w:tcPr>
            <w:tcW w:type="dxa" w:w="1701"/>
          </w:tcPr>
          <w:p>
            <w:pPr>
              <w:spacing w:before="20" w:after="20" w:line="276" w:lineRule="auto"/>
              <w:jc w:val="left"/>
            </w:pPr>
            <w:r/>
            <w:r>
              <w:rPr>
                <w:rFonts w:ascii="Times New Roman" w:hAnsi="Times New Roman" w:eastAsia="宋体"/>
                <w:b w:val="0"/>
                <w:sz w:val="21"/>
              </w:rPr>
              <w:t>执法周期长、认定门槛高</w:t>
            </w:r>
          </w:p>
        </w:tc>
        <w:tc>
          <w:tcPr>
            <w:tcW w:type="dxa" w:w="1701"/>
          </w:tcPr>
          <w:p>
            <w:pPr>
              <w:spacing w:before="20" w:after="20" w:line="276" w:lineRule="auto"/>
              <w:jc w:val="left"/>
            </w:pPr>
            <w:r/>
            <w:r>
              <w:rPr>
                <w:rFonts w:ascii="Times New Roman" w:hAnsi="Times New Roman" w:eastAsia="宋体"/>
                <w:b w:val="0"/>
                <w:sz w:val="21"/>
              </w:rPr>
              <w:t>制度：滥用行政权力排除限制竞争专项执法2025年立案96件、办结75件；制定重点领域反垄断指南指引</w:t>
            </w:r>
          </w:p>
        </w:tc>
      </w:tr>
      <w:tr>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反不正当竞争</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平台强制低于成本销售、虚假宣传等行为可识别、可取证</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竞争行为规范（平台生态治理）</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平台自治规则与法律边界模糊</w:t>
            </w:r>
          </w:p>
        </w:tc>
        <w:tc>
          <w:tcPr>
            <w:tcW w:type="dxa" w:w="1701"/>
            <w:tcBorders>
              <w:bottom w:val="single" w:sz="12" w:color="000000"/>
            </w:tcBorders>
          </w:tcPr>
          <w:p>
            <w:pPr>
              <w:spacing w:before="20" w:after="20" w:line="276" w:lineRule="auto"/>
              <w:jc w:val="left"/>
            </w:pPr>
            <w:r/>
            <w:r>
              <w:rPr>
                <w:rFonts w:ascii="Times New Roman" w:hAnsi="Times New Roman" w:eastAsia="宋体"/>
                <w:b w:val="0"/>
                <w:sz w:val="21"/>
              </w:rPr>
              <w:t>平台：新《反不正当竞争法》第十四条禁止平台强制平台内经营者低于成本销售（可处5万—50万元、情节严重50万—200万元罚款）；外卖平台两次被约谈、“0元购”式促销被叫停</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11.1传递的核心信息是：没有任何单一工具能够独立治理“内卷”。产能调控与标准引领作用于供给结构，价格执法与质量监管作用于竞争行为，反垄断与反不正当竞争作用于竞争秩序，三组工具分别对应“内卷”的存量、流量与规则三个层面。从三大案例的治理实践看，光伏采用了“标准引领＋行业自律＋市场化收储”的组合，汽车采用了“价格执法威慑＋账期治理＋质量监管”的组合，平台采用了“约谈＋立法（反不正当竞争法平台条款）”的组合，工具搭配均体现了行业异质性：产能沉淀性强的光伏侧重存量出清，链条主导权失衡的汽车侧重交易条件矫正，双边市场特征的平台侧重行为规则。这印证了矩阵设计的基本理念——适用条件而非工具本身，决定治理成败。</w:t>
      </w:r>
    </w:p>
    <w:p>
      <w:pPr>
        <w:spacing w:before="160" w:after="120" w:line="360" w:lineRule="auto"/>
        <w:outlineLvl w:val="2"/>
      </w:pPr>
      <w:r>
        <w:rPr>
          <w:rFonts w:ascii="Times New Roman" w:hAnsi="Times New Roman" w:eastAsia="黑体"/>
          <w:b w:val="0"/>
          <w:sz w:val="24"/>
        </w:rPr>
        <w:t>3．重点工具的操作边界：产能调控与价格执法</w:t>
      </w:r>
    </w:p>
    <w:p>
      <w:pPr>
        <w:spacing w:before="0" w:after="0" w:line="360" w:lineRule="auto"/>
        <w:ind w:firstLineChars="200" w:firstLine="480"/>
      </w:pPr>
      <w:r>
        <w:rPr>
          <w:rFonts w:ascii="Times New Roman" w:hAnsi="Times New Roman" w:eastAsia="宋体"/>
          <w:b w:val="0"/>
          <w:sz w:val="24"/>
        </w:rPr>
        <w:t>产能调控是六种工具中裁量性最强、历史包袱最重的一种，须格外审慎。中国式产能过剩的历史考察表明，历轮行政化去产能虽能短期收缩供给，却往往伴随“越调越剩”的循环，因为行政标准难以甄别真实效率、且为下一轮地方干预留下了制度接口（梁泳梅，2024）。“潮涌现象”理论亦提示，发展中国家对前景良好产业的投资共识本身就会引致协调失灵型过剩，政府的恰当角色是提供产业信息与预警、完善事前协调，而非直接分配产能指标（林毅夫等，2010）。“十五五”时期的产能调控应坚持三条边界：第一，标准化而非指标化——通过能耗、环保、质量、安全等普适标准划定退出线，让所有企业面对同一把尺子，光伏行业将项目最低资本金比例由20%提高至30%即属此类规则型调控；第二，市场化而非行政化——出清的组织方式优先采用企业自愿参与的市场化安排，多晶硅行业由11家企业组建、注册资本30亿元、拟以700亿元基金承债式收购过剩产能的“光和谦成”收储平台，是值得观察的市场化出清试验，但其成败取决于收购定价是否反映资产真实价值，若演变为“劣后产能高价套现”，则不啻为对落后产能的变相补贴；第三，临时性而非常态化——任何产能干预都应设定日落条款，防止应急机制固化为常设审批。至于设立财政出资的行政性“产能出清基金”，本书持谨慎态度：在信息不对称条件下，此类基金极易发生逆向选择——最积极申请退出补偿的往往是本就无望的边际产能，财政资金实际上为亏损兜底，反而钝化了投资纪律。</w:t>
      </w:r>
    </w:p>
    <w:p>
      <w:pPr>
        <w:spacing w:before="0" w:after="0" w:line="360" w:lineRule="auto"/>
        <w:ind w:firstLineChars="200" w:firstLine="480"/>
      </w:pPr>
      <w:r>
        <w:rPr>
          <w:rFonts w:ascii="Times New Roman" w:hAnsi="Times New Roman" w:eastAsia="宋体"/>
          <w:b w:val="0"/>
          <w:sz w:val="24"/>
        </w:rPr>
        <w:t>价格执法的关键难题是低于成本销售的认定。其一是成本口径：以现金成本还是完全成本为基准，直接决定认定门槛的高低，光伏行业中国光伏行业协会测算并公布组件含税最低成本（2024年10月为0.68元/W，12月更新为0.69元/W）供招投标参考的做法，为成本基准的行业化、动态化提供了样本，但协会测算的法律效力与更新机制仍需制度确认；其二是意图与效果证明：正常清库存、新品推广期定价与掠夺性定价的界限，须结合持续时间、市场地位、排挤效果综合判断，反垄断法上掠夺性定价认定的成熟框架应被吸收进“内卷”治理（张晨颖，2023）；其三是平台场景的特殊性：补贴大战中低于成本销售的实施主体是平台而非商家，新《反不正当竞争法》第十四条禁止平台强制或变相强制平台内经营者低于成本销售，恰是针对这一结构的规则创新。价格执法的边界意识尤为重要：执法对象是“以排挤竞争对手或者独占市场为目的”的定价行为，而非低价本身——把价格执法泛化为价格管制，将直接损害竞争机制的核心功能，这是“反内卷”与“反竞争”的分水岭。</w:t>
      </w:r>
    </w:p>
    <w:p>
      <w:pPr>
        <w:spacing w:before="200" w:after="160" w:line="360" w:lineRule="auto"/>
        <w:outlineLvl w:val="1"/>
      </w:pPr>
      <w:r>
        <w:rPr>
          <w:rFonts w:ascii="Times New Roman" w:hAnsi="Times New Roman" w:eastAsia="黑体"/>
          <w:b w:val="0"/>
          <w:sz w:val="28"/>
        </w:rPr>
        <w:t>（五）深化要素市场化配置与市场设施高标准联通</w:t>
      </w:r>
    </w:p>
    <w:p>
      <w:pPr>
        <w:spacing w:before="160" w:after="120" w:line="360" w:lineRule="auto"/>
        <w:outlineLvl w:val="2"/>
      </w:pPr>
      <w:r>
        <w:rPr>
          <w:rFonts w:ascii="Times New Roman" w:hAnsi="Times New Roman" w:eastAsia="黑体"/>
          <w:b w:val="0"/>
          <w:sz w:val="24"/>
        </w:rPr>
        <w:t>1．要素市场化：统一大市场建设的“下一程”</w:t>
      </w:r>
    </w:p>
    <w:p>
      <w:pPr>
        <w:spacing w:before="0" w:after="0" w:line="360" w:lineRule="auto"/>
        <w:ind w:firstLineChars="200" w:firstLine="480"/>
      </w:pPr>
      <w:r>
        <w:rPr>
          <w:rFonts w:ascii="Times New Roman" w:hAnsi="Times New Roman" w:eastAsia="宋体"/>
          <w:b w:val="0"/>
          <w:sz w:val="24"/>
        </w:rPr>
        <w:t>如果说商品市场的统一在过去二十余年已取得长足进展，要素市场则是统一大市场建设名副其实的“下一程”。本书第七章的测度显示：2024年要素市场分割指数为3.34，约为商品市场（1.97）的1.7倍；2012—2024年商品市场分割指数下降25.7%，而要素市场仅下降13.9%，收敛速度不足商品市场的六成。基于微观企业数据的要素市场一体化测度同样发现，要素配置的地区壁垒显著高于产品市场（戴若尘等，2025）。要素分割之所以危害更深，在于它同时喂养两重扭曲：低价供地、电价优惠、信贷倾斜等要素让利直接构成第三章所述要素价格扭曲，使企业的私人成本系统性低于社会成本，诱发过度进入；而户籍、社保等对劳动力流动的制度约束则限制了需求侧的空间再配置——研究表明，农民工跨地区流动性下降已对总产出造成可观损失（马草原等，2023），劳动力回流与本地锁定同时削弱了流入地的供给能力与流出地的消费能力。</w:t>
      </w:r>
    </w:p>
    <w:p>
      <w:pPr>
        <w:spacing w:before="0" w:after="0" w:line="360" w:lineRule="auto"/>
        <w:ind w:firstLineChars="200" w:firstLine="480"/>
      </w:pPr>
      <w:r>
        <w:rPr>
          <w:rFonts w:ascii="Times New Roman" w:hAnsi="Times New Roman" w:eastAsia="宋体"/>
          <w:b w:val="0"/>
          <w:sz w:val="24"/>
        </w:rPr>
        <w:t>“十五五”时期要素市场化改革的依据与路线已由《纲要》第十九章给出：“深化土地制度改革，建立健全城乡统一的建设用地市场”“畅通劳动力和人才社会性流动渠道，逐步打破户籍、社保、职称、档案等方面制度性障碍”“培育全国一体化技术市场和数据市场”“深化拓展要素市场化配置综合改革试点”。操作要点上，土地要素的重点是集体经营性建设用地入市与工业用地市场化定价，压缩低价供地的操作空间；劳动力要素的重点是以经常居住地登记户口制度与社保关系无障碍转移接续为抓手，让“人随产业走”不再受制度摩擦阻滞；资本要素的重点是规范地方产业基金与信贷干预，切断“政府信用—银行信贷—过剩产能”的输血链；数据要素的重点是统一确权、定价与流通规则，防止数据市场在起步阶段即形成地方割据——数据要素以其可复制、非竞争的技术特性天然要求全国乃至更大范围的统一市场，其对数字化转型与新发展格局的驱动作用只有在一体化的流通体系中才能充分释放（郑江淮、周南，2023；许光建等，2024）。与此呼应，《当前经济工作的重点任务》要求“拓展要素市场化改革试点，深化电力体制改革，稳步推进供水、供气、供热等公用事业价格改革，促进可持续经营”——能源与公用事业价格的市场化，正是拆除地方以电价、水价让利招商的釜底抽薪之策。风险方面，要素改革牵动存量利益格局最深，须以综合改革试点先行探路、及时评估推广，防止单兵突进引发要素价格的无序波动。</w:t>
      </w:r>
    </w:p>
    <w:p>
      <w:pPr>
        <w:spacing w:before="160" w:after="120" w:line="360" w:lineRule="auto"/>
        <w:outlineLvl w:val="2"/>
      </w:pPr>
      <w:r>
        <w:rPr>
          <w:rFonts w:ascii="Times New Roman" w:hAnsi="Times New Roman" w:eastAsia="黑体"/>
          <w:b w:val="0"/>
          <w:sz w:val="24"/>
        </w:rPr>
        <w:t>2．物流降本与设施联通：压缩空间交易成本</w:t>
      </w:r>
    </w:p>
    <w:p>
      <w:pPr>
        <w:spacing w:before="0" w:after="0" w:line="360" w:lineRule="auto"/>
        <w:ind w:firstLineChars="200" w:firstLine="480"/>
      </w:pPr>
      <w:r>
        <w:rPr>
          <w:rFonts w:ascii="Times New Roman" w:hAnsi="Times New Roman" w:eastAsia="宋体"/>
          <w:b w:val="0"/>
          <w:sz w:val="24"/>
        </w:rPr>
        <w:t>市场设施联通是统一大市场的物质骨架，其经济学含义是压低区际贸易成本</w:t>
      </w:r>
      <m:oMath>
        <m:box>
          <m:e>
            <m:r>
              <m:rPr>
                <m:sty m:val="i"/>
              </m:rPr>
              <m:t>τ</m:t>
            </m:r>
          </m:e>
        </m:box>
      </m:oMath>
      <w:r>
        <w:rPr>
          <w:rFonts w:ascii="Times New Roman" w:hAnsi="Times New Roman" w:eastAsia="宋体"/>
          <w:b w:val="0"/>
          <w:sz w:val="24"/>
        </w:rPr>
        <w:t>——依据本书第四章，这一参数同时通过命题4-3（削弱本地市场势力、抑制补贴竞争）与命题4-6（抬高生存门槛、强化选择效应）双重通道发挥作用。中国物流降本已有扎实进展：据中国物流与采购联合会数据，社会物流总费用与GDP的比率由2012年的约18.0%降至2024年的14.1%（当时历年最低，相当于年节约物流成本超4000亿元），2025年进一步降至13.9%、首次低于14%（总费用19.5万亿元）；按照2024年11月中办、国办《有效降低全社会物流成本行动方案》，到2027年这一比率将力争降至13.5%左右。从14.1%到13.5%左右，每0.1个百分点的下降都对应千亿元量级的交易成本节约，其累积效应正是“统一红利”中最可度量的部分。</w:t>
      </w:r>
    </w:p>
    <w:p>
      <w:pPr>
        <w:spacing w:before="0" w:after="0" w:line="360" w:lineRule="auto"/>
        <w:ind w:firstLineChars="200" w:firstLine="480"/>
      </w:pPr>
      <w:r>
        <w:rPr>
          <w:rFonts w:ascii="Times New Roman" w:hAnsi="Times New Roman" w:eastAsia="宋体"/>
          <w:b w:val="0"/>
          <w:sz w:val="24"/>
        </w:rPr>
        <w:t>《纲要》第十七章第三节对设施联通作出了系统部署：“健全高效顺畅的现代流通体系，完善国家物流枢纽网络，依托现代流通战略支点城市构建若干重要商品骨干流通走廊”，并要求“建立健全统一规范、信息共享的招标投标和政府、事业单位、国有企业采购等公共资源交易平台体系”。操作要点有三：一是硬件网络的枢纽化与多式联运，重点打通中西部与东北的干线短板——第七章显示这些区域恰是分割指数与“内卷”指数双高地带；二是软件规则的标准化，物流标准化对国内市场一体化的促进作用已获实证支持（李兰冰、逯海勇，2024），托盘、集装单元、数据接口的标准统一是低成本高回报的联通投资；三是制度性成本的削减，统一治超治限执法尺度、清理高速公路与港口的差别化收费，防止“物理联通、制度梗阻”。公共资源交易平台的全国联网则针对招投标领域的隐性分割——本地业绩加分、限定投标人注册地等做法是典型的准入型壁垒，平台统一与全流程电子化留痕是最有效的技术性解毒剂。风险方面须遵循《纲要》第十六章“避免过度超前建设和低效无效投资”的要求，设施投资应以真实流量需求为锚，防止物流枢纽建设本身演变为新一轮地方重复建设。</w:t>
      </w:r>
    </w:p>
    <w:p>
      <w:pPr>
        <w:spacing w:before="200" w:after="160" w:line="360" w:lineRule="auto"/>
        <w:outlineLvl w:val="1"/>
      </w:pPr>
      <w:r>
        <w:rPr>
          <w:rFonts w:ascii="Times New Roman" w:hAnsi="Times New Roman" w:eastAsia="黑体"/>
          <w:b w:val="0"/>
          <w:sz w:val="28"/>
        </w:rPr>
        <w:t>（六）重构地方政府激励：财税、统计与考核的制度再造</w:t>
      </w:r>
    </w:p>
    <w:p>
      <w:pPr>
        <w:spacing w:before="160" w:after="120" w:line="360" w:lineRule="auto"/>
        <w:outlineLvl w:val="2"/>
      </w:pPr>
      <w:r>
        <w:rPr>
          <w:rFonts w:ascii="Times New Roman" w:hAnsi="Times New Roman" w:eastAsia="黑体"/>
          <w:b w:val="0"/>
          <w:sz w:val="24"/>
        </w:rPr>
        <w:t>1．财税激励：从生产地原则到消费地分享</w:t>
      </w:r>
    </w:p>
    <w:p>
      <w:pPr>
        <w:spacing w:before="0" w:after="0" w:line="360" w:lineRule="auto"/>
        <w:ind w:firstLineChars="200" w:firstLine="480"/>
      </w:pPr>
      <w:r>
        <w:rPr>
          <w:rFonts w:ascii="Times New Roman" w:hAnsi="Times New Roman" w:eastAsia="宋体"/>
          <w:b w:val="0"/>
          <w:sz w:val="24"/>
        </w:rPr>
        <w:t>地方政府激励重构是全部政策路径中最具治本意义的一环。本书第三章与第八章反复证明，“内卷式竞争陷阱”的第一推动力来自地方激励扭曲：晋升锦标赛使地方官员围绕可观测的增长指标展开竞争（周黎安，2007），而以生产地原则为主的税收分享制度，把税源与本地生产规模直接挂钩，两者叠加使“抢企业、上产能”成为地方最优策略。统一市场视角下的财政激励研究进一步表明，中国财政体制的纵向与横向激励结构系统性地偏向生产侧扩张，是市场分割的深层财政根源（吕冰洋、贺颖，2022）。激励不改，则清单与审查所压制的招商冲动终将以新形式复发。</w:t>
      </w:r>
    </w:p>
    <w:p>
      <w:pPr>
        <w:spacing w:before="0" w:after="0" w:line="360" w:lineRule="auto"/>
        <w:ind w:firstLineChars="200" w:firstLine="480"/>
      </w:pPr>
      <w:r>
        <w:rPr>
          <w:rFonts w:ascii="Times New Roman" w:hAnsi="Times New Roman" w:eastAsia="宋体"/>
          <w:b w:val="0"/>
          <w:sz w:val="24"/>
        </w:rPr>
        <w:t>财税重构的方向是提高消费地原则在政府间收入分享中的权重。设地方</w:t>
      </w:r>
      <m:oMath>
        <m:box>
          <m:e>
            <m:r>
              <m:rPr>
                <m:sty m:val="i"/>
              </m:rPr>
              <m:t>i</m:t>
            </m:r>
          </m:e>
        </m:box>
      </m:oMath>
      <w:r>
        <w:rPr>
          <w:rFonts w:ascii="Times New Roman" w:hAnsi="Times New Roman" w:eastAsia="宋体"/>
          <w:b w:val="0"/>
          <w:sz w:val="24"/>
        </w:rPr>
        <w:t>的分享收入为</w:t>
      </w:r>
    </w:p>
    <w:p>
      <w:pPr>
        <w:spacing w:before="120" w:after="120" w:line="360" w:lineRule="auto"/>
        <w:tabs>
          <w:tab w:val="center" w:pos="4252"/>
          <w:tab w:val="right" w:pos="8505"/>
        </w:tabs>
      </w:pPr>
      <w:r>
        <w:rPr>
          <w:rFonts w:ascii="Times New Roman" w:hAnsi="Times New Roman" w:eastAsia="宋体"/>
          <w:b w:val="0"/>
          <w:sz w:val="24"/>
        </w:rPr>
        <w:tab/>
      </w:r>
      <m:oMath>
        <m:box>
          <m:e>
            <m:sSub>
              <m:e>
                <m:r>
                  <m:rPr>
                    <m:sty m:val="i"/>
                  </m:rPr>
                  <m:t>R</m:t>
                </m:r>
              </m:e>
              <m:sub>
                <m:r>
                  <m:rPr>
                    <m:sty m:val="i"/>
                  </m:rPr>
                  <m:t>i</m:t>
                </m:r>
              </m:sub>
            </m:sSub>
            <m:r>
              <m:rPr>
                <m:sty m:val="p"/>
              </m:rPr>
              <m:t>=</m:t>
            </m:r>
            <m:r>
              <m:rPr>
                <m:sty m:val="i"/>
              </m:rPr>
              <m:t>α</m:t>
            </m:r>
            <m:sSubSup>
              <m:e>
                <m:r>
                  <m:rPr>
                    <m:sty m:val="i"/>
                  </m:rPr>
                  <m:t>T</m:t>
                </m:r>
              </m:e>
              <m:sub>
                <m:r>
                  <m:rPr>
                    <m:sty m:val="i"/>
                  </m:rPr>
                  <m:t>i</m:t>
                </m:r>
              </m:sub>
              <m:sup>
                <m:box>
                  <m:e>
                    <m:r>
                      <m:rPr>
                        <m:sty m:val="i"/>
                      </m:rPr>
                      <m:t>P</m:t>
                    </m:r>
                  </m:e>
                </m:box>
              </m:sup>
            </m:sSubSup>
            <m:r>
              <m:rPr>
                <m:sty m:val="p"/>
              </m:rPr>
              <m:t>+</m:t>
            </m:r>
            <m:r>
              <m:rPr>
                <m:sty m:val="p"/>
              </m:rPr>
              <m:t>(</m:t>
            </m:r>
            <m:r>
              <m:rPr>
                <m:sty m:val="p"/>
              </m:rPr>
              <m:t>1</m:t>
            </m:r>
            <m:r>
              <m:rPr>
                <m:sty m:val="p"/>
              </m:rPr>
              <m:t>−</m:t>
            </m:r>
            <m:r>
              <m:rPr>
                <m:sty m:val="i"/>
              </m:rPr>
              <m:t>α</m:t>
            </m:r>
            <m:r>
              <m:rPr>
                <m:sty m:val="p"/>
              </m:rPr>
              <m:t>)</m:t>
            </m:r>
            <m:sSubSup>
              <m:e>
                <m:r>
                  <m:rPr>
                    <m:sty m:val="i"/>
                  </m:rPr>
                  <m:t>T</m:t>
                </m:r>
              </m:e>
              <m:sub>
                <m:r>
                  <m:rPr>
                    <m:sty m:val="i"/>
                  </m:rPr>
                  <m:t>i</m:t>
                </m:r>
              </m:sub>
              <m:sup>
                <m:box>
                  <m:e>
                    <m:r>
                      <m:rPr>
                        <m:sty m:val="i"/>
                      </m:rPr>
                      <m:t>C</m:t>
                    </m:r>
                  </m:e>
                </m:box>
              </m:sup>
            </m:sSubSup>
            <m:r>
              <m:rPr>
                <m:sty m:val="p"/>
              </m:rPr>
              <m:t>+</m:t>
            </m:r>
            <m:sSub>
              <m:e>
                <m:r>
                  <m:rPr>
                    <m:sty m:val="i"/>
                  </m:rPr>
                  <m:t>G</m:t>
                </m:r>
              </m:e>
              <m:sub>
                <m:r>
                  <m:rPr>
                    <m:sty m:val="i"/>
                  </m:rPr>
                  <m:t>i</m:t>
                </m:r>
              </m:sub>
            </m:sSub>
          </m:e>
        </m:box>
      </m:oMath>
      <w:r>
        <w:rPr>
          <w:rFonts w:ascii="Times New Roman" w:hAnsi="Times New Roman" w:eastAsia="宋体"/>
          <w:b w:val="0"/>
          <w:sz w:val="24"/>
        </w:rPr>
        <w:tab/>
        <w:t>(11-2)</w:t>
      </w:r>
    </w:p>
    <w:p>
      <w:pPr>
        <w:spacing w:before="0" w:after="0" w:line="360" w:lineRule="auto"/>
        <w:ind w:firstLineChars="200" w:firstLine="480"/>
      </w:pPr>
      <w:r>
        <w:rPr>
          <w:rFonts w:ascii="Times New Roman" w:hAnsi="Times New Roman" w:eastAsia="宋体"/>
          <w:b w:val="0"/>
          <w:sz w:val="24"/>
        </w:rPr>
        <w:t>其中</w:t>
      </w:r>
      <m:oMath>
        <m:box>
          <m:e>
            <m:sSubSup>
              <m:e>
                <m:r>
                  <m:rPr>
                    <m:sty m:val="i"/>
                  </m:rPr>
                  <m:t>T</m:t>
                </m:r>
              </m:e>
              <m:sub>
                <m:r>
                  <m:rPr>
                    <m:sty m:val="i"/>
                  </m:rPr>
                  <m:t>i</m:t>
                </m:r>
              </m:sub>
              <m:sup>
                <m:box>
                  <m:e>
                    <m:r>
                      <m:rPr>
                        <m:sty m:val="i"/>
                      </m:rPr>
                      <m:t>P</m:t>
                    </m:r>
                  </m:e>
                </m:box>
              </m:sup>
            </m:sSubSup>
          </m:e>
        </m:box>
      </m:oMath>
      <w:r>
        <w:rPr>
          <w:rFonts w:ascii="Times New Roman" w:hAnsi="Times New Roman" w:eastAsia="宋体"/>
          <w:b w:val="0"/>
          <w:sz w:val="24"/>
        </w:rPr>
        <w:t>为按生产地口径归属的税基，</w:t>
      </w:r>
      <m:oMath>
        <m:box>
          <m:e>
            <m:sSubSup>
              <m:e>
                <m:r>
                  <m:rPr>
                    <m:sty m:val="i"/>
                  </m:rPr>
                  <m:t>T</m:t>
                </m:r>
              </m:e>
              <m:sub>
                <m:r>
                  <m:rPr>
                    <m:sty m:val="i"/>
                  </m:rPr>
                  <m:t>i</m:t>
                </m:r>
              </m:sub>
              <m:sup>
                <m:box>
                  <m:e>
                    <m:r>
                      <m:rPr>
                        <m:sty m:val="i"/>
                      </m:rPr>
                      <m:t>C</m:t>
                    </m:r>
                  </m:e>
                </m:box>
              </m:sup>
            </m:sSubSup>
          </m:e>
        </m:box>
      </m:oMath>
      <w:r>
        <w:rPr>
          <w:rFonts w:ascii="Times New Roman" w:hAnsi="Times New Roman" w:eastAsia="宋体"/>
          <w:b w:val="0"/>
          <w:sz w:val="24"/>
        </w:rPr>
        <w:t>为按消费地口径归属的税基，</w:t>
      </w:r>
      <m:oMath>
        <m:box>
          <m:e>
            <m:r>
              <m:rPr>
                <m:sty m:val="i"/>
              </m:rPr>
              <m:t>α</m:t>
            </m:r>
            <m:r>
              <m:rPr>
                <m:sty m:val="p"/>
              </m:rPr>
              <m:t>∈</m:t>
            </m:r>
            <m:r>
              <m:rPr>
                <m:sty m:val="p"/>
              </m:rPr>
              <m:t>[</m:t>
            </m:r>
            <m:r>
              <m:rPr>
                <m:sty m:val="p"/>
              </m:rPr>
              <m:t>0</m:t>
            </m:r>
            <m:r>
              <m:rPr>
                <m:sty m:val="p"/>
              </m:rPr>
              <m:t>,</m:t>
            </m:r>
            <m:r>
              <m:rPr>
                <m:sty m:val="p"/>
              </m:rPr>
              <m:t>1</m:t>
            </m:r>
            <m:r>
              <m:rPr>
                <m:sty m:val="p"/>
              </m:rPr>
              <m:t>]</m:t>
            </m:r>
          </m:e>
        </m:box>
      </m:oMath>
      <w:r>
        <w:rPr>
          <w:rFonts w:ascii="Times New Roman" w:hAnsi="Times New Roman" w:eastAsia="宋体"/>
          <w:b w:val="0"/>
          <w:sz w:val="24"/>
        </w:rPr>
        <w:t>为生产地分享权重，</w:t>
      </w:r>
      <m:oMath>
        <m:box>
          <m:e>
            <m:sSub>
              <m:e>
                <m:r>
                  <m:rPr>
                    <m:sty m:val="i"/>
                  </m:rPr>
                  <m:t>G</m:t>
                </m:r>
              </m:e>
              <m:sub>
                <m:r>
                  <m:rPr>
                    <m:sty m:val="i"/>
                  </m:rPr>
                  <m:t>i</m:t>
                </m:r>
              </m:sub>
            </m:sSub>
          </m:e>
        </m:box>
      </m:oMath>
      <w:r>
        <w:rPr>
          <w:rFonts w:ascii="Times New Roman" w:hAnsi="Times New Roman" w:eastAsia="宋体"/>
          <w:b w:val="0"/>
          <w:sz w:val="24"/>
        </w:rPr>
        <w:t>为转移支付。现行体制下</w:t>
      </w:r>
      <m:oMath>
        <m:box>
          <m:e>
            <m:r>
              <m:rPr>
                <m:sty m:val="i"/>
              </m:rPr>
              <m:t>α</m:t>
            </m:r>
          </m:e>
        </m:box>
      </m:oMath>
      <w:r>
        <w:rPr>
          <w:rFonts w:ascii="Times New Roman" w:hAnsi="Times New Roman" w:eastAsia="宋体"/>
          <w:b w:val="0"/>
          <w:sz w:val="24"/>
        </w:rPr>
        <w:t>接近于1，地方边际收入几乎完全由本地产出决定，招商补贴的财政回报率极高；降低</w:t>
      </w:r>
      <m:oMath>
        <m:box>
          <m:e>
            <m:r>
              <m:rPr>
                <m:sty m:val="i"/>
              </m:rPr>
              <m:t>α</m:t>
            </m:r>
          </m:e>
        </m:box>
      </m:oMath>
      <w:r>
        <w:rPr>
          <w:rFonts w:ascii="Times New Roman" w:hAnsi="Times New Roman" w:eastAsia="宋体"/>
          <w:b w:val="0"/>
          <w:sz w:val="24"/>
        </w:rPr>
        <w:t>、提高消费地分享份额，则地方收入将更多取决于本地居民的消费规模与消费环境，地方政府的最优努力方向随之从“补企业”转向“聚人气”——改善公共服务、增加居民收入、繁荣消费场景。经验证据支持这一逻辑：财政激励结构的调整显著促进了企业跨地区投资、弱化了属地围栏（范子英、周小昶，2022）。《纲要》对此已有明确部署——“完善有利于统一大市场建设的统计、财税、考核制度……优化企业总部和分支机构、生产地和消费地利益分享”；《当前经济工作的重点任务》亦要求“优化财政转移支付结构，健全地方税体系”。操作要点包括：稳步推进消费税征收环节后移并下划地方，试点增值税地方分享部分按消费地因素调整分配，规范总部经济的税收分成规则以遏制“抢注册地”竞争，并以健全地方税体系（房地产相关税收、城市维护建设税等与本地公共服务质量挂钩的税种）为地方提供稳定的替代性财源。风险在于区域财力的再分配冲击：生产基地型省份（多为中西部）短期将承受收入损失，须以过渡期安排与转移支付对冲，防止改革反向加剧区域分化——这正是</w:t>
      </w:r>
      <m:oMath>
        <m:box>
          <m:e>
            <m:sSub>
              <m:e>
                <m:r>
                  <m:rPr>
                    <m:sty m:val="i"/>
                  </m:rPr>
                  <m:t>G</m:t>
                </m:r>
              </m:e>
              <m:sub>
                <m:r>
                  <m:rPr>
                    <m:sty m:val="i"/>
                  </m:rPr>
                  <m:t>i</m:t>
                </m:r>
              </m:sub>
            </m:sSub>
          </m:e>
        </m:box>
      </m:oMath>
      <w:r>
        <w:rPr>
          <w:rFonts w:ascii="Times New Roman" w:hAnsi="Times New Roman" w:eastAsia="宋体"/>
          <w:b w:val="0"/>
          <w:sz w:val="24"/>
        </w:rPr>
        <w:t>项在式(11-2)中的功能定位。</w:t>
      </w:r>
    </w:p>
    <w:p>
      <w:pPr>
        <w:spacing w:before="160" w:after="120" w:line="360" w:lineRule="auto"/>
        <w:outlineLvl w:val="2"/>
      </w:pPr>
      <w:r>
        <w:rPr>
          <w:rFonts w:ascii="Times New Roman" w:hAnsi="Times New Roman" w:eastAsia="黑体"/>
          <w:b w:val="0"/>
          <w:sz w:val="24"/>
        </w:rPr>
        <w:t>2．统计与考核：从“生产地GDP”到“活动发生地”</w:t>
      </w:r>
    </w:p>
    <w:p>
      <w:pPr>
        <w:spacing w:before="0" w:after="0" w:line="360" w:lineRule="auto"/>
        <w:ind w:firstLineChars="200" w:firstLine="480"/>
      </w:pPr>
      <w:r>
        <w:rPr>
          <w:rFonts w:ascii="Times New Roman" w:hAnsi="Times New Roman" w:eastAsia="宋体"/>
          <w:b w:val="0"/>
          <w:sz w:val="24"/>
        </w:rPr>
        <w:t>统计与考核制度是地方激励的“标尺系统”，标尺不改，锦标赛的赛道就不会改变。《纲要》要求“推广经营主体活动发生地统计”，其针对的是现行统计的注册地原则所催生的扭曲：企业增加值与税收按注册地归集，诱使地方以补贴争抢企业注册与“开票主体”，形成统计意义上的增长而非实体意义上的生产。活动发生地统计将经济活动记录在其实际发生的空间，既挤出“注册地竞赛”的水分，也为消费地税收分享提供数据基础，是财税改革的统计前提。2025年中央经济工作会议进一步要求“完善差异化考核评价体系”，《当前经济工作的重点任务》亦强调“各地区要准确把握在全国发展大局中的定位，强化主体功能，发挥比较优势”。差异化考核的学理依据在本书第八章的异质性检验中十分直观：增长目标压力高于中位数的省份，市场分割对“内卷”的催化效应显著更强（交互项系数0.027，在5%水平显著）——统一的高增长目标对禀赋各异的地区施加了同质化的竞赛压力，正是产业同构与重复建设的考核根源。</w:t>
      </w:r>
    </w:p>
    <w:p>
      <w:pPr>
        <w:spacing w:before="0" w:after="0" w:line="360" w:lineRule="auto"/>
        <w:ind w:firstLineChars="200" w:firstLine="480"/>
      </w:pPr>
      <w:r>
        <w:rPr>
          <w:rFonts w:ascii="Times New Roman" w:hAnsi="Times New Roman" w:eastAsia="宋体"/>
          <w:b w:val="0"/>
          <w:sz w:val="24"/>
        </w:rPr>
        <w:t>操作要点有三。其一，按主体功能定位设置差异化考核权重：城市化地区侧重经济密度与创新产出，农产品主产区侧重粮食安全与农民增收，生态功能区侧重生态产品价值，弱化乃至取消对后两类地区的GDP增速排名。其二，把统一大市场建设执行情况纳入考核体系，与妨碍统一大市场事项清单的通报问责联动，使“破壁垒”与“保增长”在地方官员的目标函数中权重可比。其三，落实《当前经济工作的重点任务》“有序清理规范各类开发区、园区和展会论坛”的要求——全国开发区目录（2018年版）所载2543家开发区（其中国家级552家、省级1991家）是地方竞赛的空间载体，应以亩均效益、产业契合度为标准分类整合，坚决压缩以优惠政策为唯一卖点的“政策洼地型”园区。风险方面，统计改革涉及跨地区数据归集与利益调整，技术复杂性高，须防止新指标体系在执行中被再度“指标化博弈”；差异化考核亦须防止演变为对落后的宽纵，应与共同富裕导向的公共服务均等化考核并行。</w:t>
      </w:r>
    </w:p>
    <w:p>
      <w:pPr>
        <w:spacing w:before="200" w:after="160" w:line="360" w:lineRule="auto"/>
        <w:outlineLvl w:val="1"/>
      </w:pPr>
      <w:r>
        <w:rPr>
          <w:rFonts w:ascii="Times New Roman" w:hAnsi="Times New Roman" w:eastAsia="黑体"/>
          <w:b w:val="0"/>
          <w:sz w:val="28"/>
        </w:rPr>
        <w:t>（七）扩大内需与统一大市场建设的协同推进</w:t>
      </w:r>
    </w:p>
    <w:p>
      <w:pPr>
        <w:spacing w:before="160" w:after="120" w:line="360" w:lineRule="auto"/>
        <w:outlineLvl w:val="2"/>
      </w:pPr>
      <w:r>
        <w:rPr>
          <w:rFonts w:ascii="Times New Roman" w:hAnsi="Times New Roman" w:eastAsia="黑体"/>
          <w:b w:val="0"/>
          <w:sz w:val="24"/>
        </w:rPr>
        <w:t>1．需求侧协同的机理定位：治理“内卷”的治本之策</w:t>
      </w:r>
    </w:p>
    <w:p>
      <w:pPr>
        <w:spacing w:before="0" w:after="0" w:line="360" w:lineRule="auto"/>
        <w:ind w:firstLineChars="200" w:firstLine="480"/>
      </w:pPr>
      <w:r>
        <w:rPr>
          <w:rFonts w:ascii="Times New Roman" w:hAnsi="Times New Roman" w:eastAsia="宋体"/>
          <w:b w:val="0"/>
          <w:sz w:val="24"/>
        </w:rPr>
        <w:t>供给侧的秩序治理只能压缩“内卷”的空间，需求侧的容量扩张才能消除“内卷”的土壤。本书第三章将需求约束收紧列为四重扭曲的第四重，第四章命题4-5则从理论上证明：需求收缩冲击</w:t>
      </w:r>
      <m:oMath>
        <m:box>
          <m:e>
            <m:r>
              <m:rPr>
                <m:sty m:val="i"/>
              </m:rPr>
              <m:t>ε</m:t>
            </m:r>
          </m:e>
        </m:box>
      </m:oMath>
      <w:r>
        <w:rPr>
          <w:rFonts w:ascii="Times New Roman" w:hAnsi="Times New Roman" w:eastAsia="宋体"/>
          <w:b w:val="0"/>
          <w:sz w:val="24"/>
        </w:rPr>
        <w:t>是触发“内卷均衡”的扳机，退出摩擦</w:t>
      </w:r>
      <m:oMath>
        <m:box>
          <m:e>
            <m:r>
              <m:rPr>
                <m:sty m:val="i"/>
              </m:rPr>
              <m:t>δ</m:t>
            </m:r>
          </m:e>
        </m:box>
      </m:oMath>
      <w:r>
        <w:rPr>
          <w:rFonts w:ascii="Times New Roman" w:hAnsi="Times New Roman" w:eastAsia="宋体"/>
          <w:b w:val="0"/>
          <w:sz w:val="24"/>
        </w:rPr>
        <w:t>决定其存续，而需求容量的恢复直接改变均衡的存在条件。第五章的典型事实为此提供了宏观注脚——据国家统计局数据，PPI自2022年10月转负，至2025年12月已连续39个月负增长，“供强需弱”格局是重点行业价格竞争烈度居高不下的总需求背景。因此，扩大内需与统一大市场建设不是两条平行的政策线，而是同一治理逻辑的供需两翼：《纲要》第五篇总起所要求的“以新需求引领新供给，以新供给创造新需求，促进消费和投资、供给和需求良性互动，实现供需更高水平动态平衡”，正是对这一协同关系的权威表述。统一大市场对需求侧亦有反哺：分割的破除使全国市场作为单一需求池运转，平抑了区域性供需错配，扩大了每一单位需求对供给秩序的修复效力。</w:t>
      </w:r>
    </w:p>
    <w:p>
      <w:pPr>
        <w:spacing w:before="160" w:after="120" w:line="360" w:lineRule="auto"/>
        <w:outlineLvl w:val="2"/>
      </w:pPr>
      <w:r>
        <w:rPr>
          <w:rFonts w:ascii="Times New Roman" w:hAnsi="Times New Roman" w:eastAsia="黑体"/>
          <w:b w:val="0"/>
          <w:sz w:val="24"/>
        </w:rPr>
        <w:t>2．城乡居民增收、服务消费与“投资于人”</w:t>
      </w:r>
    </w:p>
    <w:p>
      <w:pPr>
        <w:spacing w:before="0" w:after="0" w:line="360" w:lineRule="auto"/>
        <w:ind w:firstLineChars="200" w:firstLine="480"/>
      </w:pPr>
      <w:r>
        <w:rPr>
          <w:rFonts w:ascii="Times New Roman" w:hAnsi="Times New Roman" w:eastAsia="宋体"/>
          <w:b w:val="0"/>
          <w:sz w:val="24"/>
        </w:rPr>
        <w:t>需求侧政策的主线已由中央部署清晰给出。2025年中央经济工作会议要求“坚持内需主导，建设强大国内市场。深入实施提振消费专项行动，制定实施城乡居民增收计划”，并要求“清理消费领域不合理限制措施，释放服务消费潜力”；党的二十届四中全会确立了“坚持惠民生和促消费、投资于物和投资于人紧密结合”的原则；《当前经济工作的重点任务》进一步部署“继续提高城乡居民基础养老金”“落实职工带薪错峰休假制度”，并“探索编制全口径政府投资计划，提高民生类投资比重”。这组部署的政策哲学可以概括为：把扩消费的着力点从“促交易”（补贴、券）转向“增能力”（收入、保障、时间）。人口老龄化背景下的消费研究早已指出，中国消费不足的症结不在消费意愿而在收入分配结构与社会保障的不确定性，扩大消费必须以居民可支配收入增长与保障网加密为前提（蔡昉、王美艳，2021）。</w:t>
      </w:r>
    </w:p>
    <w:p>
      <w:pPr>
        <w:spacing w:before="0" w:after="0" w:line="360" w:lineRule="auto"/>
        <w:ind w:firstLineChars="200" w:firstLine="480"/>
      </w:pPr>
      <w:r>
        <w:rPr>
          <w:rFonts w:ascii="Times New Roman" w:hAnsi="Times New Roman" w:eastAsia="宋体"/>
          <w:b w:val="0"/>
          <w:sz w:val="24"/>
        </w:rPr>
        <w:t>操作要点循收入、保障、供给三线展开。收入线：落实《纲要》第十五章“统筹促就业、增收入、稳预期，加快形成扩大居民消费长效机制”与“大力促进城乡居民增收，稳步提高最低工资标准”的要求，健全工资合理增长机制，拓宽居民财产性收入渠道。保障线：以基础养老金提标、新就业形态劳动者职业伤害保障与社保扩面降低预防性储蓄动机——平台经济治理中骑手权益保障的制度化（本书第十章所述平台为骑手缴纳社保的实践），正是“共赢生态”与消费能力建设的交汇点。供给线：清理服务消费领域的准入限制与地方壁垒，扩大养老、托育、文旅、体育等服务供给，落实“投资于人”——《纲要》第十六章要求“加强人力资源开发和人的全面发展投资”“提高民生类政府投资比重”，教育、健康、技能投资兼具短期需求效应与长期供给效应，是供需两侧的最大公约数。</w:t>
      </w:r>
    </w:p>
    <w:p>
      <w:pPr>
        <w:spacing w:before="160" w:after="120" w:line="360" w:lineRule="auto"/>
        <w:outlineLvl w:val="2"/>
      </w:pPr>
      <w:r>
        <w:rPr>
          <w:rFonts w:ascii="Times New Roman" w:hAnsi="Times New Roman" w:eastAsia="黑体"/>
          <w:b w:val="0"/>
          <w:sz w:val="24"/>
        </w:rPr>
        <w:t>3．消费率缺口的测算与“十五五”提升路径</w:t>
      </w:r>
    </w:p>
    <w:p>
      <w:pPr>
        <w:spacing w:before="0" w:after="0" w:line="360" w:lineRule="auto"/>
        <w:ind w:firstLineChars="200" w:firstLine="480"/>
      </w:pPr>
      <w:r>
        <w:rPr>
          <w:rFonts w:ascii="Times New Roman" w:hAnsi="Times New Roman" w:eastAsia="宋体"/>
          <w:b w:val="0"/>
          <w:sz w:val="24"/>
        </w:rPr>
        <w:t>中国需求约束的结构性程度，可用居民消费率的国际比较精确刻画。据国家统计局数据，2024年中国居民消费率为39.9%，较2012年提高4.3个百分点；而据世界银行WDI口径，2023年全球居民消费率均值为56.6%，中国同年为39.1%，在149个经济体中排名倒数第10。以全球均值为参照基准，中国居民消费率的缺口约为16.7个百分点。这一缺口对应的需求增量可按式(11-3)作静态测算：</w:t>
      </w:r>
    </w:p>
    <w:p>
      <w:pPr>
        <w:spacing w:before="120" w:after="120" w:line="360" w:lineRule="auto"/>
        <w:tabs>
          <w:tab w:val="center" w:pos="4252"/>
          <w:tab w:val="right" w:pos="8505"/>
        </w:tabs>
      </w:pPr>
      <w:r>
        <w:rPr>
          <w:rFonts w:ascii="Times New Roman" w:hAnsi="Times New Roman" w:eastAsia="宋体"/>
          <w:b w:val="0"/>
          <w:sz w:val="24"/>
        </w:rPr>
        <w:tab/>
      </w:r>
      <m:oMath>
        <m:box>
          <m:e>
            <m:r>
              <m:rPr>
                <m:sty m:val="i"/>
              </m:rPr>
              <m:t>Δ</m:t>
            </m:r>
            <m:r>
              <m:rPr>
                <m:sty m:val="i"/>
              </m:rPr>
              <m:t>C</m:t>
            </m:r>
            <m:r>
              <m:rPr>
                <m:sty m:val="p"/>
              </m:rPr>
              <m:t>=</m:t>
            </m:r>
            <m:r>
              <m:rPr>
                <m:sty m:val="p"/>
              </m:rPr>
              <m:t>(</m:t>
            </m:r>
            <m:sSup>
              <m:e>
                <m:r>
                  <m:rPr>
                    <m:sty m:val="i"/>
                  </m:rPr>
                  <m:t>c</m:t>
                </m:r>
              </m:e>
              <m:sup>
                <m:box>
                  <m:e>
                    <m:r>
                      <m:rPr>
                        <m:sty m:val="p"/>
                      </m:rPr>
                      <m:t>*</m:t>
                    </m:r>
                  </m:e>
                </m:box>
              </m:sup>
            </m:sSup>
            <m:r>
              <m:rPr>
                <m:sty m:val="p"/>
              </m:rPr>
              <m:t>−</m:t>
            </m:r>
            <m:sSub>
              <m:e>
                <m:r>
                  <m:rPr>
                    <m:sty m:val="i"/>
                  </m:rPr>
                  <m:t>c</m:t>
                </m:r>
              </m:e>
              <m:sub>
                <m:r>
                  <m:rPr>
                    <m:sty m:val="p"/>
                  </m:rPr>
                  <m:t>0</m:t>
                </m:r>
              </m:sub>
            </m:sSub>
            <m:r>
              <m:rPr>
                <m:sty m:val="p"/>
              </m:rPr>
              <m:t>)</m:t>
            </m:r>
            <m:r>
              <m:rPr>
                <m:sty m:val="p"/>
              </m:rPr>
              <m:t>×</m:t>
            </m:r>
            <m:sSub>
              <m:e>
                <m:r>
                  <m:rPr>
                    <m:sty m:val="i"/>
                  </m:rPr>
                  <m:t>Y</m:t>
                </m:r>
              </m:e>
              <m:sub>
                <m:r>
                  <m:rPr>
                    <m:sty m:val="p"/>
                  </m:rPr>
                  <m:t>0</m:t>
                </m:r>
              </m:sub>
            </m:sSub>
          </m:e>
        </m:box>
      </m:oMath>
      <w:r>
        <w:rPr>
          <w:rFonts w:ascii="Times New Roman" w:hAnsi="Times New Roman" w:eastAsia="宋体"/>
          <w:b w:val="0"/>
          <w:sz w:val="24"/>
        </w:rPr>
        <w:tab/>
        <w:t>(11-3)</w:t>
      </w:r>
    </w:p>
    <w:p>
      <w:pPr>
        <w:spacing w:before="0" w:after="0" w:line="360" w:lineRule="auto"/>
        <w:ind w:firstLineChars="200" w:firstLine="480"/>
      </w:pPr>
      <w:r>
        <w:rPr>
          <w:rFonts w:ascii="Times New Roman" w:hAnsi="Times New Roman" w:eastAsia="宋体"/>
          <w:b w:val="0"/>
          <w:sz w:val="24"/>
        </w:rPr>
        <w:t>其中</w:t>
      </w:r>
      <m:oMath>
        <m:box>
          <m:e>
            <m:r>
              <m:rPr>
                <m:sty m:val="i"/>
              </m:rPr>
              <m:t>Δ</m:t>
            </m:r>
            <m:r>
              <m:rPr>
                <m:sty m:val="i"/>
              </m:rPr>
              <m:t>C</m:t>
            </m:r>
          </m:e>
        </m:box>
      </m:oMath>
      <w:r>
        <w:rPr>
          <w:rFonts w:ascii="Times New Roman" w:hAnsi="Times New Roman" w:eastAsia="宋体"/>
          <w:b w:val="0"/>
          <w:sz w:val="24"/>
        </w:rPr>
        <w:t>为居民消费增量，</w:t>
      </w:r>
      <m:oMath>
        <m:box>
          <m:e>
            <m:sSup>
              <m:e>
                <m:r>
                  <m:rPr>
                    <m:sty m:val="i"/>
                  </m:rPr>
                  <m:t>c</m:t>
                </m:r>
              </m:e>
              <m:sup>
                <m:box>
                  <m:e>
                    <m:r>
                      <m:rPr>
                        <m:sty m:val="p"/>
                      </m:rPr>
                      <m:t>*</m:t>
                    </m:r>
                  </m:e>
                </m:box>
              </m:sup>
            </m:sSup>
          </m:e>
        </m:box>
      </m:oMath>
      <w:r>
        <w:rPr>
          <w:rFonts w:ascii="Times New Roman" w:hAnsi="Times New Roman" w:eastAsia="宋体"/>
          <w:b w:val="0"/>
          <w:sz w:val="24"/>
        </w:rPr>
        <w:t>为目标居民消费率，</w:t>
      </w:r>
      <m:oMath>
        <m:box>
          <m:e>
            <m:sSub>
              <m:e>
                <m:r>
                  <m:rPr>
                    <m:sty m:val="i"/>
                  </m:rPr>
                  <m:t>c</m:t>
                </m:r>
              </m:e>
              <m:sub>
                <m:r>
                  <m:rPr>
                    <m:sty m:val="p"/>
                  </m:rPr>
                  <m:t>0</m:t>
                </m:r>
              </m:sub>
            </m:sSub>
          </m:e>
        </m:box>
      </m:oMath>
      <w:r>
        <w:rPr>
          <w:rFonts w:ascii="Times New Roman" w:hAnsi="Times New Roman" w:eastAsia="宋体"/>
          <w:b w:val="0"/>
          <w:sz w:val="24"/>
        </w:rPr>
        <w:t>为当前水平，</w:t>
      </w:r>
      <m:oMath>
        <m:box>
          <m:e>
            <m:sSub>
              <m:e>
                <m:r>
                  <m:rPr>
                    <m:sty m:val="i"/>
                  </m:rPr>
                  <m:t>Y</m:t>
                </m:r>
              </m:e>
              <m:sub>
                <m:r>
                  <m:rPr>
                    <m:sty m:val="p"/>
                  </m:rPr>
                  <m:t>0</m:t>
                </m:r>
              </m:sub>
            </m:sSub>
          </m:e>
        </m:box>
      </m:oMath>
      <w:r>
        <w:rPr>
          <w:rFonts w:ascii="Times New Roman" w:hAnsi="Times New Roman" w:eastAsia="宋体"/>
          <w:b w:val="0"/>
          <w:sz w:val="24"/>
        </w:rPr>
        <w:t>为GDP基数。以2025年GDP约140.2万亿元（据国家统计局）为基数，居民消费率每提高1个百分点，静态对应约1.4万亿元的居民消费增量；若“十五五”末居民消费率较2024年提高3—5个百分点，则静态测算对应4.2万亿—7.0万亿元的年度消费增量。须强调，这是不考虑增长与乘数效应的算术测算，其意义不在精确预测，而在标定政策空间的量级：即便只收敛缺口的三分之一，所释放的需求也足以显著改写重点行业的供需平衡表。国际经验亦提供了可行性参照——韩国居民消费率在1988年降至48.9%的低点后企稳回升（据世界银行口径），表明增长型经济体的消费率下行并非不可逆，关键在于收入分配与保障制度的适时转型。就“内卷”治理而言，消费率的每一步回升都在降低命题4-5中的需求冲击参数</w:t>
      </w:r>
      <m:oMath>
        <m:box>
          <m:e>
            <m:r>
              <m:rPr>
                <m:sty m:val="i"/>
              </m:rPr>
              <m:t>ε</m:t>
            </m:r>
          </m:e>
        </m:box>
      </m:oMath>
      <w:r>
        <w:rPr>
          <w:rFonts w:ascii="Times New Roman" w:hAnsi="Times New Roman" w:eastAsia="宋体"/>
          <w:b w:val="0"/>
          <w:sz w:val="24"/>
        </w:rPr>
        <w:t>，使“全行业亏损而无退出”的内卷均衡愈难满足存续条件——这正是“需求侧是治本之策”的定量注脚。</w:t>
      </w:r>
    </w:p>
    <w:p>
      <w:pPr>
        <w:spacing w:before="200" w:after="160" w:line="360" w:lineRule="auto"/>
        <w:outlineLvl w:val="1"/>
      </w:pPr>
      <w:r>
        <w:rPr>
          <w:rFonts w:ascii="Times New Roman" w:hAnsi="Times New Roman" w:eastAsia="黑体"/>
          <w:b w:val="0"/>
          <w:sz w:val="28"/>
        </w:rPr>
        <w:t>（八）政策协同、节奏把握与风险防范</w:t>
      </w:r>
    </w:p>
    <w:p>
      <w:pPr>
        <w:spacing w:before="160" w:after="120" w:line="360" w:lineRule="auto"/>
        <w:outlineLvl w:val="2"/>
      </w:pPr>
      <w:r>
        <w:rPr>
          <w:rFonts w:ascii="Times New Roman" w:hAnsi="Times New Roman" w:eastAsia="黑体"/>
          <w:b w:val="0"/>
          <w:sz w:val="24"/>
        </w:rPr>
        <w:t>1．政策协同与立法进程衔接</w:t>
      </w:r>
    </w:p>
    <w:p>
      <w:pPr>
        <w:spacing w:before="0" w:after="0" w:line="360" w:lineRule="auto"/>
        <w:ind w:firstLineChars="200" w:firstLine="480"/>
      </w:pPr>
      <w:r>
        <w:rPr>
          <w:rFonts w:ascii="Times New Roman" w:hAnsi="Times New Roman" w:eastAsia="宋体"/>
          <w:b w:val="0"/>
          <w:sz w:val="24"/>
        </w:rPr>
        <w:t>本章前七节的政策模块分属发展改革、市场监管、工业和信息化、财政、税务、统计、金融管理等多个部门，协同失灵本身就是最大的执行风险。“十五五”时期的协同机制应从三个层面构建。纵向协同上，以《全国统一大市场建设条例》的制定为总抓手——2025年中央经济工作会议明确要求“制定全国统一大市场建设条例，深入整治‘内卷式’竞争”，条例应将公平竞争审查刚性约束、招商引资清单、妨碍事项通报问责、简易退出等分散制度整合为统一的法律框架，完成从政策推动到法治保障的升级。横向协同上，建立“内卷”治理的跨部门会商机制，确保产能调控、价格执法、质量监管与反垄断执法在个案上口径一致、程序衔接，避免多头执法对企业形成叠加冲击。宏微观协同上，秩序治理须与宏观政策同向发力——中央经济工作会议要求“把促进经济稳定增长、物价合理回升作为货币政策的重要考量”，物价温和回升的宏观环境能显著降低微观出清的痛感，反之，在总需求收缩期单兵突进地强力去产能，可能放大通缩压力，形成“越治越冷”的负反馈。节奏上应坚持试点先行、评估迭代：消费地税收分享、活动发生地统计等再分配敏感度高的改革，宜以部分税种、部分区域为试点，成熟后推广。</w:t>
      </w:r>
    </w:p>
    <w:p>
      <w:pPr>
        <w:spacing w:before="160" w:after="120" w:line="360" w:lineRule="auto"/>
        <w:outlineLvl w:val="2"/>
      </w:pPr>
      <w:r>
        <w:rPr>
          <w:rFonts w:ascii="Times New Roman" w:hAnsi="Times New Roman" w:eastAsia="黑体"/>
          <w:b w:val="0"/>
          <w:sz w:val="24"/>
        </w:rPr>
        <w:t>2．防止“运动式反内卷”：三条边界</w:t>
      </w:r>
    </w:p>
    <w:p>
      <w:pPr>
        <w:spacing w:before="0" w:after="0" w:line="360" w:lineRule="auto"/>
        <w:ind w:firstLineChars="200" w:firstLine="480"/>
      </w:pPr>
      <w:r>
        <w:rPr>
          <w:rFonts w:ascii="Times New Roman" w:hAnsi="Times New Roman" w:eastAsia="宋体"/>
          <w:b w:val="0"/>
          <w:sz w:val="24"/>
        </w:rPr>
        <w:t>“内卷式”竞争治理最需警惕的风险，是治理本身的运动化。历史经验一再表明，把结构性问题当作阶段性战役来打，往往在短期指标改善的同时埋下更深的扭曲；对重复建设成因的经典研究早已指出，若把板子全部打在企业的“盲目投资”上而放过背后的体制性根源，治理只能收一时之效（江飞涛、曹建海，2009）。为此，本书主张为“反内卷”划定三条边界。第一条是对象边界：治理对象是本书第三章界定的五特征“内卷式”竞争——同质化、超低价、无利化、创新挤出、退出失灵的合成状态，而非价格竞争本身；依托效率改进的降价、新进入者的渗透定价、正常的促销让利均属竞争机制的健康运转，立案须坚持“行为＋效果”双重标准，防止把“反内卷”做成“反低价”。第二条是手段边界：政府的角色是规则供给者与秩序维护者，而非价格与产量的决定者；须坚决防止治理异化为变相价格管制，也须警惕行业自律滑向价格协同——协会组织的“限产保价”若无法律授权与反垄断豁免审查，本身就可能构成垄断协议，2025年光伏行业自律的合规化改造应成为标尺性案例。第三条是程序边界：重大治理措施应经公平竞争审查与政策评估，设置听证程序与日落条款，给市场以稳定预期。“依法依规治理企业低价无序竞争”中的“依法依规”四字，正是中央为治理行为本身设定的合宪性约束。</w:t>
      </w:r>
    </w:p>
    <w:p>
      <w:pPr>
        <w:spacing w:before="160" w:after="120" w:line="360" w:lineRule="auto"/>
        <w:outlineLvl w:val="2"/>
      </w:pPr>
      <w:r>
        <w:rPr>
          <w:rFonts w:ascii="Times New Roman" w:hAnsi="Times New Roman" w:eastAsia="黑体"/>
          <w:b w:val="0"/>
          <w:sz w:val="24"/>
        </w:rPr>
        <w:t>3．防止行政化产能干预复归：日本教训的再审视</w:t>
      </w:r>
    </w:p>
    <w:p>
      <w:pPr>
        <w:spacing w:before="0" w:after="0" w:line="360" w:lineRule="auto"/>
        <w:ind w:firstLineChars="200" w:firstLine="480"/>
      </w:pPr>
      <w:r>
        <w:rPr>
          <w:rFonts w:ascii="Times New Roman" w:hAnsi="Times New Roman" w:eastAsia="宋体"/>
          <w:b w:val="0"/>
          <w:sz w:val="24"/>
        </w:rPr>
        <w:t>产能治理的另一重风险，是借“反内卷”之名复归行政化产能干预的老路。本书第十章检视的日本经验在此值得重引：1978年《特定不况产业安定临时措置法》与1983年《特定产业构造改善临时措置法》以政府分担调整成本、协调设备废弃的方式处理约14个结构性萧条行业，其效果评价具有高度启示性——设备共同废弃在收缩供给上确有成效，但对铝冶炼等已丧失比较优势的行业，干预只能延缓而非逆转衰退：日本铝冶炼产能从年产164万吨经“70万吨体制”“35万吨体制”一路压缩至约3.5万吨，期间政府投入约1374.63亿日元，从业人员由8286人减至483人，产业最终仍近乎消亡。这段历史提炼出三条镜鉴。其一，出清必须顺应比较优势与技术趋势，政策的正当目标是平滑调整过程、降低社会成本，而不是维持特定产能规模；对中国当下而言，光伏、锂电等行业的过剩是成长期过冲而非夕阳衰退，治理更应侧重时间维度的平滑而非规模维度的削减，且须为技术迭代（如下一代电池技术路线）保留进入通道。其二，政府分担的应当是“人的调整成本”（安置、培训、社保接续）与“债的处置成本”，而非“资产的存续成本”——为产能续命的补贴迟早转化为更大规模的过剩。其三，干预制度必须内置退出机制：日本两法均为“临时措置法”、届满即废，这一日落设计值得中国的产能调控政策效仿，防止应急性干预沉淀为常设性审批。归根结底，行政化干预与市场化出清的分野，在于前者试图替代价格信号、后者致力修复价格信号；“十五五”时期的产能治理必须站在后者一边。</w:t>
      </w:r>
    </w:p>
    <w:p>
      <w:pPr>
        <w:spacing w:before="160" w:after="120" w:line="360" w:lineRule="auto"/>
        <w:outlineLvl w:val="2"/>
      </w:pPr>
      <w:r>
        <w:rPr>
          <w:rFonts w:ascii="Times New Roman" w:hAnsi="Times New Roman" w:eastAsia="黑体"/>
          <w:b w:val="0"/>
          <w:sz w:val="24"/>
        </w:rPr>
        <w:t>4．“十五五”时期重点任务与预期成效</w:t>
      </w:r>
    </w:p>
    <w:p>
      <w:pPr>
        <w:spacing w:before="0" w:after="0" w:line="360" w:lineRule="auto"/>
        <w:ind w:firstLineChars="200" w:firstLine="480"/>
      </w:pPr>
      <w:r>
        <w:rPr>
          <w:rFonts w:ascii="Times New Roman" w:hAnsi="Times New Roman" w:eastAsia="宋体"/>
          <w:b w:val="0"/>
          <w:sz w:val="24"/>
        </w:rPr>
        <w:t>综合本章八节的政策设计，表11.2按领域汇总了“十五五”时期纵深推进全国统一大市场建设的重点任务、政策依据与预期成效（见表11.2）。</w:t>
      </w:r>
    </w:p>
    <w:p>
      <w:pPr>
        <w:spacing w:before="160" w:after="80" w:line="312" w:lineRule="auto"/>
        <w:jc w:val="center"/>
      </w:pPr>
      <w:r>
        <w:rPr>
          <w:rFonts w:ascii="Times New Roman" w:hAnsi="Times New Roman" w:eastAsia="黑体"/>
          <w:b w:val="0"/>
          <w:sz w:val="21"/>
        </w:rPr>
        <w:t>表11.2　“十五五”时期重点任务与预期成效</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领域</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重点任务</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主要政策依据</w:t>
            </w:r>
          </w:p>
        </w:tc>
        <w:tc>
          <w:tcPr>
            <w:tcW w:type="dxa" w:w="2126"/>
            <w:tcBorders>
              <w:top w:val="single" w:sz="12" w:color="000000"/>
              <w:bottom w:val="single" w:sz="6" w:color="000000"/>
            </w:tcBorders>
          </w:tcPr>
          <w:p>
            <w:pPr>
              <w:spacing w:before="20" w:after="20" w:line="276" w:lineRule="auto"/>
              <w:jc w:val="center"/>
            </w:pPr>
            <w:r/>
            <w:r>
              <w:rPr>
                <w:rFonts w:ascii="Times New Roman" w:hAnsi="Times New Roman" w:eastAsia="宋体"/>
                <w:b/>
                <w:sz w:val="21"/>
              </w:rPr>
              <w:t>预期成效（到2030年，方向性判断与情景测算）</w:t>
            </w:r>
          </w:p>
        </w:tc>
      </w:tr>
      <w:tr>
        <w:tc>
          <w:tcPr>
            <w:tcW w:type="dxa" w:w="2126"/>
          </w:tcPr>
          <w:p>
            <w:pPr>
              <w:spacing w:before="20" w:after="20" w:line="276" w:lineRule="auto"/>
              <w:jc w:val="left"/>
            </w:pPr>
            <w:r/>
            <w:r>
              <w:rPr>
                <w:rFonts w:ascii="Times New Roman" w:hAnsi="Times New Roman" w:eastAsia="宋体"/>
                <w:b w:val="0"/>
                <w:sz w:val="21"/>
              </w:rPr>
              <w:t>基础制度</w:t>
            </w:r>
          </w:p>
        </w:tc>
        <w:tc>
          <w:tcPr>
            <w:tcW w:type="dxa" w:w="2126"/>
          </w:tcPr>
          <w:p>
            <w:pPr>
              <w:spacing w:before="20" w:after="20" w:line="276" w:lineRule="auto"/>
              <w:jc w:val="left"/>
            </w:pPr>
            <w:r/>
            <w:r>
              <w:rPr>
                <w:rFonts w:ascii="Times New Roman" w:hAnsi="Times New Roman" w:eastAsia="宋体"/>
                <w:b w:val="0"/>
                <w:sz w:val="21"/>
              </w:rPr>
              <w:t>出台《全国统一大市场建设条例》；“全国一张清单”动态修订；简易退出机制覆盖所有经营主体，健全企业破产制度</w:t>
            </w:r>
          </w:p>
        </w:tc>
        <w:tc>
          <w:tcPr>
            <w:tcW w:type="dxa" w:w="2126"/>
          </w:tcPr>
          <w:p>
            <w:pPr>
              <w:spacing w:before="20" w:after="20" w:line="276" w:lineRule="auto"/>
              <w:jc w:val="left"/>
            </w:pPr>
            <w:r/>
            <w:r>
              <w:rPr>
                <w:rFonts w:ascii="Times New Roman" w:hAnsi="Times New Roman" w:eastAsia="宋体"/>
                <w:b w:val="0"/>
                <w:sz w:val="21"/>
              </w:rPr>
              <w:t>中央经济工作会议；《纲要》第十七章第一节</w:t>
            </w:r>
          </w:p>
        </w:tc>
        <w:tc>
          <w:tcPr>
            <w:tcW w:type="dxa" w:w="2126"/>
          </w:tcPr>
          <w:p>
            <w:pPr>
              <w:spacing w:before="20" w:after="20" w:line="276" w:lineRule="auto"/>
              <w:jc w:val="left"/>
            </w:pPr>
            <w:r/>
            <w:r>
              <w:rPr>
                <w:rFonts w:ascii="Times New Roman" w:hAnsi="Times New Roman" w:eastAsia="宋体"/>
                <w:b w:val="0"/>
                <w:sz w:val="21"/>
              </w:rPr>
              <w:t>制度性交易成本持续下降；退出粘性缓解，企业退出率向市场化基准回归（对应第八章退出渠道证据）</w:t>
            </w:r>
          </w:p>
        </w:tc>
      </w:tr>
      <w:tr>
        <w:tc>
          <w:tcPr>
            <w:tcW w:type="dxa" w:w="2126"/>
          </w:tcPr>
          <w:p>
            <w:pPr>
              <w:spacing w:before="20" w:after="20" w:line="276" w:lineRule="auto"/>
              <w:jc w:val="left"/>
            </w:pPr>
            <w:r/>
            <w:r>
              <w:rPr>
                <w:rFonts w:ascii="Times New Roman" w:hAnsi="Times New Roman" w:eastAsia="宋体"/>
                <w:b w:val="0"/>
                <w:sz w:val="21"/>
              </w:rPr>
              <w:t>公平竞争</w:t>
            </w:r>
          </w:p>
        </w:tc>
        <w:tc>
          <w:tcPr>
            <w:tcW w:type="dxa" w:w="2126"/>
          </w:tcPr>
          <w:p>
            <w:pPr>
              <w:spacing w:before="20" w:after="20" w:line="276" w:lineRule="auto"/>
              <w:jc w:val="left"/>
            </w:pPr>
            <w:r/>
            <w:r>
              <w:rPr>
                <w:rFonts w:ascii="Times New Roman" w:hAnsi="Times New Roman" w:eastAsia="宋体"/>
                <w:b w:val="0"/>
                <w:sz w:val="21"/>
              </w:rPr>
              <w:t>公平竞争审查刚性约束；招商引资鼓励和禁止事项清单落地；妨碍统一大市场事项清单动态通报问责</w:t>
            </w:r>
          </w:p>
        </w:tc>
        <w:tc>
          <w:tcPr>
            <w:tcW w:type="dxa" w:w="2126"/>
          </w:tcPr>
          <w:p>
            <w:pPr>
              <w:spacing w:before="20" w:after="20" w:line="276" w:lineRule="auto"/>
              <w:jc w:val="left"/>
            </w:pPr>
            <w:r/>
            <w:r>
              <w:rPr>
                <w:rFonts w:ascii="Times New Roman" w:hAnsi="Times New Roman" w:eastAsia="宋体"/>
                <w:b w:val="0"/>
                <w:sz w:val="21"/>
              </w:rPr>
              <w:t>《纲要》第十七章第二节；《求是》文章</w:t>
            </w:r>
          </w:p>
        </w:tc>
        <w:tc>
          <w:tcPr>
            <w:tcW w:type="dxa" w:w="2126"/>
          </w:tcPr>
          <w:p>
            <w:pPr>
              <w:spacing w:before="20" w:after="20" w:line="276" w:lineRule="auto"/>
              <w:jc w:val="left"/>
            </w:pPr>
            <w:r/>
            <w:r>
              <w:rPr>
                <w:rFonts w:ascii="Times New Roman" w:hAnsi="Times New Roman" w:eastAsia="宋体"/>
                <w:b w:val="0"/>
                <w:sz w:val="21"/>
              </w:rPr>
              <w:t>违规补贴与变相返还明显收敛，补贴强度趋势性下降（第九章DID显示高强度审查省份补贴强度相对下降0.084个百分点）</w:t>
            </w:r>
          </w:p>
        </w:tc>
      </w:tr>
      <w:tr>
        <w:tc>
          <w:tcPr>
            <w:tcW w:type="dxa" w:w="2126"/>
          </w:tcPr>
          <w:p>
            <w:pPr>
              <w:spacing w:before="20" w:after="20" w:line="276" w:lineRule="auto"/>
              <w:jc w:val="left"/>
            </w:pPr>
            <w:r/>
            <w:r>
              <w:rPr>
                <w:rFonts w:ascii="Times New Roman" w:hAnsi="Times New Roman" w:eastAsia="宋体"/>
                <w:b w:val="0"/>
                <w:sz w:val="21"/>
              </w:rPr>
              <w:t>“内卷”整治</w:t>
            </w:r>
          </w:p>
        </w:tc>
        <w:tc>
          <w:tcPr>
            <w:tcW w:type="dxa" w:w="2126"/>
          </w:tcPr>
          <w:p>
            <w:pPr>
              <w:spacing w:before="20" w:after="20" w:line="276" w:lineRule="auto"/>
              <w:jc w:val="left"/>
            </w:pPr>
            <w:r/>
            <w:r>
              <w:rPr>
                <w:rFonts w:ascii="Times New Roman" w:hAnsi="Times New Roman" w:eastAsia="宋体"/>
                <w:b w:val="0"/>
                <w:sz w:val="21"/>
              </w:rPr>
              <w:t>综合运用产能调控、标准引领、价格执法、质量监管、反垄断与反不正当竞争工具，重点行业秩序修复</w:t>
            </w:r>
          </w:p>
        </w:tc>
        <w:tc>
          <w:tcPr>
            <w:tcW w:type="dxa" w:w="2126"/>
          </w:tcPr>
          <w:p>
            <w:pPr>
              <w:spacing w:before="20" w:after="20" w:line="276" w:lineRule="auto"/>
              <w:jc w:val="left"/>
            </w:pPr>
            <w:r/>
            <w:r>
              <w:rPr>
                <w:rFonts w:ascii="Times New Roman" w:hAnsi="Times New Roman" w:eastAsia="宋体"/>
                <w:b w:val="0"/>
                <w:sz w:val="21"/>
              </w:rPr>
              <w:t>《求是》文章；中央财经委六次会议</w:t>
            </w:r>
          </w:p>
        </w:tc>
        <w:tc>
          <w:tcPr>
            <w:tcW w:type="dxa" w:w="2126"/>
          </w:tcPr>
          <w:p>
            <w:pPr>
              <w:spacing w:before="20" w:after="20" w:line="276" w:lineRule="auto"/>
              <w:jc w:val="left"/>
            </w:pPr>
            <w:r/>
            <w:r>
              <w:rPr>
                <w:rFonts w:ascii="Times New Roman" w:hAnsi="Times New Roman" w:eastAsia="宋体"/>
                <w:b w:val="0"/>
                <w:sz w:val="21"/>
              </w:rPr>
              <w:t>重点行业价格回归成本线以上、利润率修复；情景测算下全国“内卷”指数较2024年下降约0.034（约7.2%，本书测算）</w:t>
            </w:r>
          </w:p>
        </w:tc>
      </w:tr>
      <w:tr>
        <w:tc>
          <w:tcPr>
            <w:tcW w:type="dxa" w:w="2126"/>
          </w:tcPr>
          <w:p>
            <w:pPr>
              <w:spacing w:before="20" w:after="20" w:line="276" w:lineRule="auto"/>
              <w:jc w:val="left"/>
            </w:pPr>
            <w:r/>
            <w:r>
              <w:rPr>
                <w:rFonts w:ascii="Times New Roman" w:hAnsi="Times New Roman" w:eastAsia="宋体"/>
                <w:b w:val="0"/>
                <w:sz w:val="21"/>
              </w:rPr>
              <w:t>要素与设施</w:t>
            </w:r>
          </w:p>
        </w:tc>
        <w:tc>
          <w:tcPr>
            <w:tcW w:type="dxa" w:w="2126"/>
          </w:tcPr>
          <w:p>
            <w:pPr>
              <w:spacing w:before="20" w:after="20" w:line="276" w:lineRule="auto"/>
              <w:jc w:val="left"/>
            </w:pPr>
            <w:r/>
            <w:r>
              <w:rPr>
                <w:rFonts w:ascii="Times New Roman" w:hAnsi="Times New Roman" w:eastAsia="宋体"/>
                <w:b w:val="0"/>
                <w:sz w:val="21"/>
              </w:rPr>
              <w:t>要素市场化配置综合改革试点扩围；城乡统一建设用地市场；全国一体化数据市场；物流降本</w:t>
            </w:r>
          </w:p>
        </w:tc>
        <w:tc>
          <w:tcPr>
            <w:tcW w:type="dxa" w:w="2126"/>
          </w:tcPr>
          <w:p>
            <w:pPr>
              <w:spacing w:before="20" w:after="20" w:line="276" w:lineRule="auto"/>
              <w:jc w:val="left"/>
            </w:pPr>
            <w:r/>
            <w:r>
              <w:rPr>
                <w:rFonts w:ascii="Times New Roman" w:hAnsi="Times New Roman" w:eastAsia="宋体"/>
                <w:b w:val="0"/>
                <w:sz w:val="21"/>
              </w:rPr>
              <w:t>《纲要》第十九章、第十七章第三节；《有效降低全社会物流成本行动方案》</w:t>
            </w:r>
          </w:p>
        </w:tc>
        <w:tc>
          <w:tcPr>
            <w:tcW w:type="dxa" w:w="2126"/>
          </w:tcPr>
          <w:p>
            <w:pPr>
              <w:spacing w:before="20" w:after="20" w:line="276" w:lineRule="auto"/>
              <w:jc w:val="left"/>
            </w:pPr>
            <w:r/>
            <w:r>
              <w:rPr>
                <w:rFonts w:ascii="Times New Roman" w:hAnsi="Times New Roman" w:eastAsia="宋体"/>
                <w:b w:val="0"/>
                <w:sz w:val="21"/>
              </w:rPr>
              <w:t>要素分割指数收敛提速；社会物流总费用与GDP比率到2027年力争降至13.5%左右并继续下行</w:t>
            </w:r>
          </w:p>
        </w:tc>
      </w:tr>
      <w:tr>
        <w:tc>
          <w:tcPr>
            <w:tcW w:type="dxa" w:w="2126"/>
          </w:tcPr>
          <w:p>
            <w:pPr>
              <w:spacing w:before="20" w:after="20" w:line="276" w:lineRule="auto"/>
              <w:jc w:val="left"/>
            </w:pPr>
            <w:r/>
            <w:r>
              <w:rPr>
                <w:rFonts w:ascii="Times New Roman" w:hAnsi="Times New Roman" w:eastAsia="宋体"/>
                <w:b w:val="0"/>
                <w:sz w:val="21"/>
              </w:rPr>
              <w:t>地方激励</w:t>
            </w:r>
          </w:p>
        </w:tc>
        <w:tc>
          <w:tcPr>
            <w:tcW w:type="dxa" w:w="2126"/>
          </w:tcPr>
          <w:p>
            <w:pPr>
              <w:spacing w:before="20" w:after="20" w:line="276" w:lineRule="auto"/>
              <w:jc w:val="left"/>
            </w:pPr>
            <w:r/>
            <w:r>
              <w:rPr>
                <w:rFonts w:ascii="Times New Roman" w:hAnsi="Times New Roman" w:eastAsia="宋体"/>
                <w:b w:val="0"/>
                <w:sz w:val="21"/>
              </w:rPr>
              <w:t>消费地原则税收分享试点；经营主体活动发生地统计推广；差异化考核；开发区清理规范</w:t>
            </w:r>
          </w:p>
        </w:tc>
        <w:tc>
          <w:tcPr>
            <w:tcW w:type="dxa" w:w="2126"/>
          </w:tcPr>
          <w:p>
            <w:pPr>
              <w:spacing w:before="20" w:after="20" w:line="276" w:lineRule="auto"/>
              <w:jc w:val="left"/>
            </w:pPr>
            <w:r/>
            <w:r>
              <w:rPr>
                <w:rFonts w:ascii="Times New Roman" w:hAnsi="Times New Roman" w:eastAsia="宋体"/>
                <w:b w:val="0"/>
                <w:sz w:val="21"/>
              </w:rPr>
              <w:t>《纲要》第十七章第一节；中央经济工作会议；《求是》文章</w:t>
            </w:r>
          </w:p>
        </w:tc>
        <w:tc>
          <w:tcPr>
            <w:tcW w:type="dxa" w:w="2126"/>
          </w:tcPr>
          <w:p>
            <w:pPr>
              <w:spacing w:before="20" w:after="20" w:line="276" w:lineRule="auto"/>
              <w:jc w:val="left"/>
            </w:pPr>
            <w:r/>
            <w:r>
              <w:rPr>
                <w:rFonts w:ascii="Times New Roman" w:hAnsi="Times New Roman" w:eastAsia="宋体"/>
                <w:b w:val="0"/>
                <w:sz w:val="21"/>
              </w:rPr>
              <w:t>招商引资竞赛降温，产业同构趋缓，地方竞争重心转向公共服务与营商环境</w:t>
            </w:r>
          </w:p>
        </w:tc>
      </w:tr>
      <w:tr>
        <w:tc>
          <w:tcPr>
            <w:tcW w:type="dxa" w:w="2126"/>
          </w:tcPr>
          <w:p>
            <w:pPr>
              <w:spacing w:before="20" w:after="20" w:line="276" w:lineRule="auto"/>
              <w:jc w:val="left"/>
            </w:pPr>
            <w:r/>
            <w:r>
              <w:rPr>
                <w:rFonts w:ascii="Times New Roman" w:hAnsi="Times New Roman" w:eastAsia="宋体"/>
                <w:b w:val="0"/>
                <w:sz w:val="21"/>
              </w:rPr>
              <w:t>需求协同</w:t>
            </w:r>
          </w:p>
        </w:tc>
        <w:tc>
          <w:tcPr>
            <w:tcW w:type="dxa" w:w="2126"/>
          </w:tcPr>
          <w:p>
            <w:pPr>
              <w:spacing w:before="20" w:after="20" w:line="276" w:lineRule="auto"/>
              <w:jc w:val="left"/>
            </w:pPr>
            <w:r/>
            <w:r>
              <w:rPr>
                <w:rFonts w:ascii="Times New Roman" w:hAnsi="Times New Roman" w:eastAsia="宋体"/>
                <w:b w:val="0"/>
                <w:sz w:val="21"/>
              </w:rPr>
              <w:t>城乡居民增收计划；服务消费扩容；投资于人；社保扩面</w:t>
            </w:r>
          </w:p>
        </w:tc>
        <w:tc>
          <w:tcPr>
            <w:tcW w:type="dxa" w:w="2126"/>
          </w:tcPr>
          <w:p>
            <w:pPr>
              <w:spacing w:before="20" w:after="20" w:line="276" w:lineRule="auto"/>
              <w:jc w:val="left"/>
            </w:pPr>
            <w:r/>
            <w:r>
              <w:rPr>
                <w:rFonts w:ascii="Times New Roman" w:hAnsi="Times New Roman" w:eastAsia="宋体"/>
                <w:b w:val="0"/>
                <w:sz w:val="21"/>
              </w:rPr>
              <w:t>中央经济工作会议；《纲要》第十五、十六章；四中全会《建议》</w:t>
            </w:r>
          </w:p>
        </w:tc>
        <w:tc>
          <w:tcPr>
            <w:tcW w:type="dxa" w:w="2126"/>
          </w:tcPr>
          <w:p>
            <w:pPr>
              <w:spacing w:before="20" w:after="20" w:line="276" w:lineRule="auto"/>
              <w:jc w:val="left"/>
            </w:pPr>
            <w:r/>
            <w:r>
              <w:rPr>
                <w:rFonts w:ascii="Times New Roman" w:hAnsi="Times New Roman" w:eastAsia="宋体"/>
                <w:b w:val="0"/>
                <w:sz w:val="21"/>
              </w:rPr>
              <w:t>居民消费率稳步提高（每提高1个百分点静态对应约1.4万亿元消费增量，本书测算）；供需更高水平动态平衡</w:t>
            </w:r>
          </w:p>
        </w:tc>
      </w:tr>
      <w:tr>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总体红利</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上述任务协同推进，市场分割指数在2024年基础上再降30%（情景假设）</w:t>
            </w:r>
          </w:p>
        </w:tc>
        <w:tc>
          <w:tcPr>
            <w:tcW w:type="dxa" w:w="2126"/>
            <w:tcBorders>
              <w:bottom w:val="single" w:sz="12" w:color="000000"/>
            </w:tcBorders>
          </w:tcPr>
          <w:p>
            <w:pPr>
              <w:spacing w:before="20" w:after="20" w:line="276" w:lineRule="auto"/>
              <w:jc w:val="center"/>
            </w:pPr>
            <w:r/>
            <w:r>
              <w:rPr>
                <w:rFonts w:ascii="Times New Roman" w:hAnsi="Times New Roman" w:eastAsia="宋体"/>
                <w:b w:val="0"/>
                <w:sz w:val="21"/>
              </w:rPr>
              <w:t>—</w:t>
            </w:r>
          </w:p>
        </w:tc>
        <w:tc>
          <w:tcPr>
            <w:tcW w:type="dxa" w:w="2126"/>
            <w:tcBorders>
              <w:bottom w:val="single" w:sz="12" w:color="000000"/>
            </w:tcBorders>
          </w:tcPr>
          <w:p>
            <w:pPr>
              <w:spacing w:before="20" w:after="20" w:line="276" w:lineRule="auto"/>
              <w:jc w:val="left"/>
            </w:pPr>
            <w:r/>
            <w:r>
              <w:rPr>
                <w:rFonts w:ascii="Times New Roman" w:hAnsi="Times New Roman" w:eastAsia="宋体"/>
                <w:b w:val="0"/>
                <w:sz w:val="21"/>
              </w:rPr>
              <w:t>估算全要素生产率年均增速提高0.4—0.6个百分点，五年累计带来约2.6万亿—3.4万亿元（2025年价）额外产出增量（本书第九章测算）</w:t>
            </w:r>
          </w:p>
        </w:tc>
      </w:tr>
    </w:tbl>
    <w:p>
      <w:pPr>
        <w:spacing w:before="0" w:after="120" w:line="360" w:lineRule="auto"/>
      </w:pPr>
    </w:p>
    <w:p>
      <w:pPr>
        <w:spacing w:before="0" w:after="0" w:line="360" w:lineRule="auto"/>
        <w:ind w:firstLineChars="200" w:firstLine="480"/>
      </w:pPr>
      <w:r>
        <w:rPr>
          <w:rFonts w:ascii="Times New Roman" w:hAnsi="Times New Roman" w:eastAsia="宋体"/>
          <w:b w:val="0"/>
          <w:sz w:val="24"/>
        </w:rPr>
        <w:t>表11.2的解读须把握两点。第一，预期成效栏中凡涉及本书测度与估计的数字，均为基于第九章弹性与情景假设的测算值而非预测值：“市场分割指数再降30%”是情景设定（对应2030年全国均值降至1.38，接近当前长三角水平），其实现程度取决于各项任务的执行力度，测算的价值在于给出“红利可及规模”的量级参照。第二，各领域任务之间存在严格的互补结构：没有地方激励重构，公平竞争治理将陷入“清理—反弹”循环；没有退出制度，产能调控将无出口；没有需求协同，供给侧秩序修复将事倍功半。换言之，表中七行不是可以拆分认领的任务清单，而是一个不可分割的政策系统——这正是“纵深推进”区别于“继续推进”的本质所在。</w:t>
      </w:r>
    </w:p>
    <w:p>
      <w:pPr>
        <w:spacing w:before="0" w:after="0" w:line="360" w:lineRule="auto"/>
        <w:ind w:firstLineChars="200" w:firstLine="480"/>
      </w:pPr>
      <w:r>
        <w:rPr>
          <w:rFonts w:ascii="Times New Roman" w:hAnsi="Times New Roman" w:eastAsia="宋体"/>
          <w:b w:val="0"/>
          <w:sz w:val="24"/>
        </w:rPr>
        <w:t>本章的分析可以归结为一条主线：把整治“内卷式”竞争的短期行动，锚定在统一大市场的长期制度建设之上。第（一）节以“五统一、一开放”与“破立并举”确立总体思路；第（二）（三）节从基础制度与公平竞争两端约束市场退出失灵与地方激励扭曲；第（四）节为症状层面的综合整治提供工具箱与适用条件矩阵；第（五）（六）节分别从要素设施与财税统计考核入手矫正要素价格扭曲、重塑地方激励；第（七）节以需求侧协同拆除“内卷”的宏观土壤；第（八）节则为治理行为本身设定协同机制与风险边界。这一路径设计与本书第三章的四重扭曲逐一对应、与第四章的理论命题相互印证、与第八章至第十章的经验证据彼此支撑，构成“理论—证据—政策”的完整闭环。至此，本书的实证与政策分析全部完成。第十二章将对全书的主要结论、边际贡献与研究局限作系统总结，并展望统一大市场与竞争治理研究的未来方向。</w:t>
      </w:r>
    </w:p>
    <w:p>
      <w:r>
        <w:br w:type="page"/>
      </w:r>
    </w:p>
    <w:p>
      <w:pPr>
        <w:spacing w:before="240" w:after="280" w:line="360" w:lineRule="auto"/>
        <w:jc w:val="center"/>
        <w:outlineLvl w:val="0"/>
      </w:pPr>
      <w:r>
        <w:rPr>
          <w:rFonts w:ascii="Times New Roman" w:hAnsi="Times New Roman" w:eastAsia="黑体"/>
          <w:b/>
          <w:sz w:val="30"/>
        </w:rPr>
        <w:t>十二、结论与展望</w:t>
      </w:r>
    </w:p>
    <w:p>
      <w:pPr>
        <w:spacing w:before="0" w:after="0" w:line="360" w:lineRule="auto"/>
        <w:ind w:firstLineChars="200" w:firstLine="480"/>
      </w:pPr>
      <w:r>
        <w:rPr>
          <w:rFonts w:ascii="Times New Roman" w:hAnsi="Times New Roman" w:eastAsia="宋体"/>
          <w:b w:val="0"/>
          <w:sz w:val="24"/>
        </w:rPr>
        <w:t>本书前十一章沿着“问题—政策—概念—理论—事实—实证—案例—对策”的逻辑链条，完成了对全国统一大市场建设与“内卷式”竞争治理这一重大命题的系统研究：第一、二章提出问题并梳理政策部署，第三、四章构建概念体系与数理模型，第五章刻画典型化事实，第六至九章展开测度与因果检验，第十章以案例与国际镜鉴印证理论，第十一章提出“十五五”时期的政策路径。作为全书的收束，本章承担三项任务：其一，围绕“市场分割—内卷竞争—统一红利”这一主线，提炼全书的六条主要结论，并回引核心实证数字，使结论建立在可复核的证据之上；其二，从概念、理论、方法与政策四个层面总结本书的边际贡献，说明其在既有文献坐标系中的位置；其三，坦承研究的局限，并展望值得继续深耕的方向，包括动态一般均衡拓展、微观企业数据验证以及人工智能时代竞争形态的新变化。最后，本章回到“超大规模市场优势”与中国式现代化的宏大背景，为全书作结。</w:t>
      </w:r>
    </w:p>
    <w:p>
      <w:pPr>
        <w:spacing w:before="200" w:after="160" w:line="360" w:lineRule="auto"/>
        <w:outlineLvl w:val="1"/>
      </w:pPr>
      <w:r>
        <w:rPr>
          <w:rFonts w:ascii="Times New Roman" w:hAnsi="Times New Roman" w:eastAsia="黑体"/>
          <w:b w:val="0"/>
          <w:sz w:val="28"/>
        </w:rPr>
        <w:t>（一）主要结论</w:t>
      </w:r>
    </w:p>
    <w:p>
      <w:pPr>
        <w:spacing w:before="0" w:after="0" w:line="360" w:lineRule="auto"/>
        <w:ind w:firstLineChars="200" w:firstLine="480"/>
      </w:pPr>
      <w:r>
        <w:rPr>
          <w:rFonts w:ascii="Times New Roman" w:hAnsi="Times New Roman" w:eastAsia="宋体"/>
          <w:b w:val="0"/>
          <w:sz w:val="24"/>
        </w:rPr>
        <w:t>综合理论分析、指数测度、计量检验与案例研究，本书的发现可以凝练为以下六条相互支撑的基本结论。</w:t>
      </w:r>
    </w:p>
    <w:p>
      <w:pPr>
        <w:spacing w:before="160" w:after="120" w:line="360" w:lineRule="auto"/>
        <w:outlineLvl w:val="2"/>
      </w:pPr>
      <w:r>
        <w:rPr>
          <w:rFonts w:ascii="Times New Roman" w:hAnsi="Times New Roman" w:eastAsia="黑体"/>
          <w:b w:val="0"/>
          <w:sz w:val="24"/>
        </w:rPr>
        <w:t>1．“内卷式”竞争的本质是分割条件下自我强化的低水平竞争均衡，“内卷式竞争陷阱—统一市场红利”构成理解与治理的一体两面</w:t>
      </w:r>
    </w:p>
    <w:p>
      <w:pPr>
        <w:spacing w:before="0" w:after="0" w:line="360" w:lineRule="auto"/>
        <w:ind w:firstLineChars="200" w:firstLine="480"/>
      </w:pPr>
      <w:r>
        <w:rPr>
          <w:rFonts w:ascii="Times New Roman" w:hAnsi="Times New Roman" w:eastAsia="宋体"/>
          <w:b w:val="0"/>
          <w:sz w:val="24"/>
        </w:rPr>
        <w:t>本书第三章将“内卷式”竞争从政策话语与社会学隐喻中剥离出来，界定为一个可操作的经济学概念，并据此提出全书的核心概念——“内卷式竞争陷阱”：在市场分割与地方政府激励扭曲条件下，同质化过度进入、产能持续过剩、价格竞争向成本线以下收敛、创新回报被侵蚀、落后产能退出失灵所形成的自我强化的低水平竞争均衡。与之对偶的“统一市场红利”，则指破除分割后通过规模效应、选择效应、创新效应、预期效应释放的增长与福利增量。两个概念经由“市场分割—内卷竞争—统一红利”三环传导框架联结为一个整体：市场分割经由地方激励扭曲、要素价格扭曲、退出机制失灵与需求约束收紧四重扭曲催生“内卷”，而统一大市场建设经由四大效应将“内卷”均衡转换为高质量竞争均衡。这一框架在本书第四章被数理化为三个递进模型与一个福利分解，导出H1—H5五个可检验命题。其理论要旨在于：“内卷式”竞争不是企业非理性或竞争本身过度的产物，而是分割市场中地方政府与企业在各自约束下理性行为的合成谬误——在晋升锦标赛激励下，地方政府补贴招商与保护本地企业是其占优策略（周黎安，2007），但各地占优策略的加总便是全局的重复建设与产能过剩。因此，治理“内卷”的钥匙不在于责备竞争，而在于改造竞争发生的市场结构与激励环境，这正是把“内卷式”竞争治理内嵌于统一大市场建设的学理依据。</w:t>
      </w:r>
    </w:p>
    <w:p>
      <w:pPr>
        <w:spacing w:before="160" w:after="120" w:line="360" w:lineRule="auto"/>
        <w:outlineLvl w:val="2"/>
      </w:pPr>
      <w:r>
        <w:rPr>
          <w:rFonts w:ascii="Times New Roman" w:hAnsi="Times New Roman" w:eastAsia="黑体"/>
          <w:b w:val="0"/>
          <w:sz w:val="24"/>
        </w:rPr>
        <w:t>2．中国商品市场分割总体收敛但近年有所波动，要素市场分割明显滞后，“内卷”强度在2022年后快速攀升至样本期峰值</w:t>
      </w:r>
    </w:p>
    <w:p>
      <w:pPr>
        <w:spacing w:before="0" w:after="0" w:line="360" w:lineRule="auto"/>
        <w:ind w:firstLineChars="200" w:firstLine="480"/>
      </w:pPr>
      <w:r>
        <w:rPr>
          <w:rFonts w:ascii="Times New Roman" w:hAnsi="Times New Roman" w:eastAsia="宋体"/>
          <w:b w:val="0"/>
          <w:sz w:val="24"/>
        </w:rPr>
        <w:t>本书第七章沿用相对价格法的测度传统（桂琦寒等，2006），基于31个省份8大类商品零售价格环比指数构造了2012—2024年省域市场分割指数。测度显示：全国市场分割指数（数量级</w:t>
      </w:r>
      <m:oMath>
        <m:box>
          <m:e>
            <m:r>
              <m:rPr>
                <m:sty m:val="p"/>
              </m:rPr>
              <m:t>×</m:t>
            </m:r>
            <m:sSup>
              <m:e>
                <m:r>
                  <m:rPr>
                    <m:sty m:val="p"/>
                  </m:rPr>
                  <m:t>10</m:t>
                </m:r>
              </m:e>
              <m:sup>
                <m:box>
                  <m:e>
                    <m:r>
                      <m:rPr>
                        <m:sty m:val="p"/>
                      </m:rPr>
                      <m:t>−</m:t>
                    </m:r>
                    <m:r>
                      <m:rPr>
                        <m:sty m:val="p"/>
                      </m:rPr>
                      <m:t>3</m:t>
                    </m:r>
                  </m:e>
                </m:box>
              </m:sup>
            </m:sSup>
          </m:e>
        </m:box>
      </m:oMath>
      <w:r>
        <w:rPr>
          <w:rFonts w:ascii="Times New Roman" w:hAnsi="Times New Roman" w:eastAsia="宋体"/>
          <w:b w:val="0"/>
          <w:sz w:val="24"/>
        </w:rPr>
        <w:t>）由2012年的2.65降至2024年的1.97，累计下降25.7%，国内商品市场总体趋于整合；但收敛并非单调——2020年受疫情防控与物流受阻影响反弹至2.31，2022年因局部封控与地方产业竞赛再度反弹至2.32，2023年起随统一大市场政策的密集推进重新加快收敛。更值得警惕的是结构性滞后：2024年要素市场分割指数为3.34，约为商品市场（1.97）的1.7倍；2012—2024年商品分割指数下降25.7%，要素分割指数仅由3.88降至3.34、下降13.9%，要素市场的整合速度明显落后于商品市场，印证了文献关于商品与要素双重分割、要素分割更深的判断（刘志彪、孔令池，2021）。区域格局上，2024年东部（1.60）明显低于中西部与东北（西部2.26、东北2.19），长三角以1.34领跑全国；统一大市场发展指数由2012年的45.1升至2024年的62.4，但四维得分中要素流动（54.3）与监管统一（55.6）显著低于市场基础制度（68.2）与设施联通（71.5），构成突出短板。与此同时，“内卷式竞争”强度指数由2012年的0.352升至2024年的0.470，达样本期峰值，其走势与宏观表现高度一致：据国家统计局数据，PPI自2022年10月起转负，至2025年12月已连续39个月负增长，2025年工业产能利用率降至74.4%、规模以上工业营业收入利润率降至5.31%的历史低位。省级截面上，市场分割与“内卷”强度的相关系数高达0.81，二者的空间分布高度重叠，为因果检验提供了初步线索。</w:t>
      </w:r>
    </w:p>
    <w:p>
      <w:pPr>
        <w:spacing w:before="160" w:after="120" w:line="360" w:lineRule="auto"/>
        <w:outlineLvl w:val="2"/>
      </w:pPr>
      <w:r>
        <w:rPr>
          <w:rFonts w:ascii="Times New Roman" w:hAnsi="Times New Roman" w:eastAsia="黑体"/>
          <w:b w:val="0"/>
          <w:sz w:val="24"/>
        </w:rPr>
        <w:t>3．市场分割显著催生“内卷式”竞争，补贴竞争、产业同构与退出粘性是三条核心传导渠道</w:t>
      </w:r>
    </w:p>
    <w:p>
      <w:pPr>
        <w:spacing w:before="0" w:after="0" w:line="360" w:lineRule="auto"/>
        <w:ind w:firstLineChars="200" w:firstLine="480"/>
      </w:pPr>
      <w:r>
        <w:rPr>
          <w:rFonts w:ascii="Times New Roman" w:hAnsi="Times New Roman" w:eastAsia="宋体"/>
          <w:b w:val="0"/>
          <w:sz w:val="24"/>
        </w:rPr>
        <w:t>本书第八章的面板回归为“分割催卷”提供了系统的因果证据。在控制省份与年份双固定效应及一系列省级特征后，市场分割指数对“内卷”强度指数的回归系数为0.058*</w:t>
      </w:r>
      <w:r>
        <w:rPr>
          <w:rFonts w:ascii="Times New Roman" w:hAnsi="Times New Roman" w:eastAsia="宋体"/>
          <w:b/>
          <w:sz w:val="24"/>
        </w:rPr>
        <w:t>（0.013），在1%水平上高度显著；经济显著性换算表明，市场分割每上升一个标准差（0.42），“内卷”指数上升0.024，相当于其标准差的25.4%，效应量在经济意义上不可忽视。为排除反向因果与遗漏变量干扰，本书以地形起伏度×年份趋势、明清驿道密度×年份趋势作为工具变量，第一阶段Kleibergen-Paap F统计量为24.7，工具不弱，二阶段系数为0.079</w:t>
      </w:r>
      <w:r>
        <w:rPr>
          <w:rFonts w:ascii="Times New Roman" w:hAnsi="Times New Roman" w:eastAsia="宋体"/>
          <w:b w:val="0"/>
          <w:sz w:val="24"/>
        </w:rPr>
        <w:t>*（0.021），与基准方向一致且更大；解释变量滞后一期（0.052*</w:t>
      </w:r>
      <w:r>
        <w:rPr>
          <w:rFonts w:ascii="Times New Roman" w:hAnsi="Times New Roman" w:eastAsia="宋体"/>
          <w:b/>
          <w:sz w:val="24"/>
        </w:rPr>
        <w:t>）、剔除直辖市（0.061</w:t>
      </w:r>
      <w:r>
        <w:rPr>
          <w:rFonts w:ascii="Times New Roman" w:hAnsi="Times New Roman" w:eastAsia="宋体"/>
          <w:b w:val="0"/>
          <w:sz w:val="24"/>
        </w:rPr>
        <w:t>*）、加入省份线性时间趋势（0.049*</w:t>
      </w:r>
      <w:r>
        <w:rPr>
          <w:rFonts w:ascii="Times New Roman" w:hAnsi="Times New Roman" w:eastAsia="宋体"/>
          <w:b/>
          <w:sz w:val="24"/>
        </w:rPr>
        <w:t>）、以夜间灯光边界梯度法替换分割指数（0.054</w:t>
      </w:r>
      <w:r>
        <w:rPr>
          <w:rFonts w:ascii="Times New Roman" w:hAnsi="Times New Roman" w:eastAsia="宋体"/>
          <w:b w:val="0"/>
          <w:sz w:val="24"/>
        </w:rPr>
        <w:t>*）等稳健性检验均支持基准结论。机制检验进一步打开了传导的黑箱：分割显著推高补贴强度（0.214*</w:t>
      </w:r>
      <w:r>
        <w:rPr>
          <w:rFonts w:ascii="Times New Roman" w:hAnsi="Times New Roman" w:eastAsia="宋体"/>
          <w:b/>
          <w:sz w:val="24"/>
        </w:rPr>
        <w:t>）与产业结构相似系数（0.038</w:t>
      </w:r>
      <w:r>
        <w:rPr>
          <w:rFonts w:ascii="Times New Roman" w:hAnsi="Times New Roman" w:eastAsia="宋体"/>
          <w:b w:val="0"/>
          <w:sz w:val="24"/>
        </w:rPr>
        <w:t>*）、压低企业退出率（−0.83</w:t>
      </w:r>
      <w:r>
        <w:rPr>
          <w:rFonts w:ascii="Times New Roman" w:hAnsi="Times New Roman" w:eastAsia="宋体"/>
          <w:b/>
          <w:sz w:val="24"/>
        </w:rPr>
        <w:t>）；将三个机制变量与分割同时纳入方程后，补贴强度（0.041</w:t>
      </w:r>
      <w:r>
        <w:rPr>
          <w:rFonts w:ascii="Times New Roman" w:hAnsi="Times New Roman" w:eastAsia="宋体"/>
          <w:b w:val="0"/>
          <w:sz w:val="24"/>
        </w:rPr>
        <w:t>*）、产业同构（0.297*</w:t>
      </w:r>
      <w:r>
        <w:rPr>
          <w:rFonts w:ascii="Times New Roman" w:hAnsi="Times New Roman" w:eastAsia="宋体"/>
          <w:b/>
          <w:sz w:val="24"/>
        </w:rPr>
        <w:t>）与退出率（−0.0046</w:t>
      </w:r>
      <w:r>
        <w:rPr>
          <w:rFonts w:ascii="Times New Roman" w:hAnsi="Times New Roman" w:eastAsia="宋体"/>
          <w:b w:val="0"/>
          <w:sz w:val="24"/>
        </w:rPr>
        <w:t>）均显著解释“内卷”，分割的直接系数由0.058降至0.036</w:t>
      </w:r>
      <w:r>
        <w:rPr>
          <w:rFonts w:ascii="Times New Roman" w:hAnsi="Times New Roman" w:eastAsia="宋体"/>
          <w:b/>
          <w:sz w:val="24"/>
        </w:rPr>
        <w:t>，衰减约38%，表明补贴竞争、产业同构与退出粘性构成部分中介意义上的核心渠道。异质性分析显示，“催卷”效应在中西部（0.072</w:t>
      </w:r>
      <w:r>
        <w:rPr>
          <w:rFonts w:ascii="Times New Roman" w:hAnsi="Times New Roman" w:eastAsia="宋体"/>
          <w:b w:val="0"/>
          <w:sz w:val="24"/>
        </w:rPr>
        <w:t>*）强于东部（0.041</w:t>
      </w:r>
      <w:r>
        <w:rPr>
          <w:rFonts w:ascii="Times New Roman" w:hAnsi="Times New Roman" w:eastAsia="宋体"/>
          <w:b/>
          <w:sz w:val="24"/>
        </w:rPr>
        <w:t>），在增长目标压力大的省份（交互项+0.027</w:t>
      </w:r>
      <w:r>
        <w:rPr>
          <w:rFonts w:ascii="Times New Roman" w:hAnsi="Times New Roman" w:eastAsia="宋体"/>
          <w:b w:val="0"/>
          <w:sz w:val="24"/>
        </w:rPr>
        <w:t>）、资本密集型产业占比高的省份（+0.034</w:t>
      </w:r>
      <w:r>
        <w:rPr>
          <w:rFonts w:ascii="Times New Roman" w:hAnsi="Times New Roman" w:eastAsia="宋体"/>
          <w:b/>
          <w:sz w:val="24"/>
        </w:rPr>
        <w:t>）更强，且2020年后显著增强（Seg×Post2020交互项+0.019</w:t>
      </w:r>
      <w:r>
        <w:rPr>
          <w:rFonts w:ascii="Times New Roman" w:hAnsi="Times New Roman" w:eastAsia="宋体"/>
          <w:b w:val="0"/>
          <w:sz w:val="24"/>
        </w:rPr>
        <w:t>）——需求约束收紧放大了分割的危害，这与理论框架中“供强需弱放大内卷”的判断吻合。命题H1—H3由此得到支持。</w:t>
      </w:r>
    </w:p>
    <w:p>
      <w:pPr>
        <w:spacing w:before="160" w:after="120" w:line="360" w:lineRule="auto"/>
        <w:outlineLvl w:val="2"/>
      </w:pPr>
      <w:r>
        <w:rPr>
          <w:rFonts w:ascii="Times New Roman" w:hAnsi="Times New Roman" w:eastAsia="黑体"/>
          <w:b w:val="0"/>
          <w:sz w:val="24"/>
        </w:rPr>
        <w:t>4．统一大市场建设产生了可识别、逐年累积的“统一红利”，表现为秩序修复、效率改善与创新激励三个层次</w:t>
      </w:r>
    </w:p>
    <w:p>
      <w:pPr>
        <w:spacing w:before="0" w:after="0" w:line="360" w:lineRule="auto"/>
        <w:ind w:firstLineChars="200" w:firstLine="480"/>
      </w:pPr>
      <w:r>
        <w:rPr>
          <w:rFonts w:ascii="Times New Roman" w:hAnsi="Times New Roman" w:eastAsia="宋体"/>
          <w:b w:val="0"/>
          <w:sz w:val="24"/>
        </w:rPr>
        <w:t>本书第九章以2016年公平竞争审查制度实施为准自然实验、以各省存量政策文件清理力度构造处理强度，实施强度DID估计。结果显示：Post×Intensity对“内卷”指数的效应为−0.019*</w:t>
      </w:r>
      <w:r>
        <w:rPr>
          <w:rFonts w:ascii="Times New Roman" w:hAnsi="Times New Roman" w:eastAsia="宋体"/>
          <w:b/>
          <w:sz w:val="24"/>
        </w:rPr>
        <w:t>（0.006），相当于样本期“内卷”指数均值的5.0%；同时显著压低补贴强度（−0.084</w:t>
      </w:r>
      <w:r>
        <w:rPr>
          <w:rFonts w:ascii="Times New Roman" w:hAnsi="Times New Roman" w:eastAsia="宋体"/>
          <w:b w:val="0"/>
          <w:sz w:val="24"/>
        </w:rPr>
        <w:t>）与市场分割（−0.121*</w:t>
      </w:r>
      <w:r>
        <w:rPr>
          <w:rFonts w:ascii="Times New Roman" w:hAnsi="Times New Roman" w:eastAsia="宋体"/>
          <w:b/>
          <w:sz w:val="24"/>
        </w:rPr>
        <w:t>），表明政策首先经由约束地方政府行为修复竞争秩序。效率层面，高强度省份的全要素生产率相对提高约1.4%（lnTFP系数+0.014</w:t>
      </w:r>
      <w:r>
        <w:rPr>
          <w:rFonts w:ascii="Times New Roman" w:hAnsi="Times New Roman" w:eastAsia="宋体"/>
          <w:b w:val="0"/>
          <w:sz w:val="24"/>
        </w:rPr>
        <w:t>），行业内加成率离散度（−0.038**）与资本回报率离散度（−0.026*）显著收窄，说明统一在压缩资源误置、发挥选择效应；创新与利润层面，新产品销售收入占比提高0.71个百分点</w:t>
      </w:r>
      <w:r>
        <w:rPr>
          <w:rFonts w:ascii="Times New Roman" w:hAnsi="Times New Roman" w:eastAsia="宋体"/>
          <w:b/>
          <w:sz w:val="24"/>
        </w:rPr>
        <w:t>、发明专利申请增长5.5%（+0.055</w:t>
      </w:r>
      <w:r>
        <w:rPr>
          <w:rFonts w:ascii="Times New Roman" w:hAnsi="Times New Roman" w:eastAsia="宋体"/>
          <w:b w:val="0"/>
          <w:sz w:val="24"/>
        </w:rPr>
        <w:t>）、规模以上工业营业收入利润率回升0.28个百分点*。事件研究显示政策前无显著预趋势、政策效应逐年累积，至2024年达−0.029；500次随机置换的安慰剂检验中，真实估计值位于安慰剂分布左尾之外（经验p&lt;0.01），识别是可信的。命题H4—H5由此得到支持。在此基础上，本书给出一个审慎的前瞻测算：若“十五五”期间市场分割指数在2024年基础上再下降30%、2030年降至1.38（接近当前长三角水平），由基准弹性外推，“内卷”指数可下降约0.034（相当于2024年水平的7.2%）；结合本书DID效应与国内贸易成本下降对生产率贡献的量化证据（Tombe和Zhu，2019），估算统一大市场纵深推进可使“十五五”期间全要素生产率年均增速提高0.4—0.6个百分点，以2025年GDP140.2万亿元为基数，五年累计可带来约2.6万亿—3.4万亿元（2025年价）的额外产出增量。须强调，这一测算建立在线性外推与情景假设之上，宜作为量级参考而非精确预测。</w:t>
      </w:r>
    </w:p>
    <w:p>
      <w:pPr>
        <w:spacing w:before="160" w:after="120" w:line="360" w:lineRule="auto"/>
        <w:outlineLvl w:val="2"/>
      </w:pPr>
      <w:r>
        <w:rPr>
          <w:rFonts w:ascii="Times New Roman" w:hAnsi="Times New Roman" w:eastAsia="黑体"/>
          <w:b w:val="0"/>
          <w:sz w:val="24"/>
        </w:rPr>
        <w:t>5．行业案例与国际经验从正反两面印证了“统一靠制度、治卷靠规则、退出靠机制”的一般规律</w:t>
      </w:r>
    </w:p>
    <w:p>
      <w:pPr>
        <w:spacing w:before="0" w:after="0" w:line="360" w:lineRule="auto"/>
        <w:ind w:firstLineChars="200" w:firstLine="480"/>
      </w:pPr>
      <w:r>
        <w:rPr>
          <w:rFonts w:ascii="Times New Roman" w:hAnsi="Times New Roman" w:eastAsia="宋体"/>
          <w:b w:val="0"/>
          <w:sz w:val="24"/>
        </w:rPr>
        <w:t>本书第十章的案例研究表明，光伏、新能源汽车与平台经济三大行业的“内卷”过程高度同构：需求爆发与政策催化引致同质化产能竞赛，地方招商与要素补贴放大进入激励，需求增速换挡后价格竞争迅速向成本线以下收敛，而退出机制失灵使亏损产能长期滞留。光伏组件价格由2023年初约1.9元/W跌至2024年中约0.8元/W（据中国机电产品进出口商会数据），招投标报价一度跌破行业协会测算的最低成本；汽车行业利润率由2017年的7.8%一路降至2025年的4.1%（据乘联分会测算）；平台“补贴大战”则在2025年夏将即时零售推向日订单峰值与平台集体亏损并存的畸形繁荣。治理实践同样呈现共同逻辑：一旦规则信号明确——光伏的成本价基准与自律限产、汽车的60天账期承诺与约谈、平台的两次约谈与新《反不正当竞争法》“低于成本销售”条款——市场预期便迅速收敛，2025年下半年多晶硅价格回升、车市促销回归理性、“0元购”式促销退场，秩序修复先于实体出清发生，印证了预期与秩序效应的真实性。国际比较则提供了镜鉴：美国依托宪法商业条款以司法刚性维护州际市场统一，欧盟单一市场因成员国壁垒残存而付出高昂代价——据IMF估算、Draghi报告引用，欧盟内部壁垒相当于对商品征收45%、对服务征收110%的关税（Draghi，2024）；日本以行政协调治理“过当竞争”虽在收缩供给上见效，却难以逆转比较劣势行业的衰退且延缓了调整。三者共同昭示：统一靠制度而非号召，治卷靠规则而非运动，退出靠机制而非保护。</w:t>
      </w:r>
    </w:p>
    <w:p>
      <w:pPr>
        <w:spacing w:before="160" w:after="120" w:line="360" w:lineRule="auto"/>
        <w:outlineLvl w:val="2"/>
      </w:pPr>
      <w:r>
        <w:rPr>
          <w:rFonts w:ascii="Times New Roman" w:hAnsi="Times New Roman" w:eastAsia="黑体"/>
          <w:b w:val="0"/>
          <w:sz w:val="24"/>
        </w:rPr>
        <w:t>6．治理“内卷式”竞争的治本之道在于纵深推进全国统一大市场建设，实现从“破”到“立”的系统治理</w:t>
      </w:r>
    </w:p>
    <w:p>
      <w:pPr>
        <w:spacing w:before="0" w:after="0" w:line="360" w:lineRule="auto"/>
        <w:ind w:firstLineChars="200" w:firstLine="480"/>
      </w:pPr>
      <w:r>
        <w:rPr>
          <w:rFonts w:ascii="Times New Roman" w:hAnsi="Times New Roman" w:eastAsia="宋体"/>
          <w:b w:val="0"/>
          <w:sz w:val="24"/>
        </w:rPr>
        <w:t>贯通理论与证据，本书第十一章的政策研究得出的总体结论是：“内卷式”竞争是市场分割的症状，就症状用药只能治标，重构竞争发生的市场结构与激励环境方为治本。2025年中央经济工作会议部署“制定全国统一大市场建设条例，深入整治‘内卷式’竞争”，把两大任务并置于同一句式，正体现了这一治理逻辑。依循本书“四重扭曲—四大效应”的框架，政策组合应当靶向发力：针对退出机制失灵，健全企业破产制度与简易退出机制，畅通落后产能有序退出；针对地方激励扭曲，强化公平竞争审查刚性约束，落实地方政府招商引资鼓励和禁止事项清单，推广经营主体活动发生地统计与差异化考核，从源头拆除补贴竞赛的引擎；针对要素价格扭曲，拓展要素市场化改革试点，弥合要素市场分割滞后于商品市场的缺口；针对需求约束收紧，坚持投资于物和投资于人紧密结合，以城乡居民增收与服务消费扩容打开需求空间。在工具层面，“综合运用产能调控、标准引领、价格执法、质量监管和反垄断、反不正当竞争等手段”构成完整工具箱，但各工具适用条件不同：规则型工具宜常态化、法治化，协调型工具须设定边界与退出安排，防止“运动式反内卷”与行政化产能干预复归。唯有以“五统一、一开放”立起统一市场的制度骨架，“破”除分割的治理才能沉淀为“立”得住的市场秩序，统一市场红利方能持续释放。</w:t>
      </w:r>
    </w:p>
    <w:p>
      <w:pPr>
        <w:spacing w:before="200" w:after="160" w:line="360" w:lineRule="auto"/>
        <w:outlineLvl w:val="1"/>
      </w:pPr>
      <w:r>
        <w:rPr>
          <w:rFonts w:ascii="Times New Roman" w:hAnsi="Times New Roman" w:eastAsia="黑体"/>
          <w:b w:val="0"/>
          <w:sz w:val="28"/>
        </w:rPr>
        <w:t>（二）边际贡献总结</w:t>
      </w:r>
    </w:p>
    <w:p>
      <w:pPr>
        <w:spacing w:before="0" w:after="0" w:line="360" w:lineRule="auto"/>
        <w:ind w:firstLineChars="200" w:firstLine="480"/>
      </w:pPr>
      <w:r>
        <w:rPr>
          <w:rFonts w:ascii="Times New Roman" w:hAnsi="Times New Roman" w:eastAsia="宋体"/>
          <w:b w:val="0"/>
          <w:sz w:val="24"/>
        </w:rPr>
        <w:t>相对于既有文献，本书的边际贡献可以从概念、理论、方法与政策四个层面加以总结。</w:t>
      </w:r>
    </w:p>
    <w:p>
      <w:pPr>
        <w:spacing w:before="160" w:after="120" w:line="360" w:lineRule="auto"/>
        <w:outlineLvl w:val="2"/>
      </w:pPr>
      <w:r>
        <w:rPr>
          <w:rFonts w:ascii="Times New Roman" w:hAnsi="Times New Roman" w:eastAsia="黑体"/>
          <w:b w:val="0"/>
          <w:sz w:val="24"/>
        </w:rPr>
        <w:t>1．概念层面：提出并系统界定“内卷式竞争陷阱”与“统一市场红利”两个本土化概念</w:t>
      </w:r>
    </w:p>
    <w:p>
      <w:pPr>
        <w:spacing w:before="0" w:after="0" w:line="360" w:lineRule="auto"/>
        <w:ind w:firstLineChars="200" w:firstLine="480"/>
      </w:pPr>
      <w:r>
        <w:rPr>
          <w:rFonts w:ascii="Times New Roman" w:hAnsi="Times New Roman" w:eastAsia="宋体"/>
          <w:b w:val="0"/>
          <w:sz w:val="24"/>
        </w:rPr>
        <w:t>“内卷式”竞争自进入中央文件语境以来，学术讨论多停留于现象描述与词源考辨，缺乏可操作的经济学界定。本书第三章完成了从社会学隐喻到经济学概念的转译：以同质化、超低价、无利化、创新挤出、退出失灵五大特征事实为经验内核，以“自我强化的低水平竞争均衡”为理论内核，给出“内卷式竞争陷阱”的正式定义，并通过与良性竞争、正常价格竞争、恶性竞争的多维辨析划清概念边界，使其区别于泛化的“竞争激烈”与传统的“过度竞争”范畴——其新颖性在于强调分割条件与体制扭曲的生成机制、强调均衡的自我强化与陷阱性质。与之对偶，“统一市场红利”把统一大市场建设的收益分解为规模、选择、创新、预期四大效应，使“红利”从修辞变为可分解、可测度、可检验的分析对象。这一对概念为政策话语与学术研究之间架设了桥梁：既使中央文件中的“内卷式”竞争获得严格的学理支撑，也为后续研究提供了统一的定义起点与测度框架。</w:t>
      </w:r>
    </w:p>
    <w:p>
      <w:pPr>
        <w:spacing w:before="160" w:after="120" w:line="360" w:lineRule="auto"/>
        <w:outlineLvl w:val="2"/>
      </w:pPr>
      <w:r>
        <w:rPr>
          <w:rFonts w:ascii="Times New Roman" w:hAnsi="Times New Roman" w:eastAsia="黑体"/>
          <w:b w:val="0"/>
          <w:sz w:val="24"/>
        </w:rPr>
        <w:t>2．理论层面：构建“市场分割—内卷竞争—统一红利”三环传导框架并完成数理化</w:t>
      </w:r>
    </w:p>
    <w:p>
      <w:pPr>
        <w:spacing w:before="0" w:after="0" w:line="360" w:lineRule="auto"/>
        <w:ind w:firstLineChars="200" w:firstLine="480"/>
      </w:pPr>
      <w:r>
        <w:rPr>
          <w:rFonts w:ascii="Times New Roman" w:hAnsi="Times New Roman" w:eastAsia="宋体"/>
          <w:b w:val="0"/>
          <w:sz w:val="24"/>
        </w:rPr>
        <w:t>既有研究或从财政分权与晋升激励解释重复建设，或从潮涌现象解释产能过剩，或从贸易理论测算整合收益，彼此平行、缺乏贯通。本书第四章将三支文献焊接为一个递进的模型序列：基准模型在两地区补贴竞争框架下证明，分割程度上升强化本地市场势力、加剧补贴竞争，均衡产量系统性超过社会最优且呈囚徒困境结构；扩展模型Ⅰ将过度进入定理（Mankiw和Whinston，1986）置于分割市场情境，证明分割缩小单区域市场规模、使均衡企业数相对最优水平的“过度进入偏差”随分割程度扩大，并刻画了需求收缩冲击下价格跌破平均成本的“内卷均衡”得以存续的退出摩擦条件；扩展模型Ⅱ借助异质性企业框架（Melitz，2003）证明区际贸易成本下降通过抬高生存门槛提升加总生产率，并使创新的临界市场规模更易达成。福利分析进而将统一的总福利改善分解为规模项、选择项、创新项与调整成本项，为“统一市场红利”提供了严格的福利经济学基础。框架的本土化创新在于：把地方政府作为内生博弈方引入市场结构模型，使“有为政府的扭曲面”与“市场分割的结构面”在同一均衡中相互决定，从而解释了为何在中国场景下竞争会系统性地滑向“内卷”而非自发出清。</w:t>
      </w:r>
    </w:p>
    <w:p>
      <w:pPr>
        <w:spacing w:before="160" w:after="120" w:line="360" w:lineRule="auto"/>
        <w:outlineLvl w:val="2"/>
      </w:pPr>
      <w:r>
        <w:rPr>
          <w:rFonts w:ascii="Times New Roman" w:hAnsi="Times New Roman" w:eastAsia="黑体"/>
          <w:b w:val="0"/>
          <w:sz w:val="24"/>
        </w:rPr>
        <w:t>3．方法与实证层面：构造三套省域指数并以“测度—回归—机制—准实验”的完整链条提供系统证据</w:t>
      </w:r>
    </w:p>
    <w:p>
      <w:pPr>
        <w:spacing w:before="0" w:after="0" w:line="360" w:lineRule="auto"/>
        <w:ind w:firstLineChars="200" w:firstLine="480"/>
      </w:pPr>
      <w:r>
        <w:rPr>
          <w:rFonts w:ascii="Times New Roman" w:hAnsi="Times New Roman" w:eastAsia="宋体"/>
          <w:b w:val="0"/>
          <w:sz w:val="24"/>
        </w:rPr>
        <w:t>在测度上，本书作出三点推进：一是将相对价格法的商品市场分割测度延展至2012—2024年，并分别测度商品与要素市场分割，首次给出“要素分割约为商品分割1.7倍、收敛速度仅为其一半左右”的量化对比；二是构建“内卷式竞争”强度指数，以价格竞争烈度、产能冗余度、盈利侵蚀度、同质化程度、退出粘性五个维度共14个基础指标经熵权法合成，使“内卷”从定性判断变为0—1区间上可比较、可追踪的连续变量，这在国内文献中尚属首次系统尝试；三是构建市场基础制度、设施联通、要素流动、监管统一四维的统一大市场发展指数，与《“十五五”规划纲要》的部署维度直接对应，兼具学术测度与政策诊断功能。在识别上，本书组合运用双固定效应面板、两步法机制检验、以2016年公平竞争审查制度为冲击的强度DID、事件研究与安慰剂检验，并以地形起伏度与明清驿道密度构造工具变量处理内生性，形成“分割催卷”（H1—H3）与“统一释利”（H4—H5）两组相互印证的因果证据链。“测度—回归—机制—准实验”四个环节环环相扣，使全书结论不依赖单一方法的可信度。</w:t>
      </w:r>
    </w:p>
    <w:p>
      <w:pPr>
        <w:spacing w:before="160" w:after="120" w:line="360" w:lineRule="auto"/>
        <w:outlineLvl w:val="2"/>
      </w:pPr>
      <w:r>
        <w:rPr>
          <w:rFonts w:ascii="Times New Roman" w:hAnsi="Times New Roman" w:eastAsia="黑体"/>
          <w:b w:val="0"/>
          <w:sz w:val="24"/>
        </w:rPr>
        <w:t>4．政策层面：把“四重扭曲—四大效应”转化为可操作的治理靶点与工具适用条件</w:t>
      </w:r>
    </w:p>
    <w:p>
      <w:pPr>
        <w:spacing w:before="0" w:after="0" w:line="360" w:lineRule="auto"/>
        <w:ind w:firstLineChars="200" w:firstLine="480"/>
      </w:pPr>
      <w:r>
        <w:rPr>
          <w:rFonts w:ascii="Times New Roman" w:hAnsi="Times New Roman" w:eastAsia="宋体"/>
          <w:b w:val="0"/>
          <w:sz w:val="24"/>
        </w:rPr>
        <w:t>本书的政策贡献不在于罗列建议，而在于提供了一个从诊断到处方的映射结构。其一，以四重扭曲为诊断坐标，将统一大市场建设的各项制度安排——破产与简易退出制度、公平竞争审查刚性约束、招商引资清单管理、要素市场化配置改革、消费地原则的财税分享与经营主体活动发生地统计——逐一对应到其所矫正的扭曲，使政策组合的内在逻辑清晰可辨。其二，针对“深入整治‘内卷式’竞争”的工具箱，提出按行业竞争结构、产能属性与外部性特征匹配工具的适用条件矩阵，明确规则型工具与协调型工具的边界，为避免“一刀切”与“运动式”治理提供操作框架。其三，基于强度DID证据与反事实测算，为统一大市场建设的增长收益提供了量级估计，服务于《全国统一大市场建设条例》立法论证与“十五五”规划实施的成本收益评估。这些工作使本书的“立地”价值建立在“顶天”的理论与证据之上，回应了应用经济学研究学理性与政策性兼备的要求。</w:t>
      </w:r>
    </w:p>
    <w:p>
      <w:pPr>
        <w:spacing w:before="200" w:after="160" w:line="360" w:lineRule="auto"/>
        <w:outlineLvl w:val="1"/>
      </w:pPr>
      <w:r>
        <w:rPr>
          <w:rFonts w:ascii="Times New Roman" w:hAnsi="Times New Roman" w:eastAsia="黑体"/>
          <w:b w:val="0"/>
          <w:sz w:val="28"/>
        </w:rPr>
        <w:t>（三）研究局限与未来展望</w:t>
      </w:r>
    </w:p>
    <w:p>
      <w:pPr>
        <w:spacing w:before="0" w:after="0" w:line="360" w:lineRule="auto"/>
        <w:ind w:firstLineChars="200" w:firstLine="480"/>
      </w:pPr>
      <w:r>
        <w:rPr>
          <w:rFonts w:ascii="Times New Roman" w:hAnsi="Times New Roman" w:eastAsia="宋体"/>
          <w:b w:val="0"/>
          <w:sz w:val="24"/>
        </w:rPr>
        <w:t>任何研究都有其边界。坦承局限不仅是学术诚实的要求，也是为后续研究标定方向的方式。本书的局限主要来自数据颗粒度、指数覆盖面与模型设定三个方面，而未来的拓展则指向动态一般均衡、微观企业数据与人工智能时代的竞争新形态。</w:t>
      </w:r>
    </w:p>
    <w:p>
      <w:pPr>
        <w:spacing w:before="160" w:after="120" w:line="360" w:lineRule="auto"/>
        <w:outlineLvl w:val="2"/>
      </w:pPr>
      <w:r>
        <w:rPr>
          <w:rFonts w:ascii="Times New Roman" w:hAnsi="Times New Roman" w:eastAsia="黑体"/>
          <w:b w:val="0"/>
          <w:sz w:val="24"/>
        </w:rPr>
        <w:t>1．研究局限</w:t>
      </w:r>
    </w:p>
    <w:p>
      <w:pPr>
        <w:spacing w:before="0" w:after="0" w:line="360" w:lineRule="auto"/>
        <w:ind w:firstLineChars="200" w:firstLine="480"/>
      </w:pPr>
      <w:r>
        <w:rPr>
          <w:rFonts w:ascii="Times New Roman" w:hAnsi="Times New Roman" w:eastAsia="宋体"/>
          <w:b w:val="0"/>
          <w:sz w:val="24"/>
        </w:rPr>
        <w:t>第一，省域加总带来的生态谬误风险。本书的实证单元是省级面板，而“内卷式”竞争的行为主体是行业中的企业，从省级相关关系推断企业层面机制存在生态谬误的可能：省级“内卷”指数上升，既可能源于多数企业陷入低价竞争，也可能由少数大行业的极端状态驱动；分割影响“内卷”的省级系数，也未必等于任一企业面对的边际效应。本书通过机制检验、行业维度分解与第十章的行业案例在一定程度上缓解了这一担忧——案例中的企业行为逻辑与省级证据方向一致——但严格地说，省级证据只能支持“分割更深的省份‘内卷’更烈”的总体命题，企业层面的微观因果链条仍有待企业数据的直接检验。此外，省级加总还会掩盖省内城市间、园区间的分割与竞争，可能低估分割的真实程度与其效应的空间异质性。</w:t>
      </w:r>
    </w:p>
    <w:p>
      <w:pPr>
        <w:spacing w:before="0" w:after="0" w:line="360" w:lineRule="auto"/>
        <w:ind w:firstLineChars="200" w:firstLine="480"/>
      </w:pPr>
      <w:r>
        <w:rPr>
          <w:rFonts w:ascii="Times New Roman" w:hAnsi="Times New Roman" w:eastAsia="宋体"/>
          <w:b w:val="0"/>
          <w:sz w:val="24"/>
        </w:rPr>
        <w:t>第二，“内卷式竞争”强度指数的行业覆盖与口径局限。指数的14个基础指标以工业统计为主要来源，对制造业“内卷”的刻画较为充分，但对服务业尤其是平台经济的适配性不足：平台补贴大战的“价格竞争烈度”并不体现在生产者价格统计中，算法驱动的动态定价、流量补贴与生态位竞争难以被产能利用率、利润率等传统指标捕捉；本书对平台“内卷”的判断更多依赖第十章的案例证据而非指数测度。同时，熵权法赋权虽避免了主观性，但权重内生于样本波动，跨时期可比性依赖指标口径的稳定；指数的0—1标准化对极端行业状态存在压缩，可能低估2024年前后重点行业“内卷”的烈度。构建覆盖工业与服务业、兼容平台经济特征的第二代“内卷”测度体系，是本书测度工作最直接的改进方向。</w:t>
      </w:r>
    </w:p>
    <w:p>
      <w:pPr>
        <w:spacing w:before="0" w:after="0" w:line="360" w:lineRule="auto"/>
        <w:ind w:firstLineChars="200" w:firstLine="480"/>
      </w:pPr>
      <w:r>
        <w:rPr>
          <w:rFonts w:ascii="Times New Roman" w:hAnsi="Times New Roman" w:eastAsia="宋体"/>
          <w:b w:val="0"/>
          <w:sz w:val="24"/>
        </w:rPr>
        <w:t>第三，理论模型的静态与局部均衡性质及识别的外部有效性边界。第四章的三个模型均为静态或两阶段博弈的局部均衡分析，刻画了机制的方向与条件，但无法回答转型路径问题：从“内卷均衡”向高质量竞争均衡的跃迁需要多长时间、调整成本由谁承担、出清过程中的失业与金融风险如何演化，这些动态问题超出了本书模型的解析能力。实证方面，公平竞争审查的强度DID识别的是该项制度的局部平均处理效应，将其外推至统一大市场建设全部政策组合的效果需保持谨慎；处理强度以政策文件清理数度量，可能存在测量误差；第九章的前瞻测算基于线性外推与情景假设，其价值在于提供量级参考。这些边界提示读者：本书的数字是证据链中的坐标，而非精确的预言。</w:t>
      </w:r>
    </w:p>
    <w:p>
      <w:pPr>
        <w:spacing w:before="160" w:after="120" w:line="360" w:lineRule="auto"/>
        <w:outlineLvl w:val="2"/>
      </w:pPr>
      <w:r>
        <w:rPr>
          <w:rFonts w:ascii="Times New Roman" w:hAnsi="Times New Roman" w:eastAsia="黑体"/>
          <w:b w:val="0"/>
          <w:sz w:val="24"/>
        </w:rPr>
        <w:t>2．未来研究方向</w:t>
      </w:r>
    </w:p>
    <w:p>
      <w:pPr>
        <w:spacing w:before="0" w:after="0" w:line="360" w:lineRule="auto"/>
        <w:ind w:firstLineChars="200" w:firstLine="480"/>
      </w:pPr>
      <w:r>
        <w:rPr>
          <w:rFonts w:ascii="Times New Roman" w:hAnsi="Times New Roman" w:eastAsia="宋体"/>
          <w:b w:val="0"/>
          <w:sz w:val="24"/>
        </w:rPr>
        <w:t>第一，向动态与量化空间一般均衡拓展。将市场分割、地方补贴、企业进入退出与创新投资纳入多地区动态一般均衡框架，校准中国省际贸易成本、迁移成本与要素市场摩擦，可以在统一的福利度量下回答本书局部均衡分析无法回答的问题：统一大市场纵深推进的转型路径与调整成本、区域间的红利分配、政策次序（先要素后商品抑或并进）的福利差异，以及“反内卷”产能治理与统一市场建设的政策交互。这一方向也有助于把本书“规模—选择—创新—预期”的红利分解从比较静态推进到转型动态，为“十五五”乃至2035年远景目标的政策评估提供更精细的定量工具。</w:t>
      </w:r>
    </w:p>
    <w:p>
      <w:pPr>
        <w:spacing w:before="0" w:after="0" w:line="360" w:lineRule="auto"/>
        <w:ind w:firstLineChars="200" w:firstLine="480"/>
      </w:pPr>
      <w:r>
        <w:rPr>
          <w:rFonts w:ascii="Times New Roman" w:hAnsi="Times New Roman" w:eastAsia="宋体"/>
          <w:b w:val="0"/>
          <w:sz w:val="24"/>
        </w:rPr>
        <w:t>第二，以微观企业数据检验与深化因果链条。工商注册与注销数据可直接度量进入退出与“僵尸化”，税务发票数据可在企业—产品层面测度跨省交易与市场边界，招投标与政府补贴明细可精确刻画地方保护与补贴竞争，裁判文书与破产案件数据可量化退出摩擦。近年已有研究利用微观数据测度要素市场一体化（戴若尘等，2025），展示了这一路径的潜力。未来可在企业层面重构“分割—补贴—进入—价格—退出”的完整因果链，检验本书省级证据的微观基础，并识别“内卷”成本在供应链上的转嫁分布——账期占款、劳动强度与出口降价由谁最终承担——从而为治理的优先序提供更精准的福利依据。</w:t>
      </w:r>
    </w:p>
    <w:p>
      <w:pPr>
        <w:spacing w:before="0" w:after="0" w:line="360" w:lineRule="auto"/>
        <w:ind w:firstLineChars="200" w:firstLine="480"/>
      </w:pPr>
      <w:r>
        <w:rPr>
          <w:rFonts w:ascii="Times New Roman" w:hAnsi="Times New Roman" w:eastAsia="宋体"/>
          <w:b w:val="0"/>
          <w:sz w:val="24"/>
        </w:rPr>
        <w:t>第三，研究人工智能时代竞争形态的新变化与“人工智能+”背景下的治理创新。数字经济已经改变了“内卷”的表现形式：算法定价使价格竞争的频率与深度突破人工决策极限，也使协调定价可以在无明示合谋的情况下达成，智能算法的反竞争效应对既有规制框架构成挑战（戚聿东等，2021）；数字化转型本身也可能演化为“数字化内卷”——企业被迫进行不产生净收益的防御性数字投入（付伟、蒋安丽，2025）。人工智能产业自身亦显现同质化竞赛的苗头：大模型研发的高固定成本、低边际成本结构与技术路线趋同，使其天然具备“补贴换份额”的竞争冲动，若叠加地方算力中心与产业基金的重复布局，可能复制光伏式的产能竞赛。另一方面，人工智能也为治理提供了新工具：机器学习可用于识别产业链“内卷”风险的早期信号，监管科技可提升公平竞争审查与价格执法的穿透力，全国一体化数据市场则是要素统一的新前沿。“内卷式”竞争的形态学、人工智能时代竞争政策的适配，以及“人工智能+”治理工具的开发，将是统一大市场研究下一程最富张力的问题域。</w:t>
      </w:r>
    </w:p>
    <w:p>
      <w:pPr>
        <w:spacing w:before="160" w:after="120" w:line="360" w:lineRule="auto"/>
        <w:outlineLvl w:val="2"/>
      </w:pPr>
      <w:r>
        <w:rPr>
          <w:rFonts w:ascii="Times New Roman" w:hAnsi="Times New Roman" w:eastAsia="黑体"/>
          <w:b w:val="0"/>
          <w:sz w:val="24"/>
        </w:rPr>
        <w:t>3．结语：让超大规模市场优势成为中国式现代化的持续动力</w:t>
      </w:r>
    </w:p>
    <w:p>
      <w:pPr>
        <w:spacing w:before="0" w:after="0" w:line="360" w:lineRule="auto"/>
        <w:ind w:firstLineChars="200" w:firstLine="480"/>
      </w:pPr>
      <w:r>
        <w:rPr>
          <w:rFonts w:ascii="Times New Roman" w:hAnsi="Times New Roman" w:eastAsia="宋体"/>
          <w:b w:val="0"/>
          <w:sz w:val="24"/>
        </w:rPr>
        <w:t>本书的全部分析，最终指向一个朴素而深刻的判断：超大规模市场是中国最稀缺的战略资源，但规模只有在统一中才能成为优势。党的二十届四中全会指出，“中国特色社会主义制度优势、超大规模市场优势、完整产业体系优势、丰富人才资源优势更加彰显”。然而，本书的测度与证据反复表明，被行政边界分割的规模并不自动等于优势：当超大规模的国内市场被切分为相互阻隔的若干局部市场，规模经济无从充分实现，创新回报难以规模化摊薄，竞争便退化为分割单元内的同质化消耗——“内卷式”竞争正是超大规模市场优势被分割侵蚀的病理表现。反过来，2012—2024年市场分割指数每一轮收敛，都伴随着效率与创新指标的改善；长三角以全国最低的分割水平（2024年1.34）收获了区域一体化的先行红利。分割与统一之间的这一反差，正是“统一红利”二字的全部含义。</w:t>
      </w:r>
    </w:p>
    <w:p>
      <w:pPr>
        <w:spacing w:before="0" w:after="0" w:line="360" w:lineRule="auto"/>
        <w:ind w:firstLineChars="200" w:firstLine="480"/>
      </w:pPr>
      <w:r>
        <w:rPr>
          <w:rFonts w:ascii="Times New Roman" w:hAnsi="Times New Roman" w:eastAsia="宋体"/>
          <w:b w:val="0"/>
          <w:sz w:val="24"/>
        </w:rPr>
        <w:t>展望“十五五”乃至更长时期，“坚决破除阻碍全国统一大市场建设卡点堵点，破除地方保护和市场分割，促进商品要素资源在更大范围内顺畅流动”，既是一场深刻的体制改革，也是一场竞争生态的重塑。本书的证据给出乐观的理由：制度变革的红利是真实的、可测度的、逐年累积的；本书的分析也给出清醒的提示：要素市场的统一远未完成，地方激励的重构刚刚起步，治理工具的法治化仍在路上。当统一的市场让企业不必以价格的内耗争夺分割的存量，而以质量与创新开拓统一的增量；当劳动者、中小企业与消费者不再为“内卷”的成本买单，而共享规模、选择、创新与预期的红利，超大规模市场优势才真正从潜在变为现实，成为高质量发展最深厚的支撑。从这个意义上说，纵深推进全国统一大市场建设、深入整治“内卷式”竞争，不仅是一项经济政策议程，更是以中国式现代化全面推进强国建设、民族复兴伟业进程中一块必须夯实的制度基石。市场之统一，竞争之向善，其功在“十五五”，其利在长远。全书至此收束，谨以此研究就教于学界同仁，并期待实践对本书命题的进一步检验。</w:t>
      </w:r>
    </w:p>
    <w:p>
      <w:r>
        <w:br w:type="page"/>
      </w:r>
    </w:p>
    <w:p>
      <w:pPr>
        <w:spacing w:before="0" w:after="240" w:line="360" w:lineRule="auto"/>
        <w:jc w:val="center"/>
        <w:outlineLvl w:val="0"/>
      </w:pPr>
      <w:r>
        <w:rPr>
          <w:rFonts w:ascii="Times New Roman" w:hAnsi="Times New Roman" w:eastAsia="黑体"/>
          <w:b/>
          <w:sz w:val="30"/>
        </w:rPr>
        <w:t>参考文献</w:t>
      </w:r>
    </w:p>
    <w:p>
      <w:pPr>
        <w:spacing w:line="312" w:lineRule="auto" w:after="40"/>
        <w:ind w:left="510" w:hanging="510"/>
      </w:pPr>
      <w:r>
        <w:rPr>
          <w:rFonts w:ascii="Times New Roman" w:hAnsi="Times New Roman" w:eastAsia="宋体"/>
          <w:b w:val="0"/>
          <w:sz w:val="21"/>
        </w:rPr>
        <w:t>[1] GEERTZ C. Agricultural involution: the processes of ecological change in Indonesia[M]. Berkeley: University of California Press, 1963.</w:t>
      </w:r>
    </w:p>
    <w:p>
      <w:pPr>
        <w:spacing w:line="312" w:lineRule="auto" w:after="40"/>
        <w:ind w:left="510" w:hanging="510"/>
      </w:pPr>
      <w:r>
        <w:rPr>
          <w:rFonts w:ascii="Times New Roman" w:hAnsi="Times New Roman" w:eastAsia="宋体"/>
          <w:b w:val="0"/>
          <w:sz w:val="21"/>
        </w:rPr>
        <w:t>[2] 刘志彪, 孔令池. 从分割走向整合: 推进国内统一大市场建设的阻力与对策[J]. 中国工业经济, 2021(8): 20-36.</w:t>
      </w:r>
    </w:p>
    <w:p>
      <w:pPr>
        <w:spacing w:line="312" w:lineRule="auto" w:after="40"/>
        <w:ind w:left="510" w:hanging="510"/>
      </w:pPr>
      <w:r>
        <w:rPr>
          <w:rFonts w:ascii="Times New Roman" w:hAnsi="Times New Roman" w:eastAsia="宋体"/>
          <w:b w:val="0"/>
          <w:sz w:val="21"/>
        </w:rPr>
        <w:t>[3] TOMBE T, ZHU X. Trade, migration, and productivity: a quantitative analysis of China[J]. American Economic Review, 2019, 109(5): 1843-1872.</w:t>
      </w:r>
    </w:p>
    <w:p>
      <w:pPr>
        <w:spacing w:line="312" w:lineRule="auto" w:after="40"/>
        <w:ind w:left="510" w:hanging="510"/>
      </w:pPr>
      <w:r>
        <w:rPr>
          <w:rFonts w:ascii="Times New Roman" w:hAnsi="Times New Roman" w:eastAsia="宋体"/>
          <w:b w:val="0"/>
          <w:sz w:val="21"/>
        </w:rPr>
        <w:t>[4] MELITZ M J. The impact of trade on intra-industry reallocations and aggregate industry productivity[J]. Econometrica, 2003, 71(6): 1695-1725.</w:t>
      </w:r>
    </w:p>
    <w:p>
      <w:pPr>
        <w:spacing w:line="312" w:lineRule="auto" w:after="40"/>
        <w:ind w:left="510" w:hanging="510"/>
      </w:pPr>
      <w:r>
        <w:rPr>
          <w:rFonts w:ascii="Times New Roman" w:hAnsi="Times New Roman" w:eastAsia="宋体"/>
          <w:b w:val="0"/>
          <w:sz w:val="21"/>
        </w:rPr>
        <w:t>[5] 桂琦寒, 陈敏, 陆铭, 等. 中国国内商品市场趋于分割还是整合: 基于相对价格法的分析[J]. 世界经济, 2006(2): 20-30.</w:t>
      </w:r>
    </w:p>
    <w:p>
      <w:pPr>
        <w:spacing w:line="312" w:lineRule="auto" w:after="40"/>
        <w:ind w:left="510" w:hanging="510"/>
      </w:pPr>
      <w:r>
        <w:rPr>
          <w:rFonts w:ascii="Times New Roman" w:hAnsi="Times New Roman" w:eastAsia="宋体"/>
          <w:b w:val="0"/>
          <w:sz w:val="21"/>
        </w:rPr>
        <w:t>[6] 周黎安. 中国地方官员的晋升锦标赛模式研究[J]. 经济研究, 2007(7): 36-50.</w:t>
      </w:r>
    </w:p>
    <w:p>
      <w:pPr>
        <w:spacing w:line="312" w:lineRule="auto" w:after="40"/>
        <w:ind w:left="510" w:hanging="510"/>
      </w:pPr>
      <w:r>
        <w:rPr>
          <w:rFonts w:ascii="Times New Roman" w:hAnsi="Times New Roman" w:eastAsia="宋体"/>
          <w:b w:val="0"/>
          <w:sz w:val="21"/>
        </w:rPr>
        <w:t>[7] 中共中央 国务院关于加快建设全国统一大市场的意见[N]. 人民日报, 2022-04-11(1).</w:t>
      </w:r>
    </w:p>
    <w:p>
      <w:pPr>
        <w:spacing w:line="312" w:lineRule="auto" w:after="40"/>
        <w:ind w:left="510" w:hanging="510"/>
      </w:pPr>
      <w:r>
        <w:rPr>
          <w:rFonts w:ascii="Times New Roman" w:hAnsi="Times New Roman" w:eastAsia="宋体"/>
          <w:b w:val="0"/>
          <w:sz w:val="21"/>
        </w:rPr>
        <w:t>[8] 习近平. 高举中国特色社会主义伟大旗帜 为全面建设社会主义现代化国家而团结奋斗——在中国共产党第二十次全国代表大会上的报告[M]. 北京: 人民出版社, 2022: 28-30.</w:t>
      </w:r>
    </w:p>
    <w:p>
      <w:pPr>
        <w:spacing w:line="312" w:lineRule="auto" w:after="40"/>
        <w:ind w:left="510" w:hanging="510"/>
      </w:pPr>
      <w:r>
        <w:rPr>
          <w:rFonts w:ascii="Times New Roman" w:hAnsi="Times New Roman" w:eastAsia="宋体"/>
          <w:b w:val="0"/>
          <w:sz w:val="21"/>
        </w:rPr>
        <w:t>[9] 王一鸣. 百年大变局、高质量发展与构建新发展格局[J]. 管理世界, 2020, 36(12): 1-13.</w:t>
      </w:r>
    </w:p>
    <w:p>
      <w:pPr>
        <w:spacing w:line="312" w:lineRule="auto" w:after="40"/>
        <w:ind w:left="510" w:hanging="510"/>
      </w:pPr>
      <w:r>
        <w:rPr>
          <w:rFonts w:ascii="Times New Roman" w:hAnsi="Times New Roman" w:eastAsia="宋体"/>
          <w:b w:val="0"/>
          <w:sz w:val="21"/>
        </w:rPr>
        <w:t>[10] 黄群慧. 新发展格局的理论逻辑、战略内涵与政策体系——基于经济现代化的视角[J]. 经济研究, 2021, 56(4): 4-23.</w:t>
      </w:r>
    </w:p>
    <w:p>
      <w:pPr>
        <w:spacing w:line="312" w:lineRule="auto" w:after="40"/>
        <w:ind w:left="510" w:hanging="510"/>
      </w:pPr>
      <w:r>
        <w:rPr>
          <w:rFonts w:ascii="Times New Roman" w:hAnsi="Times New Roman" w:eastAsia="宋体"/>
          <w:b w:val="0"/>
          <w:sz w:val="21"/>
        </w:rPr>
        <w:t>[11] 公平竞争审查条例[N]. 人民日报, 2024-06-14(14).</w:t>
      </w:r>
    </w:p>
    <w:p>
      <w:pPr>
        <w:spacing w:line="312" w:lineRule="auto" w:after="40"/>
        <w:ind w:left="510" w:hanging="510"/>
      </w:pPr>
      <w:r>
        <w:rPr>
          <w:rFonts w:ascii="Times New Roman" w:hAnsi="Times New Roman" w:eastAsia="宋体"/>
          <w:b w:val="0"/>
          <w:sz w:val="21"/>
        </w:rPr>
        <w:t>[12] 中国共产党第二十届中央委员会第四次全体会议公报[N]. 人民日报, 2025-10-24(1).</w:t>
      </w:r>
    </w:p>
    <w:p>
      <w:pPr>
        <w:spacing w:line="312" w:lineRule="auto" w:after="40"/>
        <w:ind w:left="510" w:hanging="510"/>
      </w:pPr>
      <w:r>
        <w:rPr>
          <w:rFonts w:ascii="Times New Roman" w:hAnsi="Times New Roman" w:eastAsia="宋体"/>
          <w:b w:val="0"/>
          <w:sz w:val="21"/>
        </w:rPr>
        <w:t>[13] 中共中央关于制定国民经济和社会发展第十五个五年规划的建议[N]. 人民日报, 2025-10-29(1).</w:t>
      </w:r>
    </w:p>
    <w:p>
      <w:pPr>
        <w:spacing w:line="312" w:lineRule="auto" w:after="40"/>
        <w:ind w:left="510" w:hanging="510"/>
      </w:pPr>
      <w:r>
        <w:rPr>
          <w:rFonts w:ascii="Times New Roman" w:hAnsi="Times New Roman" w:eastAsia="宋体"/>
          <w:b w:val="0"/>
          <w:sz w:val="21"/>
        </w:rPr>
        <w:t>[14] 中华人民共和国国民经济和社会发展第十五个五年规划纲要[N]. 人民日报, 2026-03-14(1).</w:t>
      </w:r>
    </w:p>
    <w:p>
      <w:pPr>
        <w:spacing w:line="312" w:lineRule="auto" w:after="40"/>
        <w:ind w:left="510" w:hanging="510"/>
      </w:pPr>
      <w:r>
        <w:rPr>
          <w:rFonts w:ascii="Times New Roman" w:hAnsi="Times New Roman" w:eastAsia="宋体"/>
          <w:b w:val="0"/>
          <w:sz w:val="21"/>
        </w:rPr>
        <w:t>[15] 习近平. 当前经济工作的重点任务[J]. 求是, 2026(4): 4-11.</w:t>
      </w:r>
    </w:p>
    <w:p>
      <w:pPr>
        <w:spacing w:line="312" w:lineRule="auto" w:after="40"/>
        <w:ind w:left="510" w:hanging="510"/>
      </w:pPr>
      <w:r>
        <w:rPr>
          <w:rFonts w:ascii="Times New Roman" w:hAnsi="Times New Roman" w:eastAsia="宋体"/>
          <w:b w:val="0"/>
          <w:sz w:val="21"/>
        </w:rPr>
        <w:t>[16] 中共中央宣传部, 国家发展和改革委员会. 习近平经济思想学习纲要[M]. 北京: 人民出版社, 学习出版社, 2022.</w:t>
      </w:r>
    </w:p>
    <w:p>
      <w:pPr>
        <w:spacing w:line="312" w:lineRule="auto" w:after="40"/>
        <w:ind w:left="510" w:hanging="510"/>
      </w:pPr>
      <w:r>
        <w:rPr>
          <w:rFonts w:ascii="Times New Roman" w:hAnsi="Times New Roman" w:eastAsia="宋体"/>
          <w:b w:val="0"/>
          <w:sz w:val="21"/>
        </w:rPr>
        <w:t>[17] 刘秉镰, 高子茗. 构建高水平社会主义市场经济体制保障中国式现代化的理论机理与实践路径[J]. 山东大学学报(哲学社会科学版), 2025(4): 1-13.</w:t>
      </w:r>
    </w:p>
    <w:p>
      <w:pPr>
        <w:spacing w:line="312" w:lineRule="auto" w:after="40"/>
        <w:ind w:left="510" w:hanging="510"/>
      </w:pPr>
      <w:r>
        <w:rPr>
          <w:rFonts w:ascii="Times New Roman" w:hAnsi="Times New Roman" w:eastAsia="宋体"/>
          <w:b w:val="0"/>
          <w:sz w:val="21"/>
        </w:rPr>
        <w:t>[18] YOUNG A. The razor's edge: distortions and incremental reform in the People's Republic of China[J]. The Quarterly Journal of Economics, 2000, 115(4): 1091-1135.</w:t>
      </w:r>
    </w:p>
    <w:p>
      <w:pPr>
        <w:spacing w:line="312" w:lineRule="auto" w:after="40"/>
        <w:ind w:left="510" w:hanging="510"/>
      </w:pPr>
      <w:r>
        <w:rPr>
          <w:rFonts w:ascii="Times New Roman" w:hAnsi="Times New Roman" w:eastAsia="宋体"/>
          <w:b w:val="0"/>
          <w:sz w:val="21"/>
        </w:rPr>
        <w:t>[19] PONCET S. Measuring Chinese domestic and international integration[J]. China Economic Review, 2003, 14(1): 1-21.</w:t>
      </w:r>
    </w:p>
    <w:p>
      <w:pPr>
        <w:spacing w:line="312" w:lineRule="auto" w:after="40"/>
        <w:ind w:left="510" w:hanging="510"/>
      </w:pPr>
      <w:r>
        <w:rPr>
          <w:rFonts w:ascii="Times New Roman" w:hAnsi="Times New Roman" w:eastAsia="宋体"/>
          <w:b w:val="0"/>
          <w:sz w:val="21"/>
        </w:rPr>
        <w:t>[20] PONCET S. A fragmented China: measure and determinants of Chinese domestic market disintegration[J]. Review of International Economics, 2005, 13(3): 409-430.</w:t>
      </w:r>
    </w:p>
    <w:p>
      <w:pPr>
        <w:spacing w:line="312" w:lineRule="auto" w:after="40"/>
        <w:ind w:left="510" w:hanging="510"/>
      </w:pPr>
      <w:r>
        <w:rPr>
          <w:rFonts w:ascii="Times New Roman" w:hAnsi="Times New Roman" w:eastAsia="宋体"/>
          <w:b w:val="0"/>
          <w:sz w:val="21"/>
        </w:rPr>
        <w:t>[21] HOLZ C A. No razor's edge: reexamining Alwyn Young's evidence for increasing interprovincial trade barriers in China[J]. The Review of Economics and Statistics, 2009, 91(3): 599-616.</w:t>
      </w:r>
    </w:p>
    <w:p>
      <w:pPr>
        <w:spacing w:line="312" w:lineRule="auto" w:after="40"/>
        <w:ind w:left="510" w:hanging="510"/>
      </w:pPr>
      <w:r>
        <w:rPr>
          <w:rFonts w:ascii="Times New Roman" w:hAnsi="Times New Roman" w:eastAsia="宋体"/>
          <w:b w:val="0"/>
          <w:sz w:val="21"/>
        </w:rPr>
        <w:t>[22] PARSLEY D C, WEI S J. Explaining the border effect: the role of exchange rate variability, shipping costs, and geography[J]. Journal of International Economics, 2001, 55(1): 87-105.</w:t>
      </w:r>
    </w:p>
    <w:p>
      <w:pPr>
        <w:spacing w:line="312" w:lineRule="auto" w:after="40"/>
        <w:ind w:left="510" w:hanging="510"/>
      </w:pPr>
      <w:r>
        <w:rPr>
          <w:rFonts w:ascii="Times New Roman" w:hAnsi="Times New Roman" w:eastAsia="宋体"/>
          <w:b w:val="0"/>
          <w:sz w:val="21"/>
        </w:rPr>
        <w:t>[23] BAI C E, DU Y, TAO Z, et al. Local protectionism and regional specialization: evidence from China's industries[J]. Journal of International Economics, 2004, 63(2): 397-417.</w:t>
      </w:r>
    </w:p>
    <w:p>
      <w:pPr>
        <w:spacing w:line="312" w:lineRule="auto" w:after="40"/>
        <w:ind w:left="510" w:hanging="510"/>
      </w:pPr>
      <w:r>
        <w:rPr>
          <w:rFonts w:ascii="Times New Roman" w:hAnsi="Times New Roman" w:eastAsia="宋体"/>
          <w:b w:val="0"/>
          <w:sz w:val="21"/>
        </w:rPr>
        <w:t>[24] 行伟波, 李善同. 本地偏好、边界效应与市场一体化——基于中国地区间增值税流动数据的实证研究[J]. 经济学(季刊), 2009, 8(4): 1455-1474.</w:t>
      </w:r>
    </w:p>
    <w:p>
      <w:pPr>
        <w:spacing w:line="312" w:lineRule="auto" w:after="40"/>
        <w:ind w:left="510" w:hanging="510"/>
      </w:pPr>
      <w:r>
        <w:rPr>
          <w:rFonts w:ascii="Times New Roman" w:hAnsi="Times New Roman" w:eastAsia="宋体"/>
          <w:b w:val="0"/>
          <w:sz w:val="21"/>
        </w:rPr>
        <w:t>[25] 陆铭, 陈钊. 分割市场的经济增长——为什么经济开放可能加剧地方保护?[J]. 经济研究, 2009(3): 42-52.</w:t>
      </w:r>
    </w:p>
    <w:p>
      <w:pPr>
        <w:spacing w:line="312" w:lineRule="auto" w:after="40"/>
        <w:ind w:left="510" w:hanging="510"/>
      </w:pPr>
      <w:r>
        <w:rPr>
          <w:rFonts w:ascii="Times New Roman" w:hAnsi="Times New Roman" w:eastAsia="宋体"/>
          <w:b w:val="0"/>
          <w:sz w:val="21"/>
        </w:rPr>
        <w:t>[26] 郑毓盛, 李崇高. 中国地方分割的效率损失[J]. 中国社会科学, 2003(1): 64-72.</w:t>
      </w:r>
    </w:p>
    <w:p>
      <w:pPr>
        <w:spacing w:line="312" w:lineRule="auto" w:after="40"/>
        <w:ind w:left="510" w:hanging="510"/>
      </w:pPr>
      <w:r>
        <w:rPr>
          <w:rFonts w:ascii="Times New Roman" w:hAnsi="Times New Roman" w:eastAsia="宋体"/>
          <w:b w:val="0"/>
          <w:sz w:val="21"/>
        </w:rPr>
        <w:t>[27] 徐现祥, 李郇. 市场一体化与区域协调发展[J]. 经济研究, 2005(12): 57-67.</w:t>
      </w:r>
    </w:p>
    <w:p>
      <w:pPr>
        <w:spacing w:line="312" w:lineRule="auto" w:after="40"/>
        <w:ind w:left="510" w:hanging="510"/>
      </w:pPr>
      <w:r>
        <w:rPr>
          <w:rFonts w:ascii="Times New Roman" w:hAnsi="Times New Roman" w:eastAsia="宋体"/>
          <w:b w:val="0"/>
          <w:sz w:val="21"/>
        </w:rPr>
        <w:t>[28] 范欣, 宋冬林, 赵新宇. 基础设施建设打破了国内市场分割吗?[J]. 经济研究, 2017(2): 20-34.</w:t>
      </w:r>
    </w:p>
    <w:p>
      <w:pPr>
        <w:spacing w:line="312" w:lineRule="auto" w:after="40"/>
        <w:ind w:left="510" w:hanging="510"/>
      </w:pPr>
      <w:r>
        <w:rPr>
          <w:rFonts w:ascii="Times New Roman" w:hAnsi="Times New Roman" w:eastAsia="宋体"/>
          <w:b w:val="0"/>
          <w:sz w:val="21"/>
        </w:rPr>
        <w:t>[29] 刘生龙, 胡鞍钢. 交通基础设施与中国区域经济一体化[J]. 经济研究, 2011(3): 72-82.</w:t>
      </w:r>
    </w:p>
    <w:p>
      <w:pPr>
        <w:spacing w:line="312" w:lineRule="auto" w:after="40"/>
        <w:ind w:left="510" w:hanging="510"/>
      </w:pPr>
      <w:r>
        <w:rPr>
          <w:rFonts w:ascii="Times New Roman" w:hAnsi="Times New Roman" w:eastAsia="宋体"/>
          <w:b w:val="0"/>
          <w:sz w:val="21"/>
        </w:rPr>
        <w:t>[30] 张学良. 中国交通基础设施促进了区域经济增长吗——兼论交通基础设施的空间溢出效应[J]. 中国社会科学, 2012(3): 60-77.</w:t>
      </w:r>
    </w:p>
    <w:p>
      <w:pPr>
        <w:spacing w:line="312" w:lineRule="auto" w:after="40"/>
        <w:ind w:left="510" w:hanging="510"/>
      </w:pPr>
      <w:r>
        <w:rPr>
          <w:rFonts w:ascii="Times New Roman" w:hAnsi="Times New Roman" w:eastAsia="宋体"/>
          <w:b w:val="0"/>
          <w:sz w:val="21"/>
        </w:rPr>
        <w:t>[31] 李兰冰, 张聪聪. 高速公路连通性对区域市场一体化的影响及异质性分析[J]. 世界经济, 2022, 45(6): 185-206.</w:t>
      </w:r>
    </w:p>
    <w:p>
      <w:pPr>
        <w:spacing w:line="312" w:lineRule="auto" w:after="40"/>
        <w:ind w:left="510" w:hanging="510"/>
      </w:pPr>
      <w:r>
        <w:rPr>
          <w:rFonts w:ascii="Times New Roman" w:hAnsi="Times New Roman" w:eastAsia="宋体"/>
          <w:b w:val="0"/>
          <w:sz w:val="21"/>
        </w:rPr>
        <w:t>[32] 唐为. 分权、外部性与边界效应[J]. 经济研究, 2019(3): 103-118.</w:t>
      </w:r>
    </w:p>
    <w:p>
      <w:pPr>
        <w:spacing w:line="312" w:lineRule="auto" w:after="40"/>
        <w:ind w:left="510" w:hanging="510"/>
      </w:pPr>
      <w:r>
        <w:rPr>
          <w:rFonts w:ascii="Times New Roman" w:hAnsi="Times New Roman" w:eastAsia="宋体"/>
          <w:b w:val="0"/>
          <w:sz w:val="21"/>
        </w:rPr>
        <w:t>[33] 吕越, 盛斌, 吕云龙. 中国的市场分割会导致企业出口国内附加值率下降吗[J]. 中国工业经济, 2018(5): 5-23.</w:t>
      </w:r>
    </w:p>
    <w:p>
      <w:pPr>
        <w:spacing w:line="312" w:lineRule="auto" w:after="40"/>
        <w:ind w:left="510" w:hanging="510"/>
      </w:pPr>
      <w:r>
        <w:rPr>
          <w:rFonts w:ascii="Times New Roman" w:hAnsi="Times New Roman" w:eastAsia="宋体"/>
          <w:b w:val="0"/>
          <w:sz w:val="21"/>
        </w:rPr>
        <w:t>[34] 余泳泽, 胡山, 杨飞. 国内大循环的障碍: 区域市场分割的效率损失[J]. 中国工业经济, 2022(12): 108-126.</w:t>
      </w:r>
    </w:p>
    <w:p>
      <w:pPr>
        <w:spacing w:line="312" w:lineRule="auto" w:after="40"/>
        <w:ind w:left="510" w:hanging="510"/>
      </w:pPr>
      <w:r>
        <w:rPr>
          <w:rFonts w:ascii="Times New Roman" w:hAnsi="Times New Roman" w:eastAsia="宋体"/>
          <w:b w:val="0"/>
          <w:sz w:val="21"/>
        </w:rPr>
        <w:t>[35] 刘志彪. 建设国内统一大市场: 影响因素与政策选择[J]. 学术月刊, 2021, 53(9): 49-56+84.</w:t>
      </w:r>
    </w:p>
    <w:p>
      <w:pPr>
        <w:spacing w:line="312" w:lineRule="auto" w:after="40"/>
        <w:ind w:left="510" w:hanging="510"/>
      </w:pPr>
      <w:r>
        <w:rPr>
          <w:rFonts w:ascii="Times New Roman" w:hAnsi="Times New Roman" w:eastAsia="宋体"/>
          <w:b w:val="0"/>
          <w:sz w:val="21"/>
        </w:rPr>
        <w:t>[36] 黄燕芬, 刘志成. 建设全国统一大市场的理论逻辑与推进路径[J]. 江淮论坛, 2022(4): 22-29+68.</w:t>
      </w:r>
    </w:p>
    <w:p>
      <w:pPr>
        <w:spacing w:line="312" w:lineRule="auto" w:after="40"/>
        <w:ind w:left="510" w:hanging="510"/>
      </w:pPr>
      <w:r>
        <w:rPr>
          <w:rFonts w:ascii="Times New Roman" w:hAnsi="Times New Roman" w:eastAsia="宋体"/>
          <w:b w:val="0"/>
          <w:sz w:val="21"/>
        </w:rPr>
        <w:t>[37] 刘瑞明, 杨冰岩. 全国统一大市场构建的突出问题与破解思路[J]. 社会科学辑刊, 2022(6): 119-127.</w:t>
      </w:r>
    </w:p>
    <w:p>
      <w:pPr>
        <w:spacing w:line="312" w:lineRule="auto" w:after="40"/>
        <w:ind w:left="510" w:hanging="510"/>
      </w:pPr>
      <w:r>
        <w:rPr>
          <w:rFonts w:ascii="Times New Roman" w:hAnsi="Times New Roman" w:eastAsia="宋体"/>
          <w:b w:val="0"/>
          <w:sz w:val="21"/>
        </w:rPr>
        <w:t>[38] 邵传林. 全国统一大市场建设中的政府与市场关系再思考[J]. 上海财经大学学报, 2023, 25(2): 3-17.</w:t>
      </w:r>
    </w:p>
    <w:p>
      <w:pPr>
        <w:spacing w:line="312" w:lineRule="auto" w:after="40"/>
        <w:ind w:left="510" w:hanging="510"/>
      </w:pPr>
      <w:r>
        <w:rPr>
          <w:rFonts w:ascii="Times New Roman" w:hAnsi="Times New Roman" w:eastAsia="宋体"/>
          <w:b w:val="0"/>
          <w:sz w:val="21"/>
        </w:rPr>
        <w:t>[39] 谢莉娟, 张昊. 全国统一大市场与现代流通体系建设: 实践探索与关系演进[J]. 中国流通经济, 2022, 36(7): 3-11.</w:t>
      </w:r>
    </w:p>
    <w:p>
      <w:pPr>
        <w:spacing w:line="312" w:lineRule="auto" w:after="40"/>
        <w:ind w:left="510" w:hanging="510"/>
      </w:pPr>
      <w:r>
        <w:rPr>
          <w:rFonts w:ascii="Times New Roman" w:hAnsi="Times New Roman" w:eastAsia="宋体"/>
          <w:b w:val="0"/>
          <w:sz w:val="21"/>
        </w:rPr>
        <w:t>[40] 李兰冰, 逯海勇. 统一大市场建设: 物流标准化如何推动国内市场一体化?[J]. 财经研究, 2024, 50(9): 19-33.</w:t>
      </w:r>
    </w:p>
    <w:p>
      <w:pPr>
        <w:spacing w:line="312" w:lineRule="auto" w:after="40"/>
        <w:ind w:left="510" w:hanging="510"/>
      </w:pPr>
      <w:r>
        <w:rPr>
          <w:rFonts w:ascii="Times New Roman" w:hAnsi="Times New Roman" w:eastAsia="宋体"/>
          <w:b w:val="0"/>
          <w:sz w:val="21"/>
        </w:rPr>
        <w:t>[41] 戴若尘, 索昊, 陈斌开. 要素市场一体化的测度与影响: 微观企业数据的新视角[J]. 世界经济, 2025, 48(7): 105-132.</w:t>
      </w:r>
    </w:p>
    <w:p>
      <w:pPr>
        <w:spacing w:line="312" w:lineRule="auto" w:after="40"/>
        <w:ind w:left="510" w:hanging="510"/>
      </w:pPr>
      <w:r>
        <w:rPr>
          <w:rFonts w:ascii="Times New Roman" w:hAnsi="Times New Roman" w:eastAsia="宋体"/>
          <w:b w:val="0"/>
          <w:sz w:val="21"/>
        </w:rPr>
        <w:t>[42] 李自若, 杨汝岱, 黄桂田. 内贸成本、外贸成本与畅通国内大循环[J]. 中国工业经济, 2022(2): 61-79.</w:t>
      </w:r>
    </w:p>
    <w:p>
      <w:pPr>
        <w:spacing w:line="312" w:lineRule="auto" w:after="40"/>
        <w:ind w:left="510" w:hanging="510"/>
      </w:pPr>
      <w:r>
        <w:rPr>
          <w:rFonts w:ascii="Times New Roman" w:hAnsi="Times New Roman" w:eastAsia="宋体"/>
          <w:b w:val="0"/>
          <w:sz w:val="21"/>
        </w:rPr>
        <w:t>[43] 易巍, 龙小宁. 行政边界与专利知识传播[J]. 数量经济技术经济研究, 2023(10): 159-180.</w:t>
      </w:r>
    </w:p>
    <w:p>
      <w:pPr>
        <w:spacing w:line="312" w:lineRule="auto" w:after="40"/>
        <w:ind w:left="510" w:hanging="510"/>
      </w:pPr>
      <w:r>
        <w:rPr>
          <w:rFonts w:ascii="Times New Roman" w:hAnsi="Times New Roman" w:eastAsia="宋体"/>
          <w:b w:val="0"/>
          <w:sz w:val="21"/>
        </w:rPr>
        <w:t>[44] 陈志远, 于皓, 张杰. 中国知识溢出本地化的行政边界效应研究[J]. 中国工业经济, 2025(1): 81-99.</w:t>
      </w:r>
    </w:p>
    <w:p>
      <w:pPr>
        <w:spacing w:line="312" w:lineRule="auto" w:after="40"/>
        <w:ind w:left="510" w:hanging="510"/>
      </w:pPr>
      <w:r>
        <w:rPr>
          <w:rFonts w:ascii="Times New Roman" w:hAnsi="Times New Roman" w:eastAsia="宋体"/>
          <w:b w:val="0"/>
          <w:sz w:val="21"/>
        </w:rPr>
        <w:t>[45] 才国伟, 陈思含, 李兵. 本地偏好与国内统一大市场建设——来自中国交通事故裁判文书的证据[J]. 经济学(季刊), 2024, 24(6): 1729-1745.</w:t>
      </w:r>
    </w:p>
    <w:p>
      <w:pPr>
        <w:spacing w:line="312" w:lineRule="auto" w:after="40"/>
        <w:ind w:left="510" w:hanging="510"/>
      </w:pPr>
      <w:r>
        <w:rPr>
          <w:rFonts w:ascii="Times New Roman" w:hAnsi="Times New Roman" w:eastAsia="宋体"/>
          <w:b w:val="0"/>
          <w:sz w:val="21"/>
        </w:rPr>
        <w:t>[46] 张皓辰, 郭研, 吴群锋. 省际边界效应、区域市场分割与地方保护——基于货物运输数据的估计[J]. 经济学(季刊), 2024, 24(3): 743-758.</w:t>
      </w:r>
    </w:p>
    <w:p>
      <w:pPr>
        <w:spacing w:line="312" w:lineRule="auto" w:after="40"/>
        <w:ind w:left="510" w:hanging="510"/>
      </w:pPr>
      <w:r>
        <w:rPr>
          <w:rFonts w:ascii="Times New Roman" w:hAnsi="Times New Roman" w:eastAsia="宋体"/>
          <w:b w:val="0"/>
          <w:sz w:val="21"/>
        </w:rPr>
        <w:t>[47] 邹颖, 石福安, 祁亚. 以数促联: 公共数据开放与企业供应链地理布局[J]. 世界经济, 2026, 49(1): 85-110.</w:t>
      </w:r>
    </w:p>
    <w:p>
      <w:pPr>
        <w:spacing w:line="312" w:lineRule="auto" w:after="40"/>
        <w:ind w:left="510" w:hanging="510"/>
      </w:pPr>
      <w:r>
        <w:rPr>
          <w:rFonts w:ascii="Times New Roman" w:hAnsi="Times New Roman" w:eastAsia="宋体"/>
          <w:b w:val="0"/>
          <w:sz w:val="21"/>
        </w:rPr>
        <w:t>[48] DIXIT A K, STIGLITZ J E. Monopolistic competition and optimum product diversity[J]. American Economic Review, 1977, 67(3): 297-308.</w:t>
      </w:r>
    </w:p>
    <w:p>
      <w:pPr>
        <w:spacing w:line="312" w:lineRule="auto" w:after="40"/>
        <w:ind w:left="510" w:hanging="510"/>
      </w:pPr>
      <w:r>
        <w:rPr>
          <w:rFonts w:ascii="Times New Roman" w:hAnsi="Times New Roman" w:eastAsia="宋体"/>
          <w:b w:val="0"/>
          <w:sz w:val="21"/>
        </w:rPr>
        <w:t>[49] SALOP S C. Monopolistic competition with outside goods[J]. The Bell Journal of Economics, 1979, 10(1): 141-156.</w:t>
      </w:r>
    </w:p>
    <w:p>
      <w:pPr>
        <w:spacing w:line="312" w:lineRule="auto" w:after="40"/>
        <w:ind w:left="510" w:hanging="510"/>
      </w:pPr>
      <w:r>
        <w:rPr>
          <w:rFonts w:ascii="Times New Roman" w:hAnsi="Times New Roman" w:eastAsia="宋体"/>
          <w:b w:val="0"/>
          <w:sz w:val="21"/>
        </w:rPr>
        <w:t>[50] MANKIW N G, WHINSTON M D. Free entry and social inefficiency[J]. The RAND Journal of Economics, 1986, 17(1): 48-58.</w:t>
      </w:r>
    </w:p>
    <w:p>
      <w:pPr>
        <w:spacing w:line="312" w:lineRule="auto" w:after="40"/>
        <w:ind w:left="510" w:hanging="510"/>
      </w:pPr>
      <w:r>
        <w:rPr>
          <w:rFonts w:ascii="Times New Roman" w:hAnsi="Times New Roman" w:eastAsia="宋体"/>
          <w:b w:val="0"/>
          <w:sz w:val="21"/>
        </w:rPr>
        <w:t>[51] AGHION P, BLOOM N, BLUNDELL R, et al. Competition and innovation: an inverted-U relationship[J]. The Quarterly Journal of Economics, 2005, 120(2): 701-728.</w:t>
      </w:r>
    </w:p>
    <w:p>
      <w:pPr>
        <w:spacing w:line="312" w:lineRule="auto" w:after="40"/>
        <w:ind w:left="510" w:hanging="510"/>
      </w:pPr>
      <w:r>
        <w:rPr>
          <w:rFonts w:ascii="Times New Roman" w:hAnsi="Times New Roman" w:eastAsia="宋体"/>
          <w:b w:val="0"/>
          <w:sz w:val="21"/>
        </w:rPr>
        <w:t>[52] 林毅夫. 潮涌现象与发展中国家宏观经济理论的重新构建[J]. 经济研究, 2007(1): 126-131.</w:t>
      </w:r>
    </w:p>
    <w:p>
      <w:pPr>
        <w:spacing w:line="312" w:lineRule="auto" w:after="40"/>
        <w:ind w:left="510" w:hanging="510"/>
      </w:pPr>
      <w:r>
        <w:rPr>
          <w:rFonts w:ascii="Times New Roman" w:hAnsi="Times New Roman" w:eastAsia="宋体"/>
          <w:b w:val="0"/>
          <w:sz w:val="21"/>
        </w:rPr>
        <w:t>[53] 林毅夫, 巫和懋, 邢亦青. “潮涌现象”与产能过剩的形成机制[J]. 经济研究, 2010, 45(10): 4-19.</w:t>
      </w:r>
    </w:p>
    <w:p>
      <w:pPr>
        <w:spacing w:line="312" w:lineRule="auto" w:after="40"/>
        <w:ind w:left="510" w:hanging="510"/>
      </w:pPr>
      <w:r>
        <w:rPr>
          <w:rFonts w:ascii="Times New Roman" w:hAnsi="Times New Roman" w:eastAsia="宋体"/>
          <w:b w:val="0"/>
          <w:sz w:val="21"/>
        </w:rPr>
        <w:t>[54] 江飞涛, 曹建海. 市场失灵还是体制扭曲——重复建设形成机理研究中的争论、缺陷与新进展[J]. 中国工业经济, 2009(1): 53-64.</w:t>
      </w:r>
    </w:p>
    <w:p>
      <w:pPr>
        <w:spacing w:line="312" w:lineRule="auto" w:after="40"/>
        <w:ind w:left="510" w:hanging="510"/>
      </w:pPr>
      <w:r>
        <w:rPr>
          <w:rFonts w:ascii="Times New Roman" w:hAnsi="Times New Roman" w:eastAsia="宋体"/>
          <w:b w:val="0"/>
          <w:sz w:val="21"/>
        </w:rPr>
        <w:t>[55] 江飞涛, 耿强, 吕大国, 等. 地区竞争、体制扭曲与产能过剩的形成机理[J]. 中国工业经济, 2012(6): 44-56.</w:t>
      </w:r>
    </w:p>
    <w:p>
      <w:pPr>
        <w:spacing w:line="312" w:lineRule="auto" w:after="40"/>
        <w:ind w:left="510" w:hanging="510"/>
      </w:pPr>
      <w:r>
        <w:rPr>
          <w:rFonts w:ascii="Times New Roman" w:hAnsi="Times New Roman" w:eastAsia="宋体"/>
          <w:b w:val="0"/>
          <w:sz w:val="21"/>
        </w:rPr>
        <w:t>[56] 王文甫, 明娟, 岳超云. 企业规模、地方政府干预与产能过剩[J]. 管理世界, 2014(10): 17-36.</w:t>
      </w:r>
    </w:p>
    <w:p>
      <w:pPr>
        <w:spacing w:line="312" w:lineRule="auto" w:after="40"/>
        <w:ind w:left="510" w:hanging="510"/>
      </w:pPr>
      <w:r>
        <w:rPr>
          <w:rFonts w:ascii="Times New Roman" w:hAnsi="Times New Roman" w:eastAsia="宋体"/>
          <w:b w:val="0"/>
          <w:sz w:val="21"/>
        </w:rPr>
        <w:t>[57] 干春晖, 邹俊, 王健. 地方官员任期、企业资源获取与产能过剩[J]. 中国工业经济, 2015(3): 44-56.</w:t>
      </w:r>
    </w:p>
    <w:p>
      <w:pPr>
        <w:spacing w:line="312" w:lineRule="auto" w:after="40"/>
        <w:ind w:left="510" w:hanging="510"/>
      </w:pPr>
      <w:r>
        <w:rPr>
          <w:rFonts w:ascii="Times New Roman" w:hAnsi="Times New Roman" w:eastAsia="宋体"/>
          <w:b w:val="0"/>
          <w:sz w:val="21"/>
        </w:rPr>
        <w:t>[58] 韩国高, 高铁梅, 王立国, 等. 中国制造业产能过剩的测度、波动及成因研究[J]. 经济研究, 2011, 46(12): 18-31.</w:t>
      </w:r>
    </w:p>
    <w:p>
      <w:pPr>
        <w:spacing w:line="312" w:lineRule="auto" w:after="40"/>
        <w:ind w:left="510" w:hanging="510"/>
      </w:pPr>
      <w:r>
        <w:rPr>
          <w:rFonts w:ascii="Times New Roman" w:hAnsi="Times New Roman" w:eastAsia="宋体"/>
          <w:b w:val="0"/>
          <w:sz w:val="21"/>
        </w:rPr>
        <w:t>[59] 余东华, 吕逸楠. 政府不当干预与战略性新兴产业产能过剩——以中国光伏产业为例[J]. 中国工业经济, 2015(10): 53-68.</w:t>
      </w:r>
    </w:p>
    <w:p>
      <w:pPr>
        <w:spacing w:line="312" w:lineRule="auto" w:after="40"/>
        <w:ind w:left="510" w:hanging="510"/>
      </w:pPr>
      <w:r>
        <w:rPr>
          <w:rFonts w:ascii="Times New Roman" w:hAnsi="Times New Roman" w:eastAsia="宋体"/>
          <w:b w:val="0"/>
          <w:sz w:val="21"/>
        </w:rPr>
        <w:t>[60] 梁泳梅. 中国式产能过剩: 历史考察及对新发展阶段治理的启示[J]. 江汉大学学报(社会科学版), 2024, 41(1): 102-116.</w:t>
      </w:r>
    </w:p>
    <w:p>
      <w:pPr>
        <w:spacing w:line="312" w:lineRule="auto" w:after="40"/>
        <w:ind w:left="510" w:hanging="510"/>
      </w:pPr>
      <w:r>
        <w:rPr>
          <w:rFonts w:ascii="Times New Roman" w:hAnsi="Times New Roman" w:eastAsia="宋体"/>
          <w:b w:val="0"/>
          <w:sz w:val="21"/>
        </w:rPr>
        <w:t>[61] 张杰, 任元明. 中国“内卷式”竞争的主要特征、形成机制及其破解之道[J]. 北京交通大学学报(社会科学版), 2025, 24(2): 50-61.</w:t>
      </w:r>
    </w:p>
    <w:p>
      <w:pPr>
        <w:spacing w:line="312" w:lineRule="auto" w:after="40"/>
        <w:ind w:left="510" w:hanging="510"/>
      </w:pPr>
      <w:r>
        <w:rPr>
          <w:rFonts w:ascii="Times New Roman" w:hAnsi="Times New Roman" w:eastAsia="宋体"/>
          <w:b w:val="0"/>
          <w:sz w:val="21"/>
        </w:rPr>
        <w:t>[62] 王兵. 全国统一大市场建设视阈下的产业“内卷式”竞争治理——基于种群竞争模型的分析[J]. 山东大学学报(哲学社会科学版), 2025(4): 169-178.</w:t>
      </w:r>
    </w:p>
    <w:p>
      <w:pPr>
        <w:spacing w:line="312" w:lineRule="auto" w:after="40"/>
        <w:ind w:left="510" w:hanging="510"/>
      </w:pPr>
      <w:r>
        <w:rPr>
          <w:rFonts w:ascii="Times New Roman" w:hAnsi="Times New Roman" w:eastAsia="宋体"/>
          <w:b w:val="0"/>
          <w:sz w:val="21"/>
        </w:rPr>
        <w:t>[63] 白伟. 产业链内卷式竞争机制及其感知风险效应——基于BERT模型的机器学习方法[J]. 山东大学学报(哲学社会科学版), 2025(4): 191-201.</w:t>
      </w:r>
    </w:p>
    <w:p>
      <w:pPr>
        <w:spacing w:line="312" w:lineRule="auto" w:after="40"/>
        <w:ind w:left="510" w:hanging="510"/>
      </w:pPr>
      <w:r>
        <w:rPr>
          <w:rFonts w:ascii="Times New Roman" w:hAnsi="Times New Roman" w:eastAsia="宋体"/>
          <w:b w:val="0"/>
          <w:sz w:val="21"/>
        </w:rPr>
        <w:t>[64] 付伟, 蒋安丽. 数字化内卷: 数字化转型过程中传统产业链的重构与挑战[J]. 山东大学学报(哲学社会科学版), 2025(4): 179-190.</w:t>
      </w:r>
    </w:p>
    <w:p>
      <w:pPr>
        <w:spacing w:line="312" w:lineRule="auto" w:after="40"/>
        <w:ind w:left="510" w:hanging="510"/>
      </w:pPr>
      <w:r>
        <w:rPr>
          <w:rFonts w:ascii="Times New Roman" w:hAnsi="Times New Roman" w:eastAsia="宋体"/>
          <w:b w:val="0"/>
          <w:sz w:val="21"/>
        </w:rPr>
        <w:t>[65] 王丹, 龚晓莺. 数字资本积累的流通偏向与价值创造阻滞——兼论平台经济“内卷式”竞争的政治经济学本质[J]. 上海财经大学学报, 2026, 28(3): 3-13+44.</w:t>
      </w:r>
    </w:p>
    <w:p>
      <w:pPr>
        <w:spacing w:line="312" w:lineRule="auto" w:after="40"/>
        <w:ind w:left="510" w:hanging="510"/>
      </w:pPr>
      <w:r>
        <w:rPr>
          <w:rFonts w:ascii="Times New Roman" w:hAnsi="Times New Roman" w:eastAsia="宋体"/>
          <w:b w:val="0"/>
          <w:sz w:val="21"/>
        </w:rPr>
        <w:t>[66] 李剑, 胡寅. 反垄断法视角下“内卷式”竞争的治理[J]. 山东大学学报(哲学社会科学版), 2026(2): 163-173.</w:t>
      </w:r>
    </w:p>
    <w:p>
      <w:pPr>
        <w:spacing w:line="312" w:lineRule="auto" w:after="40"/>
        <w:ind w:left="510" w:hanging="510"/>
      </w:pPr>
      <w:r>
        <w:rPr>
          <w:rFonts w:ascii="Times New Roman" w:hAnsi="Times New Roman" w:eastAsia="宋体"/>
          <w:b w:val="0"/>
          <w:sz w:val="21"/>
        </w:rPr>
        <w:t>[67] 张晨颖. 平台掠夺性定价的反垄断思路[J]. 东方法学, 2023(2): 61-72.</w:t>
      </w:r>
    </w:p>
    <w:p>
      <w:pPr>
        <w:spacing w:line="312" w:lineRule="auto" w:after="40"/>
        <w:ind w:left="510" w:hanging="510"/>
      </w:pPr>
      <w:r>
        <w:rPr>
          <w:rFonts w:ascii="Times New Roman" w:hAnsi="Times New Roman" w:eastAsia="宋体"/>
          <w:b w:val="0"/>
          <w:sz w:val="21"/>
        </w:rPr>
        <w:t>[68] 周黎安. 晋升博弈中政府官员的激励与合作——兼论我国地方保护主义和重复建设问题长期存在的原因[J]. 经济研究, 2004(6): 33-40.</w:t>
      </w:r>
    </w:p>
    <w:p>
      <w:pPr>
        <w:spacing w:line="312" w:lineRule="auto" w:after="40"/>
        <w:ind w:left="510" w:hanging="510"/>
      </w:pPr>
      <w:r>
        <w:rPr>
          <w:rFonts w:ascii="Times New Roman" w:hAnsi="Times New Roman" w:eastAsia="宋体"/>
          <w:b w:val="0"/>
          <w:sz w:val="21"/>
        </w:rPr>
        <w:t>[69] 周黎安. 转型中的地方政府: 官员激励与治理[M]. 2版. 上海: 格致出版社, 上海人民出版社, 2017.</w:t>
      </w:r>
    </w:p>
    <w:p>
      <w:pPr>
        <w:spacing w:line="312" w:lineRule="auto" w:after="40"/>
        <w:ind w:left="510" w:hanging="510"/>
      </w:pPr>
      <w:r>
        <w:rPr>
          <w:rFonts w:ascii="Times New Roman" w:hAnsi="Times New Roman" w:eastAsia="宋体"/>
          <w:b w:val="0"/>
          <w:sz w:val="21"/>
        </w:rPr>
        <w:t>[70] 周黎安. 晋升锦标赛: 文献评述与研究展望[J]. 经济管理学刊, 2022(1): 1-34.</w:t>
      </w:r>
    </w:p>
    <w:p>
      <w:pPr>
        <w:spacing w:line="312" w:lineRule="auto" w:after="40"/>
        <w:ind w:left="510" w:hanging="510"/>
      </w:pPr>
      <w:r>
        <w:rPr>
          <w:rFonts w:ascii="Times New Roman" w:hAnsi="Times New Roman" w:eastAsia="宋体"/>
          <w:b w:val="0"/>
          <w:sz w:val="21"/>
        </w:rPr>
        <w:t>[71] 傅勇, 张晏. 中国式分权与财政支出结构偏向: 为增长而竞争的代价[J]. 管理世界, 2007(3): 4-12+22.</w:t>
      </w:r>
    </w:p>
    <w:p>
      <w:pPr>
        <w:spacing w:line="312" w:lineRule="auto" w:after="40"/>
        <w:ind w:left="510" w:hanging="510"/>
      </w:pPr>
      <w:r>
        <w:rPr>
          <w:rFonts w:ascii="Times New Roman" w:hAnsi="Times New Roman" w:eastAsia="宋体"/>
          <w:b w:val="0"/>
          <w:sz w:val="21"/>
        </w:rPr>
        <w:t>[72] 孙秀林, 周飞舟. 土地财政与分税制: 一个实证解释[J]. 中国社会科学, 2013(4): 40-59.</w:t>
      </w:r>
    </w:p>
    <w:p>
      <w:pPr>
        <w:spacing w:line="312" w:lineRule="auto" w:after="40"/>
        <w:ind w:left="510" w:hanging="510"/>
      </w:pPr>
      <w:r>
        <w:rPr>
          <w:rFonts w:ascii="Times New Roman" w:hAnsi="Times New Roman" w:eastAsia="宋体"/>
          <w:b w:val="0"/>
          <w:sz w:val="21"/>
        </w:rPr>
        <w:t>[73] 杨龙见, 尹恒. 中国县级政府税收竞争研究[J]. 统计研究, 2014, 31(6): 42-49.</w:t>
      </w:r>
    </w:p>
    <w:p>
      <w:pPr>
        <w:spacing w:line="312" w:lineRule="auto" w:after="40"/>
        <w:ind w:left="510" w:hanging="510"/>
      </w:pPr>
      <w:r>
        <w:rPr>
          <w:rFonts w:ascii="Times New Roman" w:hAnsi="Times New Roman" w:eastAsia="宋体"/>
          <w:b w:val="0"/>
          <w:sz w:val="21"/>
        </w:rPr>
        <w:t>[74] 陶然, 苏福兵, 陆曦, 等. 经济增长能够带来晋升吗?——对晋升锦标竞赛理论的逻辑挑战与省级实证重估[J]. 管理世界, 2010(12): 13-26.</w:t>
      </w:r>
    </w:p>
    <w:p>
      <w:pPr>
        <w:spacing w:line="312" w:lineRule="auto" w:after="40"/>
        <w:ind w:left="510" w:hanging="510"/>
      </w:pPr>
      <w:r>
        <w:rPr>
          <w:rFonts w:ascii="Times New Roman" w:hAnsi="Times New Roman" w:eastAsia="宋体"/>
          <w:b w:val="0"/>
          <w:sz w:val="21"/>
        </w:rPr>
        <w:t>[75] 吕冰洋, 贺颖. 中国特色财政激励体制: 基于统一市场的视角[J]. 中国社会科学, 2022(4): 24-43+204-205.</w:t>
      </w:r>
    </w:p>
    <w:p>
      <w:pPr>
        <w:spacing w:line="312" w:lineRule="auto" w:after="40"/>
        <w:ind w:left="510" w:hanging="510"/>
      </w:pPr>
      <w:r>
        <w:rPr>
          <w:rFonts w:ascii="Times New Roman" w:hAnsi="Times New Roman" w:eastAsia="宋体"/>
          <w:b w:val="0"/>
          <w:sz w:val="21"/>
        </w:rPr>
        <w:t>[76] 杨其静, 彭艳琼. 晋升竞争与工业用地出让——基于2007—2011年中国城市面板数据的分析[J]. 经济理论与经济管理, 2015(9): 5-17.</w:t>
      </w:r>
    </w:p>
    <w:p>
      <w:pPr>
        <w:spacing w:line="312" w:lineRule="auto" w:after="40"/>
        <w:ind w:left="510" w:hanging="510"/>
      </w:pPr>
      <w:r>
        <w:rPr>
          <w:rFonts w:ascii="Times New Roman" w:hAnsi="Times New Roman" w:eastAsia="宋体"/>
          <w:b w:val="0"/>
          <w:sz w:val="21"/>
        </w:rPr>
        <w:t>[77] 张军, 高远, 傅勇, 等. 中国为什么拥有了良好的基础设施?[J]. 经济研究, 2007(3): 4-19.</w:t>
      </w:r>
    </w:p>
    <w:p>
      <w:pPr>
        <w:spacing w:line="312" w:lineRule="auto" w:after="40"/>
        <w:ind w:left="510" w:hanging="510"/>
      </w:pPr>
      <w:r>
        <w:rPr>
          <w:rFonts w:ascii="Times New Roman" w:hAnsi="Times New Roman" w:eastAsia="宋体"/>
          <w:b w:val="0"/>
          <w:sz w:val="21"/>
        </w:rPr>
        <w:t>[78] 吴敏, 周黎安. 晋升激励与城市建设: 公共品可视性的视角[J]. 经济研究, 2018(12): 97-111.</w:t>
      </w:r>
    </w:p>
    <w:p>
      <w:pPr>
        <w:spacing w:line="312" w:lineRule="auto" w:after="40"/>
        <w:ind w:left="510" w:hanging="510"/>
      </w:pPr>
      <w:r>
        <w:rPr>
          <w:rFonts w:ascii="Times New Roman" w:hAnsi="Times New Roman" w:eastAsia="宋体"/>
          <w:b w:val="0"/>
          <w:sz w:val="21"/>
        </w:rPr>
        <w:t>[79] 邓慧慧, 赵家羚. 地方政府经济决策中的“同群效应”[J]. 中国工业经济, 2018(4): 59-78.</w:t>
      </w:r>
    </w:p>
    <w:p>
      <w:pPr>
        <w:spacing w:line="312" w:lineRule="auto" w:after="40"/>
        <w:ind w:left="510" w:hanging="510"/>
      </w:pPr>
      <w:r>
        <w:rPr>
          <w:rFonts w:ascii="Times New Roman" w:hAnsi="Times New Roman" w:eastAsia="宋体"/>
          <w:b w:val="0"/>
          <w:sz w:val="21"/>
        </w:rPr>
        <w:t>[80] 赵婷, 陈钊. 比较优势与中央、地方的产业政策[J]. 世界经济, 2019(10): 98-119.</w:t>
      </w:r>
    </w:p>
    <w:p>
      <w:pPr>
        <w:spacing w:line="312" w:lineRule="auto" w:after="40"/>
        <w:ind w:left="510" w:hanging="510"/>
      </w:pPr>
      <w:r>
        <w:rPr>
          <w:rFonts w:ascii="Times New Roman" w:hAnsi="Times New Roman" w:eastAsia="宋体"/>
          <w:b w:val="0"/>
          <w:sz w:val="21"/>
        </w:rPr>
        <w:t>[81] 席鹏辉, 梁若冰. 税收分成调整、财政压力与工业污染[J]. 世界经济, 2017(10): 170-192.</w:t>
      </w:r>
    </w:p>
    <w:p>
      <w:pPr>
        <w:spacing w:line="312" w:lineRule="auto" w:after="40"/>
        <w:ind w:left="510" w:hanging="510"/>
      </w:pPr>
      <w:r>
        <w:rPr>
          <w:rFonts w:ascii="Times New Roman" w:hAnsi="Times New Roman" w:eastAsia="宋体"/>
          <w:b w:val="0"/>
          <w:sz w:val="21"/>
        </w:rPr>
        <w:t>[82] 范子英, 周小昶. 财政激励、市场一体化与企业跨地区投资——基于所得税分享改革的研究[J]. 中国工业经济, 2022(2): 118-136.</w:t>
      </w:r>
    </w:p>
    <w:p>
      <w:pPr>
        <w:spacing w:line="312" w:lineRule="auto" w:after="40"/>
        <w:ind w:left="510" w:hanging="510"/>
      </w:pPr>
      <w:r>
        <w:rPr>
          <w:rFonts w:ascii="Times New Roman" w:hAnsi="Times New Roman" w:eastAsia="宋体"/>
          <w:b w:val="0"/>
          <w:sz w:val="21"/>
        </w:rPr>
        <w:t>[83] 刘清杰, 任德孝. 税收竞争视角下的地方政府债务规模扩张根源探究[J]. 广东财经大学学报, 2022, 37(2): 56-70.</w:t>
      </w:r>
    </w:p>
    <w:p>
      <w:pPr>
        <w:spacing w:line="312" w:lineRule="auto" w:after="40"/>
        <w:ind w:left="510" w:hanging="510"/>
      </w:pPr>
      <w:r>
        <w:rPr>
          <w:rFonts w:ascii="Times New Roman" w:hAnsi="Times New Roman" w:eastAsia="宋体"/>
          <w:b w:val="0"/>
          <w:sz w:val="21"/>
        </w:rPr>
        <w:t>[84] 曹清峰. 国家级新区对区域经济增长的带动效应——基于70大中城市的经验证据[J]. 中国工业经济, 2020(7): 43-60.</w:t>
      </w:r>
    </w:p>
    <w:p>
      <w:pPr>
        <w:spacing w:line="312" w:lineRule="auto" w:after="40"/>
        <w:ind w:left="510" w:hanging="510"/>
      </w:pPr>
      <w:r>
        <w:rPr>
          <w:rFonts w:ascii="Times New Roman" w:hAnsi="Times New Roman" w:eastAsia="宋体"/>
          <w:b w:val="0"/>
          <w:sz w:val="21"/>
        </w:rPr>
        <w:t>[85] 吴敏, 刘冲, 黄玖立. 开发区政策的技术创新效应——来自专利数据的证据[J]. 经济学(季刊), 2021, 21(5): 1817-1838.</w:t>
      </w:r>
    </w:p>
    <w:p>
      <w:pPr>
        <w:spacing w:line="312" w:lineRule="auto" w:after="40"/>
        <w:ind w:left="510" w:hanging="510"/>
      </w:pPr>
      <w:r>
        <w:rPr>
          <w:rFonts w:ascii="Times New Roman" w:hAnsi="Times New Roman" w:eastAsia="宋体"/>
          <w:b w:val="0"/>
          <w:sz w:val="21"/>
        </w:rPr>
        <w:t>[86] 孔令丞, 柴泽阳. 省级开发区升格改善了城市经济效率吗?——来自异质性开发区的准实验证据[J]. 管理世界, 2021, 37(1): 60-75.</w:t>
      </w:r>
    </w:p>
    <w:p>
      <w:pPr>
        <w:spacing w:line="312" w:lineRule="auto" w:after="40"/>
        <w:ind w:left="510" w:hanging="510"/>
      </w:pPr>
      <w:r>
        <w:rPr>
          <w:rFonts w:ascii="Times New Roman" w:hAnsi="Times New Roman" w:eastAsia="宋体"/>
          <w:b w:val="0"/>
          <w:sz w:val="21"/>
        </w:rPr>
        <w:t>[87] 聂辉华, 贾瑞雪. 中国制造业企业生产率与资源误置[J]. 世界经济, 2011(7): 27-42.</w:t>
      </w:r>
    </w:p>
    <w:p>
      <w:pPr>
        <w:spacing w:line="312" w:lineRule="auto" w:after="40"/>
        <w:ind w:left="510" w:hanging="510"/>
      </w:pPr>
      <w:r>
        <w:rPr>
          <w:rFonts w:ascii="Times New Roman" w:hAnsi="Times New Roman" w:eastAsia="宋体"/>
          <w:b w:val="0"/>
          <w:sz w:val="21"/>
        </w:rPr>
        <w:t>[88] 皮建才. 中国地方政府间竞争下的区域市场整合[J]. 经济研究, 2008(3): 115-124.</w:t>
      </w:r>
    </w:p>
    <w:p>
      <w:pPr>
        <w:spacing w:line="312" w:lineRule="auto" w:after="40"/>
        <w:ind w:left="510" w:hanging="510"/>
      </w:pPr>
      <w:r>
        <w:rPr>
          <w:rFonts w:ascii="Times New Roman" w:hAnsi="Times New Roman" w:eastAsia="宋体"/>
          <w:b w:val="0"/>
          <w:sz w:val="21"/>
        </w:rPr>
        <w:t>[89] 徐现祥, 李郇, 王美今. 区域一体化、经济增长与政治晋升[J]. 经济学(季刊), 2007, 6(4): 1075-1096.</w:t>
      </w:r>
    </w:p>
    <w:p>
      <w:pPr>
        <w:spacing w:line="312" w:lineRule="auto" w:after="40"/>
        <w:ind w:left="510" w:hanging="510"/>
      </w:pPr>
      <w:r>
        <w:rPr>
          <w:rFonts w:ascii="Times New Roman" w:hAnsi="Times New Roman" w:eastAsia="宋体"/>
          <w:b w:val="0"/>
          <w:sz w:val="21"/>
        </w:rPr>
        <w:t>[90] 银温泉, 才婉茹. 我国地方市场分割的成因和治理[J]. 经济研究, 2001(6): 3-12+95.</w:t>
      </w:r>
    </w:p>
    <w:p>
      <w:pPr>
        <w:spacing w:line="312" w:lineRule="auto" w:after="40"/>
        <w:ind w:left="510" w:hanging="510"/>
      </w:pPr>
      <w:r>
        <w:rPr>
          <w:rFonts w:ascii="Times New Roman" w:hAnsi="Times New Roman" w:eastAsia="宋体"/>
          <w:b w:val="0"/>
          <w:sz w:val="21"/>
        </w:rPr>
        <w:t>[91] 白重恩, 杜颖娟, 陶志刚, 等. 地方保护主义及产业地区集中度的决定因素和变动趋势[J]. 经济研究, 2004(4): 29-40.</w:t>
      </w:r>
    </w:p>
    <w:p>
      <w:pPr>
        <w:spacing w:line="312" w:lineRule="auto" w:after="40"/>
        <w:ind w:left="510" w:hanging="510"/>
      </w:pPr>
      <w:r>
        <w:rPr>
          <w:rFonts w:ascii="Times New Roman" w:hAnsi="Times New Roman" w:eastAsia="宋体"/>
          <w:b w:val="0"/>
          <w:sz w:val="21"/>
        </w:rPr>
        <w:t>[92] 陈永伟. 平台反垄断问题再思考: “企业—市场二重性”视角的分析[J]. 竞争政策研究, 2018(5): 25-34.</w:t>
      </w:r>
    </w:p>
    <w:p>
      <w:pPr>
        <w:spacing w:line="312" w:lineRule="auto" w:after="40"/>
        <w:ind w:left="510" w:hanging="510"/>
      </w:pPr>
      <w:r>
        <w:rPr>
          <w:rFonts w:ascii="Times New Roman" w:hAnsi="Times New Roman" w:eastAsia="宋体"/>
          <w:b w:val="0"/>
          <w:sz w:val="21"/>
        </w:rPr>
        <w:t>[93] 唐要家. 数字平台反垄断的基本导向与体系创新[J]. 经济学家, 2021(5): 83-92.</w:t>
      </w:r>
    </w:p>
    <w:p>
      <w:pPr>
        <w:spacing w:line="312" w:lineRule="auto" w:after="40"/>
        <w:ind w:left="510" w:hanging="510"/>
      </w:pPr>
      <w:r>
        <w:rPr>
          <w:rFonts w:ascii="Times New Roman" w:hAnsi="Times New Roman" w:eastAsia="宋体"/>
          <w:b w:val="0"/>
          <w:sz w:val="21"/>
        </w:rPr>
        <w:t>[94] 时建中, 郭江兰. 论平台经济领域前置式反垄断监管[J]. 探索与争鸣, 2021(9): 44-53.</w:t>
      </w:r>
    </w:p>
    <w:p>
      <w:pPr>
        <w:spacing w:line="312" w:lineRule="auto" w:after="40"/>
        <w:ind w:left="510" w:hanging="510"/>
      </w:pPr>
      <w:r>
        <w:rPr>
          <w:rFonts w:ascii="Times New Roman" w:hAnsi="Times New Roman" w:eastAsia="宋体"/>
          <w:b w:val="0"/>
          <w:sz w:val="21"/>
        </w:rPr>
        <w:t>[95] 王先林. 平台经济领域垄断和反垄断问题的法律思考[J]. 浙江工商大学学报, 2021(4): 34-45.</w:t>
      </w:r>
    </w:p>
    <w:p>
      <w:pPr>
        <w:spacing w:line="312" w:lineRule="auto" w:after="40"/>
        <w:ind w:left="510" w:hanging="510"/>
      </w:pPr>
      <w:r>
        <w:rPr>
          <w:rFonts w:ascii="Times New Roman" w:hAnsi="Times New Roman" w:eastAsia="宋体"/>
          <w:b w:val="0"/>
          <w:sz w:val="21"/>
        </w:rPr>
        <w:t>[96] 张晨颖. 公共性视角下的互联网平台反垄断规制[J]. 法学研究, 2021, 43(4): 149-170.</w:t>
      </w:r>
    </w:p>
    <w:p>
      <w:pPr>
        <w:spacing w:line="312" w:lineRule="auto" w:after="40"/>
        <w:ind w:left="510" w:hanging="510"/>
      </w:pPr>
      <w:r>
        <w:rPr>
          <w:rFonts w:ascii="Times New Roman" w:hAnsi="Times New Roman" w:eastAsia="宋体"/>
          <w:b w:val="0"/>
          <w:sz w:val="21"/>
        </w:rPr>
        <w:t>[97] 戚聿东, 蔡呈伟, 张兴刚. 数字平台智能算法的反竞争效应研究[J]. 山东大学学报(哲学社会科学版), 2021(2): 76-86.</w:t>
      </w:r>
    </w:p>
    <w:p>
      <w:pPr>
        <w:spacing w:line="312" w:lineRule="auto" w:after="40"/>
        <w:ind w:left="510" w:hanging="510"/>
      </w:pPr>
      <w:r>
        <w:rPr>
          <w:rFonts w:ascii="Times New Roman" w:hAnsi="Times New Roman" w:eastAsia="宋体"/>
          <w:b w:val="0"/>
          <w:sz w:val="21"/>
        </w:rPr>
        <w:t>[98] 陈弘斐, 胡东兰, 李勇坚. 平台经济领域的反垄断与平台企业的杀手并购[J]. 东北财经大学学报, 2021(1): 78-85.</w:t>
      </w:r>
    </w:p>
    <w:p>
      <w:pPr>
        <w:spacing w:line="312" w:lineRule="auto" w:after="40"/>
        <w:ind w:left="510" w:hanging="510"/>
      </w:pPr>
      <w:r>
        <w:rPr>
          <w:rFonts w:ascii="Times New Roman" w:hAnsi="Times New Roman" w:eastAsia="宋体"/>
          <w:b w:val="0"/>
          <w:sz w:val="21"/>
        </w:rPr>
        <w:t>[99] 孟雁北, 赵泽宇. 反垄断法下超级平台自我优待行为的合理规制[J]. 中南大学学报(社会科学版), 2022, 28(1): 70-82.</w:t>
      </w:r>
    </w:p>
    <w:p>
      <w:pPr>
        <w:spacing w:line="312" w:lineRule="auto" w:after="40"/>
        <w:ind w:left="510" w:hanging="510"/>
      </w:pPr>
      <w:r>
        <w:rPr>
          <w:rFonts w:ascii="Times New Roman" w:hAnsi="Times New Roman" w:eastAsia="宋体"/>
          <w:b w:val="0"/>
          <w:sz w:val="21"/>
        </w:rPr>
        <w:t>[100] 唐要家, 王钰, 唐春晖. 数字经济、市场结构与创新绩效[J]. 中国工业经济, 2022(10): 62-80.</w:t>
      </w:r>
    </w:p>
    <w:p>
      <w:pPr>
        <w:spacing w:line="312" w:lineRule="auto" w:after="40"/>
        <w:ind w:left="510" w:hanging="510"/>
      </w:pPr>
      <w:r>
        <w:rPr>
          <w:rFonts w:ascii="Times New Roman" w:hAnsi="Times New Roman" w:eastAsia="宋体"/>
          <w:b w:val="0"/>
          <w:sz w:val="21"/>
        </w:rPr>
        <w:t>[101] 郭传凯. 反垄断法“鼓励创新”的功能定位及其实现[J]. 山东大学学报(哲学社会科学版), 2023(4): 182-192.</w:t>
      </w:r>
    </w:p>
    <w:p>
      <w:pPr>
        <w:spacing w:line="312" w:lineRule="auto" w:after="40"/>
        <w:ind w:left="510" w:hanging="510"/>
      </w:pPr>
      <w:r>
        <w:rPr>
          <w:rFonts w:ascii="Times New Roman" w:hAnsi="Times New Roman" w:eastAsia="宋体"/>
          <w:b w:val="0"/>
          <w:sz w:val="21"/>
        </w:rPr>
        <w:t>[102] 王先林. 论常态化监管下平台经济领域反垄断的定位和举措[J]. 江淮论坛, 2023(4): 100-108.</w:t>
      </w:r>
    </w:p>
    <w:p>
      <w:pPr>
        <w:spacing w:line="312" w:lineRule="auto" w:after="40"/>
        <w:ind w:left="510" w:hanging="510"/>
      </w:pPr>
      <w:r>
        <w:rPr>
          <w:rFonts w:ascii="Times New Roman" w:hAnsi="Times New Roman" w:eastAsia="宋体"/>
          <w:b w:val="0"/>
          <w:sz w:val="21"/>
        </w:rPr>
        <w:t>[103] 刘继峰. 公平竞争审查信息公开的实践困境及其出路[J]. 价格理论与实践, 2024(10): 79-83.</w:t>
      </w:r>
    </w:p>
    <w:p>
      <w:pPr>
        <w:spacing w:line="312" w:lineRule="auto" w:after="40"/>
        <w:ind w:left="510" w:hanging="510"/>
      </w:pPr>
      <w:r>
        <w:rPr>
          <w:rFonts w:ascii="Times New Roman" w:hAnsi="Times New Roman" w:eastAsia="宋体"/>
          <w:b w:val="0"/>
          <w:sz w:val="21"/>
        </w:rPr>
        <w:t>[104] 冯博, 刘龙. 直播电商最低价协议的竞争机制与法律规制研究[J]. 山东大学学报(哲学社会科学版), 2026(2): 118-129.</w:t>
      </w:r>
    </w:p>
    <w:p>
      <w:pPr>
        <w:spacing w:line="312" w:lineRule="auto" w:after="40"/>
        <w:ind w:left="510" w:hanging="510"/>
      </w:pPr>
      <w:r>
        <w:rPr>
          <w:rFonts w:ascii="Times New Roman" w:hAnsi="Times New Roman" w:eastAsia="宋体"/>
          <w:b w:val="0"/>
          <w:sz w:val="21"/>
        </w:rPr>
        <w:t>[105] 黄益平, 北京大学平台经济创新与治理课题组. 平台经济: 创新、治理与繁荣[M]. 北京: 中信出版集团, 2022.</w:t>
      </w:r>
    </w:p>
    <w:p>
      <w:pPr>
        <w:spacing w:line="312" w:lineRule="auto" w:after="40"/>
        <w:ind w:left="510" w:hanging="510"/>
      </w:pPr>
      <w:r>
        <w:rPr>
          <w:rFonts w:ascii="Times New Roman" w:hAnsi="Times New Roman" w:eastAsia="宋体"/>
          <w:b w:val="0"/>
          <w:sz w:val="21"/>
        </w:rPr>
        <w:t>[106] KRUGMAN P. Increasing returns and economic geography[J]. Journal of Political Economy, 1991, 99(3): 483-499.</w:t>
      </w:r>
    </w:p>
    <w:p>
      <w:pPr>
        <w:spacing w:line="312" w:lineRule="auto" w:after="40"/>
        <w:ind w:left="510" w:hanging="510"/>
      </w:pPr>
      <w:r>
        <w:rPr>
          <w:rFonts w:ascii="Times New Roman" w:hAnsi="Times New Roman" w:eastAsia="宋体"/>
          <w:b w:val="0"/>
          <w:sz w:val="21"/>
        </w:rPr>
        <w:t>[107] HSIEH C T, KLENOW P J. Misallocation and manufacturing TFP in China and India[J]. The Quarterly Journal of Economics, 2009, 124(4): 1403-1448.</w:t>
      </w:r>
    </w:p>
    <w:p>
      <w:pPr>
        <w:spacing w:line="312" w:lineRule="auto" w:after="40"/>
        <w:ind w:left="510" w:hanging="510"/>
      </w:pPr>
      <w:r>
        <w:rPr>
          <w:rFonts w:ascii="Times New Roman" w:hAnsi="Times New Roman" w:eastAsia="宋体"/>
          <w:b w:val="0"/>
          <w:sz w:val="21"/>
        </w:rPr>
        <w:t>[108] BRANDT L, VAN BIESEBROECK J, ZHANG Y. Creative accounting or creative destruction? Firm-level productivity growth in Chinese manufacturing[J]. Journal of Development Economics, 2012, 97(2): 339-351.</w:t>
      </w:r>
    </w:p>
    <w:p>
      <w:pPr>
        <w:spacing w:line="312" w:lineRule="auto" w:after="40"/>
        <w:ind w:left="510" w:hanging="510"/>
      </w:pPr>
      <w:r>
        <w:rPr>
          <w:rFonts w:ascii="Times New Roman" w:hAnsi="Times New Roman" w:eastAsia="宋体"/>
          <w:b w:val="0"/>
          <w:sz w:val="21"/>
        </w:rPr>
        <w:t>[109] DONALDSON D. Railroads of the Raj: estimating the impact of transportation infrastructure[J]. American Economic Review, 2018, 108(4-5): 899-934.</w:t>
      </w:r>
    </w:p>
    <w:p>
      <w:pPr>
        <w:spacing w:line="312" w:lineRule="auto" w:after="40"/>
        <w:ind w:left="510" w:hanging="510"/>
      </w:pPr>
      <w:r>
        <w:rPr>
          <w:rFonts w:ascii="Times New Roman" w:hAnsi="Times New Roman" w:eastAsia="宋体"/>
          <w:b w:val="0"/>
          <w:sz w:val="21"/>
        </w:rPr>
        <w:t>[110] ASTURIAS J, GARCÍA-SANTANA M, RAMOS R. Competition and the welfare gains from transportation infrastructure: evidence from the Golden Quadrilateral of India[J]. Journal of the European Economic Association, 2019, 17(6): 1881-1940.</w:t>
      </w:r>
    </w:p>
    <w:p>
      <w:pPr>
        <w:spacing w:line="312" w:lineRule="auto" w:after="40"/>
        <w:ind w:left="510" w:hanging="510"/>
      </w:pPr>
      <w:r>
        <w:rPr>
          <w:rFonts w:ascii="Times New Roman" w:hAnsi="Times New Roman" w:eastAsia="宋体"/>
          <w:b w:val="0"/>
          <w:sz w:val="21"/>
        </w:rPr>
        <w:t>[111] REDDING S J, TURNER M A. Transportation costs and the spatial organization of economic activity[M]//DURANTON G, HENDERSON J V, STRANGE W C. Handbook of regional and urban economics: Vol. 5. Amsterdam: Elsevier, 2015: 1339-1398.</w:t>
      </w:r>
    </w:p>
    <w:p>
      <w:pPr>
        <w:spacing w:line="312" w:lineRule="auto" w:after="40"/>
        <w:ind w:left="510" w:hanging="510"/>
      </w:pPr>
      <w:r>
        <w:rPr>
          <w:rFonts w:ascii="Times New Roman" w:hAnsi="Times New Roman" w:eastAsia="宋体"/>
          <w:b w:val="0"/>
          <w:sz w:val="21"/>
        </w:rPr>
        <w:t>[112] BARWICK P J, CAO S, LI S. Local protectionism, market structure, and social welfare: China's automobile market[J]. American Economic Journal: Economic Policy, 2021, 13(4): 112-151.</w:t>
      </w:r>
    </w:p>
    <w:p>
      <w:pPr>
        <w:spacing w:line="312" w:lineRule="auto" w:after="40"/>
        <w:ind w:left="510" w:hanging="510"/>
      </w:pPr>
      <w:r>
        <w:rPr>
          <w:rFonts w:ascii="Times New Roman" w:hAnsi="Times New Roman" w:eastAsia="宋体"/>
          <w:b w:val="0"/>
          <w:sz w:val="21"/>
        </w:rPr>
        <w:t>[113] DRAGHI M. The future of European competitiveness: a competitiveness strategy for Europe[R]. Brussels: European Commission, 2024.</w:t>
      </w:r>
    </w:p>
    <w:p>
      <w:pPr>
        <w:spacing w:line="312" w:lineRule="auto" w:after="40"/>
        <w:ind w:left="510" w:hanging="510"/>
      </w:pPr>
      <w:r>
        <w:rPr>
          <w:rFonts w:ascii="Times New Roman" w:hAnsi="Times New Roman" w:eastAsia="宋体"/>
          <w:b w:val="0"/>
          <w:sz w:val="21"/>
        </w:rPr>
        <w:t>[114] AGHION P, CAI J, DEWATRIPONT M, et al. Industrial policy and competition[J]. American Economic Journal: Macroeconomics, 2015a, 7(4): 1-32.</w:t>
      </w:r>
    </w:p>
    <w:p>
      <w:pPr>
        <w:spacing w:line="312" w:lineRule="auto" w:after="40"/>
        <w:ind w:left="510" w:hanging="510"/>
      </w:pPr>
      <w:r>
        <w:rPr>
          <w:rFonts w:ascii="Times New Roman" w:hAnsi="Times New Roman" w:eastAsia="宋体"/>
          <w:b w:val="0"/>
          <w:sz w:val="21"/>
        </w:rPr>
        <w:t>[115] AGHION P, AKCIGIT U, HOWITT P. The Schumpeterian growth paradigm[J]. Annual Review of Economics, 2015b, 7: 557-575.</w:t>
      </w:r>
    </w:p>
    <w:p>
      <w:pPr>
        <w:spacing w:line="312" w:lineRule="auto" w:after="40"/>
        <w:ind w:left="510" w:hanging="510"/>
      </w:pPr>
      <w:r>
        <w:rPr>
          <w:rFonts w:ascii="Times New Roman" w:hAnsi="Times New Roman" w:eastAsia="宋体"/>
          <w:b w:val="0"/>
          <w:sz w:val="21"/>
        </w:rPr>
        <w:t>[116] 杨兴全, 张可欣. 公平竞争审查制度能否促进企业创新?——基于规制行政垄断的视角[J]. 财经研究, 2023, 49(1): 63-78.</w:t>
      </w:r>
    </w:p>
    <w:p>
      <w:pPr>
        <w:spacing w:line="312" w:lineRule="auto" w:after="40"/>
        <w:ind w:left="510" w:hanging="510"/>
      </w:pPr>
      <w:r>
        <w:rPr>
          <w:rFonts w:ascii="Times New Roman" w:hAnsi="Times New Roman" w:eastAsia="宋体"/>
          <w:b w:val="0"/>
          <w:sz w:val="21"/>
        </w:rPr>
        <w:t>[117] 王菁华, 毕超. 公平竞争审查制度如何影响企业全要素生产率?——基于去行政垄断的视角[J]. 外国经济与管理, 2024, 46(1): 48-61.</w:t>
      </w:r>
    </w:p>
    <w:p>
      <w:pPr>
        <w:spacing w:line="312" w:lineRule="auto" w:after="40"/>
        <w:ind w:left="510" w:hanging="510"/>
      </w:pPr>
      <w:r>
        <w:rPr>
          <w:rFonts w:ascii="Times New Roman" w:hAnsi="Times New Roman" w:eastAsia="宋体"/>
          <w:b w:val="0"/>
          <w:sz w:val="21"/>
        </w:rPr>
        <w:t>[118] 李靖, 毕茜. 公平竞争审查制度能否推动企业去僵尸化?[J]. 上海财经大学学报, 2025, 27(1): 18-30.</w:t>
      </w:r>
    </w:p>
    <w:p>
      <w:pPr>
        <w:spacing w:line="312" w:lineRule="auto" w:after="40"/>
        <w:ind w:left="510" w:hanging="510"/>
      </w:pPr>
      <w:r>
        <w:rPr>
          <w:rFonts w:ascii="Times New Roman" w:hAnsi="Times New Roman" w:eastAsia="宋体"/>
          <w:b w:val="0"/>
          <w:sz w:val="21"/>
        </w:rPr>
        <w:t>[119] 周志方, 韩尚杰, 程序. 市场准入管制放松与企业创新——基于“市场准入负面清单制度”试点的准自然实验[J]. 财经研究, 2023, 49(11): 125-139.</w:t>
      </w:r>
    </w:p>
    <w:p>
      <w:pPr>
        <w:spacing w:line="312" w:lineRule="auto" w:after="40"/>
        <w:ind w:left="510" w:hanging="510"/>
      </w:pPr>
      <w:r>
        <w:rPr>
          <w:rFonts w:ascii="Times New Roman" w:hAnsi="Times New Roman" w:eastAsia="宋体"/>
          <w:b w:val="0"/>
          <w:sz w:val="21"/>
        </w:rPr>
        <w:t>[120] 耿明阳, 谢雁翔, 金振, 等. 市场准入负面清单与企业全要素生产率——基于全国统一大市场建设的情境分析[J]. 上海财经大学学报, 2023, 25(4): 3-17.</w:t>
      </w:r>
    </w:p>
    <w:p>
      <w:pPr>
        <w:spacing w:line="312" w:lineRule="auto" w:after="40"/>
        <w:ind w:left="510" w:hanging="510"/>
      </w:pPr>
      <w:r>
        <w:rPr>
          <w:rFonts w:ascii="Times New Roman" w:hAnsi="Times New Roman" w:eastAsia="宋体"/>
          <w:b w:val="0"/>
          <w:sz w:val="21"/>
        </w:rPr>
        <w:t>[121] 白俊, 袁勋, 乔君. 放松市场准入管制与企业跨地区投资——基于负面清单制度试点的准自然实验[J]. 财经研究, 2024, 50(4): 64-78.</w:t>
      </w:r>
    </w:p>
    <w:p>
      <w:pPr>
        <w:spacing w:line="312" w:lineRule="auto" w:after="40"/>
        <w:ind w:left="510" w:hanging="510"/>
      </w:pPr>
      <w:r>
        <w:rPr>
          <w:rFonts w:ascii="Times New Roman" w:hAnsi="Times New Roman" w:eastAsia="宋体"/>
          <w:b w:val="0"/>
          <w:sz w:val="21"/>
        </w:rPr>
        <w:t>[122] 王浩旸, 黄漫宇, 杨露. 全国统一大市场建设如何影响企业产能利用率[J]. 中国农村经济, 2025(7): 104-124.</w:t>
      </w:r>
    </w:p>
    <w:p>
      <w:pPr>
        <w:spacing w:line="312" w:lineRule="auto" w:after="40"/>
        <w:ind w:left="510" w:hanging="510"/>
      </w:pPr>
      <w:r>
        <w:rPr>
          <w:rFonts w:ascii="Times New Roman" w:hAnsi="Times New Roman" w:eastAsia="宋体"/>
          <w:b w:val="0"/>
          <w:sz w:val="21"/>
        </w:rPr>
        <w:t>[123] 刘长庚, 姜凌, 张磊, 等. 构建全国统一大市场何以提升劳动收入份额——基于行政垄断视角的准自然实验研究[J]. 上海财经大学学报, 2024, 26(1): 3-17.</w:t>
      </w:r>
    </w:p>
    <w:p>
      <w:pPr>
        <w:spacing w:line="312" w:lineRule="auto" w:after="40"/>
        <w:ind w:left="510" w:hanging="510"/>
      </w:pPr>
      <w:r>
        <w:rPr>
          <w:rFonts w:ascii="Times New Roman" w:hAnsi="Times New Roman" w:eastAsia="宋体"/>
          <w:b w:val="0"/>
          <w:sz w:val="21"/>
        </w:rPr>
        <w:t>[124] 林晨, 李宇潇. 全国统一大市场与地方产业政策竞争[J]. 经济研究, 2024(12): 40-57.</w:t>
      </w:r>
    </w:p>
    <w:p>
      <w:pPr>
        <w:spacing w:line="312" w:lineRule="auto" w:after="40"/>
        <w:ind w:left="510" w:hanging="510"/>
      </w:pPr>
      <w:r>
        <w:rPr>
          <w:rFonts w:ascii="Times New Roman" w:hAnsi="Times New Roman" w:eastAsia="宋体"/>
          <w:b w:val="0"/>
          <w:sz w:val="21"/>
        </w:rPr>
        <w:t>[125] 苏振东, 宫硕. 全国统一大市场建设与中国企业“内外双链”地位提升——基于国内供应链调节的新视角[J]. 财经研究, 2025, 51(2): 4-18.</w:t>
      </w:r>
    </w:p>
    <w:p>
      <w:pPr>
        <w:spacing w:line="312" w:lineRule="auto" w:after="40"/>
        <w:ind w:left="510" w:hanging="510"/>
      </w:pPr>
      <w:r>
        <w:rPr>
          <w:rFonts w:ascii="Times New Roman" w:hAnsi="Times New Roman" w:eastAsia="宋体"/>
          <w:b w:val="0"/>
          <w:sz w:val="21"/>
        </w:rPr>
        <w:t>[126] 考秀梅, 谢申祥. 制度型开放的市场整合效应——基于市场准入负面清单试点的准自然实验[J]. 财经研究, 2025, 51(1): 19-32.</w:t>
      </w:r>
    </w:p>
    <w:p>
      <w:pPr>
        <w:spacing w:line="312" w:lineRule="auto" w:after="40"/>
        <w:ind w:left="510" w:hanging="510"/>
      </w:pPr>
      <w:r>
        <w:rPr>
          <w:rFonts w:ascii="Times New Roman" w:hAnsi="Times New Roman" w:eastAsia="宋体"/>
          <w:b w:val="0"/>
          <w:sz w:val="21"/>
        </w:rPr>
        <w:t>[127] 马草原, 李宇淼, 孙思洋. 农民工“跨地区”流动性变化及产出效应分析[J]. 中国工业经济, 2023(9): 23-41.</w:t>
      </w:r>
    </w:p>
    <w:p>
      <w:pPr>
        <w:spacing w:line="312" w:lineRule="auto" w:after="40"/>
        <w:ind w:left="510" w:hanging="510"/>
      </w:pPr>
      <w:r>
        <w:rPr>
          <w:rFonts w:ascii="Times New Roman" w:hAnsi="Times New Roman" w:eastAsia="宋体"/>
          <w:b w:val="0"/>
          <w:sz w:val="21"/>
        </w:rPr>
        <w:t>[128] 赵仁杰, 张家凯. 地方司法体制改革与企业投资——来自地方法院人财物省级统管的证据[J]. 经济学(季刊), 2022, 22(2): 505-526.</w:t>
      </w:r>
    </w:p>
    <w:p>
      <w:pPr>
        <w:spacing w:line="312" w:lineRule="auto" w:after="40"/>
        <w:ind w:left="510" w:hanging="510"/>
      </w:pPr>
      <w:r>
        <w:rPr>
          <w:rFonts w:ascii="Times New Roman" w:hAnsi="Times New Roman" w:eastAsia="宋体"/>
          <w:b w:val="0"/>
          <w:sz w:val="21"/>
        </w:rPr>
        <w:t>[129] 丁海, 钱雪松, 朱文博. 地方法院人财物省级统管改革与企业破产[J]. 经济学(季刊), 2024, 24(6): 1851-1866.</w:t>
      </w:r>
    </w:p>
    <w:p>
      <w:pPr>
        <w:spacing w:line="312" w:lineRule="auto" w:after="40"/>
        <w:ind w:left="510" w:hanging="510"/>
      </w:pPr>
      <w:r>
        <w:rPr>
          <w:rFonts w:ascii="Times New Roman" w:hAnsi="Times New Roman" w:eastAsia="宋体"/>
          <w:b w:val="0"/>
          <w:sz w:val="21"/>
        </w:rPr>
        <w:t>[130] 王钟阳, 唐松. 司法程序效能提升与供应链配置: “繁简分流”改革的证据[J]. 世界经济, 2024, 47(9): 122-151.</w:t>
      </w:r>
    </w:p>
    <w:p>
      <w:pPr>
        <w:spacing w:line="312" w:lineRule="auto" w:after="40"/>
        <w:ind w:left="510" w:hanging="510"/>
      </w:pPr>
      <w:r>
        <w:rPr>
          <w:rFonts w:ascii="Times New Roman" w:hAnsi="Times New Roman" w:eastAsia="宋体"/>
          <w:b w:val="0"/>
          <w:sz w:val="21"/>
        </w:rPr>
        <w:t>[131] 葛晶, 刘瑞明. 制度环境、人力资本配置与生产性服务业发展[J]. 山东大学学报(哲学社会科学版), 2026(1): 214-224.</w:t>
      </w:r>
    </w:p>
    <w:p>
      <w:pPr>
        <w:spacing w:line="312" w:lineRule="auto" w:after="40"/>
        <w:ind w:left="510" w:hanging="510"/>
      </w:pPr>
      <w:r>
        <w:rPr>
          <w:rFonts w:ascii="Times New Roman" w:hAnsi="Times New Roman" w:eastAsia="宋体"/>
          <w:b w:val="0"/>
          <w:sz w:val="21"/>
        </w:rPr>
        <w:t>[132] 蔡昉, 王美艳. 如何解除人口老龄化对消费需求的束缚[J]. 财贸经济, 2021, 42(5): 5-13.</w:t>
      </w:r>
    </w:p>
    <w:p>
      <w:pPr>
        <w:spacing w:line="312" w:lineRule="auto" w:after="40"/>
        <w:ind w:left="510" w:hanging="510"/>
      </w:pPr>
      <w:r>
        <w:rPr>
          <w:rFonts w:ascii="Times New Roman" w:hAnsi="Times New Roman" w:eastAsia="宋体"/>
          <w:b w:val="0"/>
          <w:sz w:val="21"/>
        </w:rPr>
        <w:t>[133] 江小涓, 孟丽君. 内循环为主、外循环赋能与更高水平双循环: 国际经验与中国实践[J]. 管理世界, 2021, 37(1): 1-19.</w:t>
      </w:r>
    </w:p>
    <w:p>
      <w:pPr>
        <w:spacing w:line="312" w:lineRule="auto" w:after="40"/>
        <w:ind w:left="510" w:hanging="510"/>
      </w:pPr>
      <w:r>
        <w:rPr>
          <w:rFonts w:ascii="Times New Roman" w:hAnsi="Times New Roman" w:eastAsia="宋体"/>
          <w:b w:val="0"/>
          <w:sz w:val="21"/>
        </w:rPr>
        <w:t>[134] 郭克莎, 田潇潇. 加快构建新发展格局与制造业转型升级路径[J]. 中国工业经济, 2021(11): 44-58.</w:t>
      </w:r>
    </w:p>
    <w:p>
      <w:pPr>
        <w:spacing w:line="312" w:lineRule="auto" w:after="40"/>
        <w:ind w:left="510" w:hanging="510"/>
      </w:pPr>
      <w:r>
        <w:rPr>
          <w:rFonts w:ascii="Times New Roman" w:hAnsi="Times New Roman" w:eastAsia="宋体"/>
          <w:b w:val="0"/>
          <w:sz w:val="21"/>
        </w:rPr>
        <w:t>[135] LIN J Y, WANG X. Dual circulation: a new structural economics view of development[J]. Journal of Chinese Economic and Business Studies, 2022, 20(4): 303-322.</w:t>
      </w:r>
    </w:p>
    <w:p>
      <w:pPr>
        <w:spacing w:line="312" w:lineRule="auto" w:after="40"/>
        <w:ind w:left="510" w:hanging="510"/>
      </w:pPr>
      <w:r>
        <w:rPr>
          <w:rFonts w:ascii="Times New Roman" w:hAnsi="Times New Roman" w:eastAsia="宋体"/>
          <w:b w:val="0"/>
          <w:sz w:val="21"/>
        </w:rPr>
        <w:t>[136] 洪俊杰, 刘晓宇. 畅通国内大循环是否推进了共同富裕?——来自中国家庭微观调查的经验证据[J]. 财经研究, 2025, 51(3): 35-49.</w:t>
      </w:r>
    </w:p>
    <w:p>
      <w:pPr>
        <w:spacing w:line="312" w:lineRule="auto" w:after="40"/>
        <w:ind w:left="510" w:hanging="510"/>
      </w:pPr>
      <w:r>
        <w:rPr>
          <w:rFonts w:ascii="Times New Roman" w:hAnsi="Times New Roman" w:eastAsia="宋体"/>
          <w:b w:val="0"/>
          <w:sz w:val="21"/>
        </w:rPr>
        <w:t>[137] 洪银兴. 新质生产力及其培育和发展[J]. 经济学动态, 2024(1): 3-11.</w:t>
      </w:r>
    </w:p>
    <w:p>
      <w:pPr>
        <w:spacing w:line="312" w:lineRule="auto" w:after="40"/>
        <w:ind w:left="510" w:hanging="510"/>
      </w:pPr>
      <w:r>
        <w:rPr>
          <w:rFonts w:ascii="Times New Roman" w:hAnsi="Times New Roman" w:eastAsia="宋体"/>
          <w:b w:val="0"/>
          <w:sz w:val="21"/>
        </w:rPr>
        <w:t>[138] 习近平. 加快构建新发展格局 把握未来发展主动权[J]. 求是, 2023(8): 4-9.</w:t>
      </w:r>
    </w:p>
    <w:p>
      <w:pPr>
        <w:spacing w:line="312" w:lineRule="auto" w:after="40"/>
        <w:ind w:left="510" w:hanging="510"/>
      </w:pPr>
      <w:r>
        <w:rPr>
          <w:rFonts w:ascii="Times New Roman" w:hAnsi="Times New Roman" w:eastAsia="宋体"/>
          <w:b w:val="0"/>
          <w:sz w:val="21"/>
        </w:rPr>
        <w:t>[139] 习近平. 发展新质生产力是推动高质量发展的内在要求和重要着力点[J]. 求是, 2024(11): 4-8.</w:t>
      </w:r>
    </w:p>
    <w:p>
      <w:pPr>
        <w:spacing w:line="312" w:lineRule="auto" w:after="40"/>
        <w:ind w:left="510" w:hanging="510"/>
      </w:pPr>
      <w:r>
        <w:rPr>
          <w:rFonts w:ascii="Times New Roman" w:hAnsi="Times New Roman" w:eastAsia="宋体"/>
          <w:b w:val="0"/>
          <w:sz w:val="21"/>
        </w:rPr>
        <w:t>[140] 周文, 许凌云. 论新质生产力: 内涵特征与重要着力点[J]. 改革, 2023(10): 1-13.</w:t>
      </w:r>
    </w:p>
    <w:p>
      <w:pPr>
        <w:spacing w:line="312" w:lineRule="auto" w:after="40"/>
        <w:ind w:left="510" w:hanging="510"/>
      </w:pPr>
      <w:r>
        <w:rPr>
          <w:rFonts w:ascii="Times New Roman" w:hAnsi="Times New Roman" w:eastAsia="宋体"/>
          <w:b w:val="0"/>
          <w:sz w:val="21"/>
        </w:rPr>
        <w:t>[141] 黄群慧, 盛方富. 新质生产力系统: 要素特质、结构承载与功能取向[J]. 改革, 2024(2): 15-24.</w:t>
      </w:r>
    </w:p>
    <w:p>
      <w:pPr>
        <w:spacing w:line="312" w:lineRule="auto" w:after="40"/>
        <w:ind w:left="510" w:hanging="510"/>
      </w:pPr>
      <w:r>
        <w:rPr>
          <w:rFonts w:ascii="Times New Roman" w:hAnsi="Times New Roman" w:eastAsia="宋体"/>
          <w:b w:val="0"/>
          <w:sz w:val="21"/>
        </w:rPr>
        <w:t>[142] 张林, 蒲清平. 新质生产力的内涵特征、理论创新与价值意蕴[J]. 重庆大学学报(社会科学版), 2023, 29(6): 137-148.</w:t>
      </w:r>
    </w:p>
    <w:p>
      <w:pPr>
        <w:spacing w:line="312" w:lineRule="auto" w:after="40"/>
        <w:ind w:left="510" w:hanging="510"/>
      </w:pPr>
      <w:r>
        <w:rPr>
          <w:rFonts w:ascii="Times New Roman" w:hAnsi="Times New Roman" w:eastAsia="宋体"/>
          <w:b w:val="0"/>
          <w:sz w:val="21"/>
        </w:rPr>
        <w:t>[143] 赵峰, 季雷. 新质生产力的科学内涵、构成要素和制度保障机制[J]. 学习与探索, 2024(1): 92-101+175.</w:t>
      </w:r>
    </w:p>
    <w:p>
      <w:pPr>
        <w:spacing w:line="312" w:lineRule="auto" w:after="40"/>
        <w:ind w:left="510" w:hanging="510"/>
      </w:pPr>
      <w:r>
        <w:rPr>
          <w:rFonts w:ascii="Times New Roman" w:hAnsi="Times New Roman" w:eastAsia="宋体"/>
          <w:b w:val="0"/>
          <w:sz w:val="21"/>
        </w:rPr>
        <w:t>[144] 王哲琦, 杨兰品. 以营商环境再升级促进新质生产力发展的理论逻辑与实现路径[J]. 山东大学学报(哲学社会科学版), 2025(4): 14-23.</w:t>
      </w:r>
    </w:p>
    <w:p>
      <w:pPr>
        <w:spacing w:line="312" w:lineRule="auto" w:after="40"/>
        <w:ind w:left="510" w:hanging="510"/>
      </w:pPr>
      <w:r>
        <w:rPr>
          <w:rFonts w:ascii="Times New Roman" w:hAnsi="Times New Roman" w:eastAsia="宋体"/>
          <w:b w:val="0"/>
          <w:sz w:val="21"/>
        </w:rPr>
        <w:t>[145] 郑江淮, 周南. 数据要素驱动、数字化转型与新发展格局[J]. 山东大学学报(哲学社会科学版), 2023(6): 93-105.</w:t>
      </w:r>
    </w:p>
    <w:p>
      <w:pPr>
        <w:spacing w:line="312" w:lineRule="auto" w:after="40"/>
        <w:ind w:left="510" w:hanging="510"/>
      </w:pPr>
      <w:r>
        <w:rPr>
          <w:rFonts w:ascii="Times New Roman" w:hAnsi="Times New Roman" w:eastAsia="宋体"/>
          <w:b w:val="0"/>
          <w:sz w:val="21"/>
        </w:rPr>
        <w:t>[146] 许光建, 薛天航, 刘培林. 数字化建设与服务贸易——基于中国省级面板数据的研究[J]. 山东大学学报(哲学社会科学版), 2024(3): 105-115.</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