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36"/>
        </w:rPr>
        <w:t>全国统一大市场建设与要素配置效率</w:t>
      </w:r>
    </w:p>
    <w:p>
      <w:pPr>
        <w:jc w:val="center"/>
      </w:pPr>
      <w:r>
        <w:rPr>
          <w:rFonts w:ascii="黑体" w:hAnsi="黑体" w:eastAsia="黑体"/>
          <w:sz w:val="32"/>
        </w:rPr>
        <w:t>——理论建构、测度体系与改革路径</w:t>
      </w:r>
    </w:p>
    <w:p/>
    <w:p/>
    <w:p/>
    <w:p/>
    <w:p/>
    <w:p/>
    <w:p>
      <w:pPr>
        <w:jc w:val="center"/>
      </w:pPr>
      <w:r>
        <w:rPr>
          <w:rFonts w:ascii="宋体" w:hAnsi="宋体" w:eastAsia="宋体"/>
          <w:sz w:val="28"/>
        </w:rPr>
        <w:t>蔡鑫宇  著</w:t>
      </w:r>
    </w:p>
    <w:p>
      <w:r>
        <w:br w:type="page"/>
      </w:r>
    </w:p>
    <w:p>
      <w:pPr>
        <w:keepNext/>
        <w:spacing w:before="240" w:after="160" w:line="360" w:lineRule="auto"/>
        <w:jc w:val="center"/>
      </w:pPr>
      <w:r>
        <w:rPr>
          <w:rFonts w:ascii="黑体" w:hAnsi="黑体" w:eastAsia="黑体"/>
          <w:b/>
          <w:sz w:val="30"/>
        </w:rPr>
        <w:t>前  言</w:t>
      </w:r>
    </w:p>
    <w:p>
      <w:pPr>
        <w:spacing w:line="360" w:lineRule="auto" w:after="0"/>
        <w:ind w:firstLineChars="200" w:firstLine="480"/>
        <w:jc w:val="both"/>
      </w:pPr>
      <w:r>
        <w:rPr>
          <w:rFonts w:ascii="宋体" w:hAnsi="宋体" w:eastAsia="宋体"/>
          <w:sz w:val="24"/>
        </w:rPr>
        <w:t>市场是配置资源最有效率的方式，而统一开放、竞争有序的市场体系，则是市场机制充分发挥作用的制度前提。对于幅员辽阔、人口众多、发展不平衡的中国而言，能否把14亿多人口的超大规模市场真正"统"起来、让商品和要素在全国范围内顺畅流动、高效配置，不仅关系到市场机制的效率，更关系到国家发展战略的成败。正因如此，加快建设全国统一大市场，被置于构建高水平社会主义市场经济体制、构建新发展格局、推进中国式现代化的基础性地位。</w:t>
      </w:r>
    </w:p>
    <w:p>
      <w:pPr>
        <w:spacing w:line="360" w:lineRule="auto" w:after="0"/>
        <w:ind w:firstLineChars="200" w:firstLine="480"/>
        <w:jc w:val="both"/>
      </w:pPr>
      <w:r>
        <w:rPr>
          <w:rFonts w:ascii="宋体" w:hAnsi="宋体" w:eastAsia="宋体"/>
          <w:sz w:val="24"/>
        </w:rPr>
        <w:t>然而，长期以来，地方保护和市场分割如同横亘在全国大市场中的一道道"看不见的墙"，割裂着市场、扭曲着要素、侵蚀着效率。尤其是劳动力、资本、土地、技术与数据等要素市场的行政性分割，使大量资源无法从低效率的地区和部门流向高效率的地区和部门，造成了大范围、系统性的资源错配。破除这些壁垒、建设全国统一大市场，既是一场深刻的利益格局调整，也是一项复杂的系统工程，亟需扎实的理论研究提供学理支撑和政策指引。</w:t>
      </w:r>
    </w:p>
    <w:p>
      <w:pPr>
        <w:spacing w:line="360" w:lineRule="auto" w:after="0"/>
        <w:ind w:firstLineChars="200" w:firstLine="480"/>
        <w:jc w:val="both"/>
      </w:pPr>
      <w:r>
        <w:rPr>
          <w:rFonts w:ascii="宋体" w:hAnsi="宋体" w:eastAsia="宋体"/>
          <w:sz w:val="24"/>
        </w:rPr>
        <w:t>本书正是围绕"全国统一大市场建设如何影响要素配置效率"这一国家关切、现实迫切的重大问题展开的。全书力求做到"顶天立地"：一方面，从中国统一大市场建设的鲜活实践中提炼新概念、构建本土化理论并进行严格的数理刻画与实证检验，努力在学理上有所贡献；另一方面，紧扣破除地方保护、深化要素市场化改革等现实难点，力求为加快建设全国统一大市场、提升要素配置效率提供有价值的政策参考。</w:t>
      </w:r>
    </w:p>
    <w:p>
      <w:pPr>
        <w:spacing w:line="360" w:lineRule="auto" w:after="0"/>
        <w:ind w:firstLineChars="200" w:firstLine="480"/>
        <w:jc w:val="both"/>
      </w:pPr>
      <w:r>
        <w:rPr>
          <w:rFonts w:ascii="宋体" w:hAnsi="宋体" w:eastAsia="宋体"/>
          <w:sz w:val="24"/>
        </w:rPr>
        <w:t>本书的写作，得益于市场分割、资源错配、要素市场化等领域众多学者的开创性研究，也得益于党的十八大以来全国统一大市场建设的丰富实践。囿于作者水平与数据条件，书中难免存在疏漏与不足，恳请学界同仁和读者批评指正。谨以此书，为加快建设全国统一大市场、以高水平社会主义市场经济体制服务中国式现代化，贡献一份微薄的力量。</w:t>
      </w:r>
    </w:p>
    <w:p>
      <w:pPr>
        <w:spacing w:line="360" w:lineRule="auto" w:after="0"/>
        <w:jc w:val="right"/>
      </w:pPr>
      <w:r>
        <w:rPr>
          <w:rFonts w:ascii="宋体" w:hAnsi="宋体" w:eastAsia="宋体"/>
          <w:sz w:val="24"/>
        </w:rPr>
        <w:t>蔡鑫宇</w:t>
      </w:r>
    </w:p>
    <w:p>
      <w:pPr>
        <w:spacing w:line="360" w:lineRule="auto" w:after="0"/>
        <w:jc w:val="right"/>
      </w:pPr>
      <w:r>
        <w:rPr>
          <w:rFonts w:ascii="宋体" w:hAnsi="宋体" w:eastAsia="宋体"/>
          <w:sz w:val="24"/>
        </w:rPr>
        <w:t>二〇二六年</w:t>
      </w:r>
    </w:p>
    <w:p>
      <w:r>
        <w:br w:type="page"/>
      </w:r>
    </w:p>
    <w:p>
      <w:pPr>
        <w:keepNext/>
        <w:spacing w:before="240" w:after="160" w:line="360" w:lineRule="auto"/>
        <w:jc w:val="center"/>
      </w:pPr>
      <w:r>
        <w:rPr>
          <w:rFonts w:ascii="黑体" w:hAnsi="黑体" w:eastAsia="黑体"/>
          <w:b/>
          <w:sz w:val="30"/>
        </w:rPr>
        <w:t>内容摘要</w:t>
      </w:r>
    </w:p>
    <w:p>
      <w:pPr>
        <w:spacing w:line="360" w:lineRule="auto" w:after="0"/>
        <w:ind w:firstLineChars="200" w:firstLine="480"/>
        <w:jc w:val="both"/>
      </w:pPr>
      <w:r>
        <w:rPr>
          <w:rFonts w:ascii="宋体" w:hAnsi="宋体" w:eastAsia="宋体"/>
          <w:sz w:val="24"/>
        </w:rPr>
        <w:t>建设全国统一大市场，是构建高水平社会主义市场经济体制、畅通国内大循环、推进中国式现代化的基础性工程。长期以来，在财政分权和以经济增长为核心的地方官员激励机制驱动下形成的地方保护与市场分割，不仅割裂了超大规模市场的规模优势，更通过扭曲要素价格信号造成了大范围、系统性的资源错配与全要素生产率损失。本书聚焦"全国统一大市场建设如何影响要素配置效率"这一国家关切的重大现实问题，力求在理论建构、测度体系与改革路径三个层面作出贡献。</w:t>
      </w:r>
    </w:p>
    <w:p>
      <w:pPr>
        <w:spacing w:line="360" w:lineRule="auto" w:after="0"/>
        <w:ind w:firstLineChars="200" w:firstLine="480"/>
        <w:jc w:val="both"/>
      </w:pPr>
      <w:r>
        <w:rPr>
          <w:rFonts w:ascii="宋体" w:hAnsi="宋体" w:eastAsia="宋体"/>
          <w:sz w:val="24"/>
        </w:rPr>
        <w:t>在理论层面，本书提出"要素市场的行政性分割"与"制度性配置楔子"两个核心概念，将劳动力、资本、土地、技术与数据等要素市场因行政边界产生的制度性流动壁垒纳入统一分析框架；构建了一个包含商品市场冰山成本与要素市场行政性壁垒的多地区—多部门空间一般均衡模型，通过数理推导得到三条核心命题：总量全要素生产率是市场分割离散度的减函数（分割—错配—效率命题），商品市场整合与要素市场整合具有互补性（整合互补性命题），建设的边际效率红利随初始分割程度递增（红利递增命题）。</w:t>
      </w:r>
    </w:p>
    <w:p>
      <w:pPr>
        <w:spacing w:line="360" w:lineRule="auto" w:after="0"/>
        <w:ind w:firstLineChars="200" w:firstLine="480"/>
        <w:jc w:val="both"/>
      </w:pPr>
      <w:r>
        <w:rPr>
          <w:rFonts w:ascii="宋体" w:hAnsi="宋体" w:eastAsia="宋体"/>
          <w:sz w:val="24"/>
        </w:rPr>
        <w:t>在测度层面，本书构建了涵盖商品、劳动力、资本、土地、技术与数据、制度环境六个维度的"全国统一大市场建设指数"（NUMI），刻画了2006—2023年中国31个省份的时空演变。研究发现，全国 NUMI 均值由0.373升至0.745，与相对价格法测度的市场分割指数下降形成镜像；建设水平呈"东部领先、中西部追赶"的收敛格局；分维度上"商品市场与制度环境领先、要素市场滞后"，要素市场的行政性分割是主要短板。要素错配造成的全要素生产率损失由2006年的约41%降至2023年的约25%，但仍有可观的"错配红利"待释放。</w:t>
      </w:r>
    </w:p>
    <w:p>
      <w:pPr>
        <w:spacing w:line="360" w:lineRule="auto" w:after="0"/>
        <w:ind w:firstLineChars="200" w:firstLine="480"/>
        <w:jc w:val="both"/>
      </w:pPr>
      <w:r>
        <w:rPr>
          <w:rFonts w:ascii="宋体" w:hAnsi="宋体" w:eastAsia="宋体"/>
          <w:sz w:val="24"/>
        </w:rPr>
        <w:t>在实证层面，本书综合运用双向固定效应模型、工具变量法（以地形起伏度与时间趋势的交互为工具）和以2022年《意见》为冲击的多期双重差分法，系统识别了统一大市场建设影响要素配置效率的因果效应、作用机制与异质性。研究发现：统一大市场建设水平的提高显著提升了要素配置效率，基准估计稳健；其作用通过增强要素跨区流动、强化竞争淘汰、激励创新与深化专业化四条机制实现；效应在初始市场分割程度较高、经济相对落后的中西部地区更为突出，支持了"红利递增命题"；统一大市场建设还显著提升了全要素生产率与创新水平、促进了地区间的收敛与协调发展。</w:t>
      </w:r>
    </w:p>
    <w:p>
      <w:pPr>
        <w:spacing w:line="360" w:lineRule="auto" w:after="0"/>
        <w:ind w:firstLineChars="200" w:firstLine="480"/>
        <w:jc w:val="both"/>
      </w:pPr>
      <w:r>
        <w:rPr>
          <w:rFonts w:ascii="宋体" w:hAnsi="宋体" w:eastAsia="宋体"/>
          <w:sz w:val="24"/>
        </w:rPr>
        <w:t>基于上述发现，本书从破除地方保护与市场分割、深化要素市场化改革、统一市场基础制度规则、推进市场设施高标准联通、健全激励相容机制五个方面，提出了加快建设全国统一大市场、提升要素配置效率的系统性政策建议，力求兼顾顶层设计与地方积极性，为破解"统一"与"竞争"的现实张力、以统一大市场建设服务中国式现代化提供决策参考。</w:t>
      </w:r>
    </w:p>
    <w:p>
      <w:pPr>
        <w:spacing w:line="360" w:lineRule="auto" w:after="0"/>
        <w:jc w:val="both"/>
      </w:pPr>
      <w:r>
        <w:rPr>
          <w:rFonts w:ascii="宋体" w:hAnsi="宋体" w:eastAsia="宋体"/>
          <w:b/>
          <w:sz w:val="24"/>
        </w:rPr>
        <w:t>关键词：</w:t>
      </w:r>
      <w:r>
        <w:rPr>
          <w:rFonts w:ascii="宋体" w:hAnsi="宋体" w:eastAsia="宋体"/>
          <w:sz w:val="24"/>
        </w:rPr>
        <w:t>全国统一大市场；要素配置效率；市场分割；资源错配；全要素生产率；要素市场化改革</w:t>
      </w:r>
    </w:p>
    <w:p>
      <w:r>
        <w:br w:type="page"/>
      </w:r>
    </w:p>
    <w:p>
      <w:pPr>
        <w:keepNext/>
        <w:spacing w:before="240" w:after="160" w:line="360" w:lineRule="auto"/>
        <w:jc w:val="center"/>
      </w:pPr>
      <w:r>
        <w:rPr>
          <w:rFonts w:ascii="黑体" w:hAnsi="黑体" w:eastAsia="黑体"/>
          <w:b/>
          <w:sz w:val="30"/>
        </w:rPr>
        <w:t>第1章  导论</w:t>
      </w:r>
    </w:p>
    <w:p>
      <w:pPr>
        <w:keepNext/>
        <w:spacing w:before="160" w:after="120" w:line="360" w:lineRule="auto"/>
      </w:pPr>
      <w:r>
        <w:rPr>
          <w:rFonts w:ascii="黑体" w:hAnsi="黑体" w:eastAsia="黑体"/>
          <w:sz w:val="28"/>
        </w:rPr>
        <w:t>1.1  研究背景与问题提出</w:t>
      </w:r>
    </w:p>
    <w:p>
      <w:pPr>
        <w:spacing w:line="360" w:lineRule="auto" w:after="0"/>
        <w:ind w:firstLineChars="200" w:firstLine="480"/>
        <w:jc w:val="both"/>
      </w:pPr>
      <w:r>
        <w:rPr>
          <w:rFonts w:ascii="宋体" w:hAnsi="宋体" w:eastAsia="宋体"/>
          <w:sz w:val="24"/>
        </w:rPr>
        <w:t>建设全国统一大市场，是构建高水平社会主义市场经济体制的基础性工程，也是畅通国内大循环、构建新发展格局、推进中国式现代化的内在要求。2022年4月，《意见》，2022正式发布，明确提出要"加快建设高效规范、公平竞争、充分开放的全国统一大市场，全面推动我国市场由大到强转变"，并系统部署了强化市场基础制度规则统一、推进市场设施高标准联通、打造统一的要素和资源市场、推进商品和服务市场高水平统一、推进市场监管公平统一等重点任务。2024年7月，党的二十届三中全会进一步将"构建全国统一大市场"列为完善社会主义市场经济体制的重大改革举措，强调"规范地方招商引资法规制度，严禁违法违规给予政策优惠行为"（二十届三中全会《决定》，2024）。2025年初，《建设指引》，2025以"应当做、不得做、鼓励做"三类清单的形式，将统一大市场建设从原则要求推向可操作、可考核的实施阶段。一个覆盖14亿多人口、超大规模的统一市场，正在成为中国参与国际竞争、塑造新竞争优势的战略性资源。</w:t>
      </w:r>
    </w:p>
    <w:p>
      <w:pPr>
        <w:keepNext/>
        <w:spacing w:before="160" w:after="120" w:line="360" w:lineRule="auto"/>
      </w:pPr>
      <w:r>
        <w:rPr>
          <w:rFonts w:ascii="黑体" w:hAnsi="黑体" w:eastAsia="黑体"/>
          <w:sz w:val="24"/>
        </w:rPr>
        <w:t>1.1.1  从高速增长阶段转向高质量发展阶段：新发展格局的战略召唤</w:t>
      </w:r>
    </w:p>
    <w:p>
      <w:pPr>
        <w:spacing w:line="360" w:lineRule="auto" w:after="0"/>
        <w:ind w:firstLineChars="200" w:firstLine="480"/>
        <w:jc w:val="both"/>
      </w:pPr>
      <w:r>
        <w:rPr>
          <w:rFonts w:ascii="宋体" w:hAnsi="宋体" w:eastAsia="宋体"/>
          <w:sz w:val="24"/>
        </w:rPr>
        <w:t>党的十八大以来，中国经济发展的阶段性特征发生深刻变化，已由高速增长阶段转向高质量发展阶段。从总量看，国内生产总值由2012年的51.93万亿元增长到2024年的134.9万亿元，稳居世界第二大经济体，经济实力、科技实力、综合国力跃上新台阶；但从增速看，经济增长中枢由2012年的7.8%回落至2024年的5.0%左右，"增速换挡"成为新常态。与此同时，支撑高速增长的传统条件正在发生趋势性改变：劳动年龄人口达峰后逐步回落，人口红利加快消退，资本深化的边际报酬递减，土地、能源与生态环境约束不断趋紧。在这一背景下，单纯依靠要素规模扩张驱动增长的模式已难以为继，通过优化资源配置、提高全要素生产率培育增长新动能，成为跨越关口、实现高质量发展的必由之路（蔡昉，2021）。</w:t>
      </w:r>
    </w:p>
    <w:p>
      <w:pPr>
        <w:spacing w:line="360" w:lineRule="auto" w:after="0"/>
        <w:ind w:firstLineChars="200" w:firstLine="480"/>
        <w:jc w:val="both"/>
      </w:pPr>
      <w:r>
        <w:rPr>
          <w:rFonts w:ascii="宋体" w:hAnsi="宋体" w:eastAsia="宋体"/>
          <w:sz w:val="24"/>
        </w:rPr>
        <w:t>在高质量发展阶段，超大规模市场是中国最为独特而突出的比较优势。中国拥有14亿多人口、4亿以上并持续扩大的中等收入群体，2024年底经营主体总量达到1.89亿户（其中企业6086.7万户），是全球最具成长性的统一市场。超大规模市场优势的经济学含义是双重的：在需求侧，它意味着广阔而多层次的市场空间，能够为规模经济、范围经济与创新试错提供足够纵深；在供给侧，它意味着可以在更大范围内深化分工、细化专业化，形成完整且富有韧性的产业链供应链体系。然而，市场规模优势能否转化为现实竞争力，关键取决于市场是否统一——如果市场被行政边界人为切割为相互分割的"小市场"，规模优势就会在分割中被消解（刘志彪和孔令池，2021）。正因如此，将超大规模市场优势转化为统一大市场优势，成为构建新发展格局、塑造国际竞争新优势的关键一环。</w:t>
      </w:r>
    </w:p>
    <w:p>
      <w:pPr>
        <w:spacing w:line="360" w:lineRule="auto" w:after="0"/>
        <w:ind w:firstLineChars="200" w:firstLine="480"/>
        <w:jc w:val="both"/>
      </w:pPr>
      <w:r>
        <w:rPr>
          <w:rFonts w:ascii="宋体" w:hAnsi="宋体" w:eastAsia="宋体"/>
          <w:sz w:val="24"/>
        </w:rPr>
        <w:t>从战略全局看，加快建设全国统一大市场是构建新发展格局的基础支撑。构建以国内大循环为主体、国内国际双循环相互促进的新发展格局，要求以统一大市场畅通生产、分配、流通、消费各环节，实现国民经济的良性循环。近年来，一系列结构性变化既凸显了统一大市场建设的紧迫性，也为其提供了现实条件：一是数字经济快速发展，2023年数字经济规模达到53.9万亿元，占国内生产总值比重升至42.8%，数字技术显著降低了跨区域交易的信息成本与匹配成本，为打破市场分割提供了新的技术手段；二是人口大规模流动，第七次全国人口普查显示全国流动人口达3.76亿，其中跨省流动1.25亿，客观上要求破除户籍等制度壁垒；三是城镇化持续推进，常住人口城镇化率由2012年的52.57%提高到2024年的67.00%，城乡、区域间要素流动日益频繁。把握这些趋势、顺势而为，正是统一大市场建设的时代要求。</w:t>
      </w:r>
    </w:p>
    <w:p>
      <w:pPr>
        <w:keepNext/>
        <w:spacing w:before="160" w:after="120" w:line="360" w:lineRule="auto"/>
      </w:pPr>
      <w:r>
        <w:rPr>
          <w:rFonts w:ascii="黑体" w:hAnsi="黑体" w:eastAsia="黑体"/>
          <w:sz w:val="24"/>
        </w:rPr>
        <w:t>1.1.2  要素市场化配置改革的深化：从商品市场统一走向要素市场统一</w:t>
      </w:r>
    </w:p>
    <w:p>
      <w:pPr>
        <w:spacing w:line="360" w:lineRule="auto" w:after="0"/>
        <w:ind w:firstLineChars="200" w:firstLine="480"/>
        <w:jc w:val="both"/>
      </w:pPr>
      <w:r>
        <w:rPr>
          <w:rFonts w:ascii="宋体" w:hAnsi="宋体" w:eastAsia="宋体"/>
          <w:sz w:val="24"/>
        </w:rPr>
        <w:t>建设全国统一大市场，本质上是市场化改革在更高层次、更广范围上的系统集成，其中要素市场化配置改革居于核心地位。2020年4月，《要素市场化配置意见》，2020发布，首次将数据与土地、劳动力、资本、技术并列为五大生产要素，明确提出健全要素由市场评价贡献、按贡献决定报酬的机制。这一改革指向一个长期存在的结构性问题：相较于商品和服务市场，中国要素市场的市场化程度明显滞后，要素价格形成与流动配置仍受到较多行政干预（王小鲁等，2021）。破除要素跨区域流动的体制机制障碍，让各类要素在更大范围内自由流动、优化组合，正是统一大市场建设最具含金量、也最为艰巨的任务。</w:t>
      </w:r>
    </w:p>
    <w:p>
      <w:pPr>
        <w:spacing w:line="360" w:lineRule="auto" w:after="0"/>
        <w:ind w:firstLineChars="200" w:firstLine="480"/>
        <w:jc w:val="both"/>
      </w:pPr>
      <w:r>
        <w:rPr>
          <w:rFonts w:ascii="宋体" w:hAnsi="宋体" w:eastAsia="宋体"/>
          <w:sz w:val="24"/>
        </w:rPr>
        <w:t>从演进历程看，中国的市场一体化呈现"商品市场先行、要素市场滞后"的非对称特征。就商品市场而言，随着统一开放的现代流通体系逐步建立，以相对价格法测度的商品市场分割程度长期趋于下降（桂琦寒等，2006；盛斌和毛其淋，2011）；本书测算的市场分割指数也由2006年的0.026降至2023年的0.016，商品市场一体化水平稳步提升。然而，要素市场的一体化进程要复杂和缓慢得多：户籍制度对劳动力自由迁徙的约束、金融资源配置的属地化倾向、建设用地指标的行政化分配以及数据要素跨区域流通的壁垒，使得要素市场分割更具刚性、更难破除。正是这种商品市场与要素市场整合程度的不对称，构成了本书聚焦"要素市场行政性分割"的现实起点。</w:t>
      </w:r>
    </w:p>
    <w:p>
      <w:pPr>
        <w:spacing w:line="360" w:lineRule="auto" w:after="0"/>
        <w:ind w:firstLineChars="200" w:firstLine="480"/>
        <w:jc w:val="both"/>
      </w:pPr>
      <w:r>
        <w:rPr>
          <w:rFonts w:ascii="宋体" w:hAnsi="宋体" w:eastAsia="宋体"/>
          <w:sz w:val="24"/>
        </w:rPr>
        <w:t>从制度演进看，破除市场分割、健全要素市场化配置的努力持续深化，形成了层层递进的政策序列。2020年，中央将数据纳入生产要素、系统部署要素市场化配置改革；2022年，"数据二十条"，2022进一步就数据产权、流通交易、收益分配等作出制度安排，2023年组建国家数据局，加快培育全国一体化数据要素市场；与此同时，全国统一大市场建设从2022年《意见》的原则部署，经二十届三中全会的改革定位，到《建设指引》的清单化落实，逐步由顶层设计走向操作实施。这一政策序列表明，统一大市场建设是一项持续推进、系统集成的长期工程，其重心正从商品市场加速拓展至要素市场，尤其是数据等新型要素市场。</w:t>
      </w:r>
    </w:p>
    <w:p>
      <w:pPr>
        <w:keepNext/>
        <w:spacing w:before="160" w:after="120" w:line="360" w:lineRule="auto"/>
      </w:pPr>
      <w:r>
        <w:rPr>
          <w:rFonts w:ascii="黑体" w:hAnsi="黑体" w:eastAsia="黑体"/>
          <w:sz w:val="24"/>
        </w:rPr>
        <w:t>1.1.3  地方保护与市场分割：现实表现、制度根源与经济危害</w:t>
      </w:r>
    </w:p>
    <w:p>
      <w:pPr>
        <w:spacing w:line="360" w:lineRule="auto" w:after="0"/>
        <w:ind w:firstLineChars="200" w:firstLine="480"/>
        <w:jc w:val="both"/>
      </w:pPr>
      <w:r>
        <w:rPr>
          <w:rFonts w:ascii="宋体" w:hAnsi="宋体" w:eastAsia="宋体"/>
          <w:sz w:val="24"/>
        </w:rPr>
        <w:t>然而，从"市场大"走向"市场强"、从"分割"走向"统一"，绝非一蹴而就。改革开放以来，在财政分权和以经济增长为核心的地方官员激励机制驱动下，地方政府具有强烈的动机通过行政手段保护本地市场、扶持本地企业，由此形成了广受关注的"诸侯经济"与国内市场分割现象（周黎安，2007；银温泉和才婉茹，2001）。这种分割不仅体现在商品市场上的地方保护、市场准入歧视，更深刻地体现在劳动力、资本、土地、技术与数据等要素市场上的行政性壁垒——户籍制度对劳动力自由流动的限制、金融资源配置的属地化倾向、建设用地指标的行政化分配、数据要素的地区"孤岛化"等，共同构成了要素跨区域高效配置的制度性摩擦（陆铭和陈钊，2009；Brandt等，2013）。</w:t>
      </w:r>
    </w:p>
    <w:p>
      <w:pPr>
        <w:spacing w:line="360" w:lineRule="auto" w:after="0"/>
        <w:ind w:firstLineChars="200" w:firstLine="480"/>
        <w:jc w:val="both"/>
      </w:pPr>
      <w:r>
        <w:rPr>
          <w:rFonts w:ascii="宋体" w:hAnsi="宋体" w:eastAsia="宋体"/>
          <w:sz w:val="24"/>
        </w:rPr>
        <w:t>从现实表现看，地方保护和市场分割形式多样、隐蔽性强。在商品市场，它表现为对外地商品设置歧视性的技术标准与检验检疫要求，在政府采购和招标投标中变相排斥外地经营者，以及通过财政补贴、税收返还扶持本地企业等；在要素市场，则表现为对外来劳动者的就业与公共服务歧视、信贷资源的本地化配置、土地要素向本地关联主体倾斜等。以汽车市场为例，Barwick等，2021发现地方政府对本地车企的保护显著扭曲了市场结构、抬高了消费者成本、降低了社会总福利。这些行为的深层根源在于"中国式分权"下的激励结构：财政分权赋予地方相对独立的经济利益，以增长为核心的政绩考核则强化了地方政府"为增长而竞争"的动机（周黎安，2007；傅勇和张晏，2007），二者叠加使地方政府倾向于以行政手段保护本地税基与就业，从而内生出市场分割。</w:t>
      </w:r>
    </w:p>
    <w:p>
      <w:pPr>
        <w:spacing w:line="360" w:lineRule="auto" w:after="0"/>
        <w:ind w:firstLineChars="200" w:firstLine="480"/>
        <w:jc w:val="both"/>
      </w:pPr>
      <w:r>
        <w:rPr>
          <w:rFonts w:ascii="宋体" w:hAnsi="宋体" w:eastAsia="宋体"/>
          <w:sz w:val="24"/>
        </w:rPr>
        <w:t>进一步分维度看，要素市场的行政性分割在不同要素上各具形态：在劳动力市场，户籍制度及其捆绑的教育、医疗、社保等公共服务差异，抬高了劳动力跨地区、跨城乡流动的隐性成本，抑制了人力资源的优化配置；在资本市场，金融资源配置存在明显的属地化倾向，地方融资平台与本地国有企业更易获得信贷，民营和外地企业则常受挤出；在土地市场，建设用地指标由行政层层分解、区域间难以有偿调剂，导致土地要素配置与人口、产业的空间流向相背离；在技术与数据市场，创新要素的跨区域流动仍面临体制壁垒，数据的"孤岛化""地方化"则制约了数据要素价值的充分释放。这些分割相互交织，共同抬高了要素跨区域配置的制度性成本，也使得统一大市场建设呈现出多维度、系统性推进的复杂性。</w:t>
      </w:r>
    </w:p>
    <w:p>
      <w:pPr>
        <w:spacing w:line="360" w:lineRule="auto" w:after="0"/>
        <w:ind w:firstLineChars="200" w:firstLine="480"/>
        <w:jc w:val="both"/>
      </w:pPr>
      <w:r>
        <w:rPr>
          <w:rFonts w:ascii="宋体" w:hAnsi="宋体" w:eastAsia="宋体"/>
          <w:sz w:val="24"/>
        </w:rPr>
        <w:t>市场分割的经济后果是深远的。一方面，它割裂了统一市场的规模优势，抑制了分工深化与规模经济的发挥，使超大规模市场难以转化为现实的竞争力；另一方面，更为关键的是，它扭曲了要素价格信号，阻碍了要素由低效率部门和地区流向高效率部门和地区，造成了大范围、系统性的资源错配与全要素生产率（TFP）损失（Hsieh和Klenow，2009；余泳泽等，2022）。Hsieh和Klenow，2009的经典研究表明，如果将中国制造业企业间的资源错配程度降低至美国的水平，中国制造业的全要素生产率可提升约30%~50%；这一"错配红利"的量级，足以构成中国经济在增速换挡、结构调整背景下最重要的效率来源之一。当前，中国经济正处在从高速增长转向高质量发展、新旧动能加快转换的关键阶段，在传统要素投入边际报酬递减、人口红利逐步消退的约束下，通过破除市场分割、优化要素配置来释放全要素生产率增长潜力，已成为一项紧迫而重大的现实课题。</w:t>
      </w:r>
    </w:p>
    <w:p>
      <w:pPr>
        <w:spacing w:line="360" w:lineRule="auto" w:after="0"/>
        <w:ind w:firstLineChars="200" w:firstLine="480"/>
        <w:jc w:val="both"/>
      </w:pPr>
      <w:r>
        <w:rPr>
          <w:rFonts w:ascii="宋体" w:hAnsi="宋体" w:eastAsia="宋体"/>
          <w:sz w:val="24"/>
        </w:rPr>
        <w:t>市场分割的危害还体现在更广的层面。其一，地方保护催生低水平重复建设与产能过剩，各地竞相布局"大而全""小而全"的产业体系，削弱了基于比较优势的地区分工，造成资源的重复投入与闲置（陆铭等，2004；韩剑和郑秋玲，2014）。其二，市场分割弱化了优胜劣汰的竞争机制，使低效率企业得以在本地保护下存续，抑制了资源向高效率企业集中，延缓了产业升级。其三，分割还会带来环境与福利的负外部性，地方为保护本地企业而放松环境规制，可能加剧污染并降低整体社会福利（宋马林和金培振，2016；吕越和张昊天，2021）。凡此种种表明，市场分割不仅是效率问题，更关乎发展方式转变与高质量发展全局。</w:t>
      </w:r>
    </w:p>
    <w:p>
      <w:pPr>
        <w:spacing w:line="360" w:lineRule="auto" w:after="0"/>
        <w:ind w:firstLineChars="200" w:firstLine="480"/>
        <w:jc w:val="both"/>
      </w:pPr>
      <w:r>
        <w:rPr>
          <w:rFonts w:ascii="宋体" w:hAnsi="宋体" w:eastAsia="宋体"/>
          <w:sz w:val="24"/>
        </w:rPr>
        <w:t>针对中国的一系列研究进一步量化了市场分割与要素错配的效率代价。郑毓盛和李崇高，2003较早估计了地方分割造成的效率损失；余泳泽等，2022从国内大循环视角测算发现，区域市场分割带来了可观的效率损失；Brandt等，2013则强调，跨地区、跨部门的要素市场扭曲是中国全要素生产率损失的重要来源。与这些研究相呼应，本书基于要素错配核算得到的反事实测算显示，若彻底消除要素错配，全要素生产率的可提升幅度由2006年的约41%降至2023年的约25%——错配程度虽持续改善，但截至样本期末，要素错配仍使中国潜在全要素生产率损失约四分之一，其量级与经典研究的估计相当（Hsieh和Klenow，2009）。这表明，破除市场分割、优化要素配置所蕴含的"改革红利"依然十分可观，构成中国经济提质增效的重要潜在来源。</w:t>
      </w:r>
    </w:p>
    <w:p>
      <w:pPr>
        <w:keepNext/>
        <w:spacing w:before="160" w:after="120" w:line="360" w:lineRule="auto"/>
      </w:pPr>
      <w:r>
        <w:rPr>
          <w:rFonts w:ascii="黑体" w:hAnsi="黑体" w:eastAsia="黑体"/>
          <w:sz w:val="24"/>
        </w:rPr>
        <w:t>1.1.4  研究问题的提出</w:t>
      </w:r>
    </w:p>
    <w:p>
      <w:pPr>
        <w:spacing w:line="360" w:lineRule="auto" w:after="0"/>
        <w:ind w:firstLineChars="200" w:firstLine="480"/>
        <w:jc w:val="both"/>
      </w:pPr>
      <w:r>
        <w:rPr>
          <w:rFonts w:ascii="宋体" w:hAnsi="宋体" w:eastAsia="宋体"/>
          <w:sz w:val="24"/>
        </w:rPr>
        <w:t>正是在这一背景下，本书试图回答的核心问题是：</w:t>
      </w:r>
      <w:r>
        <w:rPr>
          <w:rFonts w:ascii="宋体" w:hAnsi="宋体" w:eastAsia="宋体"/>
          <w:b/>
          <w:sz w:val="24"/>
        </w:rPr>
        <w:t>全国统一大市场建设，究竟如何影响要素配置效率？其作用机制、异质性特征与经济效应如何？又应通过怎样的改革路径加以推进？</w:t>
      </w:r>
      <w:r>
        <w:rPr>
          <w:rFonts w:ascii="宋体" w:hAnsi="宋体" w:eastAsia="宋体"/>
          <w:sz w:val="24"/>
        </w:rPr>
        <w:t>围绕这一核心问题，本书进一步细分为以下四个相互关联的子问题：第一，如何在理论上刻画中国式市场分割的本质，并构建统一大市场建设影响要素配置效率的分析框架？第二，如何科学测度中国各地区统一大市场建设的水平及其时空演变？第三，统一大市场建设对要素配置效率的影响在方向、大小、机制和异质性上呈现怎样的经验规律？第四，如何评估其对全要素生产率、创新与区域协调发展的拓展效应，并据此提出兼具理论逻辑与现实可行性的政策建议？</w:t>
      </w:r>
    </w:p>
    <w:p>
      <w:pPr>
        <w:spacing w:line="360" w:lineRule="auto" w:after="0"/>
        <w:ind w:firstLineChars="200" w:firstLine="480"/>
        <w:jc w:val="both"/>
      </w:pPr>
      <w:r>
        <w:rPr>
          <w:rFonts w:ascii="宋体" w:hAnsi="宋体" w:eastAsia="宋体"/>
          <w:sz w:val="24"/>
        </w:rPr>
        <w:t>这四个子问题环环相扣、层层深入：理论刻画是测度与识别的前提，科学测度是因果推断的基础，机制检验是理解效应来源的关键，效应拓展与政策建议则是研究的落脚点。回答这些问题，既需要构建能够容纳商品与要素双重摩擦的分析框架，也需要建立可靠的测度体系并运用严谨的因果识别方法，还需要在实证发现与现实约束之间寻求政策上的平衡。本书正是围绕这一问题链条循序展开，力求在学理与实践两个层面提供系统的解答。</w:t>
      </w:r>
    </w:p>
    <w:p>
      <w:pPr>
        <w:keepNext/>
        <w:spacing w:before="160" w:after="120" w:line="360" w:lineRule="auto"/>
      </w:pPr>
      <w:r>
        <w:rPr>
          <w:rFonts w:ascii="黑体" w:hAnsi="黑体" w:eastAsia="黑体"/>
          <w:sz w:val="28"/>
        </w:rPr>
        <w:t>1.2  研究意义</w:t>
      </w:r>
    </w:p>
    <w:p>
      <w:pPr>
        <w:keepNext/>
        <w:spacing w:before="160" w:after="120" w:line="360" w:lineRule="auto"/>
      </w:pPr>
      <w:r>
        <w:rPr>
          <w:rFonts w:ascii="黑体" w:hAnsi="黑体" w:eastAsia="黑体"/>
          <w:sz w:val="24"/>
        </w:rPr>
        <w:t>1.2.1  理论意义</w:t>
      </w:r>
    </w:p>
    <w:p>
      <w:pPr>
        <w:spacing w:line="360" w:lineRule="auto" w:after="0"/>
        <w:ind w:firstLineChars="200" w:firstLine="480"/>
        <w:jc w:val="both"/>
      </w:pPr>
      <w:r>
        <w:rPr>
          <w:rFonts w:ascii="宋体" w:hAnsi="宋体" w:eastAsia="宋体"/>
          <w:sz w:val="24"/>
        </w:rPr>
        <w:t>第一，深化了对中国式市场分割本质的理论认识。既有文献多沿用源于国际贸易的"冰山成本"思路，聚焦于商品市场的价格分割（Young，2000；桂琦寒等，2006），而对要素市场分割的制度根源及其配置效率后果缺乏系统的理论刻画。本书提出"要素市场的行政性分割"这一概念，将劳动力、资本、土地、技术与数据等要素市场因行政边界产生的制度性流动壁垒纳入统一分析框架，并以"制度性配置楔子"及其跨地区离散度刻画其效率后果，有助于从中国实践中提炼具有本土解释力的分析工具。</w:t>
      </w:r>
    </w:p>
    <w:p>
      <w:pPr>
        <w:spacing w:line="360" w:lineRule="auto" w:after="0"/>
        <w:ind w:firstLineChars="200" w:firstLine="480"/>
        <w:jc w:val="both"/>
      </w:pPr>
      <w:r>
        <w:rPr>
          <w:rFonts w:ascii="宋体" w:hAnsi="宋体" w:eastAsia="宋体"/>
          <w:sz w:val="24"/>
        </w:rPr>
        <w:t>第二，拓展了资源错配与经济增长理论的空间维度。本书构建一个包含商品市场冰山成本与要素市场流动壁垒的多地区—多部门空间一般均衡模型，在Hsieh和Klenow，2009与Brandt等，2013的分析传统基础上，将统一大市场建设内生化为对两类摩擦的同时削减，推导出总量全要素生产率与要素楔子离散度之间的解析关系，并揭示商品市场整合与要素市场整合之间的互补性，为理解统一大市场的效率红利提供了微观机制基础。</w:t>
      </w:r>
    </w:p>
    <w:p>
      <w:pPr>
        <w:spacing w:line="360" w:lineRule="auto" w:after="0"/>
        <w:ind w:firstLineChars="200" w:firstLine="480"/>
        <w:jc w:val="both"/>
      </w:pPr>
      <w:r>
        <w:rPr>
          <w:rFonts w:ascii="宋体" w:hAnsi="宋体" w:eastAsia="宋体"/>
          <w:sz w:val="24"/>
        </w:rPr>
        <w:t>第三，为统一大市场建设水平的量化研究提供了新的测度方案。本书从商品、劳动力、资本、土地、技术与数据、制度环境六个维度构建"全国统一大市场建设指数"（NUMI），弥补了以往仅以单一价格分割指数或市场化总指数刻画市场一体化的不足，为后续实证研究和政策评估提供了可复用的测度基础。</w:t>
      </w:r>
    </w:p>
    <w:p>
      <w:pPr>
        <w:spacing w:line="360" w:lineRule="auto" w:after="0"/>
        <w:ind w:firstLineChars="200" w:firstLine="480"/>
        <w:jc w:val="both"/>
      </w:pPr>
      <w:r>
        <w:rPr>
          <w:rFonts w:ascii="宋体" w:hAnsi="宋体" w:eastAsia="宋体"/>
          <w:sz w:val="24"/>
        </w:rPr>
        <w:t>第四，丰富了市场一体化经济效应的机制解释。既有研究多关注市场一体化对经济增长、企业生产率的总体影响（黄赜琳和姚婷婷，2020；卞元超和白俊红，2021），而对其内在作用机制的系统刻画相对不足。本书从要素流动、竞争淘汰、创新激励与规模专业化四条渠道搭建统一的机制分析框架，并论证统一大市场建设的配置效率红利随初始分割程度递增这一异质性命题，既深化了对"为什么统一大市场能够提升配置效率"的理论理解，也为经验检验提供了可操作的机制识别思路。</w:t>
      </w:r>
    </w:p>
    <w:p>
      <w:pPr>
        <w:spacing w:line="360" w:lineRule="auto" w:after="0"/>
        <w:ind w:firstLineChars="200" w:firstLine="480"/>
        <w:jc w:val="both"/>
      </w:pPr>
      <w:r>
        <w:rPr>
          <w:rFonts w:ascii="宋体" w:hAnsi="宋体" w:eastAsia="宋体"/>
          <w:sz w:val="24"/>
        </w:rPr>
        <w:t>第五，为空间经济学与发展经济学的对话提供了中国经验。市场分割、要素错配与经济增长的关系，是空间经济学、发展经济学与转型经济学共同关注的重大议题（Krugman，1991；Restuccia和Rogerson，2017）。本书立足中国"行政区经济"的独特情境，将制度性市场分割纳入空间一般均衡框架，既回应了国际前沿关于"错配来源"的争论，也以超大规模转型经济体的证据丰富了相关理论，有助于提升中国经济学研究的国际对话能力。</w:t>
      </w:r>
    </w:p>
    <w:p>
      <w:pPr>
        <w:keepNext/>
        <w:spacing w:before="160" w:after="120" w:line="360" w:lineRule="auto"/>
      </w:pPr>
      <w:r>
        <w:rPr>
          <w:rFonts w:ascii="黑体" w:hAnsi="黑体" w:eastAsia="黑体"/>
          <w:sz w:val="24"/>
        </w:rPr>
        <w:t>1.2.2  现实意义</w:t>
      </w:r>
    </w:p>
    <w:p>
      <w:pPr>
        <w:spacing w:line="360" w:lineRule="auto" w:after="0"/>
        <w:ind w:firstLineChars="200" w:firstLine="480"/>
        <w:jc w:val="both"/>
      </w:pPr>
      <w:r>
        <w:rPr>
          <w:rFonts w:ascii="宋体" w:hAnsi="宋体" w:eastAsia="宋体"/>
          <w:sz w:val="24"/>
        </w:rPr>
        <w:t>第一，服务于构建高水平社会主义市场经济体制的战略需要。破除地方保护和市场分割、健全要素市场化配置体制机制，是全面深化改革的重点领域。本书通过测度各地区统一大市场建设的短板与差距，识别要素错配最严重的领域和地区，可为分类施策、精准发力提供经验依据。</w:t>
      </w:r>
    </w:p>
    <w:p>
      <w:pPr>
        <w:spacing w:line="360" w:lineRule="auto" w:after="0"/>
        <w:ind w:firstLineChars="200" w:firstLine="480"/>
        <w:jc w:val="both"/>
      </w:pPr>
      <w:r>
        <w:rPr>
          <w:rFonts w:ascii="宋体" w:hAnsi="宋体" w:eastAsia="宋体"/>
          <w:sz w:val="24"/>
        </w:rPr>
        <w:t>第二，服务于畅通国内大循环、构建新发展格局的迫切要求。国内统一大市场是国内大循环的载体和基础。本书量化评估统一大市场建设对要素配置效率、全要素生产率和区域协调发展的贡献，有助于从"效率"和"协调"双重视角，论证加快建设全国统一大市场对畅通经济循环、增强发展韧性的重要作用。</w:t>
      </w:r>
    </w:p>
    <w:p>
      <w:pPr>
        <w:spacing w:line="360" w:lineRule="auto" w:after="0"/>
        <w:ind w:firstLineChars="200" w:firstLine="480"/>
        <w:jc w:val="both"/>
      </w:pPr>
      <w:r>
        <w:rPr>
          <w:rFonts w:ascii="宋体" w:hAnsi="宋体" w:eastAsia="宋体"/>
          <w:sz w:val="24"/>
        </w:rPr>
        <w:t>第三，为破解"统一"与"竞争"、"全国一盘棋"与"地方积极性"之间的现实张力提供政策思路。本书在识别地方保护制度根源的基础上，从破除壁垒、要素市场化改革、统一制度规则、设施联通和激励相容五个方面提出系统性改革方案，力求兼顾顶层设计与地方激励，具有较强的现实针对性。</w:t>
      </w:r>
    </w:p>
    <w:p>
      <w:pPr>
        <w:spacing w:line="360" w:lineRule="auto" w:after="0"/>
        <w:ind w:firstLineChars="200" w:firstLine="480"/>
        <w:jc w:val="both"/>
      </w:pPr>
      <w:r>
        <w:rPr>
          <w:rFonts w:ascii="宋体" w:hAnsi="宋体" w:eastAsia="宋体"/>
          <w:sz w:val="24"/>
        </w:rPr>
        <w:t>第四，服务于促进区域协调发展与扎实推进共同富裕的战略目标。要素的自由流动与合理配置，是缩小区域差距、推进基本公共服务均等化的重要前提。2024年，人均GDP最高的北京超过22万元、上海超过21万元，而最低省份约5万元，省际极差仍在4倍以上；这种区域差距在很大程度上与要素流动不畅、市场分割导致的资源错配相关。本书从要素配置效率视角揭示统一大市场建设对区域协调发展的作用，可为通过市场一体化促进区域均衡发展、夯实共同富裕的物质基础提供决策参考。</w:t>
      </w:r>
    </w:p>
    <w:p>
      <w:pPr>
        <w:spacing w:line="360" w:lineRule="auto" w:after="0"/>
        <w:ind w:firstLineChars="200" w:firstLine="480"/>
        <w:jc w:val="both"/>
      </w:pPr>
      <w:r>
        <w:rPr>
          <w:rFonts w:ascii="宋体" w:hAnsi="宋体" w:eastAsia="宋体"/>
          <w:sz w:val="24"/>
        </w:rPr>
        <w:t>第五，为全国统一大市场建设的政策评估提供量化工具与经验支撑。随着《建设指引》，2025以"应当做、不得做、鼓励做"三类清单推动建设进入可操作、可考核阶段，科学评估各地区建设进展与成效的需求日益迫切。本书构建的全国统一大市场建设指数及配套的效率损失核算方法，可作为监测区域建设水平、识别薄弱环节、评估政策效果的分析工具，具有直接的政策应用价值。</w:t>
      </w:r>
    </w:p>
    <w:p>
      <w:pPr>
        <w:spacing w:line="360" w:lineRule="auto" w:after="0"/>
        <w:ind w:firstLineChars="200" w:firstLine="480"/>
        <w:jc w:val="both"/>
      </w:pPr>
      <w:r>
        <w:rPr>
          <w:rFonts w:ascii="宋体" w:hAnsi="宋体" w:eastAsia="宋体"/>
          <w:sz w:val="24"/>
        </w:rPr>
        <w:t>第六，有助于增强产业链供应链的自主可控与安全韧性。面对外部环境不确定性上升，超大规模统一市场是抵御外部冲击、保障经济安全的重要依托。统一大市场通过畅通国内循环、稳定市场预期，能够为关键产业的自主创新和进口替代提供广阔的需求空间与规模支撑，从而增强产业链供应链的抗风险能力。本书对统一大市场建设效率效应的评估，也从一个侧面为理解其在保障经济安全、支撑高水平科技自立自强中的作用提供了参考。</w:t>
      </w:r>
    </w:p>
    <w:p>
      <w:pPr>
        <w:keepNext/>
        <w:spacing w:before="160" w:after="120" w:line="360" w:lineRule="auto"/>
      </w:pPr>
      <w:r>
        <w:rPr>
          <w:rFonts w:ascii="黑体" w:hAnsi="黑体" w:eastAsia="黑体"/>
          <w:sz w:val="28"/>
        </w:rPr>
        <w:t>1.3  核心概念界定</w:t>
      </w:r>
    </w:p>
    <w:p>
      <w:pPr>
        <w:spacing w:line="360" w:lineRule="auto" w:after="0"/>
        <w:ind w:firstLineChars="200" w:firstLine="480"/>
        <w:jc w:val="both"/>
      </w:pPr>
      <w:r>
        <w:rPr>
          <w:rFonts w:ascii="宋体" w:hAnsi="宋体" w:eastAsia="宋体"/>
          <w:sz w:val="24"/>
        </w:rPr>
        <w:t>为避免歧义，本节先行界定贯穿全书的若干核心概念，其严格的数理定义将在第4章给出。</w:t>
      </w:r>
    </w:p>
    <w:p>
      <w:pPr>
        <w:spacing w:line="360" w:lineRule="auto" w:after="0"/>
        <w:ind w:firstLineChars="200" w:firstLine="480"/>
        <w:jc w:val="both"/>
      </w:pPr>
      <w:r>
        <w:rPr>
          <w:rFonts w:ascii="宋体" w:hAnsi="宋体" w:eastAsia="宋体"/>
          <w:b/>
          <w:sz w:val="24"/>
        </w:rPr>
        <w:t>全国统一大市场</w:t>
      </w:r>
      <w:r>
        <w:rPr>
          <w:rFonts w:ascii="宋体" w:hAnsi="宋体" w:eastAsia="宋体"/>
          <w:sz w:val="24"/>
        </w:rPr>
        <w:t>。指在全国范围内，商品和要素能够按照统一的规则和标准自由流动、公平交易，价格主要由供求关系决定，不存在人为的行政壁垒和地区歧视的市场体系。其内涵可概括为"五统一"：市场基础制度规则统一、市场设施高标准联通、要素和资源市场统一、商品和服务市场高水平统一、市场监管公平统一。与之相对的是"市场分割"，即由行政力量人为造成的地区间市场壁垒。</w:t>
      </w:r>
    </w:p>
    <w:p>
      <w:pPr>
        <w:spacing w:line="360" w:lineRule="auto" w:after="0"/>
        <w:ind w:firstLineChars="200" w:firstLine="480"/>
        <w:jc w:val="both"/>
      </w:pPr>
      <w:r>
        <w:rPr>
          <w:rFonts w:ascii="宋体" w:hAnsi="宋体" w:eastAsia="宋体"/>
          <w:sz w:val="24"/>
        </w:rPr>
        <w:t>需要辨析的是，"统一大市场"并不等于"单一均质市场"，更不意味着取消竞争或搞"一刀切"式的行政整合。国际经验表明，大型经济体普遍以制度化方式维护市场统一：美国以宪法"州际贸易条款"限制各州设置贸易壁垒，欧盟以"商品、人员、服务、资本"四项自由流动构建统一市场。与之相比，中国的统一大市场建设是在单一制国家结构和社会主义市场经济体制下推进的，其独特之处在于既要打破行政性分割、维护公平竞争，又要充分发挥中央和地方两个积极性，处理好"有为政府"与"有效市场"的关系（陈云贤，2019；叶光亮等，2022）。因此，本书所讨论的"统一"，是规则统一、要素畅通意义上的统一，而非否定地区特色与市场竞争的绝对同质化。</w:t>
      </w:r>
    </w:p>
    <w:p>
      <w:pPr>
        <w:spacing w:line="360" w:lineRule="auto" w:after="0"/>
        <w:ind w:firstLineChars="200" w:firstLine="480"/>
        <w:jc w:val="both"/>
      </w:pPr>
      <w:r>
        <w:rPr>
          <w:rFonts w:ascii="宋体" w:hAnsi="宋体" w:eastAsia="宋体"/>
          <w:b/>
          <w:sz w:val="24"/>
        </w:rPr>
        <w:t>要素市场的行政性分割</w:t>
      </w:r>
      <w:r>
        <w:rPr>
          <w:rFonts w:ascii="宋体" w:hAnsi="宋体" w:eastAsia="宋体"/>
          <w:sz w:val="24"/>
        </w:rPr>
        <w:t>。本书提出的核心概念，指劳动力、资本、土地、技术与数据等生产要素，因户籍管制、金融属地化、用地指标行政配置、数据地区封锁等制度安排，在跨行政区流动时面临的非市场化壁垒。它区别于由自然地理和运输成本导致的"自然分割"，其根源在于制度而非技术，因而可以通过改革加以消除，这也正是统一大市场建设的着力点。</w:t>
      </w:r>
    </w:p>
    <w:p>
      <w:pPr>
        <w:spacing w:line="360" w:lineRule="auto" w:after="0"/>
        <w:ind w:firstLineChars="200" w:firstLine="480"/>
        <w:jc w:val="both"/>
      </w:pPr>
      <w:r>
        <w:rPr>
          <w:rFonts w:ascii="宋体" w:hAnsi="宋体" w:eastAsia="宋体"/>
          <w:sz w:val="24"/>
        </w:rPr>
        <w:t>这一概念与国际文献中的"要素市场扭曲"（factor market distortions）既有联系又有区别。国际研究多在企业异质性框架下将要素错配抽象为企业面临的"税收楔子"，并不特别追究其制度来源（Hsieh和Klenow，2009；Restuccia和Rogerson，2008）；而中国的要素市场分割具有鲜明的"行政边界"特征——同一要素跨越省界、市界时面临的壁垒，往往显著高于其在行政区内部流动的成本（Brandt等，2013；Tombe和Zhu，2019）。本书强调"行政性"这一限定词，正是为了突出中国式要素市场分割的制度根源与空间属性，将其与源于自然地理、运输成本的"自然分割"相区别，从而把改革的着力点锁定在可通过制度变革加以消除的部分。</w:t>
      </w:r>
    </w:p>
    <w:p>
      <w:pPr>
        <w:spacing w:line="360" w:lineRule="auto" w:after="0"/>
        <w:ind w:firstLineChars="200" w:firstLine="480"/>
        <w:jc w:val="both"/>
      </w:pPr>
      <w:r>
        <w:rPr>
          <w:rFonts w:ascii="宋体" w:hAnsi="宋体" w:eastAsia="宋体"/>
          <w:b/>
          <w:sz w:val="24"/>
        </w:rPr>
        <w:t>制度性配置楔子</w:t>
      </w:r>
      <w:r>
        <w:rPr>
          <w:rFonts w:ascii="宋体" w:hAnsi="宋体" w:eastAsia="宋体"/>
          <w:sz w:val="24"/>
        </w:rPr>
        <w:t>。借鉴资源错配文献的"楔子"（wedge）概念，本书用制度性配置楔子刻画要素边际收益产品与其机会成本之间由制度性分割造成的偏离。当要素市场完全一体化时，同质要素在不同地区、部门的边际收益产品应趋于相等；楔子越大、跨地区离散度越高，意味着错配越严重、配置效率越低。</w:t>
      </w:r>
    </w:p>
    <w:p>
      <w:pPr>
        <w:spacing w:line="360" w:lineRule="auto" w:after="0"/>
        <w:ind w:firstLineChars="200" w:firstLine="480"/>
        <w:jc w:val="both"/>
      </w:pPr>
      <w:r>
        <w:rPr>
          <w:rFonts w:ascii="宋体" w:hAnsi="宋体" w:eastAsia="宋体"/>
          <w:sz w:val="24"/>
        </w:rPr>
        <w:t>"楔子"（wedge）方法是资源错配文献的核心分析工具。其基本思想是，将各种难以直接观测的制度性、政策性扭曲统一表示为在要素价格或产品价格上打入的"楔子"，再通过要素边际收益产品的离散程度反推错配的严重程度（陈永伟和胡伟民，2011；龚关和胡关亮，2013）。在完全竞争且无扭曲的理想状态下，同质要素在不同使用者之间的边际收益产品应当相等；现实中观测到的边际收益产品离散度越大，意味着配置越偏离最优。本书的创新在于为楔子赋予明确的制度含义，将其跨地区离散度与统一大市场建设水平直接关联，从而把抽象的错配核算与具体的市场分割改革连接起来。</w:t>
      </w:r>
    </w:p>
    <w:p>
      <w:pPr>
        <w:spacing w:line="360" w:lineRule="auto" w:after="0"/>
        <w:ind w:firstLineChars="200" w:firstLine="480"/>
        <w:jc w:val="both"/>
      </w:pPr>
      <w:r>
        <w:rPr>
          <w:rFonts w:ascii="宋体" w:hAnsi="宋体" w:eastAsia="宋体"/>
          <w:b/>
          <w:sz w:val="24"/>
        </w:rPr>
        <w:t>要素配置效率</w:t>
      </w:r>
      <w:r>
        <w:rPr>
          <w:rFonts w:ascii="宋体" w:hAnsi="宋体" w:eastAsia="宋体"/>
          <w:sz w:val="24"/>
        </w:rPr>
        <w:t>。指要素在地区、部门、企业之间的配置使总产出（或社会福利）达到或接近最优的程度。本书以"1减去标准化的要素错配指数"度量地区层面的要素配置效率，并用其与全要素生产率的联系刻画配置效率对经济增长的贡献。</w:t>
      </w:r>
    </w:p>
    <w:p>
      <w:pPr>
        <w:spacing w:line="360" w:lineRule="auto" w:after="0"/>
        <w:ind w:firstLineChars="200" w:firstLine="480"/>
        <w:jc w:val="both"/>
      </w:pPr>
      <w:r>
        <w:rPr>
          <w:rFonts w:ascii="宋体" w:hAnsi="宋体" w:eastAsia="宋体"/>
          <w:sz w:val="24"/>
        </w:rPr>
        <w:t>需要区分配置效率（allocative efficiency）与技术效率（technical efficiency）：前者关注既定要素总量在不同主体间的分配是否使总产出最大化，后者关注既定投入下产出是否达到技术前沿。市场分割主要通过扭曲要素的空间与部门配置来损害配置效率，进而拉低总量全要素生产率；本书的分析重心在配置效率，同时关注配置改善通过竞争与创新对技术效率的间接提升。需要说明的是，配置效率的严格测度依赖一系列假设，不同的生产函数设定与错配识别策略可能得到量级不同的估计（龚关和胡关亮，2013；杨汝岱，2015），因此本书在测度时将报告多种设定下的结果以检验稳健性。</w:t>
      </w:r>
    </w:p>
    <w:p>
      <w:pPr>
        <w:spacing w:line="360" w:lineRule="auto" w:after="0"/>
        <w:ind w:firstLineChars="200" w:firstLine="480"/>
        <w:jc w:val="both"/>
      </w:pPr>
      <w:r>
        <w:rPr>
          <w:rFonts w:ascii="宋体" w:hAnsi="宋体" w:eastAsia="宋体"/>
          <w:b/>
          <w:sz w:val="24"/>
        </w:rPr>
        <w:t>全要素生产率（TFP）</w:t>
      </w:r>
      <w:r>
        <w:rPr>
          <w:rFonts w:ascii="宋体" w:hAnsi="宋体" w:eastAsia="宋体"/>
          <w:sz w:val="24"/>
        </w:rPr>
        <w:t>。指在剔除资本、劳动等要素投入贡献后，由技术进步、效率改善与资源配置优化等共同决定的产出增长部分，是衡量经济增长质量与集约化程度的核心指标。在本书的分析框架中，全要素生产率既包含反映技术水平的"纯技术"成分，也包含反映资源配置状况的"配置"成分；统一大市场建设主要通过改善后者、并经由竞争与创新带动前者，来提升总量全要素生产率。厘清这一分解，有助于准确理解统一大市场建设影响经济增长的作用路径。</w:t>
      </w:r>
    </w:p>
    <w:p>
      <w:pPr>
        <w:spacing w:line="360" w:lineRule="auto" w:after="0"/>
        <w:ind w:firstLineChars="200" w:firstLine="480"/>
        <w:jc w:val="both"/>
      </w:pPr>
      <w:r>
        <w:rPr>
          <w:rFonts w:ascii="宋体" w:hAnsi="宋体" w:eastAsia="宋体"/>
          <w:b/>
          <w:sz w:val="24"/>
        </w:rPr>
        <w:t>市场分割指数与相对价格法</w:t>
      </w:r>
      <w:r>
        <w:rPr>
          <w:rFonts w:ascii="宋体" w:hAnsi="宋体" w:eastAsia="宋体"/>
          <w:sz w:val="24"/>
        </w:rPr>
        <w:t>。为从数据上刻画市场分割程度，本书沿用国内外广泛采用的相对价格法：其基本逻辑是，若两地市场充分整合，同类商品的相对价格在套利作用下应趋于收敛，相对价格的波动方差越大，表明市场分割越严重（桂琦寒等，2006；Poncet，2005）。这一方法源于国际贸易中的"冰山成本"与"一价定律"思想，经本土化改造后成为测度中国国内市场分割的主流工具（张昊，2020）。需要指出的是，相对价格法主要捕捉商品市场分割，对要素市场分割的刻画能力有限；这也正是本书在指数构建中引入劳动力、资本、土地、技术与数据等要素维度、以弥补单一价格法不足的原因所在。</w:t>
      </w:r>
    </w:p>
    <w:p>
      <w:pPr>
        <w:keepNext/>
        <w:spacing w:before="160" w:after="120" w:line="360" w:lineRule="auto"/>
      </w:pPr>
      <w:r>
        <w:rPr>
          <w:rFonts w:ascii="黑体" w:hAnsi="黑体" w:eastAsia="黑体"/>
          <w:sz w:val="28"/>
        </w:rPr>
        <w:t>1.4  研究思路、方法与数据</w:t>
      </w:r>
    </w:p>
    <w:p>
      <w:pPr>
        <w:keepNext/>
        <w:spacing w:before="160" w:after="120" w:line="360" w:lineRule="auto"/>
      </w:pPr>
      <w:r>
        <w:rPr>
          <w:rFonts w:ascii="黑体" w:hAnsi="黑体" w:eastAsia="黑体"/>
          <w:sz w:val="24"/>
        </w:rPr>
        <w:t>1.4.1  研究思路与技术路线</w:t>
      </w:r>
    </w:p>
    <w:p>
      <w:pPr>
        <w:spacing w:line="360" w:lineRule="auto" w:after="0"/>
        <w:ind w:firstLineChars="200" w:firstLine="480"/>
        <w:jc w:val="both"/>
      </w:pPr>
      <w:r>
        <w:rPr>
          <w:rFonts w:ascii="宋体" w:hAnsi="宋体" w:eastAsia="宋体"/>
          <w:sz w:val="24"/>
        </w:rPr>
        <w:t>本书遵循"提出问题—构建理论—测度识别—检验机制—政策应用"的研究思路，力求"顶天立地"：一方面，从中国统一大市场建设的实践中提炼新概念、构建本土化理论并进行数理刻画（顶天）；另一方面，以严谨的测度和识别检验理论、回应现实关切，为破解地方保护、要素错配等难点问题提供政策指引（立地）。总体研究思路与技术路线如图1.1所示。</w:t>
      </w:r>
    </w:p>
    <w:p>
      <w:pPr>
        <w:spacing w:before="120" w:after="40"/>
        <w:jc w:val="center"/>
      </w:pPr>
      <w:r>
        <w:drawing>
          <wp:inline xmlns:a="http://schemas.openxmlformats.org/drawingml/2006/main" xmlns:pic="http://schemas.openxmlformats.org/drawingml/2006/picture">
            <wp:extent cx="4860000" cy="9047801"/>
            <wp:docPr id="1" name="Picture 1"/>
            <wp:cNvGraphicFramePr>
              <a:graphicFrameLocks noChangeAspect="1"/>
            </wp:cNvGraphicFramePr>
            <a:graphic>
              <a:graphicData uri="http://schemas.openxmlformats.org/drawingml/2006/picture">
                <pic:pic>
                  <pic:nvPicPr>
                    <pic:cNvPr id="0" name="fig1_1.png"/>
                    <pic:cNvPicPr/>
                  </pic:nvPicPr>
                  <pic:blipFill>
                    <a:blip r:embed="rId9"/>
                    <a:stretch>
                      <a:fillRect/>
                    </a:stretch>
                  </pic:blipFill>
                  <pic:spPr>
                    <a:xfrm>
                      <a:off x="0" y="0"/>
                      <a:ext cx="4860000" cy="9047801"/>
                    </a:xfrm>
                    <a:prstGeom prst="rect"/>
                  </pic:spPr>
                </pic:pic>
              </a:graphicData>
            </a:graphic>
          </wp:inline>
        </w:drawing>
      </w:r>
    </w:p>
    <w:p>
      <w:pPr>
        <w:keepNext w:val="0"/>
        <w:spacing w:after="200"/>
        <w:jc w:val="center"/>
      </w:pPr>
      <w:r>
        <w:rPr>
          <w:rFonts w:ascii="黑体" w:hAnsi="黑体" w:eastAsia="黑体"/>
          <w:sz w:val="21"/>
        </w:rPr>
        <w:t>图1.1  本书研究思路与技术路线图</w:t>
      </w:r>
    </w:p>
    <w:p>
      <w:pPr>
        <w:spacing w:line="360" w:lineRule="auto" w:after="0"/>
        <w:ind w:firstLineChars="200" w:firstLine="480"/>
        <w:jc w:val="both"/>
      </w:pPr>
      <w:r>
        <w:rPr>
          <w:rFonts w:ascii="宋体" w:hAnsi="宋体" w:eastAsia="宋体"/>
          <w:sz w:val="24"/>
        </w:rPr>
        <w:t>具体而言，全书的逻辑链条可概括为五个相互衔接的环节：一是从中国统一大市场建设的实践中提炼"要素市场行政性分割"这一核心问题；二是构建包含商品与要素双重摩擦的空间一般均衡模型，推导可检验命题；三是从六个维度测度统一大市场建设水平并核算要素错配损失，为实证提供变量基础；四是运用双向固定效应、工具变量与双重差分等方法识别因果效应、检验机制与异质性；五是在此基础上提炼结论、提出改革建议。这一"提出问题—构建理论—测度识别—检验机制—政策应用"的闭环，既保证了研究的逻辑自洽，也确保了理论探讨与现实关切的有机统一。</w:t>
      </w:r>
    </w:p>
    <w:p>
      <w:pPr>
        <w:keepNext/>
        <w:spacing w:before="160" w:after="120" w:line="360" w:lineRule="auto"/>
      </w:pPr>
      <w:r>
        <w:rPr>
          <w:rFonts w:ascii="黑体" w:hAnsi="黑体" w:eastAsia="黑体"/>
          <w:sz w:val="24"/>
        </w:rPr>
        <w:t>1.4.2  研究方法</w:t>
      </w:r>
    </w:p>
    <w:p>
      <w:pPr>
        <w:spacing w:line="360" w:lineRule="auto" w:after="0"/>
        <w:ind w:firstLineChars="200" w:firstLine="480"/>
        <w:jc w:val="both"/>
      </w:pPr>
      <w:r>
        <w:rPr>
          <w:rFonts w:ascii="宋体" w:hAnsi="宋体" w:eastAsia="宋体"/>
          <w:sz w:val="24"/>
        </w:rPr>
        <w:t>在研究方法上，本书综合运用理论建模与实证检验相结合、规范分析与实证分析相结合、定性分析与定量分析相结合的方法。具体包括：（1）空间一般均衡建模与数理推导，用于刻画统一大市场建设影响要素配置效率的理论机制并提出可检验命题；（2）综合评价方法，用于构建全国统一大市场建设指数（NUMI）并刻画其时空演变；（3）生产率与错配核算方法，用于估计要素错配程度及其造成的效率损失；（4）面板计量方法，包括双向固定效应模型、工具变量法和多期双重差分法，用于识别统一大市场建设对要素配置效率的因果效应及其机制与异质性。以下分别说明各方法的适用性与实施要点。</w:t>
      </w:r>
    </w:p>
    <w:p>
      <w:pPr>
        <w:spacing w:line="360" w:lineRule="auto" w:after="0"/>
        <w:ind w:firstLineChars="200" w:firstLine="480"/>
        <w:jc w:val="both"/>
      </w:pPr>
      <w:r>
        <w:rPr>
          <w:rFonts w:ascii="宋体" w:hAnsi="宋体" w:eastAsia="宋体"/>
          <w:b/>
          <w:sz w:val="24"/>
        </w:rPr>
        <w:t>第一，空间一般均衡建模与数理推导。</w:t>
      </w:r>
      <w:r>
        <w:rPr>
          <w:rFonts w:ascii="宋体" w:hAnsi="宋体" w:eastAsia="宋体"/>
          <w:sz w:val="24"/>
        </w:rPr>
        <w:t xml:space="preserve"> 本书借鉴资源错配与空间经济学的分析传统（Hsieh和Klenow，2009；Brandt等，2013；Tombe和Zhu，2019），构建一个包含商品市场冰山成本与要素市场流动壁垒的多地区—多部门空间一般均衡模型。该方法的适用性在于：一方面，它能够在统一的均衡框架内同时刻画商品流动与要素流动，揭示两类摩擦对总量产出与全要素生产率的影响；另一方面，通过比较静态分析可以推导出可检验的理论命题，为后续实证研究提供明确的假说与识别对象。模型求解采用数值校准与解析推导相结合的方式，关键参数（如替代弹性、要素份额）取值参考既有文献的经验估计，并通过敏感性分析考察结论的稳健性。</w:t>
      </w:r>
    </w:p>
    <w:p>
      <w:pPr>
        <w:spacing w:line="360" w:lineRule="auto" w:after="0"/>
        <w:ind w:firstLineChars="200" w:firstLine="480"/>
        <w:jc w:val="both"/>
      </w:pPr>
      <w:r>
        <w:rPr>
          <w:rFonts w:ascii="宋体" w:hAnsi="宋体" w:eastAsia="宋体"/>
          <w:b/>
          <w:sz w:val="24"/>
        </w:rPr>
        <w:t>第二，综合评价与指数构建方法。</w:t>
      </w:r>
      <w:r>
        <w:rPr>
          <w:rFonts w:ascii="宋体" w:hAnsi="宋体" w:eastAsia="宋体"/>
          <w:sz w:val="24"/>
        </w:rPr>
        <w:t xml:space="preserve"> 为刻画统一大市场建设水平，本书从商品、劳动力、资本、土地、技术与数据、制度环境六个维度选取指标，采用主观赋权与客观赋权相结合的方式合成全国统一大市场建设指数（NUMI）。相较于以往仅用单一价格分割指数（桂琦寒等，2006）或市场化总指数（王小鲁等，2021）刻画市场一体化的做法，多维复合指数能够更全面地反映统一大市场建设的结构性特征。在指标处理上，本书对原始指标进行方向一致化与标准化处理，并通过分维度得分考察商品市场与不同要素市场一体化进程的非同步性，从而识别各地区建设的短板所在。</w:t>
      </w:r>
    </w:p>
    <w:p>
      <w:pPr>
        <w:spacing w:line="360" w:lineRule="auto" w:after="0"/>
        <w:ind w:firstLineChars="200" w:firstLine="480"/>
        <w:jc w:val="both"/>
      </w:pPr>
      <w:r>
        <w:rPr>
          <w:rFonts w:ascii="宋体" w:hAnsi="宋体" w:eastAsia="宋体"/>
          <w:b/>
          <w:sz w:val="24"/>
        </w:rPr>
        <w:t>第三，生产率与要素错配核算方法。</w:t>
      </w:r>
      <w:r>
        <w:rPr>
          <w:rFonts w:ascii="宋体" w:hAnsi="宋体" w:eastAsia="宋体"/>
          <w:sz w:val="24"/>
        </w:rPr>
        <w:t xml:space="preserve"> 本书沿用要素边际收益产品离散度的思路测度要素错配，并据以估计错配造成的全要素生产率损失（陈永伟和胡伟民，2011；龚关和胡关亮，2013）。该方法的适用性在于，它无需直接观测各种具体扭曲，而是从可观测的产出与要素投入数据出发反推错配程度，与本书"制度性配置楔子"的理论刻画相互对应。核算中本书分别测度资本错配与劳动力错配，并进行反事实模拟，以评估消除错配对总量全要素生产率的提升空间，同时报告不同生产函数设定下的结果以检验稳健性。</w:t>
      </w:r>
    </w:p>
    <w:p>
      <w:pPr>
        <w:spacing w:line="360" w:lineRule="auto" w:after="0"/>
        <w:ind w:firstLineChars="200" w:firstLine="480"/>
        <w:jc w:val="both"/>
      </w:pPr>
      <w:r>
        <w:rPr>
          <w:rFonts w:ascii="宋体" w:hAnsi="宋体" w:eastAsia="宋体"/>
          <w:b/>
          <w:sz w:val="24"/>
        </w:rPr>
        <w:t>第四，面板计量与因果识别方法。</w:t>
      </w:r>
      <w:r>
        <w:rPr>
          <w:rFonts w:ascii="宋体" w:hAnsi="宋体" w:eastAsia="宋体"/>
          <w:sz w:val="24"/>
        </w:rPr>
        <w:t xml:space="preserve"> 为识别统一大市场建设对要素配置效率的因果效应，本书综合运用多种识别策略：以双向固定效应模型控制地区与时间层面不可观测的异质性，作为基准估计；针对可能存在的反向因果与遗漏变量问题，选取历史驿道、明清行政边界、地形起伏度等外生变量以及Bartik份额移动份额工具变量进行工具变量估计；并以2022年《意见》出台为准自然实验，采用多期双重差分法进行识别，同时使用异质性稳健的估计量以应对交错处理下传统双重差分可能产生的偏误。多种识别策略相互印证，有助于增强因果推断的可信度。</w:t>
      </w:r>
    </w:p>
    <w:p>
      <w:pPr>
        <w:keepNext/>
        <w:spacing w:before="160" w:after="120" w:line="360" w:lineRule="auto"/>
      </w:pPr>
      <w:r>
        <w:rPr>
          <w:rFonts w:ascii="黑体" w:hAnsi="黑体" w:eastAsia="黑体"/>
          <w:sz w:val="24"/>
        </w:rPr>
        <w:t>1.4.3  样本、数据来源与变量处理</w:t>
      </w:r>
    </w:p>
    <w:p>
      <w:pPr>
        <w:spacing w:line="360" w:lineRule="auto" w:after="0"/>
        <w:ind w:firstLineChars="200" w:firstLine="480"/>
        <w:jc w:val="both"/>
      </w:pPr>
      <w:r>
        <w:rPr>
          <w:rFonts w:ascii="宋体" w:hAnsi="宋体" w:eastAsia="宋体"/>
          <w:sz w:val="24"/>
        </w:rPr>
        <w:t>在数据方面，本书以中国31个省级行政区（不含港澳台）2006—2023年的面板数据为主要分析对象，数据来源包括《中国统计年鉴》、各省（区、市）统计年鉴、《中国区域经济统计年鉴》、国家统计局分省年度数据、中国工业企业数据库、中国信息通信研究院《中国数字经济发展研究报告》以及相关政府公开文件等。需要说明的是，用于计量识别的省级面板在公开统计口径的基础上，结合既有文献对市场分割指数、要素错配等关键变量的测度方法进行了整理与校准，其用途在于展示测度与识别方法、揭示总体规律；在正式出版或政策评估中，建议进一步接入企业层面的原始微观数据以提升估计精度。</w:t>
      </w:r>
    </w:p>
    <w:p>
      <w:pPr>
        <w:spacing w:line="360" w:lineRule="auto" w:after="0"/>
        <w:ind w:firstLineChars="200" w:firstLine="480"/>
        <w:jc w:val="both"/>
      </w:pPr>
      <w:r>
        <w:rPr>
          <w:rFonts w:ascii="宋体" w:hAnsi="宋体" w:eastAsia="宋体"/>
          <w:sz w:val="24"/>
        </w:rPr>
        <w:t>在变量测度上，被解释变量要素配置效率由标准化的要素错配指数取补构造，核心解释变量为NUMI及其六个分维度指数；控制变量涵盖人均GDP（对数）、产业结构、城镇化率、数字经济发展、交通密度、财政分权、对外开放、人力资本与金融发展等（详见第七章）。为消除量纲影响并缓解异常值干扰，连续变量在必要时进行对数化与缩尾处理。需要再次强调的是，本书用于计量识别的省级面板系在公开统计与既有文献校准基础上整理而成，旨在完整呈现从理论建模、指标测度到因果识别的方法链条；正式发表或政策评估时应替换为经授权的企业层面原始微观数据，以进一步提升估计的精度与可信度。</w:t>
      </w:r>
    </w:p>
    <w:p>
      <w:pPr>
        <w:spacing w:line="360" w:lineRule="auto" w:after="0"/>
        <w:ind w:firstLineChars="200" w:firstLine="480"/>
        <w:jc w:val="both"/>
      </w:pPr>
      <w:r>
        <w:rPr>
          <w:rFonts w:ascii="宋体" w:hAnsi="宋体" w:eastAsia="宋体"/>
          <w:sz w:val="24"/>
        </w:rPr>
        <w:t>就统一大市场建设指数的分维度数据而言，商品市场维度主要依据各省分类商品价格指数以相对价格法测算；劳动力市场维度综合考虑跨地区流动、工资差异与户籍开放程度；资本市场维度反映信贷可得性与资本回报的地区离散度；土地市场维度刻画土地出让方式与地价形成的市场化程度；技术与数据市场维度反映技术交易活跃度、数字基础设施与数据流通条件；制度环境维度则综合公平竞争审查、行政审批效率与市场监管统一等信息。各维度指标的详细口径、来源与合成方法将在第五章集中说明，此处从略。</w:t>
      </w:r>
    </w:p>
    <w:p>
      <w:pPr>
        <w:keepNext/>
        <w:spacing w:before="160" w:after="120" w:line="360" w:lineRule="auto"/>
      </w:pPr>
      <w:r>
        <w:rPr>
          <w:rFonts w:ascii="黑体" w:hAnsi="黑体" w:eastAsia="黑体"/>
          <w:sz w:val="24"/>
        </w:rPr>
        <w:t>1.4.4  关键技术难点与应对</w:t>
      </w:r>
    </w:p>
    <w:p>
      <w:pPr>
        <w:spacing w:line="360" w:lineRule="auto" w:after="0"/>
        <w:ind w:firstLineChars="200" w:firstLine="480"/>
        <w:jc w:val="both"/>
      </w:pPr>
      <w:r>
        <w:rPr>
          <w:rFonts w:ascii="宋体" w:hAnsi="宋体" w:eastAsia="宋体"/>
          <w:sz w:val="24"/>
        </w:rPr>
        <w:t>在研究推进过程中，本书着力应对三个方面的技术难点。第一，市场分割与要素错配的"不可观测性"。制度性壁垒往往难以直接度量，本书通过"以离散度识别楔子"的思路，用可观测的价格离散度与要素回报离散度反推不可观测的制度性楔子，并以多维指数从正面刻画建设水平，两相对照、相互校验。第二，因果识别中的内生性。统一大市场建设与要素配置效率之间可能存在双向因果，且潜在遗漏变量众多；对此本书采用工具变量与准自然实验相结合的策略，并辅以安慰剂检验、平行趋势检验等稳健性分析。第三，测度口径与数据质量。要素市场一体化涉及劳动力、资本、土地、技术与数据等多个领域，指标口径不一、部分数据可得性较差；本书通过多来源交叉核对、分维度稳健性检验以及对关键变量的替代度量，尽可能降低测度误差对结论的影响。这些应对措施贯穿全书的测度与实证环节，构成理解后续章节结果的重要方法论前提。</w:t>
      </w:r>
    </w:p>
    <w:p>
      <w:pPr>
        <w:keepNext/>
        <w:spacing w:before="160" w:after="120" w:line="360" w:lineRule="auto"/>
      </w:pPr>
      <w:r>
        <w:rPr>
          <w:rFonts w:ascii="黑体" w:hAnsi="黑体" w:eastAsia="黑体"/>
          <w:sz w:val="28"/>
        </w:rPr>
        <w:t>1.5  研究内容与结构安排</w:t>
      </w:r>
    </w:p>
    <w:p>
      <w:pPr>
        <w:spacing w:line="360" w:lineRule="auto" w:after="0"/>
        <w:ind w:firstLineChars="200" w:firstLine="480"/>
        <w:jc w:val="both"/>
      </w:pPr>
      <w:r>
        <w:rPr>
          <w:rFonts w:ascii="宋体" w:hAnsi="宋体" w:eastAsia="宋体"/>
          <w:sz w:val="24"/>
        </w:rPr>
        <w:t>全书除本章外，共分为九章，逻辑上可归为"理论—测度—实证—政策"四个板块。</w:t>
      </w:r>
    </w:p>
    <w:p>
      <w:pPr>
        <w:spacing w:line="360" w:lineRule="auto" w:after="0"/>
        <w:ind w:firstLineChars="200" w:firstLine="480"/>
        <w:jc w:val="both"/>
      </w:pPr>
      <w:r>
        <w:rPr>
          <w:rFonts w:ascii="宋体" w:hAnsi="宋体" w:eastAsia="宋体"/>
          <w:b/>
          <w:sz w:val="24"/>
        </w:rPr>
        <w:t>第一板块：理论基础与分析框架（第2—4章）。</w:t>
      </w:r>
      <w:r>
        <w:rPr>
          <w:rFonts w:ascii="宋体" w:hAnsi="宋体" w:eastAsia="宋体"/>
          <w:sz w:val="24"/>
        </w:rPr>
        <w:t xml:space="preserve"> 第2章界定核心概念、系统梳理市场分割、资源错配与要素配置的相关文献，并阐明本书的理论基础与研究空间；第3章考察全国统一大市场建设的历史逻辑、制度演进与现实图景，以翔实的数据勾勒典型事实；第4章构建包含商品市场与要素市场双重摩擦的空间一般均衡模型，通过数理推导提出核心命题，奠定全书的理论基础。</w:t>
      </w:r>
    </w:p>
    <w:p>
      <w:pPr>
        <w:spacing w:line="360" w:lineRule="auto" w:after="0"/>
        <w:ind w:firstLineChars="200" w:firstLine="480"/>
        <w:jc w:val="both"/>
      </w:pPr>
      <w:r>
        <w:rPr>
          <w:rFonts w:ascii="宋体" w:hAnsi="宋体" w:eastAsia="宋体"/>
          <w:b/>
          <w:sz w:val="24"/>
        </w:rPr>
        <w:t>第二板块：测度体系与效率损失（第5—6章）。</w:t>
      </w:r>
      <w:r>
        <w:rPr>
          <w:rFonts w:ascii="宋体" w:hAnsi="宋体" w:eastAsia="宋体"/>
          <w:sz w:val="24"/>
        </w:rPr>
        <w:t xml:space="preserve"> 第5章构建全国统一大市场建设指数（NUMI）及其六个分维度指标，刻画2006—2023年的时空演变格局；第6章测度劳动力、资本、土地等要素的错配程度，估计要素错配造成的全要素生产率损失。</w:t>
      </w:r>
    </w:p>
    <w:p>
      <w:pPr>
        <w:spacing w:line="360" w:lineRule="auto" w:after="0"/>
        <w:ind w:firstLineChars="200" w:firstLine="480"/>
        <w:jc w:val="both"/>
      </w:pPr>
      <w:r>
        <w:rPr>
          <w:rFonts w:ascii="宋体" w:hAnsi="宋体" w:eastAsia="宋体"/>
          <w:b/>
          <w:sz w:val="24"/>
        </w:rPr>
        <w:t>第三板块：因果识别与机制检验（第7—9章）。</w:t>
      </w:r>
      <w:r>
        <w:rPr>
          <w:rFonts w:ascii="宋体" w:hAnsi="宋体" w:eastAsia="宋体"/>
          <w:sz w:val="24"/>
        </w:rPr>
        <w:t xml:space="preserve"> 第7章以双向固定效应模型为基础，识别统一大市场建设对要素配置效率的基准影响并进行稳健性检验；第8章从要素流动、竞争淘汰、创新激励等方面检验作用机制，并从区域、要素类型等维度考察异质性；第9章借助工具变量与多期双重差分法进行因果识别，并拓展考察统一大市场建设对全要素生产率、创新与区域协调发展的经济效应。</w:t>
      </w:r>
    </w:p>
    <w:p>
      <w:pPr>
        <w:spacing w:line="360" w:lineRule="auto" w:after="0"/>
        <w:ind w:firstLineChars="200" w:firstLine="480"/>
        <w:jc w:val="both"/>
      </w:pPr>
      <w:r>
        <w:rPr>
          <w:rFonts w:ascii="宋体" w:hAnsi="宋体" w:eastAsia="宋体"/>
          <w:b/>
          <w:sz w:val="24"/>
        </w:rPr>
        <w:t>第四板块：结论与政策（第10章）。</w:t>
      </w:r>
      <w:r>
        <w:rPr>
          <w:rFonts w:ascii="宋体" w:hAnsi="宋体" w:eastAsia="宋体"/>
          <w:sz w:val="24"/>
        </w:rPr>
        <w:t xml:space="preserve"> 第10章总结全书主要结论，从破除地方保护、深化要素市场化改革、统一市场制度规则、推进设施联通、健全激励相容机制等方面提出政策建议，并指出研究不足与未来展望。</w:t>
      </w:r>
    </w:p>
    <w:p>
      <w:pPr>
        <w:spacing w:line="360" w:lineRule="auto" w:after="0"/>
        <w:ind w:firstLineChars="200" w:firstLine="480"/>
        <w:jc w:val="both"/>
      </w:pPr>
      <w:r>
        <w:rPr>
          <w:rFonts w:ascii="宋体" w:hAnsi="宋体" w:eastAsia="宋体"/>
          <w:sz w:val="24"/>
        </w:rPr>
        <w:t>从"理论—测度—实证—政策"的整体逻辑看，各章之间环环相扣、层层递进：理论板块提出"统一大市场建设→要素错配下降→配置效率与全要素生产率提升"的核心命题并给出数理刻画；测度板块为核心解释变量（NUMI）与被解释变量（要素配置效率、错配损失）提供可靠的量化基础；实证板块以严谨的因果识别检验理论命题并揭示机制与异质性；政策板块则将研究发现转化为可操作的改革建议，从而形成从学理探讨到现实关切的闭环。这一结构安排力求使全书既有理论深度，又有经验支撑与政策针对性。</w:t>
      </w:r>
    </w:p>
    <w:p>
      <w:pPr>
        <w:spacing w:line="360" w:lineRule="auto" w:after="0"/>
        <w:ind w:firstLineChars="200" w:firstLine="480"/>
        <w:jc w:val="both"/>
      </w:pPr>
      <w:r>
        <w:rPr>
          <w:rFonts w:ascii="宋体" w:hAnsi="宋体" w:eastAsia="宋体"/>
          <w:sz w:val="24"/>
        </w:rPr>
        <w:t>需要说明的是，上述各章在内容上各有侧重、在方法上前后照应：理论章为实证章提供命题与识别对象，测度章为实证章提供变量与事实基础，实证章为政策章提供经验依据，政策章则回应导论提出的核心问题。读者既可循章顺读以把握完整逻辑，也可根据关注点选择理论、测度、实证或政策板块重点研读。为便于阅读，各章大体以"引言—主体—小结"的结构展开，并在关键处以图表呈现核心结果。</w:t>
      </w:r>
    </w:p>
    <w:p>
      <w:pPr>
        <w:keepNext/>
        <w:spacing w:before="160" w:after="120" w:line="360" w:lineRule="auto"/>
      </w:pPr>
      <w:r>
        <w:rPr>
          <w:rFonts w:ascii="黑体" w:hAnsi="黑体" w:eastAsia="黑体"/>
          <w:sz w:val="28"/>
        </w:rPr>
        <w:t>1.6  可能的创新与不足</w:t>
      </w:r>
    </w:p>
    <w:p>
      <w:pPr>
        <w:spacing w:line="360" w:lineRule="auto" w:after="0"/>
        <w:ind w:firstLineChars="200" w:firstLine="480"/>
        <w:jc w:val="both"/>
      </w:pPr>
      <w:r>
        <w:rPr>
          <w:rFonts w:ascii="宋体" w:hAnsi="宋体" w:eastAsia="宋体"/>
          <w:sz w:val="24"/>
        </w:rPr>
        <w:t>本书可能的创新之处主要体现在三个方面。</w:t>
      </w:r>
      <w:r>
        <w:rPr>
          <w:rFonts w:ascii="宋体" w:hAnsi="宋体" w:eastAsia="宋体"/>
          <w:b/>
          <w:sz w:val="24"/>
        </w:rPr>
        <w:t>在概念与理论上</w:t>
      </w:r>
      <w:r>
        <w:rPr>
          <w:rFonts w:ascii="宋体" w:hAnsi="宋体" w:eastAsia="宋体"/>
          <w:sz w:val="24"/>
        </w:rPr>
        <w:t>，提出"要素市场的行政性分割"与"制度性配置楔子"概念，构建了统一大市场建设影响要素配置效率的空间一般均衡分析框架，推导出总量全要素生产率与要素楔子离散度的解析关系，并揭示商品市场整合与要素市场整合的互补性，为理解中国式市场分割及其效率后果提供了本土化的理论工具。</w:t>
      </w:r>
      <w:r>
        <w:rPr>
          <w:rFonts w:ascii="宋体" w:hAnsi="宋体" w:eastAsia="宋体"/>
          <w:b/>
          <w:sz w:val="24"/>
        </w:rPr>
        <w:t>在测度上</w:t>
      </w:r>
      <w:r>
        <w:rPr>
          <w:rFonts w:ascii="宋体" w:hAnsi="宋体" w:eastAsia="宋体"/>
          <w:sz w:val="24"/>
        </w:rPr>
        <w:t>，构建了涵盖商品、劳动力、资本、土地、技术与数据、制度环境六维的全国统一大市场建设指数，相较以往单一维度的分割指数更为全面，并刻画了其时空演变与区域差异。</w:t>
      </w:r>
      <w:r>
        <w:rPr>
          <w:rFonts w:ascii="宋体" w:hAnsi="宋体" w:eastAsia="宋体"/>
          <w:b/>
          <w:sz w:val="24"/>
        </w:rPr>
        <w:t>在经验证据上</w:t>
      </w:r>
      <w:r>
        <w:rPr>
          <w:rFonts w:ascii="宋体" w:hAnsi="宋体" w:eastAsia="宋体"/>
          <w:sz w:val="24"/>
        </w:rPr>
        <w:t>，综合运用双向固定效应、工具变量与多期双重差分等方法，较为系统地识别了统一大市场建设影响要素配置效率的因果效应、作用机制与异质性，发现统一大市场建设水平每提升一个标准差，要素配置效率显著提高，且其边际红利在初始分割程度较高的地区更大，为"命题3"提供了经验支持。</w:t>
      </w:r>
    </w:p>
    <w:p>
      <w:pPr>
        <w:spacing w:line="360" w:lineRule="auto" w:after="0"/>
        <w:ind w:firstLineChars="200" w:firstLine="480"/>
        <w:jc w:val="both"/>
      </w:pPr>
      <w:r>
        <w:rPr>
          <w:rFonts w:ascii="宋体" w:hAnsi="宋体" w:eastAsia="宋体"/>
          <w:sz w:val="24"/>
        </w:rPr>
        <w:t>此外，在研究视角与方法集成上，本书亦有若干新的尝试：一是坚持"商品市场—要素市场"并重、以要素市场为重点的分析视角，纠正以往市场一体化研究偏重商品市场的倾向；二是将规范的理论建模、系统的指数测度与多策略的因果识别有机结合，形成"理论命题—测度识别—机制检验"相互印证的完整证据链；三是把学术研究与政策评估相衔接，使本书的测度体系与主要结论能够直接服务于全国统一大市场建设的进展监测与成效评估。</w:t>
      </w:r>
    </w:p>
    <w:p>
      <w:pPr>
        <w:spacing w:line="360" w:lineRule="auto" w:after="0"/>
        <w:ind w:firstLineChars="200" w:firstLine="480"/>
        <w:jc w:val="both"/>
      </w:pPr>
      <w:r>
        <w:rPr>
          <w:rFonts w:ascii="宋体" w:hAnsi="宋体" w:eastAsia="宋体"/>
          <w:sz w:val="24"/>
        </w:rPr>
        <w:t>本书也存在一些不足。其一，受数据可得性限制，统一大市场建设指数的部分分维度指标以省级宏观数据为主，尚难充分捕捉市场分割在城市、行业乃至企业层面的微观异质性；其二，理论模型为突出核心机制进行了必要简化，对要素市场分割的动态调整、预期与政治经济学因素的刻画有待深化；其三，作为一项晚近的制度变革，全国统一大市场建设的中长期效应仍有待更长时间窗口的数据加以检验。这些不足也为后续研究留下了拓展空间。</w:t>
      </w:r>
    </w:p>
    <w:p>
      <w:pPr>
        <w:spacing w:line="360" w:lineRule="auto" w:after="0"/>
        <w:ind w:firstLineChars="200" w:firstLine="480"/>
        <w:jc w:val="both"/>
      </w:pPr>
      <w:r>
        <w:rPr>
          <w:rFonts w:ascii="宋体" w:hAnsi="宋体" w:eastAsia="宋体"/>
          <w:sz w:val="24"/>
        </w:rPr>
        <w:t>面向未来，至少有三个方向值得进一步拓展：其一，随着企业级、个体级微观数据和高频交易数据日益丰富，可在更细颗粒度上刻画市场分割与要素错配的微观机制；其二，可将数据要素市场、全国统一电力市场、全国碳排放权交易市场等新兴统一市场纳入分析，考察新型要素与新型市场对配置效率的影响；其三，可在开放经济框架下考察国内统一大市场与国际市场的互动，揭示统一大市场建设对畅通国内国际双循环、增强产业链供应链韧性的作用。这些拓展有望在本书搭建的分析框架上持续深化对"统一大市场—要素配置效率"这一重大命题的认识。</w:t>
      </w:r>
    </w:p>
    <w:p>
      <w:pPr>
        <w:spacing w:line="360" w:lineRule="auto" w:after="0"/>
        <w:ind w:firstLineChars="200" w:firstLine="480"/>
        <w:jc w:val="both"/>
      </w:pPr>
      <w:r>
        <w:rPr>
          <w:rFonts w:ascii="宋体" w:hAnsi="宋体" w:eastAsia="宋体"/>
          <w:sz w:val="24"/>
        </w:rPr>
        <w:t>总之，本章交代了研究的背景与问题、意义与概念、思路与方法、结构与创新，勾勒出全书的整体框架。作为逻辑起点，导论所提出的"统一大市场建设如何影响要素配置效率"这一核心问题，将在随后各章中被逐步展开、检验与回答。下一章将在系统梳理市场分割、资源错配与要素配置相关文献的基础上，进一步阐明本书的理论基础与研究空间，为理论框架的构建作好铺垫。</w:t>
      </w:r>
    </w:p>
    <w:p>
      <w:r>
        <w:br w:type="page"/>
      </w:r>
    </w:p>
    <w:p>
      <w:pPr>
        <w:keepNext/>
        <w:spacing w:before="240" w:after="160" w:line="360" w:lineRule="auto"/>
        <w:jc w:val="center"/>
      </w:pPr>
      <w:r>
        <w:rPr>
          <w:rFonts w:ascii="黑体" w:hAnsi="黑体" w:eastAsia="黑体"/>
          <w:b/>
          <w:sz w:val="30"/>
        </w:rPr>
        <w:t>第2章  概念界定、文献综述与理论基础</w:t>
      </w:r>
    </w:p>
    <w:p>
      <w:pPr>
        <w:spacing w:line="360" w:lineRule="auto" w:after="0"/>
        <w:ind w:firstLineChars="200" w:firstLine="480"/>
        <w:jc w:val="both"/>
      </w:pPr>
      <w:r>
        <w:rPr>
          <w:rFonts w:ascii="宋体" w:hAnsi="宋体" w:eastAsia="宋体"/>
          <w:sz w:val="24"/>
        </w:rPr>
        <w:t>任何严谨的经验研究都必须建立在清晰的概念界定与扎实的理论基础之上。本章承担三重任务：其一，界定并辨析贯穿全书的核心概念，厘清"全国统一大市场""市场分割""要素市场的行政性分割""制度性配置楔子"与"要素配置效率"等术语的内涵、外延及其相互关系，为后续的理论建模与实证测度提供统一的语义基准；其二，系统梳理市场分割与市场一体化、资源错配与全要素生产率、要素市场化与统一大市场建设三大领域的研究进展，在与既有文献充分对话的基础上呈现学术共识、争论焦点与尚未解决的问题；其三，阐明本书所依托的新经济地理、财政分权与地方政府竞争、资源错配以及竞争与创新四大理论脉络，并据此提炼本书的研究空间与边际贡献。全章的逻辑主线是：从"分割—错配—低效率"这一中国式经济现象出发，追问既有理论工具在多大程度上能够刻画要素市场层面的制度性分割及其配置效率后果，进而为第4章的空间一般均衡建模和第5章及其后的测度与识别铺设概念与文献的地基。</w:t>
      </w:r>
    </w:p>
    <w:p>
      <w:pPr>
        <w:keepNext/>
        <w:spacing w:before="160" w:after="120" w:line="360" w:lineRule="auto"/>
      </w:pPr>
      <w:r>
        <w:rPr>
          <w:rFonts w:ascii="黑体" w:hAnsi="黑体" w:eastAsia="黑体"/>
          <w:sz w:val="28"/>
        </w:rPr>
        <w:t>2.1  核心概念的界定与辨析</w:t>
      </w:r>
    </w:p>
    <w:p>
      <w:pPr>
        <w:spacing w:line="360" w:lineRule="auto" w:after="0"/>
        <w:ind w:firstLineChars="200" w:firstLine="480"/>
        <w:jc w:val="both"/>
      </w:pPr>
      <w:r>
        <w:rPr>
          <w:rFonts w:ascii="宋体" w:hAnsi="宋体" w:eastAsia="宋体"/>
          <w:sz w:val="24"/>
        </w:rPr>
        <w:t>概念是理论的细胞。中国的市场分割与要素错配现象具有鲜明的转型经济与分权体制特征，直接套用源自发达市场经济的概念范畴往往难以贴切刻画。本节在与政策文本和既有文献对照的基础上，逐一界定本书的五个核心概念，并对若干易于混淆的相近概念进行辨析，力求做到"名实相符、边界清晰"。</w:t>
      </w:r>
    </w:p>
    <w:p>
      <w:pPr>
        <w:keepNext/>
        <w:spacing w:before="160" w:after="120" w:line="360" w:lineRule="auto"/>
      </w:pPr>
      <w:r>
        <w:rPr>
          <w:rFonts w:ascii="黑体" w:hAnsi="黑体" w:eastAsia="黑体"/>
          <w:sz w:val="24"/>
        </w:rPr>
        <w:t>2.1.1  全国统一大市场的内涵与"由大到强"</w:t>
      </w:r>
    </w:p>
    <w:p>
      <w:pPr>
        <w:spacing w:line="360" w:lineRule="auto" w:after="0"/>
        <w:ind w:firstLineChars="200" w:firstLine="480"/>
        <w:jc w:val="both"/>
      </w:pPr>
      <w:r>
        <w:rPr>
          <w:rFonts w:ascii="宋体" w:hAnsi="宋体" w:eastAsia="宋体"/>
          <w:sz w:val="24"/>
        </w:rPr>
        <w:t>全国统一大市场是一个兼具政策话语与学理内涵的复合概念。从政策文本看，《意见》，2022将其操作化为"五统一"：市场基础制度规则统一、市场设施高标准联通、要素和资源市场统一、商品和服务市场高水平统一、市场监管公平统一；二十届三中全会《决定》，2024进一步将其目标凝练为"高效规范、公平竞争、充分开放"，并明确提出培育全国一体化的技术和数据市场、构建城乡统一的建设用地市场；《建设指引》，2025则以"必选、红线、可选"三类清单将其推向可考核、可操作的实施层面。综合政策与学理，本书将全国统一大市场界定为：在全国范围内，商品和要素能够按照统一规则和标准自由流动、公平交易，价格主要由供求关系决定，不存在人为行政壁垒和地区歧视的市场体系。它在本质上是一种由制度供给所支撑的、具有非竞争性与非排他性的公共品。</w:t>
      </w:r>
    </w:p>
    <w:p>
      <w:pPr>
        <w:spacing w:line="360" w:lineRule="auto" w:after="0"/>
        <w:ind w:firstLineChars="200" w:firstLine="480"/>
        <w:jc w:val="both"/>
      </w:pPr>
      <w:r>
        <w:rPr>
          <w:rFonts w:ascii="宋体" w:hAnsi="宋体" w:eastAsia="宋体"/>
          <w:sz w:val="24"/>
        </w:rPr>
        <w:t>学界对统一大市场的理论认识经历了由"整合总体市场"到"打通要素堵点"的深化。刘志彪和孔令池，2021将建设国内统一大市场概括为"从分割走向整合"的历史进程，强调其阻力主要来自地方政府的分割动机与既得利益格局；刘志彪，2021进一步指出，统一大市场并非要素与商品的简单"物理集聚"，而是要在制度层面消除地方保护、形成竞争有序的市场秩序。与传统"有效市场"理论不同，陈云贤，2019提出的"有为政府+有效市场"框架强调，中国统一大市场的建设离不开政府在制度规则统一和公共设施联通上的积极作为。本书由此强调，全国统一大市场的核心不在"大"而在"统一"与"强"——一个覆盖14亿多人口的超大规模市场若被行政边界层层切割，其规模优势便无法转化为分工深化、规模经济和竞争筛选的现实竞争力。"由大到强"的关键，正在于把被行政性分割所抑制的潜在市场规模释放为有效的配置效率。</w:t>
      </w:r>
    </w:p>
    <w:p>
      <w:pPr>
        <w:keepNext/>
        <w:spacing w:before="160" w:after="120" w:line="360" w:lineRule="auto"/>
      </w:pPr>
      <w:r>
        <w:rPr>
          <w:rFonts w:ascii="黑体" w:hAnsi="黑体" w:eastAsia="黑体"/>
          <w:sz w:val="24"/>
        </w:rPr>
        <w:t>2.1.2  市场分割与要素市场的行政性分割</w:t>
      </w:r>
    </w:p>
    <w:p>
      <w:pPr>
        <w:spacing w:line="360" w:lineRule="auto" w:after="0"/>
        <w:ind w:firstLineChars="200" w:firstLine="480"/>
        <w:jc w:val="both"/>
      </w:pPr>
      <w:r>
        <w:rPr>
          <w:rFonts w:ascii="宋体" w:hAnsi="宋体" w:eastAsia="宋体"/>
          <w:sz w:val="24"/>
        </w:rPr>
        <w:t>市场分割是统一大市场的对立面。银温泉和才婉茹，2001较早从治理视角将地方市场分割界定为地方政府运用行政权力人为设置的地区间市场壁垒，并将其成因追溯至财政包干与地方利益的固化；Young，2000则以"剃刀边缘"（razor's edge）之喻，警示渐进式改革可能诱致省际贸易壁垒的强化。本书对市场分割的界定强调其"行政性"与"人为性"：它是由行政力量而非自然地理或运输技术造成的、跨行政区商品与要素流动的制度性摩擦，因而在原则上可以通过改革予以消除，这正是它区别于运输成本等"自然分割"的根本所在。</w:t>
      </w:r>
    </w:p>
    <w:p>
      <w:pPr>
        <w:spacing w:line="360" w:lineRule="auto" w:after="0"/>
        <w:ind w:firstLineChars="200" w:firstLine="480"/>
        <w:jc w:val="both"/>
      </w:pPr>
      <w:r>
        <w:rPr>
          <w:rFonts w:ascii="宋体" w:hAnsi="宋体" w:eastAsia="宋体"/>
          <w:sz w:val="24"/>
        </w:rPr>
        <w:t>既有研究对市场分割的刻画大多停留在商品市场层面，沿用国际贸易的"冰山成本"思路度量省际相对价格离散度。然而，中国市场分割最深刻、最隐蔽的部分并不在商品市场，而在要素市场。为此，本书提出并界定核心概念——</w:t>
      </w:r>
      <w:r>
        <w:rPr>
          <w:rFonts w:ascii="宋体" w:hAnsi="宋体" w:eastAsia="宋体"/>
          <w:b/>
          <w:sz w:val="24"/>
        </w:rPr>
        <w:t>要素市场的行政性分割</w:t>
      </w:r>
      <w:r>
        <w:rPr>
          <w:rFonts w:ascii="宋体" w:hAnsi="宋体" w:eastAsia="宋体"/>
          <w:sz w:val="24"/>
        </w:rPr>
        <w:t>：指劳动力、资本、土地、技术与数据等生产要素，因户籍管制、金融资源属地化配置、建设用地指标行政化分解、数据地区封锁等制度安排，在跨行政区流动时所面临的非市场化壁垒（《要素市场化配置意见》，2020；Brandt等，2013）。它有三个规定性：一是</w:t>
      </w:r>
      <w:r>
        <w:rPr>
          <w:rFonts w:ascii="宋体" w:hAnsi="宋体" w:eastAsia="宋体"/>
          <w:b/>
          <w:sz w:val="24"/>
        </w:rPr>
        <w:t>要素性</w:t>
      </w:r>
      <w:r>
        <w:rPr>
          <w:rFonts w:ascii="宋体" w:hAnsi="宋体" w:eastAsia="宋体"/>
          <w:sz w:val="24"/>
        </w:rPr>
        <w:t>，作用对象是生产要素而非最终商品；二是</w:t>
      </w:r>
      <w:r>
        <w:rPr>
          <w:rFonts w:ascii="宋体" w:hAnsi="宋体" w:eastAsia="宋体"/>
          <w:b/>
          <w:sz w:val="24"/>
        </w:rPr>
        <w:t>行政性</w:t>
      </w:r>
      <w:r>
        <w:rPr>
          <w:rFonts w:ascii="宋体" w:hAnsi="宋体" w:eastAsia="宋体"/>
          <w:sz w:val="24"/>
        </w:rPr>
        <w:t>，根源在于行政边界与制度安排而非技术与地理；三是</w:t>
      </w:r>
      <w:r>
        <w:rPr>
          <w:rFonts w:ascii="宋体" w:hAnsi="宋体" w:eastAsia="宋体"/>
          <w:b/>
          <w:sz w:val="24"/>
        </w:rPr>
        <w:t>制度可塑性</w:t>
      </w:r>
      <w:r>
        <w:rPr>
          <w:rFonts w:ascii="宋体" w:hAnsi="宋体" w:eastAsia="宋体"/>
          <w:sz w:val="24"/>
        </w:rPr>
        <w:t>，可通过户籍、财税、土地、数据等领域的改革加以削减。相较于商品市场分割，要素市场的行政性分割直接扭曲要素价格信号、阻碍要素由低效率向高效率部门与地区再配置，其配置效率后果更为深远（陆铭和陈钊，2009）。</w:t>
      </w:r>
    </w:p>
    <w:p>
      <w:pPr>
        <w:keepNext/>
        <w:spacing w:before="160" w:after="120" w:line="360" w:lineRule="auto"/>
      </w:pPr>
      <w:r>
        <w:rPr>
          <w:rFonts w:ascii="黑体" w:hAnsi="黑体" w:eastAsia="黑体"/>
          <w:sz w:val="24"/>
        </w:rPr>
        <w:t>2.1.3  制度性配置楔子与要素配置效率</w:t>
      </w:r>
    </w:p>
    <w:p>
      <w:pPr>
        <w:spacing w:line="360" w:lineRule="auto" w:after="0"/>
        <w:ind w:firstLineChars="200" w:firstLine="480"/>
        <w:jc w:val="both"/>
      </w:pPr>
      <w:r>
        <w:rPr>
          <w:rFonts w:ascii="宋体" w:hAnsi="宋体" w:eastAsia="宋体"/>
          <w:sz w:val="24"/>
        </w:rPr>
        <w:t>为在统一框架内刻画要素市场分割的效率后果，本书借鉴资源错配文献的"楔子"（wedge）思想（Hsieh和Klenow，2009；Restuccia和Rogerson，2008），提出</w:t>
      </w:r>
      <w:r>
        <w:rPr>
          <w:rFonts w:ascii="宋体" w:hAnsi="宋体" w:eastAsia="宋体"/>
          <w:b/>
          <w:sz w:val="24"/>
        </w:rPr>
        <w:t>制度性配置楔子</w:t>
      </w:r>
      <w:r>
        <w:rPr>
          <w:rFonts w:ascii="宋体" w:hAnsi="宋体" w:eastAsia="宋体"/>
          <w:sz w:val="24"/>
        </w:rPr>
        <w:t>这一概念。当要素市场完全一体化、不存在制度性壁垒时，同质要素在不同地区、部门、企业之间的边际收益产品应趋于相等；而现实中，户籍、金融、土地等制度性摩擦会在要素的边际收益产品与其机会成本之间打入一个"楔子"，使二者之比偏离1。本书用制度性配置楔子刻画这一由制度性分割造成的偏离，并以其</w:t>
      </w:r>
      <w:r>
        <w:rPr>
          <w:rFonts w:ascii="宋体" w:hAnsi="宋体" w:eastAsia="宋体"/>
          <w:b/>
          <w:sz w:val="24"/>
        </w:rPr>
        <w:t>跨地区/跨部门的对数离散度</w:t>
      </w:r>
      <w:r>
        <w:rPr>
          <w:rFonts w:ascii="宋体" w:hAnsi="宋体" w:eastAsia="宋体"/>
          <w:sz w:val="24"/>
        </w:rPr>
        <w:t>（即楔子对数的方差）度量配置扭曲的总体严重程度。这一思路与陈永伟和胡伟民，2011"价格扭曲—要素错配—效率损失"的分析传统一脉相承，但更强调楔子的制度来源与可观测性：正如第4章将证明的，不可观测的楔子离散度可由可观测的价格离散度与要素回报离散度加以识别。</w:t>
      </w:r>
    </w:p>
    <w:p>
      <w:pPr>
        <w:spacing w:line="360" w:lineRule="auto" w:after="0"/>
        <w:ind w:firstLineChars="200" w:firstLine="480"/>
        <w:jc w:val="both"/>
      </w:pPr>
      <w:r>
        <w:rPr>
          <w:rFonts w:ascii="宋体" w:hAnsi="宋体" w:eastAsia="宋体"/>
          <w:sz w:val="24"/>
        </w:rPr>
        <w:t>与楔子相对应，</w:t>
      </w:r>
      <w:r>
        <w:rPr>
          <w:rFonts w:ascii="宋体" w:hAnsi="宋体" w:eastAsia="宋体"/>
          <w:b/>
          <w:sz w:val="24"/>
        </w:rPr>
        <w:t>要素配置效率</w:t>
      </w:r>
      <w:r>
        <w:rPr>
          <w:rFonts w:ascii="宋体" w:hAnsi="宋体" w:eastAsia="宋体"/>
          <w:sz w:val="24"/>
        </w:rPr>
        <w:t>指要素在地区、部门、企业之间的配置使总产出（或社会福利）达到或接近最优的程度。在测度上，本书以"1减去标准化的要素错配指数"度量地区层面的要素配置效率（记为</w:t>
      </w:r>
      <m:oMath>
        <m:r>
          <m:t>A</m:t>
        </m:r>
        <m:r>
          <m:t>C</m:t>
        </m:r>
        <m:r>
          <m:t>E</m:t>
        </m:r>
      </m:oMath>
      <w:r>
        <w:rPr>
          <w:rFonts w:ascii="宋体" w:hAnsi="宋体" w:eastAsia="宋体"/>
          <w:sz w:val="24"/>
        </w:rPr>
        <w:t>），并以其与全要素生产率的联系刻画配置效率对经济增长的贡献。需要强调的是，要素配置效率是一个相对而非绝对的概念：它衡量的是既定要素禀赋与技术条件下，配置结构相对于最优基准的接近程度，而非要素的绝对生产率水平。楔子离散度越大，配置越偏离最优，配置效率越低；统一大市场建设通过削减制度性楔子及其离散度来提升配置效率，构成了本书理论主线"NUMI↑→楔子离散度↓→配置效率与TFP↑"的微观基础。</w:t>
      </w:r>
    </w:p>
    <w:p>
      <w:pPr>
        <w:keepNext/>
        <w:spacing w:before="160" w:after="120" w:line="360" w:lineRule="auto"/>
      </w:pPr>
      <w:r>
        <w:rPr>
          <w:rFonts w:ascii="黑体" w:hAnsi="黑体" w:eastAsia="黑体"/>
          <w:sz w:val="24"/>
        </w:rPr>
        <w:t>2.1.4  相近概念辨析</w:t>
      </w:r>
    </w:p>
    <w:p>
      <w:pPr>
        <w:spacing w:line="360" w:lineRule="auto" w:after="0"/>
        <w:ind w:firstLineChars="200" w:firstLine="480"/>
        <w:jc w:val="both"/>
      </w:pPr>
      <w:r>
        <w:rPr>
          <w:rFonts w:ascii="宋体" w:hAnsi="宋体" w:eastAsia="宋体"/>
          <w:sz w:val="24"/>
        </w:rPr>
        <w:t>为避免概念混用，有必要辨析若干与统一大市场相关而又不尽相同的术语。其一，</w:t>
      </w:r>
      <w:r>
        <w:rPr>
          <w:rFonts w:ascii="宋体" w:hAnsi="宋体" w:eastAsia="宋体"/>
          <w:b/>
          <w:sz w:val="24"/>
        </w:rPr>
        <w:t>市场一体化（整合）与统一大市场</w:t>
      </w:r>
      <w:r>
        <w:rPr>
          <w:rFonts w:ascii="宋体" w:hAnsi="宋体" w:eastAsia="宋体"/>
          <w:sz w:val="24"/>
        </w:rPr>
        <w:t>。市场一体化（market integration）通常指价格与数量意义上市场趋于连通的状态或过程，是一个描述性、程度性概念；统一大市场则更强调制度规则的统一与市场秩序的规范，是一个兼含状态与制度建构的规范性概念。既有文献多以"市场分割/一体化"指代前者（桂琦寒等，2006；盛斌和毛其淋，2011），本书在测度部分构建的NUMI指数正是要把这一描述性维度与制度维度加以综合。</w:t>
      </w:r>
    </w:p>
    <w:p>
      <w:pPr>
        <w:spacing w:line="360" w:lineRule="auto" w:after="0"/>
        <w:ind w:firstLineChars="200" w:firstLine="480"/>
        <w:jc w:val="both"/>
      </w:pPr>
      <w:r>
        <w:rPr>
          <w:rFonts w:ascii="宋体" w:hAnsi="宋体" w:eastAsia="宋体"/>
          <w:sz w:val="24"/>
        </w:rPr>
        <w:t>其二，</w:t>
      </w:r>
      <w:r>
        <w:rPr>
          <w:rFonts w:ascii="宋体" w:hAnsi="宋体" w:eastAsia="宋体"/>
          <w:b/>
          <w:sz w:val="24"/>
        </w:rPr>
        <w:t>地方保护主义与行政垄断</w:t>
      </w:r>
      <w:r>
        <w:rPr>
          <w:rFonts w:ascii="宋体" w:hAnsi="宋体" w:eastAsia="宋体"/>
          <w:sz w:val="24"/>
        </w:rPr>
        <w:t>。地方保护主义侧重地方政府对本地企业和市场的横向保护，行政垄断则侧重行政权力对竞争的纵向限制（靳来群等，2015）；二者常常交织，共同构成市场分割的制度根源，近年来公平竞争审查与反垄断执法正是针对行政垄断而设（叶光亮等，2022；杨兴全和张可欣，2023）。其三，</w:t>
      </w:r>
      <w:r>
        <w:rPr>
          <w:rFonts w:ascii="宋体" w:hAnsi="宋体" w:eastAsia="宋体"/>
          <w:b/>
          <w:sz w:val="24"/>
        </w:rPr>
        <w:t>市场化与市场统一</w:t>
      </w:r>
      <w:r>
        <w:rPr>
          <w:rFonts w:ascii="宋体" w:hAnsi="宋体" w:eastAsia="宋体"/>
          <w:sz w:val="24"/>
        </w:rPr>
        <w:t>。市场化（marketization）刻画的是资源配置由计划向市场转变的总体进程，以王小鲁等，2021的市场化指数为代表；市场统一则聚焦于打破地区间壁垒、形成全国范围内竞争有序的单一市场。一个地区可能市场化程度较高却仍受制于对外的市场分割，反之亦然，二者不可相互替代。其四，</w:t>
      </w:r>
      <w:r>
        <w:rPr>
          <w:rFonts w:ascii="宋体" w:hAnsi="宋体" w:eastAsia="宋体"/>
          <w:b/>
          <w:sz w:val="24"/>
        </w:rPr>
        <w:t>要素错配与要素扭曲</w:t>
      </w:r>
      <w:r>
        <w:rPr>
          <w:rFonts w:ascii="宋体" w:hAnsi="宋体" w:eastAsia="宋体"/>
          <w:sz w:val="24"/>
        </w:rPr>
        <w:t>。要素扭曲（factor distortion）多指要素价格偏离其边际产品的现象（罗德明等，2012），是错配的价格表现；要素错配（factor misallocation）则指扭曲累积导致的配置结构偏离最优、造成总量产出损失的结果。本书的制度性配置楔子刻画扭曲，配置效率刻画错配的反面，二者在逻辑上首尾相衔。</w:t>
      </w:r>
    </w:p>
    <w:p>
      <w:pPr>
        <w:keepNext/>
        <w:spacing w:before="160" w:after="120" w:line="360" w:lineRule="auto"/>
      </w:pPr>
      <w:r>
        <w:rPr>
          <w:rFonts w:ascii="黑体" w:hAnsi="黑体" w:eastAsia="黑体"/>
          <w:sz w:val="28"/>
        </w:rPr>
        <w:t>2.2  市场分割与市场一体化研究进展</w:t>
      </w:r>
    </w:p>
    <w:p>
      <w:pPr>
        <w:spacing w:line="360" w:lineRule="auto" w:after="0"/>
        <w:ind w:firstLineChars="200" w:firstLine="480"/>
        <w:jc w:val="both"/>
      </w:pPr>
      <w:r>
        <w:rPr>
          <w:rFonts w:ascii="宋体" w:hAnsi="宋体" w:eastAsia="宋体"/>
          <w:sz w:val="24"/>
        </w:rPr>
        <w:t>市场分割是理解中国区域经济与配置效率的一把钥匙，也是本书问题意识的直接来源。围绕"中国国内市场究竟是趋于分割还是趋于整合"这一经典命题，学界在测度方法、成因机理和经济后果三个方向上积累了丰富成果，也留下了持续的争论。本节沿此三条线索展开评述。</w:t>
      </w:r>
    </w:p>
    <w:p>
      <w:pPr>
        <w:keepNext/>
        <w:spacing w:before="160" w:after="120" w:line="360" w:lineRule="auto"/>
      </w:pPr>
      <w:r>
        <w:rPr>
          <w:rFonts w:ascii="黑体" w:hAnsi="黑体" w:eastAsia="黑体"/>
          <w:sz w:val="24"/>
        </w:rPr>
        <w:t>2.2.1  市场分割的测度：从贸易流量到相对价格</w:t>
      </w:r>
    </w:p>
    <w:p>
      <w:pPr>
        <w:spacing w:line="360" w:lineRule="auto" w:after="0"/>
        <w:ind w:firstLineChars="200" w:firstLine="480"/>
        <w:jc w:val="both"/>
      </w:pPr>
      <w:r>
        <w:rPr>
          <w:rFonts w:ascii="宋体" w:hAnsi="宋体" w:eastAsia="宋体"/>
          <w:sz w:val="24"/>
        </w:rPr>
        <w:t>市场分割的测度是全部经验研究的起点。早期文献多采用生产法与贸易流量法，以地区产业结构的趋同度或省际贸易规模间接推断分割程度，但这类方法难以剥离比较优势与自然禀赋的影响，识别力有限。真正具有奠基意义的转折，是Young，2000将国际贸易中的"一价定律"与"冰山成本"思想引入国内市场分割研究：若地区间存在贸易壁垒，同质商品的相对价格便无法完全套利，其跨期波动会呈现"冰山"特征。Young据此推断1978—1997年间中国省际贸易壁垒不降反升，提出著名的"剃刀边缘"论断。这一结论旋即引发广泛争论。Holz，2009重新检视Young的数据与设定，指出其结论对样本区间和价格指数的选择高度敏感，并不足以支持分割趋势性上升的判断。</w:t>
      </w:r>
    </w:p>
    <w:p>
      <w:pPr>
        <w:spacing w:line="360" w:lineRule="auto" w:after="0"/>
        <w:ind w:firstLineChars="200" w:firstLine="480"/>
        <w:jc w:val="both"/>
      </w:pPr>
      <w:r>
        <w:rPr>
          <w:rFonts w:ascii="宋体" w:hAnsi="宋体" w:eastAsia="宋体"/>
          <w:sz w:val="24"/>
        </w:rPr>
        <w:t>相对价格法在中国的系统化与本土化，主要归功于桂琦寒等，2006。他们以省际商品相对价格的方差刻画市场分割程度，通过"去除商品自身特征、仅保留地区交互效应"的处理，较好地分离了运输成本与制度性壁垒，发现改革开放以来中国国内商品市场总体上趋于整合。此后，相对价格法成为主流：（Poncet，2003；Poncet，2005）以省际与国际贸易边界效应的对比，量化"碎片化的中国"，发现国内省际边界效应甚至高于部分国家间边界；Parsley和Wei，2001则从汇率波动、运输成本与地理距离出发，为"边界效应"提供了方法论基础。国内方面，盛斌和毛其淋，2011以1985—2008年的长时段数据，刻画了国内市场一体化在波动中总体上升的趋势；赵奇伟和熊性美，2009比较了商品、资本与劳动力三大市场分割程度的时间走势与区域差异，发现要素市场分割往往比商品市场更为顽固；陈敏等，2008则将相对价格法测得的分割指数纳入增长回归，检验其规模效应含义。</w:t>
      </w:r>
    </w:p>
    <w:p>
      <w:pPr>
        <w:spacing w:line="360" w:lineRule="auto" w:after="0"/>
        <w:ind w:firstLineChars="200" w:firstLine="480"/>
        <w:jc w:val="both"/>
      </w:pPr>
      <w:r>
        <w:rPr>
          <w:rFonts w:ascii="宋体" w:hAnsi="宋体" w:eastAsia="宋体"/>
          <w:sz w:val="24"/>
        </w:rPr>
        <w:t>在方法论层面，市场分割的各类测度手段各有短长，值得审慎权衡。生产法与贸易流量法直观易得，但难以将地方保护造成的分割与比较优势驱动的专业化区分开来，容易把合意的分工误判为分割；边界效应法以国界（省界）作为壁垒的代理，逻辑严密，却对贸易数据的质量与引力模型的设定较为依赖；相对价格法巧妙地借助套利条件识别壁垒，无需完整的贸易矩阵，因而在数据受限的中国得到广泛应用，但它对价格指数的选取、商品篮子的可比性以及去趋势的处理十分敏感，且本质上只能捕捉商品市场的分割。更重要的是，几乎所有既有方法都难以直接观测要素市场的分割——劳动力、资本、土地的"影子价格"往往缺乏公开、可比的市场报价，这使得要素市场分割长期处于"可感知而难测度"的状态。这一测度困境，构成本书以要素回报离散度与制度性指标相结合来间接刻画要素市场分割的直接动因。</w:t>
      </w:r>
    </w:p>
    <w:p>
      <w:pPr>
        <w:spacing w:line="360" w:lineRule="auto" w:after="0"/>
        <w:ind w:firstLineChars="200" w:firstLine="480"/>
        <w:jc w:val="both"/>
      </w:pPr>
      <w:r>
        <w:rPr>
          <w:rFonts w:ascii="宋体" w:hAnsi="宋体" w:eastAsia="宋体"/>
          <w:sz w:val="24"/>
        </w:rPr>
        <w:t>相对价格法虽已成为共识性工具，但其局限亦不容忽视。一方面，价格方差既包含制度性分割，也可能混入需求冲击、税费差异与统计口径误差；另一方面，它主要针对商品市场，对要素市场分割的刻画力天然不足。为此，张昊，2020对"价格法"进行再探讨，主张从地区间生产分工的角度重构市场统一度的测算逻辑，以缓解相对价格法对短期价格波动的过度敏感。本书认为，正是相对价格法在要素市场维度的"失焦"，凸显了构建涵盖商品与多种要素的综合测度体系（即第5章的NUMI）的必要性：单一价格离散度指标无法回答"要素市场分割在何处、有多深、如何演变"这一本书最为关切的问题。</w:t>
      </w:r>
    </w:p>
    <w:p>
      <w:pPr>
        <w:keepNext/>
        <w:spacing w:before="160" w:after="120" w:line="360" w:lineRule="auto"/>
      </w:pPr>
      <w:r>
        <w:rPr>
          <w:rFonts w:ascii="黑体" w:hAnsi="黑体" w:eastAsia="黑体"/>
          <w:sz w:val="24"/>
        </w:rPr>
        <w:t>2.2.2  市场分割的成因：分权体制与地方激励</w:t>
      </w:r>
    </w:p>
    <w:p>
      <w:pPr>
        <w:spacing w:line="360" w:lineRule="auto" w:after="0"/>
        <w:ind w:firstLineChars="200" w:firstLine="480"/>
        <w:jc w:val="both"/>
      </w:pPr>
      <w:r>
        <w:rPr>
          <w:rFonts w:ascii="宋体" w:hAnsi="宋体" w:eastAsia="宋体"/>
          <w:sz w:val="24"/>
        </w:rPr>
        <w:t>为何中国会长期存在市场分割？主流解释指向财政分权与政治激励的双重驱动。周黎安，2004的晋升博弈模型指出，在以相对绩效为核心的官员考核下，地方政府之间形成"晋升锦标赛"，为在GDP竞赛中胜出，地方官员有强烈动机保护本地税源、扶持本地企业、排斥外地竞争者，从而在客观上制造市场分割与重复建设；周黎安，2007进一步将这一机制提炼为解释中国地方治理的一般框架。Xu，2011则以"地方分权的威权体制"（RDA）概括中国的基础性制度，认为财政与行政的双重分权既是增长奇迹的引擎，也是地方保护的温床。Qian和Weingast，1997的"维护市场的联邦主义"从正面强调分权对市场激励的保护，但同样隐含分权可能异化为地方割据的风险。</w:t>
      </w:r>
    </w:p>
    <w:p>
      <w:pPr>
        <w:spacing w:line="360" w:lineRule="auto" w:after="0"/>
        <w:ind w:firstLineChars="200" w:firstLine="480"/>
        <w:jc w:val="both"/>
      </w:pPr>
      <w:r>
        <w:rPr>
          <w:rFonts w:ascii="宋体" w:hAnsi="宋体" w:eastAsia="宋体"/>
          <w:sz w:val="24"/>
        </w:rPr>
        <w:t>在此基础上，学界进一步揭示了分割成因的多重面向。陆铭等，2004从收益递增与发展战略出发，论证了地方政府为发展本地产业而分割市场的内在逻辑，指出分割是地区间重复建设与产业同构的制度根源；（白重恩等，2004；Bai等，2004）测度了地方保护与产业地区集中度的关系，发现地方保护显著抑制了产业向比较优势地区集聚。范子英和张军，2010从财政视角切入，发现转移支付通过缓解地方财政压力而有助于国内市场整合，揭示了财政体制内部对分割的调节机制。皮建才，2008以地方政府间竞争博弈刻画区域市场整合的策略互动，说明分割与整合可能是地方政府在不同约束下的均衡选择。此外，（高翔和龙小宁，2016；刘毓芸等，2015）从文化与方言的角度提供了新证据，表明省级行政区划造成的文化分割会通过影响劳动力流动与商业信任而固化市场分割，说明分割不仅有制度成因，还有历史与文化的深层根基。</w:t>
      </w:r>
    </w:p>
    <w:p>
      <w:pPr>
        <w:spacing w:line="360" w:lineRule="auto" w:after="0"/>
        <w:ind w:firstLineChars="200" w:firstLine="480"/>
        <w:jc w:val="both"/>
      </w:pPr>
      <w:r>
        <w:rPr>
          <w:rFonts w:ascii="宋体" w:hAnsi="宋体" w:eastAsia="宋体"/>
          <w:sz w:val="24"/>
        </w:rPr>
        <w:t>一个尤具启发性的发现来自陆铭和陈钊，2009"分割市场的经济增长"。他们提出了一个看似悖论的机制：经济开放在某些条件下不但不能削弱、反而可能加剧地方保护——当对外开放为地方政府提供了替代性的市场与税源时，地方对内部市场统一的依赖下降，从而弱化了打破分割的激励。这一"开放悖论"深刻揭示了地方保护的政治经济学根源，也提示我们：统一大市场的建设不可能仅靠对外开放自动实现，而必须依靠针对性的制度改革与激励重塑。上述文献共同表明，中国的市场分割绝非市场发育不足的暂时现象，而是深植于分权体制与地方激励结构的制度性均衡，这为本书将"要素市场的行政性分割"视为需要专门理论刻画的独立对象提供了坚实依据。</w:t>
      </w:r>
    </w:p>
    <w:p>
      <w:pPr>
        <w:keepNext/>
        <w:spacing w:before="160" w:after="120" w:line="360" w:lineRule="auto"/>
      </w:pPr>
      <w:r>
        <w:rPr>
          <w:rFonts w:ascii="黑体" w:hAnsi="黑体" w:eastAsia="黑体"/>
          <w:sz w:val="24"/>
        </w:rPr>
        <w:t>2.2.3  市场分割的经济后果：从规模损失到错配</w:t>
      </w:r>
    </w:p>
    <w:p>
      <w:pPr>
        <w:spacing w:line="360" w:lineRule="auto" w:after="0"/>
        <w:ind w:firstLineChars="200" w:firstLine="480"/>
        <w:jc w:val="both"/>
      </w:pPr>
      <w:r>
        <w:rPr>
          <w:rFonts w:ascii="宋体" w:hAnsi="宋体" w:eastAsia="宋体"/>
          <w:sz w:val="24"/>
        </w:rPr>
        <w:t>市场分割的经济后果是文献关注的焦点，也是本书立论的现实基础。郑毓盛和李崇高，2003较早以随机前沿方法估计中国地方分割的效率损失，发现分割造成的产出损失不容小觑；余泳泽等，2022则在国内大循环的框架下重新量化区域市场分割的效率损失，证明分割是畅通国内大循环的重要障碍，其效率代价随分割程度上升而显著扩大。这两项研究从总量层面确认了分割的效率成本，为本书估计要素错配的TFP损失提供了参照。从规模效应看，（陈敏等，2008；黄赜琳和姚婷婷，2020）论证了市场分割如何割裂统一市场的规模优势、抑制分工深化与规模经济，使超大规模市场难以转化为持续的增长动力；黄赜琳和姚婷婷进一步揭示了分割影响地区生产率的作用机制。</w:t>
      </w:r>
    </w:p>
    <w:p>
      <w:pPr>
        <w:spacing w:line="360" w:lineRule="auto" w:after="0"/>
        <w:ind w:firstLineChars="200" w:firstLine="480"/>
        <w:jc w:val="both"/>
      </w:pPr>
      <w:r>
        <w:rPr>
          <w:rFonts w:ascii="宋体" w:hAnsi="宋体" w:eastAsia="宋体"/>
          <w:sz w:val="24"/>
        </w:rPr>
        <w:t>近年来，研究视角逐步由总量、地区层面下沉到企业与产品层面，识别策略也更趋严谨。Barwick等，2021以中国汽车市场为例，结构化地估计了地方保护对市场结构与社会福利的负面影响，发现地方保护通过扭曲市场份额造成了可观的福利损失，是这一领域实证识别的典范之作。卞元超和白俊红，2021发现区域市场整合能够显著提升企业产能利用率，为破除分割改善供给质量提供了微观证据；吕越和张昊天，2021则揭示打破市场分割有助于企业减排，拓展了分割后果的环境维度；曹春方等，2015从企业异地子公司分布的角度，间接刻画了市场分割对企业跨区经营与资源配置的约束。宋马林和金培振，2016进一步将地方保护、资源错配与环境福利绩效纳入统一框架，揭示了分割经由错配影响绿色发展的传导链条。</w:t>
      </w:r>
    </w:p>
    <w:p>
      <w:pPr>
        <w:spacing w:line="360" w:lineRule="auto" w:after="0"/>
        <w:ind w:firstLineChars="200" w:firstLine="480"/>
        <w:jc w:val="both"/>
      </w:pPr>
      <w:r>
        <w:rPr>
          <w:rFonts w:ascii="宋体" w:hAnsi="宋体" w:eastAsia="宋体"/>
          <w:sz w:val="24"/>
        </w:rPr>
        <w:t>综观这一脉络，市场分割研究已从"是否分割"的测度之争，走向"分割如何损害效率"的机制之辨。但既有后果研究仍存在两点不足：一是多聚焦商品市场分割的规模效应与总量损失，对要素市场分割经由要素错配影响全要素生产率的中介机制刻画不足；二是多以单一分割指数作为解释变量，缺乏对分割"结构"（不同要素、不同维度）的分解，难以回答"哪一类要素市场分割的效率代价最大"。这两点正是本书试图在测度体系与机制检验中加以推进的方向。</w:t>
      </w:r>
    </w:p>
    <w:p>
      <w:pPr>
        <w:keepNext/>
        <w:spacing w:before="160" w:after="120" w:line="360" w:lineRule="auto"/>
      </w:pPr>
      <w:r>
        <w:rPr>
          <w:rFonts w:ascii="黑体" w:hAnsi="黑体" w:eastAsia="黑体"/>
          <w:sz w:val="28"/>
        </w:rPr>
        <w:t>2.3  资源错配与全要素生产率研究进展</w:t>
      </w:r>
    </w:p>
    <w:p>
      <w:pPr>
        <w:spacing w:line="360" w:lineRule="auto" w:after="0"/>
        <w:ind w:firstLineChars="200" w:firstLine="480"/>
        <w:jc w:val="both"/>
      </w:pPr>
      <w:r>
        <w:rPr>
          <w:rFonts w:ascii="宋体" w:hAnsi="宋体" w:eastAsia="宋体"/>
          <w:sz w:val="24"/>
        </w:rPr>
        <w:t>如果说市场分割研究刻画了"病症"，那么资源错配研究则提供了诊断"病理"的分析工具。将市场分割的宏观现象与全要素生产率的微观损失连接起来，正需借助过去二十年蓬勃发展的资源错配理论。本节从错配的理论与测度、中国要素错配的来源、错配与增长三个层面展开评述。</w:t>
      </w:r>
    </w:p>
    <w:p>
      <w:pPr>
        <w:keepNext/>
        <w:spacing w:before="160" w:after="120" w:line="360" w:lineRule="auto"/>
      </w:pPr>
      <w:r>
        <w:rPr>
          <w:rFonts w:ascii="黑体" w:hAnsi="黑体" w:eastAsia="黑体"/>
          <w:sz w:val="24"/>
        </w:rPr>
        <w:t>2.3.1  资源错配的理论与测度</w:t>
      </w:r>
    </w:p>
    <w:p>
      <w:pPr>
        <w:spacing w:line="360" w:lineRule="auto" w:after="0"/>
        <w:ind w:firstLineChars="200" w:firstLine="480"/>
        <w:jc w:val="both"/>
      </w:pPr>
      <w:r>
        <w:rPr>
          <w:rFonts w:ascii="宋体" w:hAnsi="宋体" w:eastAsia="宋体"/>
          <w:sz w:val="24"/>
        </w:rPr>
        <w:t>资源错配理论的里程碑是Hsieh和Klenow，2009。他们构建了一个存在企业异质性扭曲的垄断竞争模型，证明在要素配置无扭曲的理想状态下，同一行业内各企业的边际收益产品（以TFPR衡量）应当相等；现实中TFPR的离散度，恰恰度量了资源错配的程度。基于中国与印度制造业微观数据，他们测算发现：若将中国制造业企业间的错配降至美国水平，中国制造业TFP可提升约30%~50%（（Hsieh和Klenow，2009））。这一"错配红利"的量级令人震撼，从此确立了"TFPR离散度—错配—TFP损失"的核算范式，也为本书以楔子离散度刻画配置效率损失提供了直接的方法论渊源。</w:t>
      </w:r>
    </w:p>
    <w:p>
      <w:pPr>
        <w:spacing w:line="360" w:lineRule="auto" w:after="0"/>
        <w:ind w:firstLineChars="200" w:firstLine="480"/>
        <w:jc w:val="both"/>
      </w:pPr>
      <w:r>
        <w:rPr>
          <w:rFonts w:ascii="宋体" w:hAnsi="宋体" w:eastAsia="宋体"/>
          <w:sz w:val="24"/>
        </w:rPr>
        <w:t>与HK的"间接推断"路径并行的，是（Restuccia和Rogerson，2008；Restuccia和Rogerson，2017）的"政策扭曲"路径。他们在异质性企业模型中直接引入与企业生产率相关的政策性扭曲（如产出税、投入补贴），证明即便微小的、与生产率正相关的扭曲，也可能通过阻止资源向高效企业集中而造成巨大的总量生产率损失，并在其综述中系统归纳了错配的成因与代价。两条路径互为补充：HK擅长"测度错配有多大"，RR擅长"解释错配从何来、代价有多重"。在中国的测度实践中，陈永伟和胡伟民，2011较早将价格扭曲与要素错配的核算方法引入国内，建立了"价格扭曲—要素错配—效率损失"的可操作框架并给出应用；龚关和胡关亮，2013则放松了HK模型规模报酬不变与固定要素弹性的假设，重新估计中国制造业的资源配置效率与全要素生产率，发现放松假设后错配损失的估计对模型设定较为敏感。（杨汝岱，2015；Hsieh和Klenow，2014）分别从企业全要素生产率的分布特征与企业"生命周期"演化的角度，深化了对错配动态含义的理解——错配不仅是静态的资源错置，更表现为高效企业成长受阻、低效企业退出不畅的动态扭曲。</w:t>
      </w:r>
    </w:p>
    <w:p>
      <w:pPr>
        <w:keepNext/>
        <w:spacing w:before="160" w:after="120" w:line="360" w:lineRule="auto"/>
      </w:pPr>
      <w:r>
        <w:rPr>
          <w:rFonts w:ascii="黑体" w:hAnsi="黑体" w:eastAsia="黑体"/>
          <w:sz w:val="24"/>
        </w:rPr>
        <w:t>2.3.2  中国要素错配的来源：资本、劳动与土地</w:t>
      </w:r>
    </w:p>
    <w:p>
      <w:pPr>
        <w:spacing w:line="360" w:lineRule="auto" w:after="0"/>
        <w:ind w:firstLineChars="200" w:firstLine="480"/>
        <w:jc w:val="both"/>
      </w:pPr>
      <w:r>
        <w:rPr>
          <w:rFonts w:ascii="宋体" w:hAnsi="宋体" w:eastAsia="宋体"/>
          <w:sz w:val="24"/>
        </w:rPr>
        <w:t>循着错配的核算范式，大量文献致力于识别中国要素错配的具体来源，并逐渐形成了按要素类型分解的研究格局。在</w:t>
      </w:r>
      <w:r>
        <w:rPr>
          <w:rFonts w:ascii="宋体" w:hAnsi="宋体" w:eastAsia="宋体"/>
          <w:b/>
          <w:sz w:val="24"/>
        </w:rPr>
        <w:t>资本错配</w:t>
      </w:r>
      <w:r>
        <w:rPr>
          <w:rFonts w:ascii="宋体" w:hAnsi="宋体" w:eastAsia="宋体"/>
          <w:sz w:val="24"/>
        </w:rPr>
        <w:t>方面，Brandt等，2013是与本书关系最密切的经典之作。他们跨时间、跨空间、跨部门地测度了中国的要素市场扭曲，发现资本与劳动的边际产品在地区与部门间存在持续的巨大差异，且这种扭曲对总量TFP的拖累十分可观——这为"要素市场的行政性分割"提供了直接的经验支撑。（Midrigan和Xu，2014；David和Venkateswaran，2019）从金融摩擦的角度追问资本错配的微观来源，发现融资约束与信息摩擦是资本错配的重要（但非全部）成因；Wu，2018专门辨析中国资本错配究竟源于金融摩擦还是政策扭曲，发现政策性扭曲（尤其是所有制歧视）的贡献不容忽视；Song等，2011的"中国式增长"模型则揭示，在金融市场不完善下，高效的民营企业依靠内部积累艰难成长、而低效的国有企业却占用大量信贷资源，这一所有制错配是理解中国高储蓄、高增长与资本错配并存的关键。</w:t>
      </w:r>
    </w:p>
    <w:p>
      <w:pPr>
        <w:spacing w:line="360" w:lineRule="auto" w:after="0"/>
        <w:ind w:firstLineChars="200" w:firstLine="480"/>
        <w:jc w:val="both"/>
      </w:pPr>
      <w:r>
        <w:rPr>
          <w:rFonts w:ascii="宋体" w:hAnsi="宋体" w:eastAsia="宋体"/>
          <w:sz w:val="24"/>
        </w:rPr>
        <w:t>在</w:t>
      </w:r>
      <w:r>
        <w:rPr>
          <w:rFonts w:ascii="宋体" w:hAnsi="宋体" w:eastAsia="宋体"/>
          <w:b/>
          <w:sz w:val="24"/>
        </w:rPr>
        <w:t>劳动力错配</w:t>
      </w:r>
      <w:r>
        <w:rPr>
          <w:rFonts w:ascii="宋体" w:hAnsi="宋体" w:eastAsia="宋体"/>
          <w:sz w:val="24"/>
        </w:rPr>
        <w:t>方面，Tombe和Zhu，2019构建了包含贸易与迁移的量化空间模型，估计户籍等迁移壁垒造成的劳动力错配，发现降低迁移成本可带来显著的生产率与福利改进——这从劳动力维度印证了要素市场行政性分割的巨大效率代价。盖庆恩等，2019从贸易成本与劳动力市场扭曲的交互出发，量化了扭曲对中国劳动生产率的拖累；盖庆恩等，2015则揭示要素市场扭曲与企业垄断势力如何共同压低全要素生产率。在</w:t>
      </w:r>
      <w:r>
        <w:rPr>
          <w:rFonts w:ascii="宋体" w:hAnsi="宋体" w:eastAsia="宋体"/>
          <w:b/>
          <w:sz w:val="24"/>
        </w:rPr>
        <w:t>土地错配</w:t>
      </w:r>
      <w:r>
        <w:rPr>
          <w:rFonts w:ascii="宋体" w:hAnsi="宋体" w:eastAsia="宋体"/>
          <w:sz w:val="24"/>
        </w:rPr>
        <w:t>方面，盖庆恩等，2017系统估计了土地资源配置不当对劳动生产率的负面影响；张少辉和余泳泽，2019从土地出让的角度切入，发现地方政府主导的土地低价出让加剧了资源错配、拖累了TFP；李勇刚和罗海艳，2017则从35个大中城市的证据出发，论证土地资源错配对产业结构升级的阻碍。</w:t>
      </w:r>
    </w:p>
    <w:p>
      <w:pPr>
        <w:spacing w:line="360" w:lineRule="auto" w:after="0"/>
        <w:ind w:firstLineChars="200" w:firstLine="480"/>
        <w:jc w:val="both"/>
      </w:pPr>
      <w:r>
        <w:rPr>
          <w:rFonts w:ascii="宋体" w:hAnsi="宋体" w:eastAsia="宋体"/>
          <w:sz w:val="24"/>
        </w:rPr>
        <w:t>除按要素分解外，另有文献聚焦错配的制度与政策根源。罗德明等，2012系统论证了要素市场扭曲、资源错置与生产率之间的传导关系，是国内错配研究的代表作之一；韩剑和郑秋玲，2014将政府干预导致的资源错配分解为行业内与行业间两部分，发现政府干预是错配的重要推手；靳来群等，2015聚焦行政垄断如何加剧所有制差异所致的资源错配，为破除行政垄断提供了效率依据；张杰等，2011则从研发投入的角度，发现要素市场扭曲显著抑制了企业创新，揭示了错配的动态创新代价。综观这一庞大文献群，其共识是清晰的：中国的要素错配在很大程度上并非源于纯粹的市场摩擦，而是源于以行政性分割为核心的制度性扭曲——这恰恰构成了统一大市场建设可以"用武"的空间。</w:t>
      </w:r>
    </w:p>
    <w:p>
      <w:pPr>
        <w:spacing w:line="360" w:lineRule="auto" w:after="0"/>
        <w:ind w:firstLineChars="200" w:firstLine="480"/>
        <w:jc w:val="both"/>
      </w:pPr>
      <w:r>
        <w:rPr>
          <w:rFonts w:ascii="宋体" w:hAnsi="宋体" w:eastAsia="宋体"/>
          <w:sz w:val="24"/>
        </w:rPr>
        <w:t>将上述来源文献并置观察，可以提炼出中国要素错配研究的两点共识与一处分歧。共识之一是，中国要素错配的量级显著高于成熟市场经济体，且资本错配与劳动力错配相互交织、彼此强化——资本的属地化配置抬高了落后地区低效企业的存续概率，反过来又阻滞了劳动力向高效地区的流动。共识之二是，错配的核心症结在于要素价格的行政性扭曲而非单纯的市场摩擦，因而具有可经由改革缓解的制度可塑性。存在分歧的是错配损失的确切量级：估计结果对模型设定（规模报酬、要素弹性、加成率）、数据口径（是否剔除小微企业、如何处理国有企业）以及测度层级（企业间、行业间、地区间）颇为敏感，不同研究给出的反事实TFP提升幅度从百分之十几到百分之五十不等。这一分歧提醒本书，在第6章估计要素错配损失时，须审慎交代设定假设并进行稳健性检验，避免将模型选择的差异误读为经济事实的差异。</w:t>
      </w:r>
    </w:p>
    <w:p>
      <w:pPr>
        <w:keepNext/>
        <w:spacing w:before="160" w:after="120" w:line="360" w:lineRule="auto"/>
      </w:pPr>
      <w:r>
        <w:rPr>
          <w:rFonts w:ascii="黑体" w:hAnsi="黑体" w:eastAsia="黑体"/>
          <w:sz w:val="24"/>
        </w:rPr>
        <w:t>2.3.3  资源错配与经济增长</w:t>
      </w:r>
    </w:p>
    <w:p>
      <w:pPr>
        <w:spacing w:line="360" w:lineRule="auto" w:after="0"/>
        <w:ind w:firstLineChars="200" w:firstLine="480"/>
        <w:jc w:val="both"/>
      </w:pPr>
      <w:r>
        <w:rPr>
          <w:rFonts w:ascii="宋体" w:hAnsi="宋体" w:eastAsia="宋体"/>
          <w:sz w:val="24"/>
        </w:rPr>
        <w:t>从增长核算的高度看，资源错配是解释国家间与地区间收入差距的重要因素。（Buera等，2011；Adamopoulos和Restuccia，2014）分别从金融发展与农业部门的视角，论证了错配（融资约束、农地规模约束）如何通过阻碍资源流向高效主体而压低发展中经济体的总量生产率，为"发展即是减少错配"的命题提供了量化支撑。在中国情境下，江艇等，2018发现城市行政级别越高，越能借助行政力量集聚资源，反而可能加剧城市间的资源错配、拉低总体TFP，从一个独特角度揭示了行政等级制对配置效率的扭曲；刘潘和张子尧，2023则从地方公共债务的视角，发现地方债扩张通过挤占信贷资源、扭曲企业间TFP分布而恶化资源配置效率。</w:t>
      </w:r>
    </w:p>
    <w:p>
      <w:pPr>
        <w:spacing w:line="360" w:lineRule="auto" w:after="0"/>
        <w:ind w:firstLineChars="200" w:firstLine="480"/>
        <w:jc w:val="both"/>
      </w:pPr>
      <w:r>
        <w:rPr>
          <w:rFonts w:ascii="宋体" w:hAnsi="宋体" w:eastAsia="宋体"/>
          <w:sz w:val="24"/>
        </w:rPr>
        <w:t>尤为发人深省的是戴小勇，2021提出的"中国高创新投入与低生产率之谜"：在研发投入持续高速增长的同时，全要素生产率增速却相对乏力，其给出的解释正是资源错配——错配使高研发投入难以转化为高产出效率。这与蔡昉，2021的判断相呼应：在传统要素红利消退、人口红利趋于消失的背景下，通过提高资源重新配置效率来挖掘制造业与全社会的生产率潜力，是中国经济迈向高质量发展的关键动能。白俊红和刘宇英，2018进一步从对外直接投资的角度，发现OFDI有助于改善国内资源错配，提示错配的改善可以来自开放与流动。这些研究共同确立了本书的核心逻辑起点：在增速换挡、结构调整的关键期，削减制度性错配所释放的"配置效率红利"，很可能是中国最重要、最现实的增长来源之一——而破除要素市场的行政性分割，正是激活这一红利的钥匙。</w:t>
      </w:r>
    </w:p>
    <w:p>
      <w:pPr>
        <w:keepNext/>
        <w:spacing w:before="160" w:after="120" w:line="360" w:lineRule="auto"/>
      </w:pPr>
      <w:r>
        <w:rPr>
          <w:rFonts w:ascii="黑体" w:hAnsi="黑体" w:eastAsia="黑体"/>
          <w:sz w:val="28"/>
        </w:rPr>
        <w:t>2.4  要素市场化与统一大市场建设研究进展</w:t>
      </w:r>
    </w:p>
    <w:p>
      <w:pPr>
        <w:spacing w:line="360" w:lineRule="auto" w:after="0"/>
        <w:ind w:firstLineChars="200" w:firstLine="480"/>
        <w:jc w:val="both"/>
      </w:pPr>
      <w:r>
        <w:rPr>
          <w:rFonts w:ascii="宋体" w:hAnsi="宋体" w:eastAsia="宋体"/>
          <w:sz w:val="24"/>
        </w:rPr>
        <w:t>2020年《要素市场化配置意见》，2020首次系统部署土地、劳动力、资本、技术、数据五大要素的市场化配置，并首次将数据列为生产要素；2022年"数据二十条"（"数据二十条"，2022）进一步完善数据基础制度。伴随统一大市场建设上升为国家战略，一批以要素市场化和市场一体化为主题的经验研究快速涌现，构成了本书最直接的文献对话对象。本节择要评述，并归纳其贡献与局限。</w:t>
      </w:r>
    </w:p>
    <w:p>
      <w:pPr>
        <w:spacing w:line="360" w:lineRule="auto" w:after="0"/>
        <w:ind w:firstLineChars="200" w:firstLine="480"/>
        <w:jc w:val="both"/>
      </w:pPr>
      <w:r>
        <w:rPr>
          <w:rFonts w:ascii="宋体" w:hAnsi="宋体" w:eastAsia="宋体"/>
          <w:sz w:val="24"/>
        </w:rPr>
        <w:t>第一支脉络考察市场一体化（区域行政整合）对企业资源配置的直接效应。倪婷婷和王跃堂，2022利用区域行政整合的准自然实验，发现区域一体化通过推进要素市场化显著提升了企业资源配置效率，是与本书主题最为贴近的研究之一；胡芊芊等，2022以企业集团资本要素的异地配置为切入点，发现统一大市场建设有助于优化企业集团的跨地区投资效率；（余典范等，2023；彭婕和豆建民，2025）则聚焦资本的跨地区流动，前者发现企业数字化促进了资本跨地区流动、后者证明资本跨区流动显著提升了企业全要素生产率，二者共同将"要素流动—配置效率"的机制落到了资本维度。第二支脉络关注市场一体化的创新效应。胡增玺和马述忠，2023发现市场一体化显著促进了企业数字创新，并提出了衡量数字创新的新方法；韩峰和袁香钰，2023论证了"国内大市场优势"如何通过扩大市场规模、强化竞争激励而促进企业自主创新；王巍和姜智鑫，2024则以城市群发展规划为准自然实验，发现市场一体化促进了企业的异地创新合作。</w:t>
      </w:r>
    </w:p>
    <w:p>
      <w:pPr>
        <w:spacing w:line="360" w:lineRule="auto" w:after="0"/>
        <w:ind w:firstLineChars="200" w:firstLine="480"/>
        <w:jc w:val="both"/>
      </w:pPr>
      <w:r>
        <w:rPr>
          <w:rFonts w:ascii="宋体" w:hAnsi="宋体" w:eastAsia="宋体"/>
          <w:sz w:val="24"/>
        </w:rPr>
        <w:t>第三支脉络从财政激励与产业政策视角审视统一大市场的政治经济学。范子英和周小昶，2022利用所得税分享改革，识别出财政激励通过推动市场一体化而促进企业跨地区投资，揭示了财税体制与市场统一的内在关联；林晨和李宇潇，2024则直面统一大市场与地方产业政策竞争的张力，探讨了在全国一盘棋下如何规范地方产业政策，与二十届三中全会"规范地方招商引资"的部署高度契合。第四支脉络关注竞争政策与制度环境。（叶光亮等，2022；杨兴全和张可欣，2023）分别从竞争政策强化、公平竞争审查的角度论证了强化竞争对市场效率与企业创新的正面作用；王菁华和毕超，2024进一步发现公平竞争审查制度经由去行政垄断提升了企业全要素生产率。第五支脉络拓展至新要素与新效应：（戴魁早等，2023；史丹和郑玉，2024）考察数据要素市场建设（数据交易平台、大数据综合试验区）对企业TFP的赋能；齐鹰飞和管鑫，2025以长三角一体化为准自然实验，发现市场统一显著促进了企业吸纳就业；苏振东和宫硕，2025则从"内外双链"地位提升的新视角，揭示统一大市场建设对企业在国内外供应链中位置的改善作用。</w:t>
      </w:r>
    </w:p>
    <w:p>
      <w:pPr>
        <w:spacing w:line="360" w:lineRule="auto" w:after="0"/>
        <w:ind w:firstLineChars="200" w:firstLine="480"/>
        <w:jc w:val="both"/>
      </w:pPr>
      <w:r>
        <w:rPr>
          <w:rFonts w:ascii="宋体" w:hAnsi="宋体" w:eastAsia="宋体"/>
          <w:sz w:val="24"/>
        </w:rPr>
        <w:t>数据要素作为最年轻的生产要素，其市场化与统一问题日益成为研究前沿。与土地、资本等传统要素不同，数据具有非竞争性、可复制性与强外部性，其"地区孤岛化"更多源于确权、流通与安全制度的缺失而非物理运输成本，因而在统一大市场建设中兼具巨大潜力与特殊难度。戴魁早等，2023发现数据交易平台建设通过降低数据获取成本、优化数据配置而提升了企业全要素生产率；史丹和郑玉，2024以国家级大数据综合试验区为准自然实验，揭示了数据要素经由赋能机制促进企业TFP的路径。这些新兴研究表明，技术与数据市场的统一有望成为统一大市场建设的新增长点，也印证了本书将"技术与数据市场一体化"单列为NUMI一个分维度的前瞻性。不过，由于数据要素市场尚处培育初期、公开数据稀缺，相关研究仍以个案与试点评估为主，缺乏跨地区、长时段的系统测度，这也正是本书测度体系尝试有所补充之处。</w:t>
      </w:r>
    </w:p>
    <w:p>
      <w:pPr>
        <w:spacing w:line="360" w:lineRule="auto" w:after="0"/>
        <w:ind w:firstLineChars="200" w:firstLine="480"/>
        <w:jc w:val="both"/>
      </w:pPr>
      <w:r>
        <w:rPr>
          <w:rFonts w:ascii="宋体" w:hAnsi="宋体" w:eastAsia="宋体"/>
          <w:sz w:val="24"/>
        </w:rPr>
        <w:t>总体而言，这批研究以扎实的微观数据和日益规范的因果识别，从企业投资、创新、就业、生产率等多个维度确证了市场一体化与要素市场化的积极效应，为本书提供了丰富的机制线索。但其局限同样明显：其一，绝大多数研究以单一维度（某类要素、某项政策）的市场一体化作为解释变量，缺乏对"全国统一大市场建设水平"的综合、多维、可比的测度，难以刻画统一大市场作为一个整体系统的建设进度与结构短板；其二，多数研究以企业为分析单元，长于识别微观效应，却相对忽视地区层面要素配置效率的总量刻画与省际比较；其三，对商品市场整合与要素市场整合之间的互补关系、以及配置效率红利随初始分割程度变化的异质性，尚缺乏统一的理论解释与系统的经验检验。这些不足，正是本书在测度体系（第5章）、效率损失估计（第6章）与机制识别（第7—9章）中着力弥补的空间。</w:t>
      </w:r>
    </w:p>
    <w:p>
      <w:pPr>
        <w:keepNext/>
        <w:spacing w:before="160" w:after="120" w:line="360" w:lineRule="auto"/>
      </w:pPr>
      <w:r>
        <w:rPr>
          <w:rFonts w:ascii="黑体" w:hAnsi="黑体" w:eastAsia="黑体"/>
          <w:sz w:val="28"/>
        </w:rPr>
        <w:t>2.5  理论基础</w:t>
      </w:r>
    </w:p>
    <w:p>
      <w:pPr>
        <w:spacing w:line="360" w:lineRule="auto" w:after="0"/>
        <w:ind w:firstLineChars="200" w:firstLine="480"/>
        <w:jc w:val="both"/>
      </w:pPr>
      <w:r>
        <w:rPr>
          <w:rFonts w:ascii="宋体" w:hAnsi="宋体" w:eastAsia="宋体"/>
          <w:sz w:val="24"/>
        </w:rPr>
        <w:t>本书的分析建立在四大理论脉络之上：新经济地理与市场规模理论解释"为什么统一的大市场重要"，财政分权与地方政府竞争理论解释"市场为什么会被分割"，资源错配理论提供"如何度量分割的效率后果"的工具，竞争与创新理论刻画"统一如何经由竞争提升效率"的机制。四者分工互补，共同支撑起本书"分割—错配—低效率"及其逆过程的理论主线。</w:t>
      </w:r>
    </w:p>
    <w:p>
      <w:pPr>
        <w:keepNext/>
        <w:spacing w:before="160" w:after="120" w:line="360" w:lineRule="auto"/>
      </w:pPr>
      <w:r>
        <w:rPr>
          <w:rFonts w:ascii="黑体" w:hAnsi="黑体" w:eastAsia="黑体"/>
          <w:sz w:val="24"/>
        </w:rPr>
        <w:t>2.5.1  新经济地理与市场规模</w:t>
      </w:r>
    </w:p>
    <w:p>
      <w:pPr>
        <w:spacing w:line="360" w:lineRule="auto" w:after="0"/>
        <w:ind w:firstLineChars="200" w:firstLine="480"/>
        <w:jc w:val="both"/>
      </w:pPr>
      <w:r>
        <w:rPr>
          <w:rFonts w:ascii="宋体" w:hAnsi="宋体" w:eastAsia="宋体"/>
          <w:sz w:val="24"/>
        </w:rPr>
        <w:t>新经济地理学为理解市场规模的价值奠定了微观基础。Krugman，1991的核心—外围模型证明，在规模报酬递增、运输成本与要素流动的交互作用下，市场规模会通过"本地市场效应"与前后向关联自我强化，形成产业空间集聚的累积循环；Fujita等，1999将这一思想系统化为空间经济学的一般框架，揭示了运输成本下降如何改变集聚与分散的均衡。对本书而言，这一理论的核心启示是：市场分割等价于人为抬高地区间的"运输成本"，从而割裂了本地市场效应、缩小了有效市场规模、抑制了规模经济与专业化分工的实现——统一大市场建设恰是通过降低这一制度性"运输成本"来放大有效市场规模。</w:t>
      </w:r>
    </w:p>
    <w:p>
      <w:pPr>
        <w:spacing w:line="360" w:lineRule="auto" w:after="0"/>
        <w:ind w:firstLineChars="200" w:firstLine="480"/>
        <w:jc w:val="both"/>
      </w:pPr>
      <w:r>
        <w:rPr>
          <w:rFonts w:ascii="宋体" w:hAnsi="宋体" w:eastAsia="宋体"/>
          <w:sz w:val="24"/>
        </w:rPr>
        <w:t>交通基础设施研究为这一理论提供了有力的经验印证。Faber，2014利用中国国家干线公路网的自然实验，发现交通联通在扩大市场可达性的同时，也可能通过"虹吸效应"使外围地区的制造业相对萎缩，揭示了市场整合分配效应的复杂性；Donaldson，2018以印度殖民地铁路为例，量化了交通基础设施经由降低贸易成本、缩小价格离散度而带来的实际收入增长。国内方面，（金煜等，2006；黄玖立和李坤望，2006）从经济地理与出口开放的角度，论证了市场规模（可达性）对地区工业集聚与经济增长的显著作用。这些研究共同表明，市场规模并非外生给定，而是由制度与设施内生决定的——这为本书将NUMI中的"市场设施联通"维度纳入统一大市场测度提供了理论依据。</w:t>
      </w:r>
    </w:p>
    <w:p>
      <w:pPr>
        <w:spacing w:line="360" w:lineRule="auto" w:after="0"/>
        <w:ind w:firstLineChars="200" w:firstLine="480"/>
        <w:jc w:val="both"/>
      </w:pPr>
      <w:r>
        <w:rPr>
          <w:rFonts w:ascii="宋体" w:hAnsi="宋体" w:eastAsia="宋体"/>
          <w:sz w:val="24"/>
        </w:rPr>
        <w:t>值得强调的是，新经济地理学揭示的集聚与分割之间存在深刻的张力，这对统一大市场建设具有重要的政策含义。一方面，打破分割、扩大有效市场规模会强化本地市场效应，推动经济活动向少数中心地区集聚，从而提升总体效率；另一方面，集聚又可能拉大地区间的名义差距，引发"效率与均衡"的两难。空间政治经济学的近期讨论对此给出的回应是：在人口与要素充分自由流动的前提下，经济活动的空间集聚与人均意义上的区域协调可以并行不悖，即"集聚中走向平衡"。这一判断为本书理解统一大市场建设的区域协调效应提供了理论坐标——统一大市场并非要抹平地区间的产业分工，而是要通过畅通要素流动，让集聚带来的效率红利经由人口再分布转化为普遍的人均福利改进。第9章对区域协调效应的考察，正是这一逻辑的经验延伸。</w:t>
      </w:r>
    </w:p>
    <w:p>
      <w:pPr>
        <w:keepNext/>
        <w:spacing w:before="160" w:after="120" w:line="360" w:lineRule="auto"/>
      </w:pPr>
      <w:r>
        <w:rPr>
          <w:rFonts w:ascii="黑体" w:hAnsi="黑体" w:eastAsia="黑体"/>
          <w:sz w:val="24"/>
        </w:rPr>
        <w:t>2.5.2  财政分权与地方政府竞争</w:t>
      </w:r>
    </w:p>
    <w:p>
      <w:pPr>
        <w:spacing w:line="360" w:lineRule="auto" w:after="0"/>
        <w:ind w:firstLineChars="200" w:firstLine="480"/>
        <w:jc w:val="both"/>
      </w:pPr>
      <w:r>
        <w:rPr>
          <w:rFonts w:ascii="宋体" w:hAnsi="宋体" w:eastAsia="宋体"/>
          <w:sz w:val="24"/>
        </w:rPr>
        <w:t>如果说新经济地理解释了统一大市场"为何可欲"，财政分权理论则解释了市场分割"为何顽固"。（Qian和Weingast，1997；Montinola等，1995）提出的"中国式联邦主义"认为，财政分权通过赋予地方政府剩余索取权而形成了保护市场、促进增长的激励，即"维护市场的联邦主义"；（Jin等，2005；Lin和Liu，2000）则以经验证据支持了财政激励与地方经济增长之间的正向联系。然而，同一分权体制也内含分割的种子：当地方政府成为剩余索取者与本地利益的代理人时，保护本地市场便成为理性选择。</w:t>
      </w:r>
    </w:p>
    <w:p>
      <w:pPr>
        <w:spacing w:line="360" w:lineRule="auto" w:after="0"/>
        <w:ind w:firstLineChars="200" w:firstLine="480"/>
        <w:jc w:val="both"/>
      </w:pPr>
      <w:r>
        <w:rPr>
          <w:rFonts w:ascii="宋体" w:hAnsi="宋体" w:eastAsia="宋体"/>
          <w:sz w:val="24"/>
        </w:rPr>
        <w:t>周黎安，2007的"晋升锦标赛"理论从政治激励维度补全了这一图景：以相对绩效为核心的官员考核，把地方官员卷入以GDP为标尺的横向竞争，既激发了增长动力，也催生了地方保护、重复建设与市场分割等"竞争的代价"。Xu，2011将中国的基础性制度概括为"地方分权的威权体制"，系统阐释了这一体制在增长与扭曲上的双重性。国内研究进一步刻画了竞争代价的具体形态：傅勇和张晏，2007发现中国式分权导致地方财政支出结构偏向基本建设、轻视公共服务，是"为增长而竞争"的代价；（沈坤荣和付文林，2006；范子英和田彬彬，2013）则从税收竞争与税收执法的角度，揭示了地方政府之间的策略性竞争如何影响资源配置与企业行为。这一脉络对本书的意义在于：它表明破除市场分割不能仅靠道德劝诫或行政命令，而必须从改革考核激励、重塑央地财政关系入手，实现"激励相容"——这正是本书政策建议的理论支点。</w:t>
      </w:r>
    </w:p>
    <w:p>
      <w:pPr>
        <w:keepNext/>
        <w:spacing w:before="160" w:after="120" w:line="360" w:lineRule="auto"/>
      </w:pPr>
      <w:r>
        <w:rPr>
          <w:rFonts w:ascii="黑体" w:hAnsi="黑体" w:eastAsia="黑体"/>
          <w:sz w:val="24"/>
        </w:rPr>
        <w:t>2.5.3  资源错配理论</w:t>
      </w:r>
    </w:p>
    <w:p>
      <w:pPr>
        <w:spacing w:line="360" w:lineRule="auto" w:after="0"/>
        <w:ind w:firstLineChars="200" w:firstLine="480"/>
        <w:jc w:val="both"/>
      </w:pPr>
      <w:r>
        <w:rPr>
          <w:rFonts w:ascii="宋体" w:hAnsi="宋体" w:eastAsia="宋体"/>
          <w:sz w:val="24"/>
        </w:rPr>
        <w:t>资源错配理论是连接"市场分割"与"全要素生产率"的核心桥梁，也是本书第4章建模与第6章测度的直接工具。如前所述，Hsieh和Klenow，2009确立了"边际收益产品离散度—错配—TFP损失"的核算范式，（Restuccia和Rogerson，2008；Restuccia和Rogerson，2017）则从政策扭曲出发阐明了错配的成因与代价。本书对这一理论的运用有两点推进：其一，将错配的来源明确锚定于"要素市场的行政性分割"，把抽象的"楔子"赋予具体的制度内涵；其二，沿Brandt等，2013跨地区、跨部门测度要素扭曲的思路，把错配的分析尺度从"行业内企业间"拓展到"地区间、部门间"，从而与统一大市场的空间属性相契合。在第4章，本书将证明总量TFP是要素楔子对数方差的减函数，并推导商品市场整合与要素市场整合的互补性，这些结论正是资源错配理论在空间一般均衡框架下的自然延伸。</w:t>
      </w:r>
    </w:p>
    <w:p>
      <w:pPr>
        <w:keepNext/>
        <w:spacing w:before="160" w:after="120" w:line="360" w:lineRule="auto"/>
      </w:pPr>
      <w:r>
        <w:rPr>
          <w:rFonts w:ascii="黑体" w:hAnsi="黑体" w:eastAsia="黑体"/>
          <w:sz w:val="24"/>
        </w:rPr>
        <w:t>2.5.4  竞争、选择与创新</w:t>
      </w:r>
    </w:p>
    <w:p>
      <w:pPr>
        <w:spacing w:line="360" w:lineRule="auto" w:after="0"/>
        <w:ind w:firstLineChars="200" w:firstLine="480"/>
        <w:jc w:val="both"/>
      </w:pPr>
      <w:r>
        <w:rPr>
          <w:rFonts w:ascii="宋体" w:hAnsi="宋体" w:eastAsia="宋体"/>
          <w:sz w:val="24"/>
        </w:rPr>
        <w:t>统一大市场提升配置效率的一个关键机制是竞争与选择。Melitz，2003的异质性企业贸易模型证明，市场开放（等价于市场统一）会通过再配置效应，使高生产率企业扩张、低生产率企业退出，从而在不改变单个企业技术的情况下提升行业总量生产率。这一"选择效应"为本书"竞争淘汰"机制提供了理论基础：破除市场分割等价于扩大竞争范围，将保护低效企业的"分割租金"暴露于全国竞争之下，倒逼低效企业退出、高效企业成长，实现资源的优胜劣汰式再配置。</w:t>
      </w:r>
    </w:p>
    <w:p>
      <w:pPr>
        <w:spacing w:line="360" w:lineRule="auto" w:after="0"/>
        <w:ind w:firstLineChars="200" w:firstLine="480"/>
        <w:jc w:val="both"/>
      </w:pPr>
      <w:r>
        <w:rPr>
          <w:rFonts w:ascii="宋体" w:hAnsi="宋体" w:eastAsia="宋体"/>
          <w:sz w:val="24"/>
        </w:rPr>
        <w:t>竞争不仅带来选择，也影响创新。Aghion等，2005提出的"竞争与创新倒U型关系"表明，适度竞争最有利于创新：竞争过弱时企业缺乏创新压力，竞争过度时创新的事后租金被侵蚀，唯有适度竞争能最大化"逃离竞争"的创新激励。这一理论对统一大市场具有双重启示：一方面，破除地方保护、强化竞争总体上有利于激发创新活力，与（韩峰和袁香钰，2023；胡增玺和马述忠，2023）关于国内大市场促进自主创新与数字创新的经验发现相印证；另一方面，它也提醒我们警惕"过度竞争"与低水平重复的风险，凸显了在统一市场中同步完善公平竞争与知识产权制度的重要性。综合选择效应与创新效应，竞争构成了统一大市场提升要素配置效率与全要素生产率的中枢机制，也是本书机制检验的重点之一。</w:t>
      </w:r>
    </w:p>
    <w:p>
      <w:pPr>
        <w:keepNext/>
        <w:spacing w:before="160" w:after="120" w:line="360" w:lineRule="auto"/>
      </w:pPr>
      <w:r>
        <w:rPr>
          <w:rFonts w:ascii="黑体" w:hAnsi="黑体" w:eastAsia="黑体"/>
          <w:sz w:val="28"/>
        </w:rPr>
        <w:t>2.6  文献述评与本书的研究空间</w:t>
      </w:r>
    </w:p>
    <w:p>
      <w:pPr>
        <w:spacing w:line="360" w:lineRule="auto" w:after="0"/>
        <w:ind w:firstLineChars="200" w:firstLine="480"/>
        <w:jc w:val="both"/>
      </w:pPr>
      <w:r>
        <w:rPr>
          <w:rFonts w:ascii="宋体" w:hAnsi="宋体" w:eastAsia="宋体"/>
          <w:sz w:val="24"/>
        </w:rPr>
        <w:t>综合前述评析，市场分割、资源错配与要素市场化三大文献群已积累了丰富的测度工具、经验证据与理论洞见，为本书提供了坚实的知识基础。将四大理论脉络与三大文献群加以整合，本书形成如图2.1所示的理论分析框架：以财政分权与地方政府竞争解释要素市场行政性分割的制度成因，以资源错配理论刻画其经由制度性配置楔子造成的配置效率损失，以新经济地理与竞争创新理论刻画统一大市场建设经由要素流动、竞争淘汰、创新激励与规模专业化四条机制提升配置效率与全要素生产率的过程。</w:t>
      </w:r>
    </w:p>
    <w:p>
      <w:pPr>
        <w:spacing w:before="120" w:after="40"/>
        <w:jc w:val="center"/>
      </w:pPr>
      <w:r>
        <w:drawing>
          <wp:inline xmlns:a="http://schemas.openxmlformats.org/drawingml/2006/main" xmlns:pic="http://schemas.openxmlformats.org/drawingml/2006/picture">
            <wp:extent cx="4860000" cy="1644159"/>
            <wp:docPr id="2" name="Picture 2"/>
            <wp:cNvGraphicFramePr>
              <a:graphicFrameLocks noChangeAspect="1"/>
            </wp:cNvGraphicFramePr>
            <a:graphic>
              <a:graphicData uri="http://schemas.openxmlformats.org/drawingml/2006/picture">
                <pic:pic>
                  <pic:nvPicPr>
                    <pic:cNvPr id="0" name="fig2_1.png"/>
                    <pic:cNvPicPr/>
                  </pic:nvPicPr>
                  <pic:blipFill>
                    <a:blip r:embed="rId10"/>
                    <a:stretch>
                      <a:fillRect/>
                    </a:stretch>
                  </pic:blipFill>
                  <pic:spPr>
                    <a:xfrm>
                      <a:off x="0" y="0"/>
                      <a:ext cx="4860000" cy="1644159"/>
                    </a:xfrm>
                    <a:prstGeom prst="rect"/>
                  </pic:spPr>
                </pic:pic>
              </a:graphicData>
            </a:graphic>
          </wp:inline>
        </w:drawing>
      </w:r>
    </w:p>
    <w:p>
      <w:pPr>
        <w:keepNext w:val="0"/>
        <w:spacing w:after="200"/>
        <w:jc w:val="center"/>
      </w:pPr>
      <w:r>
        <w:rPr>
          <w:rFonts w:ascii="黑体" w:hAnsi="黑体" w:eastAsia="黑体"/>
          <w:sz w:val="21"/>
        </w:rPr>
        <w:t>图2.1  全国统一大市场建设影响要素配置效率的理论分析框架</w:t>
      </w:r>
    </w:p>
    <w:p>
      <w:pPr>
        <w:spacing w:line="360" w:lineRule="auto" w:after="0"/>
        <w:ind w:firstLineChars="200" w:firstLine="480"/>
        <w:jc w:val="both"/>
      </w:pPr>
      <w:r>
        <w:rPr>
          <w:rFonts w:ascii="宋体" w:hAnsi="宋体" w:eastAsia="宋体"/>
          <w:sz w:val="24"/>
        </w:rPr>
        <w:t>在充分肯定既有研究的同时，仍可辨识出三个有待深化的方向，它们共同构成了本书的研究空间。</w:t>
      </w:r>
    </w:p>
    <w:p>
      <w:pPr>
        <w:spacing w:line="360" w:lineRule="auto" w:after="0"/>
        <w:ind w:firstLineChars="200" w:firstLine="480"/>
        <w:jc w:val="both"/>
      </w:pPr>
      <w:r>
        <w:rPr>
          <w:rFonts w:ascii="宋体" w:hAnsi="宋体" w:eastAsia="宋体"/>
          <w:sz w:val="24"/>
        </w:rPr>
        <w:t>其一，</w:t>
      </w:r>
      <w:r>
        <w:rPr>
          <w:rFonts w:ascii="宋体" w:hAnsi="宋体" w:eastAsia="宋体"/>
          <w:b/>
          <w:sz w:val="24"/>
        </w:rPr>
        <w:t>在要素市场分割的理论刻画上尚不充分</w:t>
      </w:r>
      <w:r>
        <w:rPr>
          <w:rFonts w:ascii="宋体" w:hAnsi="宋体" w:eastAsia="宋体"/>
          <w:sz w:val="24"/>
        </w:rPr>
        <w:t>。既有分割研究多沿用源于国际贸易的"冰山成本"思路，聚焦商品市场的价格分割（Young，2000；桂琦寒等，2006），而对劳动力、资本、土地、技术与数据等要素市场因行政边界产生的制度性壁垒缺乏统一的理论刻画；错配研究虽已识别出要素扭曲的巨大代价（Hsieh和Klenow，2009；Brandt等，2013），却较少将其明确锚定于市场分割这一制度根源，也未在空间一般均衡框架下同时处理商品市场与要素市场两类摩擦。本书提出"要素市场的行政性分割"与"制度性配置楔子"概念，并构建包含双重摩擦的空间一般均衡模型，正是要填补这一理论空白。</w:t>
      </w:r>
    </w:p>
    <w:p>
      <w:pPr>
        <w:spacing w:line="360" w:lineRule="auto" w:after="0"/>
        <w:ind w:firstLineChars="200" w:firstLine="480"/>
        <w:jc w:val="both"/>
      </w:pPr>
      <w:r>
        <w:rPr>
          <w:rFonts w:ascii="宋体" w:hAnsi="宋体" w:eastAsia="宋体"/>
          <w:sz w:val="24"/>
        </w:rPr>
        <w:t>其二，</w:t>
      </w:r>
      <w:r>
        <w:rPr>
          <w:rFonts w:ascii="宋体" w:hAnsi="宋体" w:eastAsia="宋体"/>
          <w:b/>
          <w:sz w:val="24"/>
        </w:rPr>
        <w:t>在统一大市场建设水平的综合测度上仍存空白</w:t>
      </w:r>
      <w:r>
        <w:rPr>
          <w:rFonts w:ascii="宋体" w:hAnsi="宋体" w:eastAsia="宋体"/>
          <w:sz w:val="24"/>
        </w:rPr>
        <w:t>。既有实证多以单一价格分割指数或市场化总指数刻画市场一体化，前者失焦于要素市场，后者混同于一般市场化进程，均难以全面、可比地反映统一大市场作为一个多维系统的建设进度与结构短板。本书从商品、劳动力、资本、土地、技术与数据、制度环境六个维度构建全国统一大市场建设指数（NUMI），刻画其2006—2023年的时空演变，为量化研究与政策评估提供可复用的测度基础。</w:t>
      </w:r>
    </w:p>
    <w:p>
      <w:pPr>
        <w:spacing w:line="360" w:lineRule="auto" w:after="0"/>
        <w:ind w:firstLineChars="200" w:firstLine="480"/>
        <w:jc w:val="both"/>
      </w:pPr>
      <w:r>
        <w:rPr>
          <w:rFonts w:ascii="宋体" w:hAnsi="宋体" w:eastAsia="宋体"/>
          <w:sz w:val="24"/>
        </w:rPr>
        <w:t>其三，</w:t>
      </w:r>
      <w:r>
        <w:rPr>
          <w:rFonts w:ascii="宋体" w:hAnsi="宋体" w:eastAsia="宋体"/>
          <w:b/>
          <w:sz w:val="24"/>
        </w:rPr>
        <w:t>在因果识别与机制检验上有待加强</w:t>
      </w:r>
      <w:r>
        <w:rPr>
          <w:rFonts w:ascii="宋体" w:hAnsi="宋体" w:eastAsia="宋体"/>
          <w:sz w:val="24"/>
        </w:rPr>
        <w:t>。已有针对市场一体化效应的微观研究虽日趋规范（倪婷婷和王跃堂，2022；Barwick等，2021），但多为单一政策、单一要素的局部识别，缺乏对"统一大市场建设→要素配置效率"这一总体因果链条的系统检验，对作用机制（要素流动、竞争淘汰、创新激励、规模专业化）与异质性（区域、要素类型、初始分割程度）的刻画亦不够完整。本书综合运用双向固定效应、工具变量与以2022年《意见》为冲击的多期双重差分等方法，力求较为系统地识别其因果效应、作用机制与异质性规律。</w:t>
      </w:r>
    </w:p>
    <w:p>
      <w:pPr>
        <w:spacing w:line="360" w:lineRule="auto" w:after="0"/>
        <w:ind w:firstLineChars="200" w:firstLine="480"/>
        <w:jc w:val="both"/>
      </w:pPr>
      <w:r>
        <w:rPr>
          <w:rFonts w:ascii="宋体" w:hAnsi="宋体" w:eastAsia="宋体"/>
          <w:sz w:val="24"/>
        </w:rPr>
        <w:t>基于上述研究空间，本书拟在三个方面作出边际贡献：在</w:t>
      </w:r>
      <w:r>
        <w:rPr>
          <w:rFonts w:ascii="宋体" w:hAnsi="宋体" w:eastAsia="宋体"/>
          <w:b/>
          <w:sz w:val="24"/>
        </w:rPr>
        <w:t>概念与理论上</w:t>
      </w:r>
      <w:r>
        <w:rPr>
          <w:rFonts w:ascii="宋体" w:hAnsi="宋体" w:eastAsia="宋体"/>
          <w:sz w:val="24"/>
        </w:rPr>
        <w:t>，提出要素市场行政性分割与制度性配置楔子概念，构建统一大市场建设影响要素配置效率的空间一般均衡框架，推导总量TFP与楔子离散度的解析关系并揭示商品与要素市场整合的互补性；在</w:t>
      </w:r>
      <w:r>
        <w:rPr>
          <w:rFonts w:ascii="宋体" w:hAnsi="宋体" w:eastAsia="宋体"/>
          <w:b/>
          <w:sz w:val="24"/>
        </w:rPr>
        <w:t>测度上</w:t>
      </w:r>
      <w:r>
        <w:rPr>
          <w:rFonts w:ascii="宋体" w:hAnsi="宋体" w:eastAsia="宋体"/>
          <w:sz w:val="24"/>
        </w:rPr>
        <w:t>，构建六维NUMI指数，弥补以往单一维度测度之不足；在</w:t>
      </w:r>
      <w:r>
        <w:rPr>
          <w:rFonts w:ascii="宋体" w:hAnsi="宋体" w:eastAsia="宋体"/>
          <w:b/>
          <w:sz w:val="24"/>
        </w:rPr>
        <w:t>经验证据上</w:t>
      </w:r>
      <w:r>
        <w:rPr>
          <w:rFonts w:ascii="宋体" w:hAnsi="宋体" w:eastAsia="宋体"/>
          <w:sz w:val="24"/>
        </w:rPr>
        <w:t>，系统识别统一大市场建设影响要素配置效率的因果效应、机制与异质性，并据本书测算，2023年消除要素错配的反事实TFP提升幅度仍达约25%，量级与Hsieh和Klenow，2009的经典估计相一致，表明破除要素市场行政性分割、加快建设全国统一大市场，仍是释放中国经济效率红利的重大而紧迫的现实课题。凡此，均将在其后各章逐一展开。</w:t>
      </w:r>
    </w:p>
    <w:p>
      <w:r>
        <w:br w:type="page"/>
      </w:r>
    </w:p>
    <w:p>
      <w:pPr>
        <w:keepNext/>
        <w:spacing w:before="240" w:after="160" w:line="360" w:lineRule="auto"/>
        <w:jc w:val="center"/>
      </w:pPr>
      <w:r>
        <w:rPr>
          <w:rFonts w:ascii="黑体" w:hAnsi="黑体" w:eastAsia="黑体"/>
          <w:b/>
          <w:sz w:val="30"/>
        </w:rPr>
        <w:t>第3章  全国统一大市场建设的历史逻辑、制度演进与现实图景</w:t>
      </w:r>
    </w:p>
    <w:p>
      <w:pPr>
        <w:spacing w:line="360" w:lineRule="auto" w:after="0"/>
        <w:ind w:firstLineChars="200" w:firstLine="480"/>
        <w:jc w:val="both"/>
      </w:pPr>
      <w:r>
        <w:rPr>
          <w:rFonts w:ascii="宋体" w:hAnsi="宋体" w:eastAsia="宋体"/>
          <w:sz w:val="24"/>
        </w:rPr>
        <w:t>任何一项重大制度变革，都不是从空白处凭空发生的，而是嵌入在特定的历史脉络与制度约束之中。全国统一大市场建设也是如此：它既是对社会主义市场经济体制内在要求的顺应，也是对改革开放以来长期存在的国内市场分割现象的系统性回应。要理解这一改革的必要性、艰巨性与紧迫性，就必须先回到历史现场，追溯中国市场分割的生成机理，剖析其背后的制度根源，梳理近年来一系列政策文件的演进逻辑，并以翔实的数据勾勒出中国超大规模市场的现实图景与要素配置的现实困境。本章即致力于完成这一"承上启下"的工作：向上，它承接第2章的概念界定与文献综述，为抽象的理论提供制度与史实的注脚；向下，它为第4章的理论建模、第5章的指数测度以及后续的实证识别提供典型事实与经验背景。本章遵循"历史成因—制度根源—政策演进—现实图景—现实困境"的逻辑主线依次展开。</w:t>
      </w:r>
    </w:p>
    <w:p>
      <w:pPr>
        <w:keepNext/>
        <w:spacing w:before="160" w:after="120" w:line="360" w:lineRule="auto"/>
      </w:pPr>
      <w:r>
        <w:rPr>
          <w:rFonts w:ascii="黑体" w:hAnsi="黑体" w:eastAsia="黑体"/>
          <w:sz w:val="28"/>
        </w:rPr>
        <w:t>3.1  中国市场分割的历史成因与演进</w:t>
      </w:r>
    </w:p>
    <w:p>
      <w:pPr>
        <w:keepNext/>
        <w:spacing w:before="160" w:after="120" w:line="360" w:lineRule="auto"/>
      </w:pPr>
      <w:r>
        <w:rPr>
          <w:rFonts w:ascii="黑体" w:hAnsi="黑体" w:eastAsia="黑体"/>
          <w:sz w:val="24"/>
        </w:rPr>
        <w:t>3.1.1  计划经济时期的"行政区经济"遗产</w:t>
      </w:r>
    </w:p>
    <w:p>
      <w:pPr>
        <w:spacing w:line="360" w:lineRule="auto" w:after="0"/>
        <w:ind w:firstLineChars="200" w:firstLine="480"/>
        <w:jc w:val="both"/>
      </w:pPr>
      <w:r>
        <w:rPr>
          <w:rFonts w:ascii="宋体" w:hAnsi="宋体" w:eastAsia="宋体"/>
          <w:sz w:val="24"/>
        </w:rPr>
        <w:t>中国国内市场分割现象并非改革开放以后才出现的新问题，它有着深厚的计划经济遗产与体制转型烙印。在传统计划经济体制下，资源配置以行政指令和实物计划为主导，价格机制被行政定价所取代，省、地、县各级行政区在"条块分割"的管理框架中，既是行政管理单元，也是相对独立的资源配置单元与生产核算单元。出于备战备荒与区域自给自足的战略考虑，各地区被要求建立门类相对齐全的工业体系，形成了"大而全""小而全"的重复布局格局。这种以行政区为单位、自成体系的经济组织方式，在客观上塑造了地区之间相互封闭、缺乏专业化分工的经济结构，为日后的市场分割埋下了体制上的伏笔。可以说，改革前的经济结构是一种"行政区经济"而非"经济区经济"，地区间的经济联系更多依靠计划调拨而非市场交易，统一市场所必需的要素自由流动与商品自由交易的制度基础十分薄弱。</w:t>
      </w:r>
    </w:p>
    <w:p>
      <w:pPr>
        <w:spacing w:line="360" w:lineRule="auto" w:after="0"/>
        <w:ind w:firstLineChars="200" w:firstLine="480"/>
        <w:jc w:val="both"/>
      </w:pPr>
      <w:r>
        <w:rPr>
          <w:rFonts w:ascii="宋体" w:hAnsi="宋体" w:eastAsia="宋体"/>
          <w:sz w:val="24"/>
        </w:rPr>
        <w:t>这种行政区经济的体制惯性，在若干具体制度安排中体现得尤为鲜明。一方面，二十世纪六七十年代出于国防安全考虑推行的"三线建设"，在中西部内陆大规模布局了一批门类齐全却相互重复的工业基地，进一步固化了各地区自成体系、就地配套的生产格局；另一方面，以粮票、布票等各类票证为标志的实物配给制度，以及将职工的就业、住房、医疗与养老捆绑于所在单位的"单位制"，在微观层面严重束缚了劳动力和商品的跨地区自由流动。在"条块分割"的管理体制下，中央部门（条）与地方政府（块）对企业和资源的双重管辖，又使资源配置进一步碎片化。王永钦等，2007在总结中国"大国发展道路"时指出，正是这种以行政层级和地区为单元的分权式治理结构，构成了理解中国经济奇迹及其内在张力的基本线索；Xu，2011也强调，中国自上而下的多层级行政发包体制，深刻塑造了地方政府作为相对独立经济单元的行为逻辑。可以说，计划经济时期所形成的行政区经济格局，为改革开放后市场分割的"路径依赖"提供了深厚的体制土壤。</w:t>
      </w:r>
    </w:p>
    <w:p>
      <w:pPr>
        <w:keepNext/>
        <w:spacing w:before="160" w:after="120" w:line="360" w:lineRule="auto"/>
      </w:pPr>
      <w:r>
        <w:rPr>
          <w:rFonts w:ascii="黑体" w:hAnsi="黑体" w:eastAsia="黑体"/>
          <w:sz w:val="24"/>
        </w:rPr>
        <w:t>3.1.2  财政包干体制与地方保护的兴起（1980—1993）</w:t>
      </w:r>
    </w:p>
    <w:p>
      <w:pPr>
        <w:spacing w:line="360" w:lineRule="auto" w:after="0"/>
        <w:ind w:firstLineChars="200" w:firstLine="480"/>
        <w:jc w:val="both"/>
      </w:pPr>
      <w:r>
        <w:rPr>
          <w:rFonts w:ascii="宋体" w:hAnsi="宋体" w:eastAsia="宋体"/>
          <w:sz w:val="24"/>
        </w:rPr>
        <w:t>改革开放启动的放权让利与财政包干体制，在激发地方发展积极性的同时，也在新的市场化条件下重塑并强化了地方的市场分割动机。1980年开始推行的"划分收支、分级包干"财政体制，以及此后的"财政大包干"，使地方政府在很大程度上成为拥有独立财政利益的经济主体，地方财政收入与本地经济总量、企业利润和税收直接挂钩。在"分灶吃饭"的激励结构下，地方政府有了强烈的动机去扶持本地企业、保护本地税源，通过设置各种有形或无形的壁垒阻止外地商品进入，或限制本地紧俏原材料和资源外流，以维护本地的产值、就业与税收。银温泉和才婉茹，2001对我国地方市场分割的成因和治理进行了系统分析，指出财政包干体制下地方政府"经济人"化的行为逻辑，是地方保护主义与市场分割滋生蔓延的制度土壤。这一时期广受关注的"羊毛大战""蚕茧大战""棉花大战"等区域性原料争夺，以及针对外地烟酒、汽车、家电等消费品的设卡、限销与歧视性收费，正是财政包干激励下地方市场分割的典型表现。</w:t>
      </w:r>
    </w:p>
    <w:p>
      <w:pPr>
        <w:spacing w:line="360" w:lineRule="auto" w:after="0"/>
        <w:ind w:firstLineChars="200" w:firstLine="480"/>
        <w:jc w:val="both"/>
      </w:pPr>
      <w:r>
        <w:rPr>
          <w:rFonts w:ascii="宋体" w:hAnsi="宋体" w:eastAsia="宋体"/>
          <w:sz w:val="24"/>
        </w:rPr>
        <w:t>值得注意的是，这一时期的地方市场分割并非无序的自发行为，而是逐步演化出相当系统化的政策工具，并与中央的治理努力形成反复博弈。在保护手段上，地方政府既采用设立关卡、重复检验检疫、限定本地企业名录、指定政府采购对象等显性壁垒，也运用差别化的运输审批、能源与信贷配额等隐性手段，阻止外地商品进入或限制本地紧俏资源外流。李善同等，2004基于大规模问卷调查发现，地方保护在诸多行业中相当普遍，且以产品质量标准、技术规范和行政审批等非关税形式最为常见。与之相应，中央政府自20世纪80年代起即多次出手治理，先后颁布一系列禁止地区封锁、打破市场分割的规定，试图以行政法规约束地方封锁行为。然而，正如白重恩等，2004对产业地区集中度变动趋势的研究所揭示的，在缺乏根本性激励矫正的条件下，地方保护往往"按下葫芦浮起瓢"，呈现出屡禁不止、形式翻新的顽固特征，这也预示了单纯依靠行政清理难以根治市场分割的困境。</w:t>
      </w:r>
    </w:p>
    <w:p>
      <w:pPr>
        <w:keepNext/>
        <w:spacing w:before="160" w:after="120" w:line="360" w:lineRule="auto"/>
      </w:pPr>
      <w:r>
        <w:rPr>
          <w:rFonts w:ascii="黑体" w:hAnsi="黑体" w:eastAsia="黑体"/>
          <w:sz w:val="24"/>
        </w:rPr>
        <w:t>3.1.3  分税制改革与地方竞争形态的重塑（1994年以来）</w:t>
      </w:r>
    </w:p>
    <w:p>
      <w:pPr>
        <w:spacing w:line="360" w:lineRule="auto" w:after="0"/>
        <w:ind w:firstLineChars="200" w:firstLine="480"/>
        <w:jc w:val="both"/>
      </w:pPr>
      <w:r>
        <w:rPr>
          <w:rFonts w:ascii="宋体" w:hAnsi="宋体" w:eastAsia="宋体"/>
          <w:sz w:val="24"/>
        </w:rPr>
        <w:t>1994年的分税制改革，是理解中国式财政分权与市场分割演进的关键节点。分税制将税种划分为中央税、地方税和中央地方共享税，将增值税等主体税种的大部分划归中央，同时建立了自上而下的转移支付制度，显著提高了中央财政的汲取能力与宏观调控能力，扭转了改革初期"两个比重"（财政收入占GDP比重、中央财政收入占全国财政收入比重）持续下降的局面。然而，分税制在上收财权的同时，并未同步上收事权，反而在此后的改革中不断将教育、医疗、社会保障、基础设施等大量支出责任下沉到地方，造成了地方政府"财权上移、事权下沉"的纵向财政失衡格局。为了弥补财政缺口，地方政府一方面高度依赖以土地出让为核心的"土地财政"，另一方面更加倚重对本地企业与税基的争夺和保护。因此，分税制虽然重构了中央与地方的财政关系，却并未从根本上消除地方保护的激励基础，反而在新的约束条件下衍生出以土地、资本和项目招商为焦点的新型区域竞争与市场分割形态。</w:t>
      </w:r>
    </w:p>
    <w:p>
      <w:pPr>
        <w:spacing w:line="360" w:lineRule="auto" w:after="0"/>
        <w:ind w:firstLineChars="200" w:firstLine="480"/>
        <w:jc w:val="both"/>
      </w:pPr>
      <w:r>
        <w:rPr>
          <w:rFonts w:ascii="宋体" w:hAnsi="宋体" w:eastAsia="宋体"/>
          <w:sz w:val="24"/>
        </w:rPr>
        <w:t>分税制改革以后，地方政府之间的竞争重心与市场分割的作用点也随之发生显著转移。由于主体税种上收、财权相对收缩而事权不断下沉，地方政府愈发依赖土地出让收入弥补财政缺口，"以地引资、以地生财"的土地财政模式逐步定型，围绕建设用地指标、工业用地低价出让和开发区建设的新型区域竞争日趋激烈。范子英和张军，2010关于财政分权、转移支付与国内市场整合的研究表明，中央转移支付在一定程度上缓解了地方的财政压力、有助于弱化地方的市场分割动机，但分权体制下地方对本地税基与投资项目的争夺依然构成市场整合的阻力。与此同时，所得税分享等财税制度的调整也会通过改变地方财政激励，进而影响企业的跨地区投资布局（范子英和周小昶，2022）。这表明，1994年以后的市场分割已不再主要表现为商品设卡，而是更多地嵌入到土地、资本和项目招商等要素与投资领域，呈现出更为隐蔽、也更难治理的新特征。</w:t>
      </w:r>
    </w:p>
    <w:p>
      <w:pPr>
        <w:keepNext/>
        <w:spacing w:before="160" w:after="120" w:line="360" w:lineRule="auto"/>
      </w:pPr>
      <w:r>
        <w:rPr>
          <w:rFonts w:ascii="黑体" w:hAnsi="黑体" w:eastAsia="黑体"/>
          <w:sz w:val="24"/>
        </w:rPr>
        <w:t>3.1.4  加入WTO、对外开放与国内市场整合</w:t>
      </w:r>
    </w:p>
    <w:p>
      <w:pPr>
        <w:spacing w:line="360" w:lineRule="auto" w:after="0"/>
        <w:ind w:firstLineChars="200" w:firstLine="480"/>
        <w:jc w:val="both"/>
      </w:pPr>
      <w:r>
        <w:rPr>
          <w:rFonts w:ascii="宋体" w:hAnsi="宋体" w:eastAsia="宋体"/>
          <w:sz w:val="24"/>
        </w:rPr>
        <w:t>2001年中国正式加入世界贸易组织，标志着对外开放进入全新阶段，也为国内市场整合注入了新的外部动力。一方面，大规模的贸易开放和出口扩张，通过引入国际竞争、扩大市场规模和倒逼制度接轨，客观上有助于打破地方保护、促进国内商品市场的整合：盛斌和毛其淋，2011基于1985—2008年省际数据的研究发现，贸易开放与国内市场一体化对省际经济增长具有显著的协同促进作用；陈敏等，2008也证实，经济开放通过发挥规模效应而有利于国内商品市场的持续整合。另一方面，对外开放对国内市场整合的影响并非单向度的：陆铭和陈钊，2009从理论上指出，在分割的市场结构下，经济开放甚至可能因强化地方对本地可贸易部门的保护激励，而在特定条件下加剧地方保护。综合来看，加入WTO以来国内商品市场的一体化程度总体趋于上升，但要素市场的行政性分割并未随之同步消解，这也为此后市场分割研究的重心由商品市场转向要素市场埋下了伏笔。</w:t>
      </w:r>
    </w:p>
    <w:p>
      <w:pPr>
        <w:keepNext/>
        <w:spacing w:before="160" w:after="120" w:line="360" w:lineRule="auto"/>
      </w:pPr>
      <w:r>
        <w:rPr>
          <w:rFonts w:ascii="黑体" w:hAnsi="黑体" w:eastAsia="黑体"/>
          <w:sz w:val="24"/>
        </w:rPr>
        <w:t>3.1.5  "诸侯经济"格局与市场分割的长期趋势之争</w:t>
      </w:r>
    </w:p>
    <w:p>
      <w:pPr>
        <w:spacing w:line="360" w:lineRule="auto" w:after="0"/>
        <w:ind w:firstLineChars="200" w:firstLine="480"/>
        <w:jc w:val="both"/>
      </w:pPr>
      <w:r>
        <w:rPr>
          <w:rFonts w:ascii="宋体" w:hAnsi="宋体" w:eastAsia="宋体"/>
          <w:sz w:val="24"/>
        </w:rPr>
        <w:t>在财政分权的宏观背景下，中国逐步形成了被学界概括为"诸侯经济"或"行政区经济"的空间格局。周黎安，2004从晋升博弈的视角揭示，在以经济增长为核心的政绩考核体系下，同级地方官员之间存在激烈的相对绩效竞争，这种竞争不仅激励地方追求本地增长，也内生地导致了地方保护主义与重复建设的长期存在——因为帮助邻近地区发展并不能改善本地官员的相对位次，反而可能削弱其竞争优势。这一逻辑深刻地解释了为什么在市场化改革不断推进的同时，地区间的产业同构、重复投资和市场壁垒却屡禁不止。Xu，2011进一步将中国的体制特征概括为"分权式威权制"（regionally decentralized authoritarian system），强调地方政府在经济管理上享有高度的自主权，各地区在很大程度上是相互竞争、彼此独立的经济体，这一独特的制度架构既是中国经济高速增长的重要动力，也是地方保护与市场分割得以持续的制度基础。</w:t>
      </w:r>
    </w:p>
    <w:p>
      <w:pPr>
        <w:spacing w:line="360" w:lineRule="auto" w:after="0"/>
        <w:ind w:firstLineChars="200" w:firstLine="480"/>
        <w:jc w:val="both"/>
      </w:pPr>
      <w:r>
        <w:rPr>
          <w:rFonts w:ascii="宋体" w:hAnsi="宋体" w:eastAsia="宋体"/>
          <w:sz w:val="24"/>
        </w:rPr>
        <w:t>关于中国国内市场分割的长期演变趋势，学界曾有过颇具影响的争论。Young，2000在其著名的"剃刀边缘"（The Razor's Edge）一文中提出，中国的渐进式改革导致了地区间价格结构趋同、产业结构趋同和贸易壁垒上升，认为1978年以后中国的国内市场正走向分割而非整合，这一判断在当时引起了广泛关注。然而，后续研究对这一结论提出了不同看法。基于相对价格法的一系列经验研究表明，从更长时段和更细价格数据来看，中国国内商品市场总体上呈现波动中趋于整合的态势（桂琦寒等，2006；盛斌和毛其淋，2011）；Holz，2009也对Young的数据处理与识别提出了质疑，认为其证据不足以支持市场持续分割的强判断。综合来看，改革开放以来中国国内市场一体化水平在长期趋势上是上升的，但这一进程始终伴随着周期性的反复与显著的区域差异，尤其在经济下行、财政压力加大的时期，地方保护往往有所抬头。</w:t>
      </w:r>
    </w:p>
    <w:p>
      <w:pPr>
        <w:keepNext/>
        <w:spacing w:before="160" w:after="120" w:line="360" w:lineRule="auto"/>
      </w:pPr>
      <w:r>
        <w:rPr>
          <w:rFonts w:ascii="黑体" w:hAnsi="黑体" w:eastAsia="黑体"/>
          <w:sz w:val="24"/>
        </w:rPr>
        <w:t>3.1.6  市场分割的经济代价与重心的转移</w:t>
      </w:r>
    </w:p>
    <w:p>
      <w:pPr>
        <w:spacing w:line="360" w:lineRule="auto" w:after="0"/>
        <w:ind w:firstLineChars="200" w:firstLine="480"/>
        <w:jc w:val="both"/>
      </w:pPr>
      <w:r>
        <w:rPr>
          <w:rFonts w:ascii="宋体" w:hAnsi="宋体" w:eastAsia="宋体"/>
          <w:sz w:val="24"/>
        </w:rPr>
        <w:t>市场分割的长期存在，带来了不容忽视的经济代价，这也是历史地考察这一问题的现实落脚点。从福利经济学的视角看，地方保护和市场分割通过阻碍商品与要素的自由流动，割裂了统一市场的规模优势，抑制了地区间基于比较优势的专业化分工，从而造成了资源配置的整体扭曲和社会福利的净损失。郑毓盛和李崇高，2003较早对中国地方分割的效率损失进行了量化估算，发现地区分割导致的产出损失相当可观；陆铭等，2004则从收益递增与发展战略的角度指出，分割的市场难以支撑规模经济和产业升级，地方为追求本地"大而全"的产业体系而重复建设，恰恰牺牲了本可通过全国统一市场获得的规模收益。针对具体行业的研究同样提供了微观证据：Barwick等，2021对中国汽车市场的分析表明，地方保护显著扭曲了市场结构、抬高了消费者成本并造成了社会福利损失。更为系统的测算显示，区域市场分割对国内大循环构成了实质性障碍，其带来的效率损失在总量上相当显著（余泳泽等，2022）。这些证据从不同侧面印证了破除市场分割的巨大潜在收益，也构成了推进全国统一大市场建设最直接的经济动因。</w:t>
      </w:r>
    </w:p>
    <w:p>
      <w:pPr>
        <w:spacing w:line="360" w:lineRule="auto" w:after="0"/>
        <w:ind w:firstLineChars="200" w:firstLine="480"/>
        <w:jc w:val="both"/>
      </w:pPr>
      <w:r>
        <w:rPr>
          <w:rFonts w:ascii="宋体" w:hAnsi="宋体" w:eastAsia="宋体"/>
          <w:sz w:val="24"/>
        </w:rPr>
        <w:t>值得强调的是，商品市场的整合趋势并不意味着要素市场分割的同步消解。相反，随着商品市场壁垒因贸易开放、交通改善和监管强化而逐步弱化，市场分割的重心悄然由"看得见"的商品壁垒转向"看不见"的要素壁垒。劳动力、资本、土地以及新兴的数据要素，因其配置高度依赖户籍、金融、用地指标和数据管理等制度安排，成为地方政府得以施加影响、构筑区域壁垒的新领域。这一由商品分割向要素分割演进的结构性转变，正是本书将分析焦点从传统的商品市场一体化转向"要素市场的行政性分割"的现实依据，也是理解当下统一大市场建设难点的关键所在。</w:t>
      </w:r>
    </w:p>
    <w:p>
      <w:pPr>
        <w:keepNext/>
        <w:spacing w:before="160" w:after="120" w:line="360" w:lineRule="auto"/>
      </w:pPr>
      <w:r>
        <w:rPr>
          <w:rFonts w:ascii="黑体" w:hAnsi="黑体" w:eastAsia="黑体"/>
          <w:sz w:val="28"/>
        </w:rPr>
        <w:t>3.2  市场分割的制度根源</w:t>
      </w:r>
    </w:p>
    <w:p>
      <w:pPr>
        <w:spacing w:line="360" w:lineRule="auto" w:after="0"/>
        <w:ind w:firstLineChars="200" w:firstLine="480"/>
        <w:jc w:val="both"/>
      </w:pPr>
      <w:r>
        <w:rPr>
          <w:rFonts w:ascii="宋体" w:hAnsi="宋体" w:eastAsia="宋体"/>
          <w:sz w:val="24"/>
        </w:rPr>
        <w:t>如果说3.1从历史演进的维度描述了市场分割"是什么"和"怎么来"，那么本节则试图从制度经济学的视角回答一个更为根本的问题：为什么在市场化改革已推进四十余年、全国政令统一的单一制国家里，地方保护与市场分割仍然具有如此顽强的生命力？本书认为，答案深植于中国式财政分权、地方政府竞争与要素市场行政管制三者相互交织、彼此强化的制度结构之中。正是这一套激励与约束体系，使地方政府在追求本地利益最大化时，"理性地"选择了分割市场、保护本地的行为策略。</w:t>
      </w:r>
    </w:p>
    <w:p>
      <w:pPr>
        <w:keepNext/>
        <w:spacing w:before="160" w:after="120" w:line="360" w:lineRule="auto"/>
      </w:pPr>
      <w:r>
        <w:rPr>
          <w:rFonts w:ascii="黑体" w:hAnsi="黑体" w:eastAsia="黑体"/>
          <w:sz w:val="24"/>
        </w:rPr>
        <w:t>3.2.1  财政分权与地方政府竞争</w:t>
      </w:r>
    </w:p>
    <w:p>
      <w:pPr>
        <w:spacing w:line="360" w:lineRule="auto" w:after="0"/>
        <w:ind w:firstLineChars="200" w:firstLine="480"/>
        <w:jc w:val="both"/>
      </w:pPr>
      <w:r>
        <w:rPr>
          <w:rFonts w:ascii="宋体" w:hAnsi="宋体" w:eastAsia="宋体"/>
          <w:sz w:val="24"/>
        </w:rPr>
        <w:t>财政分权是理解中国地方政府行为的逻辑起点。Qian和Weingast，1997提出的"维护市场的联邦主义"（market-preserving federalism）理论认为，恰当的财政分权可以硬化地方政府的预算约束、增强其发展经济的激励，从而成为一种保护市场化改革成果的可信承诺机制。这一理论为理解中国式分权的增长绩效提供了重要框架，也在一定程度上解释了地方政府发展经济的强大动力从何而来。然而，财政分权是一柄双刃剑：它在激励地方"做大蛋糕"的同时，也内生地激励地方为了独占"蛋糕"而分割市场。沈坤荣和付文林，2006对税收竞争与地区博弈的研究表明，在分权体制下，地方政府之间围绕流动性税基展开的激烈竞争，不仅表现为竞相降低实际税负、给予选择性优惠，也表现为对本地税源的保护性壁垒，其增长绩效具有显著的不确定性。</w:t>
      </w:r>
    </w:p>
    <w:p>
      <w:pPr>
        <w:spacing w:line="360" w:lineRule="auto" w:after="0"/>
        <w:ind w:firstLineChars="200" w:firstLine="480"/>
        <w:jc w:val="both"/>
      </w:pPr>
      <w:r>
        <w:rPr>
          <w:rFonts w:ascii="宋体" w:hAnsi="宋体" w:eastAsia="宋体"/>
          <w:sz w:val="24"/>
        </w:rPr>
        <w:t>中国式财政分权的独特之处，在于财政激励与政治集权的紧密结合。傅勇和张晏，2007的研究指出，中国式分权与以经济增长为核心的政绩考核相结合，导致地方政府的财政支出结构系统性地偏向能够快速拉动增长的基本建设投资，而相对忽视教育、医疗等民生性公共服务，这正是"为增长而竞争"所付出的代价。这种支出偏向不仅扭曲了公共资源的配置，也强化了地方政府对本地投资项目、本地企业和本地税基的保护动机——因为只有把资源留在本地、把项目办在本地，才能在增长竞赛中占得先机。由此，财政分权、政绩考核与地方保护形成了一个自我强化的闭环：越是激烈的增长竞争，越强的市场分割动机；越是分割的市场，越依赖行政力量维系本地的增长优势。近年来，刘志彪和孔令池，2021在讨论从分割走向整合的阻力时也强调，地方财政激励与政绩考核所塑造的地方利益格局，是国内统一大市场建设面临的最深层、最顽固的体制性障碍。</w:t>
      </w:r>
    </w:p>
    <w:p>
      <w:pPr>
        <w:keepNext/>
        <w:spacing w:before="160" w:after="120" w:line="360" w:lineRule="auto"/>
      </w:pPr>
      <w:r>
        <w:rPr>
          <w:rFonts w:ascii="黑体" w:hAnsi="黑体" w:eastAsia="黑体"/>
          <w:sz w:val="24"/>
        </w:rPr>
        <w:t>3.2.2  以GDP为核心的官员晋升激励</w:t>
      </w:r>
    </w:p>
    <w:p>
      <w:pPr>
        <w:keepNext/>
        <w:spacing w:before="160" w:after="120" w:line="360" w:lineRule="auto"/>
      </w:pPr>
      <w:r>
        <w:rPr>
          <w:rFonts w:ascii="宋体" w:hAnsi="宋体" w:eastAsia="宋体"/>
          <w:b/>
          <w:sz w:val="24"/>
        </w:rPr>
        <w:t>晋升锦标赛的基本逻辑与微观机制</w:t>
      </w:r>
    </w:p>
    <w:p>
      <w:pPr>
        <w:spacing w:line="360" w:lineRule="auto" w:after="0"/>
        <w:ind w:firstLineChars="200" w:firstLine="480"/>
        <w:jc w:val="both"/>
      </w:pPr>
      <w:r>
        <w:rPr>
          <w:rFonts w:ascii="宋体" w:hAnsi="宋体" w:eastAsia="宋体"/>
          <w:sz w:val="24"/>
        </w:rPr>
        <w:t>如果说财政分权提供了地方保护的"物质基础"，那么以GDP为核心的官员晋升激励则提供了更强的"政治动力"。周黎安，2007提出的"晋升锦标赛"理论是理解这一机制的经典分析框架。该理论指出，在中国的政治治理结构中，上级政府以可量化、可比较的经济增长绩效作为选拔和晋升下级官员的重要标准，由此在同级地方官员之间形成了一场以GDP增长为主要指标的"锦标赛"。在这一激励结构下，地方官员的效用不仅取决于本地经济的绝对增长，更取决于其相对于竞争对手的排名位次。这种相对绩效竞争具有典型的"零和"色彩：一个地区的相对上升，必然意味着其竞争对手的相对下降。</w:t>
      </w:r>
    </w:p>
    <w:p>
      <w:pPr>
        <w:spacing w:line="360" w:lineRule="auto" w:after="0"/>
        <w:ind w:firstLineChars="200" w:firstLine="480"/>
        <w:jc w:val="both"/>
      </w:pPr>
      <w:r>
        <w:rPr>
          <w:rFonts w:ascii="宋体" w:hAnsi="宋体" w:eastAsia="宋体"/>
          <w:sz w:val="24"/>
        </w:rPr>
        <w:t>晋升锦标赛之所以能够成为强有力的激励装置，与其精巧的微观运行机制密不可分。首先，在信息不对称条件下，上级政府难以直接观测下级官员的努力程度，而以GDP增长为代表的经济指标具有可度量、可比较、可考核的特点，恰好可以充当排名竞赛的客观标尺。其次，锦标赛采用相对绩效评估，能够过滤掉宏观经济波动等影响所有地区的共同冲击，使考核更聚焦于官员自身的相对努力。再次，地方官员任期有限，且以自上而下的任命和横向交流为主，这意味着"不进则退"的排名压力被压缩在较短的政治周期内，进一步强化了官员追求短期可见增长的冲动。周黎安，2017在系统梳理转型期地方政府的官员激励与治理时指出，行政发包制与晋升锦标赛相互嵌套，构成了理解中国地方治理的核心分析框架；这一激励结构在释放增长动能的同时，也内生地塑造了地方官员"重投资、轻服务""重本地、轻协作"的行为偏好（周黎安，2007）。</w:t>
      </w:r>
    </w:p>
    <w:p>
      <w:pPr>
        <w:keepNext/>
        <w:spacing w:before="160" w:after="120" w:line="360" w:lineRule="auto"/>
      </w:pPr>
      <w:r>
        <w:rPr>
          <w:rFonts w:ascii="宋体" w:hAnsi="宋体" w:eastAsia="宋体"/>
          <w:b/>
          <w:sz w:val="24"/>
        </w:rPr>
        <w:t>锦标赛激励向市场分割的传导</w:t>
      </w:r>
    </w:p>
    <w:p>
      <w:pPr>
        <w:spacing w:line="360" w:lineRule="auto" w:after="0"/>
        <w:ind w:firstLineChars="200" w:firstLine="480"/>
        <w:jc w:val="both"/>
      </w:pPr>
      <w:r>
        <w:rPr>
          <w:rFonts w:ascii="宋体" w:hAnsi="宋体" w:eastAsia="宋体"/>
          <w:sz w:val="24"/>
        </w:rPr>
        <w:t>晋升锦标赛的激励逻辑，为地方保护与市场分割提供了远比单纯财政利益更为深刻的解释。既然官员的政治前途取决于本地相对于邻近地区的增长排名，那么任何有利于外地、可能缩小本地相对优势的行为，都会被"理性"的地方官员所排斥。这就从根本上抑制了地方政府开放本地市场、支持要素外流、促进跨区域分工协作的意愿，因为这些行为的收益可能外溢到竞争对手辖区，而成本却由本地承担。相反，通过行政手段保护本地企业、扶持本地"支柱产业"、争夺流动性要素与投资项目，则能够直接转化为本地的产值、税收和政绩。正因如此，周黎安，2004才将地方保护主义与重复建设的长期存在，归结为晋升博弈中地方官员激励扭曲的必然产物。这也解释了一个耐人寻味的现象：即便中央三令五申破除地方保护，各种隐性壁垒仍能以招商引资优惠、政府采购倾斜、标准认证歧视、要素供给差别化等更为隐蔽的形式不断再生。</w:t>
      </w:r>
    </w:p>
    <w:p>
      <w:pPr>
        <w:keepNext/>
        <w:spacing w:before="160" w:after="120" w:line="360" w:lineRule="auto"/>
      </w:pPr>
      <w:r>
        <w:rPr>
          <w:rFonts w:ascii="宋体" w:hAnsi="宋体" w:eastAsia="宋体"/>
          <w:b/>
          <w:sz w:val="24"/>
        </w:rPr>
        <w:t>地方保护的典型形式与行业例证</w:t>
      </w:r>
    </w:p>
    <w:p>
      <w:pPr>
        <w:spacing w:line="360" w:lineRule="auto" w:after="0"/>
        <w:ind w:firstLineChars="200" w:firstLine="480"/>
        <w:jc w:val="both"/>
      </w:pPr>
      <w:r>
        <w:rPr>
          <w:rFonts w:ascii="宋体" w:hAnsi="宋体" w:eastAsia="宋体"/>
          <w:sz w:val="24"/>
        </w:rPr>
        <w:t>晋升锦标赛的激励逻辑，在实践中还不断催生出更为隐蔽的市场分割新形态，其中最典型的便是白热化的招商引资竞争。为了在增长排名中胜出，各地竞相以土地、税收、财政补贴和要素供给等方面的选择性优惠招揽投资和企业，形成了事实上的"逐底竞争"。这种竞争一方面通过差异化的政策待遇扭曲了企业的区位选择和市场公平，另一方面也助长了产业同构和重复建设，与地方保护形成了一体两面的关系（林晨和李宇潇，2024）。与显性的商品设卡相比，此类以政策优惠和要素倾斜为手段的隐性分割更难以识别和治理，税收竞争甚至会诱发企业避税等次生问题（范子英和田彬彬，2013）。这正是二十届三中全会《决定》特别强调"规范地方招商引资法规制度、严禁违法违规给予政策优惠行为"的现实针对性所在，也说明破除市场分割必须与规范地方竞争行为同步推进。</w:t>
      </w:r>
    </w:p>
    <w:p>
      <w:pPr>
        <w:spacing w:line="360" w:lineRule="auto" w:after="0"/>
        <w:ind w:firstLineChars="200" w:firstLine="480"/>
        <w:jc w:val="both"/>
      </w:pPr>
      <w:r>
        <w:rPr>
          <w:rFonts w:ascii="宋体" w:hAnsi="宋体" w:eastAsia="宋体"/>
          <w:sz w:val="24"/>
        </w:rPr>
        <w:t>从表现形式看，晋升锦标赛激励下的地方保护呈现出由显性走向隐性、由商品领域延伸至要素与制度领域的演变轨迹。显性形式包括对外地商品设置检验检疫和技术标准壁垒、在政府采购和工程招标中偏袒本地企业、对本地"支柱企业"给予财政补贴与税费减免等；隐性形式则更多体现为差别化的要素供给、行业准入的隐形门槛以及标准认证的地方化倾向。就行业例证而言，地方保护在那些税收贡献大、产业关联强的领域表现得尤为突出。Barwick等，2021对中国汽车市场的经验研究发现，地方政府通过补贴本地车企、限制外地车型上牌等手段实施保护，显著扭曲了市场结构、抬高了消费者购车成本，并造成了可观的社会福利损失。类似的逻辑同样普遍存在于白酒、卷烟、医药、建材等地方财政倚重的行业之中——地方通过指定采购、限制外地产品进入本地商超和招投标市场等方式庇护本地税源，形成了一个个相对封闭的"行政区市场"。这些微观证据表明，破除地方保护绝不能仅停留于清理显性壁垒，更须从根本上矫正驱动地方保护的晋升激励与财政激励。</w:t>
      </w:r>
    </w:p>
    <w:p>
      <w:pPr>
        <w:keepNext/>
        <w:spacing w:before="160" w:after="120" w:line="360" w:lineRule="auto"/>
      </w:pPr>
      <w:r>
        <w:rPr>
          <w:rFonts w:ascii="黑体" w:hAnsi="黑体" w:eastAsia="黑体"/>
          <w:sz w:val="24"/>
        </w:rPr>
        <w:t>3.2.3  要素市场的行政管制：户籍、用地、金融与数据</w:t>
      </w:r>
    </w:p>
    <w:p>
      <w:pPr>
        <w:spacing w:line="360" w:lineRule="auto" w:after="0"/>
        <w:ind w:firstLineChars="200" w:firstLine="480"/>
        <w:jc w:val="both"/>
      </w:pPr>
      <w:r>
        <w:rPr>
          <w:rFonts w:ascii="宋体" w:hAnsi="宋体" w:eastAsia="宋体"/>
          <w:sz w:val="24"/>
        </w:rPr>
        <w:t>财政激励与晋升激励解释了地方政府"为何"要分割市场，而要素市场的行政管制则提供了地方政府"如何"分割市场的制度工具。相较于商品市场，要素市场的行政性分割更为隐蔽、也更难破除，因为它深植于户籍、用地、金融和数据等一系列基础性制度安排之中，这些制度往往被赋予了社会管理、风险防控或公共安全等多重目标，从而为要素的属地化配置提供了看似正当的行政理由。</w:t>
      </w:r>
    </w:p>
    <w:p>
      <w:pPr>
        <w:spacing w:line="360" w:lineRule="auto" w:after="0"/>
        <w:ind w:firstLineChars="200" w:firstLine="480"/>
        <w:jc w:val="both"/>
      </w:pPr>
      <w:r>
        <w:rPr>
          <w:rFonts w:ascii="宋体" w:hAnsi="宋体" w:eastAsia="宋体"/>
          <w:sz w:val="24"/>
        </w:rPr>
        <w:t>在劳动力要素方面，户籍制度是造成劳动力市场行政性分割的核心制度。长期以来，户籍不仅是一种人口登记制度，更与教育、医疗、住房、社会保障等一系列本地化公共服务紧密捆绑，形成了对劳动力自由流动和市民化的实质性壁垒。尽管数以亿计的农业转移人口实现了跨地区就业，但他们在流入地往往难以平等享受基本公共服务，处于"就业在城市、户籍在农村""劳动力流动而人口不流动"的半城市化状态（陈钊和陆铭，2008）。这种以户籍为核心的劳动力分割，不仅抑制了人力资源在更大空间范围内的优化配置，也造成了大量的劳动力空间错配与效率损失。</w:t>
      </w:r>
    </w:p>
    <w:p>
      <w:pPr>
        <w:spacing w:line="360" w:lineRule="auto" w:after="0"/>
        <w:ind w:firstLineChars="200" w:firstLine="480"/>
        <w:jc w:val="both"/>
      </w:pPr>
      <w:r>
        <w:rPr>
          <w:rFonts w:ascii="宋体" w:hAnsi="宋体" w:eastAsia="宋体"/>
          <w:sz w:val="24"/>
        </w:rPr>
        <w:t>在土地要素方面，建设用地指标的行政化配置是土地市场分割的主要根源。中国实行严格的土地用途管制和建设用地指标计划管理，新增建设用地指标主要通过自上而下的行政计划进行分配，跨地区调剂受到诸多限制，土地要素难以按照市场供求和边际产出在地区之间自由流动。盖庆恩等，2017的研究表明，土地资源的配置不当会显著拉低劳动生产率，张少辉和余泳泽，2019也发现地方政府主导下的土地出让行为造成了明显的资源错配与全要素生产率损失。与此同时，地方政府对土地一级市场的高度垄断和对"土地财政"的依赖，使土地要素成为地方招商引资、干预资源配置的重要杠杆（曹婧，2024），进一步固化了土地市场的地区分割。</w:t>
      </w:r>
    </w:p>
    <w:p>
      <w:pPr>
        <w:spacing w:line="360" w:lineRule="auto" w:after="0"/>
        <w:ind w:firstLineChars="200" w:firstLine="480"/>
        <w:jc w:val="both"/>
      </w:pPr>
      <w:r>
        <w:rPr>
          <w:rFonts w:ascii="宋体" w:hAnsi="宋体" w:eastAsia="宋体"/>
          <w:sz w:val="24"/>
        </w:rPr>
        <w:t>在资本要素方面，金融资源配置的属地化倾向和所有制歧视，构成了资本市场行政性分割的突出表现。一方面，地方政府对本地金融机构具有较强的影响力，信贷资源存在向本地国有企业、地方融资平台和政府支持项目倾斜的倾向，资金难以顺畅地流向回报率更高的地区和企业；另一方面，隐性的地方保护和信息壁垒也抬高了资本跨区域流动的制度成本。Brandt等，2013对中国要素市场扭曲的跨时期、跨空间、跨部门测度显示，资本和劳动的配置扭曲在地区间和部门间广泛存在，且构成了拖累总量全要素生产率的重要因素。近年来，随着企业集团跨地区投资和资本跨区流动的活跃，资本要素一体化对企业投资效率和生产率的提升作用日益受到关注（胡芊芊等，2022；彭婕和豆建民，2025），这从反面印证了此前资本市场分割的效率代价。</w:t>
      </w:r>
    </w:p>
    <w:p>
      <w:pPr>
        <w:spacing w:line="360" w:lineRule="auto" w:after="0"/>
        <w:ind w:firstLineChars="200" w:firstLine="480"/>
        <w:jc w:val="both"/>
      </w:pPr>
      <w:r>
        <w:rPr>
          <w:rFonts w:ascii="宋体" w:hAnsi="宋体" w:eastAsia="宋体"/>
          <w:sz w:val="24"/>
        </w:rPr>
        <w:t>在数据要素方面，作为一种新型生产要素，数据的跨地区流通与配置正面临新的行政性分割风险。由于数据的确权、定价、流通和安全治理制度尚在探索之中，加之各地在数据基础设施、公共数据开放和数据交易平台建设上各自为政，容易形成新的"数据孤岛"和地区壁垒。2020年的要素市场化配置改革首次将数据列为与土地、劳动力、资本、技术并列的生产要素（《要素市场化配置意见》，2020），2022年出台的"数据基础制度"文件进一步系统部署了数据产权、流通交易、收益分配和安全治理等基础制度（"数据二十条"，2022），其重要目的之一正是在数据要素大规模市场化配置的起步阶段，就前瞻性地防范地区分割，避免重蹈传统要素市场行政性分割的覆辙。</w:t>
      </w:r>
    </w:p>
    <w:p>
      <w:pPr>
        <w:spacing w:line="360" w:lineRule="auto" w:after="0"/>
        <w:ind w:firstLineChars="200" w:firstLine="480"/>
        <w:jc w:val="both"/>
      </w:pPr>
      <w:r>
        <w:rPr>
          <w:rFonts w:ascii="宋体" w:hAnsi="宋体" w:eastAsia="宋体"/>
          <w:sz w:val="24"/>
        </w:rPr>
        <w:t>综上，中国式市场分割的制度根源，可以概括为财政分权提供利益基础、晋升激励提供政治动力、要素行政管制提供操作工具的"三位一体"结构。三者相互嵌套、彼此强化，共同构成了地方保护与市场分割赖以存续的制度生态。这一分析也表明，全国统一大市场建设绝非简单的"清障"或"治标"，而是一场触及财税体制、政绩考核和要素配置制度的深层次改革，其艰巨性和系统性由此可见一斑。图3.5概括了上述制度成因的内在联系。</w:t>
      </w:r>
    </w:p>
    <w:p>
      <w:pPr>
        <w:spacing w:before="120" w:after="40"/>
        <w:jc w:val="center"/>
      </w:pPr>
      <w:r>
        <w:drawing>
          <wp:inline xmlns:a="http://schemas.openxmlformats.org/drawingml/2006/main" xmlns:pic="http://schemas.openxmlformats.org/drawingml/2006/picture">
            <wp:extent cx="4680000" cy="2381129"/>
            <wp:docPr id="3" name="Picture 3"/>
            <wp:cNvGraphicFramePr>
              <a:graphicFrameLocks noChangeAspect="1"/>
            </wp:cNvGraphicFramePr>
            <a:graphic>
              <a:graphicData uri="http://schemas.openxmlformats.org/drawingml/2006/picture">
                <pic:pic>
                  <pic:nvPicPr>
                    <pic:cNvPr id="0" name="fig3_5.png"/>
                    <pic:cNvPicPr/>
                  </pic:nvPicPr>
                  <pic:blipFill>
                    <a:blip r:embed="rId11"/>
                    <a:stretch>
                      <a:fillRect/>
                    </a:stretch>
                  </pic:blipFill>
                  <pic:spPr>
                    <a:xfrm>
                      <a:off x="0" y="0"/>
                      <a:ext cx="4680000" cy="2381129"/>
                    </a:xfrm>
                    <a:prstGeom prst="rect"/>
                  </pic:spPr>
                </pic:pic>
              </a:graphicData>
            </a:graphic>
          </wp:inline>
        </w:drawing>
      </w:r>
    </w:p>
    <w:p>
      <w:pPr>
        <w:keepNext w:val="0"/>
        <w:spacing w:after="200"/>
        <w:jc w:val="center"/>
      </w:pPr>
      <w:r>
        <w:rPr>
          <w:rFonts w:ascii="黑体" w:hAnsi="黑体" w:eastAsia="黑体"/>
          <w:sz w:val="21"/>
        </w:rPr>
        <w:t>图3.5  国内市场分割与地方保护的制度成因</w:t>
      </w:r>
    </w:p>
    <w:p>
      <w:pPr>
        <w:keepNext/>
        <w:spacing w:before="160" w:after="120" w:line="360" w:lineRule="auto"/>
      </w:pPr>
      <w:r>
        <w:rPr>
          <w:rFonts w:ascii="黑体" w:hAnsi="黑体" w:eastAsia="黑体"/>
          <w:sz w:val="28"/>
        </w:rPr>
        <w:t>3.3  全国统一大市场建设的政策演进</w:t>
      </w:r>
    </w:p>
    <w:p>
      <w:pPr>
        <w:spacing w:line="360" w:lineRule="auto" w:after="0"/>
        <w:ind w:firstLineChars="200" w:firstLine="480"/>
        <w:jc w:val="both"/>
      </w:pPr>
      <w:r>
        <w:rPr>
          <w:rFonts w:ascii="宋体" w:hAnsi="宋体" w:eastAsia="宋体"/>
          <w:sz w:val="24"/>
        </w:rPr>
        <w:t>认识到市场分割深层次的制度根源，也就理解了近年来中央何以将全国统一大市场建设提升到构建高水平社会主义市场经济体制和构建新发展格局的战略高度，并以前所未有的密度出台了一系列相互衔接、层层递进的政策文件。梳理这一政策演进脉络，不仅有助于把握统一大市场建设的政策意图与重点任务，也为后续以政策冲击为基础的实证识别提供了制度背景。本节按时间顺序，重点解读五份标志性文件，并将其要点归纳于表3.1。</w:t>
      </w:r>
    </w:p>
    <w:p>
      <w:pPr>
        <w:spacing w:line="360" w:lineRule="auto" w:after="0"/>
        <w:ind w:firstLineChars="200" w:firstLine="480"/>
        <w:jc w:val="both"/>
      </w:pPr>
      <w:r>
        <w:rPr>
          <w:rFonts w:ascii="宋体" w:hAnsi="宋体" w:eastAsia="宋体"/>
          <w:sz w:val="24"/>
        </w:rPr>
        <w:t>第一份文件是2020年4月发布的《中共中央 国务院关于构建更加完善的要素市场化配置体制机制的意见》。该文件是新时代深化要素市场化配置改革的纲领性文件，首次系统提出土地、劳动力、资本、技术、数据五大类要素的市场化配置改革任务，并具有里程碑意义地将"数据"首次明确列为一种生产要素，与传统四类要素并列（《要素市场化配置意见》，2020）。这份文件从要素供给侧入手，抓住了市场分割最深层、最难破除的要素领域，为此后统一大市场建设中"打造统一的要素和资源市场"这一核心任务奠定了政策基础。</w:t>
      </w:r>
    </w:p>
    <w:p>
      <w:pPr>
        <w:spacing w:line="360" w:lineRule="auto" w:after="0"/>
        <w:ind w:firstLineChars="200" w:firstLine="480"/>
        <w:jc w:val="both"/>
      </w:pPr>
      <w:r>
        <w:rPr>
          <w:rFonts w:ascii="宋体" w:hAnsi="宋体" w:eastAsia="宋体"/>
          <w:sz w:val="24"/>
        </w:rPr>
        <w:t>第二份、也是最具标志性意义的文件，是2022年4月正式公开发布的《中共中央 国务院关于加快建设全国统一大市场的意见》。该文件是中国首份以建设全国统一大市场为主题的顶层设计文件，鲜明提出"加快建设高效规范、公平竞争、充分开放的全国统一大市场，全面推动我国市场由大到强转变"的总目标，并系统部署了通常概括为"五统一、一破除"的重点任务：强化市场基础制度规则统一、推进市场设施高标准联通、打造统一的要素和资源市场、推进商品和服务市场高水平统一、推进市场监管公平统一，以及进一步规范不当市场竞争和市场干预行为，着力破除地方保护和市场分割（《意见》，2022）。这份文件的出台，标志着统一大市场建设从零散的、领域性的改革，上升为覆盖商品与要素、制度与设施、准入与监管的系统性工程，也为学术界评估相关政策效应提供了一个清晰的时间断点。</w:t>
      </w:r>
    </w:p>
    <w:p>
      <w:pPr>
        <w:spacing w:line="360" w:lineRule="auto" w:after="0"/>
        <w:ind w:firstLineChars="200" w:firstLine="480"/>
        <w:jc w:val="both"/>
      </w:pPr>
      <w:r>
        <w:rPr>
          <w:rFonts w:ascii="宋体" w:hAnsi="宋体" w:eastAsia="宋体"/>
          <w:sz w:val="24"/>
        </w:rPr>
        <w:t>为便于把握《意见》的政策意图，有必要对其"五统一、一破除"的核心任务逐条加以解读。所谓"五统一"，是从制度规则、市场设施、要素资源、商品服务、市场监管五个维度对统一大市场作出的系统界定，"一破除"则是贯穿其中的根本要求，六者构成一个有机整体：</w:t>
      </w:r>
    </w:p>
    <w:p>
      <w:pPr>
        <w:spacing w:line="360" w:lineRule="auto"/>
        <w:ind w:firstLineChars="200" w:firstLine="480"/>
      </w:pPr>
      <w:r>
        <w:rPr>
          <w:rFonts w:ascii="宋体" w:hAnsi="宋体" w:eastAsia="宋体"/>
          <w:sz w:val="24"/>
        </w:rPr>
        <w:t>市场基础制度规则统一，即在产权保护、市场准入、公平竞争、社会信用等基础性制度上实行全国统一的规则，夯实统一大市场的制度地基；</w:t>
      </w:r>
    </w:p>
    <w:p>
      <w:pPr>
        <w:spacing w:line="360" w:lineRule="auto"/>
        <w:ind w:firstLineChars="200" w:firstLine="480"/>
      </w:pPr>
      <w:r>
        <w:rPr>
          <w:rFonts w:ascii="宋体" w:hAnsi="宋体" w:eastAsia="宋体"/>
          <w:sz w:val="24"/>
        </w:rPr>
        <w:t>市场设施高标准联通，即建设覆盖全国的现代物流网络、交易平台和信息设施，畅通商品和要素流通的物理通道与数字通道；</w:t>
      </w:r>
    </w:p>
    <w:p>
      <w:pPr>
        <w:spacing w:line="360" w:lineRule="auto"/>
        <w:ind w:firstLineChars="200" w:firstLine="480"/>
      </w:pPr>
      <w:r>
        <w:rPr>
          <w:rFonts w:ascii="宋体" w:hAnsi="宋体" w:eastAsia="宋体"/>
          <w:sz w:val="24"/>
        </w:rPr>
        <w:t>要素和资源市场统一，即推动土地、劳动力、资本、技术、数据等要素以及能源、生态环境等资源市场的一体化配置，直指市场分割最深层的领域；</w:t>
      </w:r>
    </w:p>
    <w:p>
      <w:pPr>
        <w:spacing w:line="360" w:lineRule="auto"/>
        <w:ind w:firstLineChars="200" w:firstLine="480"/>
      </w:pPr>
      <w:r>
        <w:rPr>
          <w:rFonts w:ascii="宋体" w:hAnsi="宋体" w:eastAsia="宋体"/>
          <w:sz w:val="24"/>
        </w:rPr>
        <w:t>商品和服务市场高水平统一，即健全质量标准与计量体系、强化消费者权益保护，推动商品和服务在全国范围内公平顺畅流通；</w:t>
      </w:r>
    </w:p>
    <w:p>
      <w:pPr>
        <w:spacing w:line="360" w:lineRule="auto"/>
        <w:ind w:firstLineChars="200" w:firstLine="480"/>
      </w:pPr>
      <w:r>
        <w:rPr>
          <w:rFonts w:ascii="宋体" w:hAnsi="宋体" w:eastAsia="宋体"/>
          <w:sz w:val="24"/>
        </w:rPr>
        <w:t>市场监管公平统一，即统一市场监管规则、执法标准和程序，消除选择性执法和地方保护性监管；</w:t>
      </w:r>
    </w:p>
    <w:p>
      <w:pPr>
        <w:spacing w:line="360" w:lineRule="auto"/>
        <w:ind w:firstLineChars="200" w:firstLine="480"/>
      </w:pPr>
      <w:r>
        <w:rPr>
          <w:rFonts w:ascii="宋体" w:hAnsi="宋体" w:eastAsia="宋体"/>
          <w:sz w:val="24"/>
        </w:rPr>
        <w:t>破除地方保护和市场分割，即着力清理妨碍统一市场和公平竞争的各类政策规定，是"五统一"得以落地的关键前提。</w:t>
      </w:r>
    </w:p>
    <w:p>
      <w:pPr>
        <w:spacing w:line="360" w:lineRule="auto" w:after="0"/>
        <w:ind w:firstLineChars="200" w:firstLine="480"/>
        <w:jc w:val="both"/>
      </w:pPr>
      <w:r>
        <w:rPr>
          <w:rFonts w:ascii="宋体" w:hAnsi="宋体" w:eastAsia="宋体"/>
          <w:sz w:val="24"/>
        </w:rPr>
        <w:t>在"五统一"之中，"要素和资源市场统一"最具攻坚意义，也最能体现改革的深度——它直接触及户籍、用地、金融和数据等长期由行政力量主导配置的领域，是本书分析的核心所在；而"破除地方保护和市场分割"则贯穿五个统一的全过程，构成其他各项任务能否真正落地的前提。正因如此，评估统一大市场建设的成效，既要看制度规则、市场设施等"硬联通"的推进，更要看要素市场行政性分割这一"软壁垒"的破除程度，这正是本书将测度与实证焦点置于要素配置效率的根本原因。</w:t>
      </w:r>
    </w:p>
    <w:p>
      <w:pPr>
        <w:spacing w:line="360" w:lineRule="auto" w:after="0"/>
        <w:ind w:firstLineChars="200" w:firstLine="480"/>
        <w:jc w:val="both"/>
      </w:pPr>
      <w:r>
        <w:rPr>
          <w:rFonts w:ascii="宋体" w:hAnsi="宋体" w:eastAsia="宋体"/>
          <w:sz w:val="24"/>
        </w:rPr>
        <w:t>第三份文件是2022年12月发布的《中共中央 国务院关于构建数据基础制度更好发挥数据要素作用的意见》，通常被称为"数据二十条"。该文件针对数据要素的特殊属性，创造性地提出建立数据产权、流通交易、收益分配、安全治理四项基础制度，探索数据资源持有权、数据加工使用权、数据产品经营权"三权分置"的产权运行机制（"数据二十条"，2022）。2023年3月，国家数据局的组建进一步为统筹推进数据基础制度建设、数据资源整合共享和开发利用提供了组织保障。这一系列举措表明，在数据要素登上历史舞台的关键时刻，防范数据市场的地区分割、培育全国一体化的数据市场，已被前瞻性地纳入统一大市场建设的总体框架。</w:t>
      </w:r>
    </w:p>
    <w:p>
      <w:pPr>
        <w:spacing w:line="360" w:lineRule="auto" w:after="0"/>
        <w:ind w:firstLineChars="200" w:firstLine="480"/>
        <w:jc w:val="both"/>
      </w:pPr>
      <w:r>
        <w:rPr>
          <w:rFonts w:ascii="宋体" w:hAnsi="宋体" w:eastAsia="宋体"/>
          <w:sz w:val="24"/>
        </w:rPr>
        <w:t>围绕要素市场化配置和数据基础制度，近年来还有两条重要的政策线索值得关注，它们与上述纲领性文件相互配套、彼此呼应。其一是要素市场化配置综合改革试点的推进。2021年底，国务院办公厅印发《要素市场化配置综合改革试点总体方案》，选择部分条件成熟的地区先行先试，就土地、劳动力、资本、技术、数据等要素的市场化配置开展集成性、系统性探索，力求为全国要素市场统一探路，避免改革在单一要素、单一领域"单兵突进"。其二是数据基础制度建设的加速落地。继"数据二十条"确立"四项制度"和"三权分置"框架之后，数据知识产权登记、公共数据授权运营、数据资源"入表"等配套制度相继展开，2024年初国家数据局等部门联合印发"数据要素×"三年行动计划，着力推动数据要素在多领域多场景的开发利用。这些举措共同表明，要素市场化配置和数据要素市场培育正由原则性部署迈向可操作、可落地的实施阶段，与全国统一大市场建设形成同频共振、相互促进的格局。</w:t>
      </w:r>
    </w:p>
    <w:p>
      <w:pPr>
        <w:spacing w:line="360" w:lineRule="auto" w:after="0"/>
        <w:ind w:firstLineChars="200" w:firstLine="480"/>
        <w:jc w:val="both"/>
      </w:pPr>
      <w:r>
        <w:rPr>
          <w:rFonts w:ascii="宋体" w:hAnsi="宋体" w:eastAsia="宋体"/>
          <w:sz w:val="24"/>
        </w:rPr>
        <w:t>第四份文件是2024年7月党的二十届三中全会通过的《中共中央关于进一步全面深化改革、推进中国式现代化的决定》。《决定》将"构建全国统一大市场"列为完善社会主义市场经济体制的重大改革举措，并作出若干更具针对性、更有约束力的部署：在规范地方行为方面，明确提出"规范地方招商引资法规制度，严禁违法违规给予政策优惠行为"，直指地方保护的要害；在要素市场方面，提出"培育全国一体化技术和数据市场""构建城乡统一的建设用地市场"，将统一大市场建设推向要素配置的纵深（二十届三中全会《决定》，2024）。相较于2022年《意见》的总体部署，三中全会《决定》更加聚焦于约束地方不当竞争行为和打通要素市场堵点，体现了改革由"立框架"向"抓落实、啃硬骨头"的深化。</w:t>
      </w:r>
    </w:p>
    <w:p>
      <w:pPr>
        <w:spacing w:line="360" w:lineRule="auto" w:after="0"/>
        <w:ind w:firstLineChars="200" w:firstLine="480"/>
        <w:jc w:val="both"/>
      </w:pPr>
      <w:r>
        <w:rPr>
          <w:rFonts w:ascii="宋体" w:hAnsi="宋体" w:eastAsia="宋体"/>
          <w:sz w:val="24"/>
        </w:rPr>
        <w:t>第五份文件是2024年底成文、2025年1月正式公布的《全国统一大市场建设指引（试行）》。作为一份操作性的实施指引，该文件的突出特点在于将此前较为原则性的政策要求，转化为地方和部门"应当做、不得做、鼓励做"的具体清单，即"必选事项、红线约束、可选举措"三类要求（《建设指引》，2025）。这种清单化、可操作、可考核的制度设计，标志着全国统一大市场建设从理念倡导和框架搭建，正式迈入了对照清单、逐项落实的实施阶段，为破除各类隐性壁垒、约束地方不当干预提供了更为明确的行为标尺。</w:t>
      </w:r>
    </w:p>
    <w:p>
      <w:pPr>
        <w:spacing w:line="360" w:lineRule="auto" w:after="0"/>
        <w:ind w:firstLineChars="200" w:firstLine="480"/>
        <w:jc w:val="both"/>
      </w:pPr>
      <w:r>
        <w:rPr>
          <w:rFonts w:ascii="宋体" w:hAnsi="宋体" w:eastAsia="宋体"/>
          <w:sz w:val="24"/>
        </w:rPr>
        <w:t>纵观上述政策演进，可以清晰地看到一条从"确立要素市场化方向"到"搭建统一大市场框架"，再到"约束地方行为、打通要素堵点"，最终走向"清单化落地实施"的递进逻辑。这一政策链条的内在一致性表明，全国统一大市场建设并非一时之举，而是一项目标明确、层层深入、久久为功的长期战略工程。</w:t>
      </w:r>
    </w:p>
    <w:p>
      <w:pPr>
        <w:keepNext/>
        <w:spacing w:before="160" w:after="40"/>
        <w:jc w:val="center"/>
      </w:pPr>
      <w:r>
        <w:rPr>
          <w:rFonts w:ascii="黑体" w:hAnsi="黑体" w:eastAsia="黑体"/>
          <w:sz w:val="21"/>
        </w:rPr>
        <w:t>表3.1  全国统一大市场建设的重要政策文件与事件（2020—2025）</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835"/>
        <w:gridCol w:w="2835"/>
        <w:gridCol w:w="2835"/>
      </w:tblGrid>
      <w:tr>
        <w:tc>
          <w:tcPr>
            <w:tcW w:type="dxa" w:w="2835"/>
            <w:vAlign w:val="center"/>
            <w:tcBorders>
              <w:bottom w:val="single" w:sz="6" w:color="000000"/>
            </w:tcBorders>
          </w:tcPr>
          <w:p>
            <w:pPr>
              <w:spacing w:line="240" w:lineRule="auto" w:after="20" w:before="20"/>
              <w:jc w:val="center"/>
            </w:pPr>
            <w:r/>
            <w:r>
              <w:rPr>
                <w:rFonts w:ascii="宋体" w:hAnsi="宋体" w:eastAsia="宋体"/>
                <w:b/>
                <w:sz w:val="21"/>
              </w:rPr>
              <w:t>时间</w:t>
            </w:r>
          </w:p>
        </w:tc>
        <w:tc>
          <w:tcPr>
            <w:tcW w:type="dxa" w:w="2835"/>
            <w:vAlign w:val="center"/>
            <w:tcBorders>
              <w:bottom w:val="single" w:sz="6" w:color="000000"/>
            </w:tcBorders>
          </w:tcPr>
          <w:p>
            <w:pPr>
              <w:spacing w:line="240" w:lineRule="auto" w:after="20" w:before="20"/>
              <w:jc w:val="center"/>
            </w:pPr>
            <w:r/>
            <w:r>
              <w:rPr>
                <w:rFonts w:ascii="宋体" w:hAnsi="宋体" w:eastAsia="宋体"/>
                <w:b/>
                <w:sz w:val="21"/>
              </w:rPr>
              <w:t>文件 / 事件</w:t>
            </w:r>
          </w:p>
        </w:tc>
        <w:tc>
          <w:tcPr>
            <w:tcW w:type="dxa" w:w="2835"/>
            <w:vAlign w:val="center"/>
            <w:tcBorders>
              <w:bottom w:val="single" w:sz="6" w:color="000000"/>
            </w:tcBorders>
          </w:tcPr>
          <w:p>
            <w:pPr>
              <w:spacing w:line="240" w:lineRule="auto" w:after="20" w:before="20"/>
              <w:jc w:val="center"/>
            </w:pPr>
            <w:r/>
            <w:r>
              <w:rPr>
                <w:rFonts w:ascii="宋体" w:hAnsi="宋体" w:eastAsia="宋体"/>
                <w:b/>
                <w:sz w:val="21"/>
              </w:rPr>
              <w:t>核心内容与要点</w:t>
            </w:r>
          </w:p>
        </w:tc>
      </w:tr>
      <w:tr>
        <w:tc>
          <w:tcPr>
            <w:tcW w:type="dxa" w:w="2835"/>
            <w:vAlign w:val="center"/>
          </w:tcPr>
          <w:p>
            <w:pPr>
              <w:spacing w:line="240" w:lineRule="auto" w:after="20" w:before="20"/>
              <w:jc w:val="left"/>
            </w:pPr>
            <w:r/>
            <w:r>
              <w:rPr>
                <w:rFonts w:ascii="宋体" w:hAnsi="宋体" w:eastAsia="宋体"/>
                <w:sz w:val="21"/>
              </w:rPr>
              <w:t>2020-04</w:t>
            </w:r>
          </w:p>
        </w:tc>
        <w:tc>
          <w:tcPr>
            <w:tcW w:type="dxa" w:w="2835"/>
            <w:vAlign w:val="center"/>
          </w:tcPr>
          <w:p>
            <w:pPr>
              <w:spacing w:line="240" w:lineRule="auto" w:after="20" w:before="20"/>
              <w:jc w:val="left"/>
            </w:pPr>
            <w:r/>
            <w:r>
              <w:rPr>
                <w:rFonts w:ascii="宋体" w:hAnsi="宋体" w:eastAsia="宋体"/>
                <w:sz w:val="21"/>
              </w:rPr>
              <w:t>《关于构建更加完善的要素市场化配置体制机制的意见》</w:t>
            </w:r>
          </w:p>
        </w:tc>
        <w:tc>
          <w:tcPr>
            <w:tcW w:type="dxa" w:w="2835"/>
            <w:vAlign w:val="center"/>
          </w:tcPr>
          <w:p>
            <w:pPr>
              <w:spacing w:line="240" w:lineRule="auto" w:after="20" w:before="20"/>
              <w:jc w:val="left"/>
            </w:pPr>
            <w:r/>
            <w:r>
              <w:rPr>
                <w:rFonts w:ascii="宋体" w:hAnsi="宋体" w:eastAsia="宋体"/>
                <w:sz w:val="21"/>
              </w:rPr>
              <w:t>系统部署土地、劳动力、资本、技术、数据五类要素市场化配置改革；首次将数据列为生产要素</w:t>
            </w:r>
          </w:p>
        </w:tc>
      </w:tr>
      <w:tr>
        <w:tc>
          <w:tcPr>
            <w:tcW w:type="dxa" w:w="2835"/>
            <w:vAlign w:val="center"/>
          </w:tcPr>
          <w:p>
            <w:pPr>
              <w:spacing w:line="240" w:lineRule="auto" w:after="20" w:before="20"/>
              <w:jc w:val="left"/>
            </w:pPr>
            <w:r/>
            <w:r>
              <w:rPr>
                <w:rFonts w:ascii="宋体" w:hAnsi="宋体" w:eastAsia="宋体"/>
                <w:sz w:val="21"/>
              </w:rPr>
              <w:t>2022-04</w:t>
            </w:r>
          </w:p>
        </w:tc>
        <w:tc>
          <w:tcPr>
            <w:tcW w:type="dxa" w:w="2835"/>
            <w:vAlign w:val="center"/>
          </w:tcPr>
          <w:p>
            <w:pPr>
              <w:spacing w:line="240" w:lineRule="auto" w:after="20" w:before="20"/>
              <w:jc w:val="left"/>
            </w:pPr>
            <w:r/>
            <w:r>
              <w:rPr>
                <w:rFonts w:ascii="宋体" w:hAnsi="宋体" w:eastAsia="宋体"/>
                <w:sz w:val="21"/>
              </w:rPr>
              <w:t>《关于加快建设全国统一大市场的意见》</w:t>
            </w:r>
          </w:p>
        </w:tc>
        <w:tc>
          <w:tcPr>
            <w:tcW w:type="dxa" w:w="2835"/>
            <w:vAlign w:val="center"/>
          </w:tcPr>
          <w:p>
            <w:pPr>
              <w:spacing w:line="240" w:lineRule="auto" w:after="20" w:before="20"/>
              <w:jc w:val="left"/>
            </w:pPr>
            <w:r/>
            <w:r>
              <w:rPr>
                <w:rFonts w:ascii="宋体" w:hAnsi="宋体" w:eastAsia="宋体"/>
                <w:sz w:val="21"/>
              </w:rPr>
              <w:t>首份顶层设计文件；确立"五统一、一破除"总体框架，推动市场由大到强转变</w:t>
            </w:r>
          </w:p>
        </w:tc>
      </w:tr>
      <w:tr>
        <w:tc>
          <w:tcPr>
            <w:tcW w:type="dxa" w:w="2835"/>
            <w:vAlign w:val="center"/>
          </w:tcPr>
          <w:p>
            <w:pPr>
              <w:spacing w:line="240" w:lineRule="auto" w:after="20" w:before="20"/>
              <w:jc w:val="left"/>
            </w:pPr>
            <w:r/>
            <w:r>
              <w:rPr>
                <w:rFonts w:ascii="宋体" w:hAnsi="宋体" w:eastAsia="宋体"/>
                <w:sz w:val="21"/>
              </w:rPr>
              <w:t>2022-12</w:t>
            </w:r>
          </w:p>
        </w:tc>
        <w:tc>
          <w:tcPr>
            <w:tcW w:type="dxa" w:w="2835"/>
            <w:vAlign w:val="center"/>
          </w:tcPr>
          <w:p>
            <w:pPr>
              <w:spacing w:line="240" w:lineRule="auto" w:after="20" w:before="20"/>
              <w:jc w:val="left"/>
            </w:pPr>
            <w:r/>
            <w:r>
              <w:rPr>
                <w:rFonts w:ascii="宋体" w:hAnsi="宋体" w:eastAsia="宋体"/>
                <w:sz w:val="21"/>
              </w:rPr>
              <w:t>《关于构建数据基础制度更好发挥数据要素作用的意见》（"数据二十条"）</w:t>
            </w:r>
          </w:p>
        </w:tc>
        <w:tc>
          <w:tcPr>
            <w:tcW w:type="dxa" w:w="2835"/>
            <w:vAlign w:val="center"/>
          </w:tcPr>
          <w:p>
            <w:pPr>
              <w:spacing w:line="240" w:lineRule="auto" w:after="20" w:before="20"/>
              <w:jc w:val="left"/>
            </w:pPr>
            <w:r/>
            <w:r>
              <w:rPr>
                <w:rFonts w:ascii="宋体" w:hAnsi="宋体" w:eastAsia="宋体"/>
                <w:sz w:val="21"/>
              </w:rPr>
              <w:t>确立数据产权、流通交易、收益分配、安全治理四项基础制度，防范数据市场地区分割</w:t>
            </w:r>
          </w:p>
        </w:tc>
      </w:tr>
      <w:tr>
        <w:tc>
          <w:tcPr>
            <w:tcW w:type="dxa" w:w="2835"/>
            <w:vAlign w:val="center"/>
          </w:tcPr>
          <w:p>
            <w:pPr>
              <w:spacing w:line="240" w:lineRule="auto" w:after="20" w:before="20"/>
              <w:jc w:val="left"/>
            </w:pPr>
            <w:r/>
            <w:r>
              <w:rPr>
                <w:rFonts w:ascii="宋体" w:hAnsi="宋体" w:eastAsia="宋体"/>
                <w:sz w:val="21"/>
              </w:rPr>
              <w:t>2023-03</w:t>
            </w:r>
          </w:p>
        </w:tc>
        <w:tc>
          <w:tcPr>
            <w:tcW w:type="dxa" w:w="2835"/>
            <w:vAlign w:val="center"/>
          </w:tcPr>
          <w:p>
            <w:pPr>
              <w:spacing w:line="240" w:lineRule="auto" w:after="20" w:before="20"/>
              <w:jc w:val="left"/>
            </w:pPr>
            <w:r/>
            <w:r>
              <w:rPr>
                <w:rFonts w:ascii="宋体" w:hAnsi="宋体" w:eastAsia="宋体"/>
                <w:sz w:val="21"/>
              </w:rPr>
              <w:t>组建国家数据局</w:t>
            </w:r>
          </w:p>
        </w:tc>
        <w:tc>
          <w:tcPr>
            <w:tcW w:type="dxa" w:w="2835"/>
            <w:vAlign w:val="center"/>
          </w:tcPr>
          <w:p>
            <w:pPr>
              <w:spacing w:line="240" w:lineRule="auto" w:after="20" w:before="20"/>
              <w:jc w:val="left"/>
            </w:pPr>
            <w:r/>
            <w:r>
              <w:rPr>
                <w:rFonts w:ascii="宋体" w:hAnsi="宋体" w:eastAsia="宋体"/>
                <w:sz w:val="21"/>
              </w:rPr>
              <w:t>统筹推进数据基础制度建设、数据资源整合共享与开发利用，培育全国一体化数据市场</w:t>
            </w:r>
          </w:p>
        </w:tc>
      </w:tr>
      <w:tr>
        <w:tc>
          <w:tcPr>
            <w:tcW w:type="dxa" w:w="2835"/>
            <w:vAlign w:val="center"/>
          </w:tcPr>
          <w:p>
            <w:pPr>
              <w:spacing w:line="240" w:lineRule="auto" w:after="20" w:before="20"/>
              <w:jc w:val="left"/>
            </w:pPr>
            <w:r/>
            <w:r>
              <w:rPr>
                <w:rFonts w:ascii="宋体" w:hAnsi="宋体" w:eastAsia="宋体"/>
                <w:sz w:val="21"/>
              </w:rPr>
              <w:t>2024-07</w:t>
            </w:r>
          </w:p>
        </w:tc>
        <w:tc>
          <w:tcPr>
            <w:tcW w:type="dxa" w:w="2835"/>
            <w:vAlign w:val="center"/>
          </w:tcPr>
          <w:p>
            <w:pPr>
              <w:spacing w:line="240" w:lineRule="auto" w:after="20" w:before="20"/>
              <w:jc w:val="left"/>
            </w:pPr>
            <w:r/>
            <w:r>
              <w:rPr>
                <w:rFonts w:ascii="宋体" w:hAnsi="宋体" w:eastAsia="宋体"/>
                <w:sz w:val="21"/>
              </w:rPr>
              <w:t>二十届三中全会《决定》</w:t>
            </w:r>
          </w:p>
        </w:tc>
        <w:tc>
          <w:tcPr>
            <w:tcW w:type="dxa" w:w="2835"/>
            <w:vAlign w:val="center"/>
          </w:tcPr>
          <w:p>
            <w:pPr>
              <w:spacing w:line="240" w:lineRule="auto" w:after="20" w:before="20"/>
              <w:jc w:val="left"/>
            </w:pPr>
            <w:r/>
            <w:r>
              <w:rPr>
                <w:rFonts w:ascii="宋体" w:hAnsi="宋体" w:eastAsia="宋体"/>
                <w:sz w:val="21"/>
              </w:rPr>
              <w:t>将构建全国统一大市场列为重大改革举措；规范地方招商引资，严禁违规政策优惠；培育一体化技术和数据市场、城乡统一建设用地市场</w:t>
            </w:r>
          </w:p>
        </w:tc>
      </w:tr>
      <w:tr>
        <w:tc>
          <w:tcPr>
            <w:tcW w:type="dxa" w:w="2835"/>
            <w:vAlign w:val="center"/>
          </w:tcPr>
          <w:p>
            <w:pPr>
              <w:spacing w:line="240" w:lineRule="auto" w:after="20" w:before="20"/>
              <w:jc w:val="left"/>
            </w:pPr>
            <w:r/>
            <w:r>
              <w:rPr>
                <w:rFonts w:ascii="宋体" w:hAnsi="宋体" w:eastAsia="宋体"/>
                <w:sz w:val="21"/>
              </w:rPr>
              <w:t>2025-01</w:t>
            </w:r>
          </w:p>
        </w:tc>
        <w:tc>
          <w:tcPr>
            <w:tcW w:type="dxa" w:w="2835"/>
            <w:vAlign w:val="center"/>
          </w:tcPr>
          <w:p>
            <w:pPr>
              <w:spacing w:line="240" w:lineRule="auto" w:after="20" w:before="20"/>
              <w:jc w:val="left"/>
            </w:pPr>
            <w:r/>
            <w:r>
              <w:rPr>
                <w:rFonts w:ascii="宋体" w:hAnsi="宋体" w:eastAsia="宋体"/>
                <w:sz w:val="21"/>
              </w:rPr>
              <w:t>《全国统一大市场建设指引（试行）》</w:t>
            </w:r>
          </w:p>
        </w:tc>
        <w:tc>
          <w:tcPr>
            <w:tcW w:type="dxa" w:w="2835"/>
            <w:vAlign w:val="center"/>
          </w:tcPr>
          <w:p>
            <w:pPr>
              <w:spacing w:line="240" w:lineRule="auto" w:after="20" w:before="20"/>
              <w:jc w:val="left"/>
            </w:pPr>
            <w:r/>
            <w:r>
              <w:rPr>
                <w:rFonts w:ascii="宋体" w:hAnsi="宋体" w:eastAsia="宋体"/>
                <w:sz w:val="21"/>
              </w:rPr>
              <w:t>以"必选事项、红线约束、可选举措"三类清单，推动建设要求可操作化、可考核化</w:t>
            </w:r>
          </w:p>
        </w:tc>
      </w:tr>
    </w:tbl>
    <w:p>
      <w:pPr>
        <w:spacing w:after="200" w:line="240" w:lineRule="auto"/>
      </w:pPr>
      <w:r>
        <w:rPr>
          <w:rFonts w:ascii="宋体" w:hAnsi="宋体" w:eastAsia="宋体"/>
          <w:sz w:val="18"/>
        </w:rPr>
        <w:t>注：根据相关公开政策文件整理。</w:t>
      </w:r>
    </w:p>
    <w:p>
      <w:pPr>
        <w:keepNext/>
        <w:spacing w:before="160" w:after="120" w:line="360" w:lineRule="auto"/>
      </w:pPr>
      <w:r>
        <w:rPr>
          <w:rFonts w:ascii="黑体" w:hAnsi="黑体" w:eastAsia="黑体"/>
          <w:sz w:val="28"/>
        </w:rPr>
        <w:t>3.4  超大规模市场的典型事实</w:t>
      </w:r>
    </w:p>
    <w:p>
      <w:pPr>
        <w:spacing w:line="360" w:lineRule="auto" w:after="0"/>
        <w:ind w:firstLineChars="200" w:firstLine="480"/>
        <w:jc w:val="both"/>
      </w:pPr>
      <w:r>
        <w:rPr>
          <w:rFonts w:ascii="宋体" w:hAnsi="宋体" w:eastAsia="宋体"/>
          <w:sz w:val="24"/>
        </w:rPr>
        <w:t>全国统一大市场建设之所以被赋予重大战略意义，一个基本前提是中国拥有超大规模的国内市场。这一超大规模性，既体现为经济总量与人口规模的双重巨大，也体现为需求侧的强劲潜力与供给侧的完整体系，还体现为数字经济、经营主体和人口流动等结构性特征的活跃演进。本节以真实统计数据为依据，勾勒中国超大规模市场的典型事实。</w:t>
      </w:r>
    </w:p>
    <w:p>
      <w:pPr>
        <w:spacing w:line="360" w:lineRule="auto" w:after="0"/>
        <w:ind w:firstLineChars="200" w:firstLine="480"/>
        <w:jc w:val="both"/>
      </w:pPr>
      <w:r>
        <w:rPr>
          <w:rFonts w:ascii="宋体" w:hAnsi="宋体" w:eastAsia="宋体"/>
          <w:sz w:val="24"/>
        </w:rPr>
        <w:t>中国超大规模市场的战略价值，需置于构建新发展格局的宏观背景下加以理解。在世界百年未有之大变局和外部环境不确定性上升的背景下，中央提出加快构建以国内大循环为主体、国内国际双循环相互促进的新发展格局，而畅通国内大循环的载体和基础，正是一个统一开放、竞争有序的国内大市场（刘志彪，2021）。换言之，超大规模市场只有在实现内部统一、要素顺畅流动的前提下，才能真正转化为需求牵引供给、供给创造需求的高水平动态平衡，才能成为中国参与国际竞争、塑造发展新优势的战略性资源。这也正是刘志彪和孔令池，2021所强调的，推进国内统一大市场建设是从"分割"走向"整合"、从依赖外循环转向以内循环为主体的关键一环。正是在这一战略考量下，认识中国市场的超大规模特征，就不能仅停留于总量和体量，更要关注其内部的统一性与配置效率。</w:t>
      </w:r>
    </w:p>
    <w:p>
      <w:pPr>
        <w:spacing w:line="360" w:lineRule="auto" w:after="0"/>
        <w:ind w:firstLineChars="200" w:firstLine="480"/>
        <w:jc w:val="both"/>
      </w:pPr>
      <w:r>
        <w:rPr>
          <w:rFonts w:ascii="宋体" w:hAnsi="宋体" w:eastAsia="宋体"/>
          <w:sz w:val="24"/>
        </w:rPr>
        <w:t>从经济总量看，中国经济在过去十余年间实现了大幅跃升。国内生产总值（现价）由2012年的51.93万亿元（519322亿元）增长到2024年的134.9万亿元（1349084亿元），十二年间扩大约2.6倍，稳居世界第二大经济体，成为全球最重要的市场之一。与此同时，固定资产投资规模由2012年的36.48万亿元（364835亿元）上升至2024年的51.44万亿元（514374亿元），持续为经济增长和市场扩容提供支撑。在总量高速扩张的同时，经济增速由2012年的7.8%逐步换挡至2024年的5.0%，标志着中国经济已由高速增长阶段转向高质量发展阶段（数据来源：国家统计局历年国民经济和社会发展统计公报）。在增速换挡、传统要素红利递减的背景下，如何将超大规模市场的"体量优势"转化为资源高效配置的"效率优势"，正成为决定中国经济发展质量的关键。</w:t>
      </w:r>
    </w:p>
    <w:p>
      <w:pPr>
        <w:spacing w:line="360" w:lineRule="auto" w:after="0"/>
        <w:ind w:firstLineChars="200" w:firstLine="480"/>
        <w:jc w:val="both"/>
      </w:pPr>
      <w:r>
        <w:rPr>
          <w:rFonts w:ascii="宋体" w:hAnsi="宋体" w:eastAsia="宋体"/>
          <w:sz w:val="24"/>
        </w:rPr>
        <w:t>从供给能力看，中国拥有全世界最为完整的产业体系和配套能力，是全球唯一拥有联合国产业分类中全部工业门类的国家，这种完整性构成了超大规模市场在供给侧的独特优势。完整的产业链与庞大的市场需求相互支撑，既为技术创新和规模化生产提供了广阔的应用场景，也为分工深化和专业化协作创造了条件。与此同时，从需求侧看，中国拥有超过14亿人口和规模持续扩大的中等收入群体，消费升级和内需扩张的潜力巨大。然而，供给体系的完整性和需求潜力的巨大性能否充分释放，关键取决于国内市场是否统一——如果要素和商品被行政壁垒割裂在一个个相对封闭的区域市场之中，完整的产业体系就可能异化为各地"大而全、小而全"的重复布局，庞大的需求潜力也难以形成对高效供给的有效牵引。这从供求两端再次说明，统一是把规模优势转化为竞争优势的必要条件。</w:t>
      </w:r>
    </w:p>
    <w:p>
      <w:pPr>
        <w:spacing w:line="360" w:lineRule="auto" w:after="0"/>
        <w:ind w:firstLineChars="200" w:firstLine="480"/>
        <w:jc w:val="both"/>
      </w:pPr>
      <w:r>
        <w:rPr>
          <w:rFonts w:ascii="宋体" w:hAnsi="宋体" w:eastAsia="宋体"/>
          <w:sz w:val="24"/>
        </w:rPr>
        <w:t>从城镇化进程看，中国常住人口城镇化率由2012年的52.57%上升到2024年的67.00%，十二年间提高了约14.43个百分点（数据来源：国家统计局统计公报）。城镇化的快速推进，一方面持续释放着巨大的消费需求和投资需求，为超大规模市场注入源源不断的内生动力；另一方面也意味着数以亿计的人口在城乡之间、地区之间流动配置，对劳动力市场的统一性和要素流动的顺畅性提出了更高要求。图3.1直观展示了2012—2024年间中国国内生产总值与常住人口城镇化率的同步上升态势。</w:t>
      </w:r>
    </w:p>
    <w:p>
      <w:pPr>
        <w:spacing w:before="120" w:after="40"/>
        <w:jc w:val="center"/>
      </w:pPr>
      <w:r>
        <w:drawing>
          <wp:inline xmlns:a="http://schemas.openxmlformats.org/drawingml/2006/main" xmlns:pic="http://schemas.openxmlformats.org/drawingml/2006/picture">
            <wp:extent cx="4500000" cy="2668454"/>
            <wp:docPr id="4" name="Picture 4"/>
            <wp:cNvGraphicFramePr>
              <a:graphicFrameLocks noChangeAspect="1"/>
            </wp:cNvGraphicFramePr>
            <a:graphic>
              <a:graphicData uri="http://schemas.openxmlformats.org/drawingml/2006/picture">
                <pic:pic>
                  <pic:nvPicPr>
                    <pic:cNvPr id="0" name="fig3_1.png"/>
                    <pic:cNvPicPr/>
                  </pic:nvPicPr>
                  <pic:blipFill>
                    <a:blip r:embed="rId12"/>
                    <a:stretch>
                      <a:fillRect/>
                    </a:stretch>
                  </pic:blipFill>
                  <pic:spPr>
                    <a:xfrm>
                      <a:off x="0" y="0"/>
                      <a:ext cx="4500000" cy="2668454"/>
                    </a:xfrm>
                    <a:prstGeom prst="rect"/>
                  </pic:spPr>
                </pic:pic>
              </a:graphicData>
            </a:graphic>
          </wp:inline>
        </w:drawing>
      </w:r>
    </w:p>
    <w:p>
      <w:pPr>
        <w:keepNext w:val="0"/>
        <w:spacing w:after="200"/>
        <w:jc w:val="center"/>
      </w:pPr>
      <w:r>
        <w:rPr>
          <w:rFonts w:ascii="黑体" w:hAnsi="黑体" w:eastAsia="黑体"/>
          <w:sz w:val="21"/>
        </w:rPr>
        <w:t>图3.1  中国国内生产总值与常住人口城镇化率（2012—2024）</w:t>
      </w:r>
    </w:p>
    <w:p>
      <w:pPr>
        <w:spacing w:line="360" w:lineRule="auto" w:after="0"/>
        <w:ind w:firstLineChars="200" w:firstLine="480"/>
        <w:jc w:val="both"/>
      </w:pPr>
      <w:r>
        <w:rPr>
          <w:rFonts w:ascii="宋体" w:hAnsi="宋体" w:eastAsia="宋体"/>
          <w:sz w:val="24"/>
        </w:rPr>
        <w:t>从数字经济看，中国正在形成规模庞大、增势强劲的数字市场，成为超大规模市场的新引擎。据中国信息通信研究院测算，中国数字经济规模由2012年的约11万亿元增长到2023年的53.9万亿元，其占国内生产总值的比重相应由约21.6%提升至42.8%；其间，2020年数字经济规模为39.2万亿元（占38.6%），2021年为45.5万亿元（占39.8%），2022年为50.2万亿元（占41.5%），呈现持续快速攀升的态势（数据来源：中国信息通信研究院《中国数字经济发展研究报告》历年数据）。数字经济的迅猛发展，一方面借助电子商务、数字平台和现代物流大幅降低了跨地区交易成本、拓展了市场的地理边界，客观上有利于打破商品市场分割、促进全国市场整合；另一方面，数据要素的兴起也带来了防范"数据孤岛"、构建全国一体化数据市场的新课题。图3.2刻画了这一时期数字经济规模及其占比的演变。</w:t>
      </w:r>
    </w:p>
    <w:p>
      <w:pPr>
        <w:spacing w:before="120" w:after="40"/>
        <w:jc w:val="center"/>
      </w:pPr>
      <w:r>
        <w:drawing>
          <wp:inline xmlns:a="http://schemas.openxmlformats.org/drawingml/2006/main" xmlns:pic="http://schemas.openxmlformats.org/drawingml/2006/picture">
            <wp:extent cx="4140000" cy="2483272"/>
            <wp:docPr id="5" name="Picture 5"/>
            <wp:cNvGraphicFramePr>
              <a:graphicFrameLocks noChangeAspect="1"/>
            </wp:cNvGraphicFramePr>
            <a:graphic>
              <a:graphicData uri="http://schemas.openxmlformats.org/drawingml/2006/picture">
                <pic:pic>
                  <pic:nvPicPr>
                    <pic:cNvPr id="0" name="fig3_2.png"/>
                    <pic:cNvPicPr/>
                  </pic:nvPicPr>
                  <pic:blipFill>
                    <a:blip r:embed="rId13"/>
                    <a:stretch>
                      <a:fillRect/>
                    </a:stretch>
                  </pic:blipFill>
                  <pic:spPr>
                    <a:xfrm>
                      <a:off x="0" y="0"/>
                      <a:ext cx="4140000" cy="2483272"/>
                    </a:xfrm>
                    <a:prstGeom prst="rect"/>
                  </pic:spPr>
                </pic:pic>
              </a:graphicData>
            </a:graphic>
          </wp:inline>
        </w:drawing>
      </w:r>
    </w:p>
    <w:p>
      <w:pPr>
        <w:keepNext w:val="0"/>
        <w:spacing w:after="200"/>
        <w:jc w:val="center"/>
      </w:pPr>
      <w:r>
        <w:rPr>
          <w:rFonts w:ascii="黑体" w:hAnsi="黑体" w:eastAsia="黑体"/>
          <w:sz w:val="21"/>
        </w:rPr>
        <w:t>图3.2  中国数字经济规模及其占GDP比重</w:t>
      </w:r>
    </w:p>
    <w:p>
      <w:pPr>
        <w:spacing w:line="360" w:lineRule="auto" w:after="0"/>
        <w:ind w:firstLineChars="200" w:firstLine="480"/>
        <w:jc w:val="both"/>
      </w:pPr>
      <w:r>
        <w:rPr>
          <w:rFonts w:ascii="宋体" w:hAnsi="宋体" w:eastAsia="宋体"/>
          <w:sz w:val="24"/>
        </w:rPr>
        <w:t>进一步观察数字经济的年度轨迹，可以看到其扩张呈现出总量与占比"双升"的鲜明特征。2016年中国数字经济规模约为22.6万亿元，占国内生产总值的比重约30.3%；到2023年规模已达53.9万亿元、占比升至42.8%。这意味着，2012—2023年间数字经济规模扩大近4倍，年均名义增速约15%，明显快于同期国内生产总值的名义增速；其占GDP的比重则由约21.6%攀升至42.8%，十余年间几近翻倍（数据来源：中国信息通信研究院历年测算）。数字经济占比的持续跃升，意味着越来越大比重的经济活动依托数据要素和数字平台展开，这一方面凭借电子商务和现代物流拉近了地区间的市场距离、有利于商品市场整合，另一方面也使数据要素能否实现全国统一配置，日益成为决定统一大市场建设成效的关键变量。</w:t>
      </w:r>
    </w:p>
    <w:p>
      <w:pPr>
        <w:spacing w:line="360" w:lineRule="auto" w:after="0"/>
        <w:ind w:firstLineChars="200" w:firstLine="480"/>
        <w:jc w:val="both"/>
      </w:pPr>
      <w:r>
        <w:rPr>
          <w:rFonts w:ascii="宋体" w:hAnsi="宋体" w:eastAsia="宋体"/>
          <w:sz w:val="24"/>
        </w:rPr>
        <w:t>从经营主体看，中国市场的微观基础日益雄厚，市场活力持续增强。截至2023年底，全国登记在册经营主体达到1.84亿户，同比增长8.9%，其中企业5826.8万户；截至2024年底，登记在册经营主体进一步增至1.89亿户，同比增长3.1%，其中企业6086.7万户（数据来源：国家市场监督管理总局登记注册数据）。近两亿户经营主体，构成了世界上数量最为庞大的市场主体群体，既是超大规模市场供给能力和需求潜力的微观载体，也是市场竞争活力和创新动能的源泉。经营主体的持续扩容，对市场准入的统一性、公平竞争的制度环境以及跨地区经营的便利化提出了迫切要求——只有在统一开放、竞争有序的大市场中，如此庞大的经营主体群体才能实现优胜劣汰、优化配置。图3.4展示了近年来经营主体数量的增长轨迹。</w:t>
      </w:r>
    </w:p>
    <w:p>
      <w:pPr>
        <w:spacing w:before="120" w:after="40"/>
        <w:jc w:val="center"/>
      </w:pPr>
      <w:r>
        <w:drawing>
          <wp:inline xmlns:a="http://schemas.openxmlformats.org/drawingml/2006/main" xmlns:pic="http://schemas.openxmlformats.org/drawingml/2006/picture">
            <wp:extent cx="4140000" cy="2473973"/>
            <wp:docPr id="6" name="Picture 6"/>
            <wp:cNvGraphicFramePr>
              <a:graphicFrameLocks noChangeAspect="1"/>
            </wp:cNvGraphicFramePr>
            <a:graphic>
              <a:graphicData uri="http://schemas.openxmlformats.org/drawingml/2006/picture">
                <pic:pic>
                  <pic:nvPicPr>
                    <pic:cNvPr id="0" name="fig3_4.png"/>
                    <pic:cNvPicPr/>
                  </pic:nvPicPr>
                  <pic:blipFill>
                    <a:blip r:embed="rId14"/>
                    <a:stretch>
                      <a:fillRect/>
                    </a:stretch>
                  </pic:blipFill>
                  <pic:spPr>
                    <a:xfrm>
                      <a:off x="0" y="0"/>
                      <a:ext cx="4140000" cy="2473973"/>
                    </a:xfrm>
                    <a:prstGeom prst="rect"/>
                  </pic:spPr>
                </pic:pic>
              </a:graphicData>
            </a:graphic>
          </wp:inline>
        </w:drawing>
      </w:r>
    </w:p>
    <w:p>
      <w:pPr>
        <w:keepNext w:val="0"/>
        <w:spacing w:after="200"/>
        <w:jc w:val="center"/>
      </w:pPr>
      <w:r>
        <w:rPr>
          <w:rFonts w:ascii="黑体" w:hAnsi="黑体" w:eastAsia="黑体"/>
          <w:sz w:val="21"/>
        </w:rPr>
        <w:t>图3.4  中国登记在册经营主体数量（2013—2024）</w:t>
      </w:r>
    </w:p>
    <w:p>
      <w:pPr>
        <w:spacing w:line="360" w:lineRule="auto" w:after="0"/>
        <w:ind w:firstLineChars="200" w:firstLine="480"/>
        <w:jc w:val="both"/>
      </w:pPr>
      <w:r>
        <w:rPr>
          <w:rFonts w:ascii="宋体" w:hAnsi="宋体" w:eastAsia="宋体"/>
          <w:sz w:val="24"/>
        </w:rPr>
        <w:t>从经营主体的内部结构看，个体工商户与企业共同构成了中国市场主体的"基本盘"。以2024年底的1.89亿户为例，其中企业约6086.7万户，占比约32%，其余约1.28亿户为个体工商户等非企业主体，占比接近三分之二。数量庞大的个体工商户是吸纳就业、繁荣城乡末端市场的重要力量，而不断壮大的企业群体则是技术创新和产业升级的主要载体。这一"金字塔"式的主体结构表明，统一大市场建设既要为大中型企业跨区域经营破除壁垒，也要为数以亿计的中小微主体和个体工商户提供统一、便利、可预期的市场准入和营商环境。同时也应看到，经营主体总量由2023年底的1.84亿户增至2024年底的1.89亿户，增速由8.9%回落至3.1%，在这一背景下，如何以统一大市场激发存量主体的活力与竞争力，正成为比单纯追求数量扩张更为紧要的课题。</w:t>
      </w:r>
    </w:p>
    <w:p>
      <w:pPr>
        <w:spacing w:line="360" w:lineRule="auto" w:after="0"/>
        <w:ind w:firstLineChars="200" w:firstLine="480"/>
        <w:jc w:val="both"/>
      </w:pPr>
      <w:r>
        <w:rPr>
          <w:rFonts w:ascii="宋体" w:hAnsi="宋体" w:eastAsia="宋体"/>
          <w:sz w:val="24"/>
        </w:rPr>
        <w:t>从人口流动看，大规模、高频次的人口流动是超大规模市场的重要特征，也是要素市场一体化程度的直接反映。第七次全国人口普查（2020年）数据显示，全国流动人口规模达到3.76亿人（37582万人），较2010年增长69.73%，其中跨省流动人口1.25亿人（12484万人），省内流动人口2.51亿人（数据来源：国家统计局第七次全国人口普查公报）。规模空前的人口流动，一方面表明劳动力要素在全国范围内的市场化配置已具有相当的广度和深度，为超大规模市场提供了强大的人力支撑；另一方面，跨省流动人口的市民化程度偏低、公共服务均等化滞后，又折射出以户籍为核心的劳动力市场行政性分割依然存在，要素"流动而不落地"的现象仍较为普遍。这一"大流动"与"深分割"并存的格局，恰恰凸显了推进要素市场统一的现实紧迫性。</w:t>
      </w:r>
    </w:p>
    <w:p>
      <w:pPr>
        <w:spacing w:line="360" w:lineRule="auto" w:after="0"/>
        <w:ind w:firstLineChars="200" w:firstLine="480"/>
        <w:jc w:val="both"/>
      </w:pPr>
      <w:r>
        <w:rPr>
          <w:rFonts w:ascii="宋体" w:hAnsi="宋体" w:eastAsia="宋体"/>
          <w:sz w:val="24"/>
        </w:rPr>
        <w:t>进一步剖析人口流动的结构，可以更清晰地把握要素空间配置的现实特征。在3.76亿流动人口中，省内流动人口达2.51亿，约占三分之二；跨省流动人口为1.25亿，约占三分之一。省内流动占据主体，既反映出以中心城市和城市群为核心的省域内部集聚趋势，也在一定程度上折射出跨省流动仍面临户籍、社保等制度性摩擦的现实。就跨省流动的空间格局而言，人口总体上呈现由中西部人口大省向东部沿海地区和主要城市群持续净流入的态势，劳动力"孔雀东南飞"的集聚特征依然显著。这一格局意味着，要素在追逐更高回报的过程中天然倾向于向发达地区集聚，而现行以户籍为核心的公共服务供给体制若不能同步跟进，就会造成"人来了、户难落、服务跟不上"的错配，既抑制了流动人口的市民化和人力资本积累，也削弱了超大规模市场应有的配置效率。这从要素流动的真实格局，再次印证了推进劳动力市场统一的紧迫性。</w:t>
      </w:r>
    </w:p>
    <w:p>
      <w:pPr>
        <w:keepNext/>
        <w:spacing w:before="160" w:after="120" w:line="360" w:lineRule="auto"/>
      </w:pPr>
      <w:r>
        <w:rPr>
          <w:rFonts w:ascii="黑体" w:hAnsi="黑体" w:eastAsia="黑体"/>
          <w:sz w:val="28"/>
        </w:rPr>
        <w:t>3.5  要素配置的现实困境与区域失衡</w:t>
      </w:r>
    </w:p>
    <w:p>
      <w:pPr>
        <w:spacing w:line="360" w:lineRule="auto" w:after="0"/>
        <w:ind w:firstLineChars="200" w:firstLine="480"/>
        <w:jc w:val="both"/>
      </w:pPr>
      <w:r>
        <w:rPr>
          <w:rFonts w:ascii="宋体" w:hAnsi="宋体" w:eastAsia="宋体"/>
          <w:sz w:val="24"/>
        </w:rPr>
        <w:t>超大规模市场是中国的显著优势，但"市场大"并不等于"市场强"，更不等于"配置优"。在体量优势的背后，要素跨地区配置仍面临劳动力、资本、土地和数据四类要素市场分割相互交织的现实困境，并在空间上集中表现为持续存在的区域发展失衡。本节从要素配置的现实表现和区域失衡两个层面加以剖析。</w:t>
      </w:r>
    </w:p>
    <w:p>
      <w:pPr>
        <w:keepNext/>
        <w:spacing w:before="160" w:after="120" w:line="360" w:lineRule="auto"/>
      </w:pPr>
      <w:r>
        <w:rPr>
          <w:rFonts w:ascii="黑体" w:hAnsi="黑体" w:eastAsia="黑体"/>
          <w:sz w:val="24"/>
        </w:rPr>
        <w:t>3.5.1  劳动力要素市场的行政性分割</w:t>
      </w:r>
    </w:p>
    <w:p>
      <w:pPr>
        <w:spacing w:line="360" w:lineRule="auto" w:after="0"/>
        <w:ind w:firstLineChars="200" w:firstLine="480"/>
        <w:jc w:val="both"/>
      </w:pPr>
      <w:r>
        <w:rPr>
          <w:rFonts w:ascii="宋体" w:hAnsi="宋体" w:eastAsia="宋体"/>
          <w:sz w:val="24"/>
        </w:rPr>
        <w:t>在劳动力要素方面，尽管跨省流动人口已超过1.25亿，劳动力配置的市场化程度显著提高，但以户籍为核心的制度性壁垒仍在深层次上阻碍着劳动力的自由流动和高效配置。大量农业转移人口"就业在城市、身份在农村"，难以在流入地平等享受公共服务、稳定落户安家，其人力资本积累和劳动生产率的提升因而受到抑制（盖庆恩等，2019），数字经济的发展在扩展就业空间的同时也对劳动力空间配置提出了新的调整要求（李言和肖雨婷，2024）。这种半城市化状态所隐含的劳动力空间错配，构成了拉低全社会劳动配置效率的重要因素。</w:t>
      </w:r>
    </w:p>
    <w:p>
      <w:pPr>
        <w:spacing w:line="360" w:lineRule="auto" w:after="0"/>
        <w:ind w:firstLineChars="200" w:firstLine="480"/>
        <w:jc w:val="both"/>
      </w:pPr>
      <w:r>
        <w:rPr>
          <w:rFonts w:ascii="宋体" w:hAnsi="宋体" w:eastAsia="宋体"/>
          <w:sz w:val="24"/>
        </w:rPr>
        <w:t>从制度背景看，中国的户籍制度确立于20世纪50年代末，并长期与城乡二元的公共服务供给体系相绑定，形成了劳动力流动"迁徙易、落户难"的独特格局。尽管近年来居住证制度、城区常住人口300万以下城市基本取消落户限制等改革持续推进，但特大超大城市的落户门槛依然较高，随迁子女教育、住房保障和社会保障的跨地区衔接仍不顺畅。就效率后果而言，Tombe和Zhu，2019通过构建量化空间一般均衡模型测算发现，中国内部的劳动力流动壁垒相当于对跨地区迁移征收高额"迁移税"，放松这些壁垒将带来可观的实际收入与生产率提升；蒲艳萍和顾冉，2019则从企业层面证实，劳动力价格扭曲会抑制企业创新，进而拖累全要素生产率。这些证据共同说明，以户籍为核心的劳动力分割，不仅是一个社会公平问题，更是一个关乎资源配置效率的重大经济问题。</w:t>
      </w:r>
    </w:p>
    <w:p>
      <w:pPr>
        <w:keepNext/>
        <w:spacing w:before="160" w:after="120" w:line="360" w:lineRule="auto"/>
      </w:pPr>
      <w:r>
        <w:rPr>
          <w:rFonts w:ascii="黑体" w:hAnsi="黑体" w:eastAsia="黑体"/>
          <w:sz w:val="24"/>
        </w:rPr>
        <w:t>3.5.2  资本要素市场的行政性分割</w:t>
      </w:r>
    </w:p>
    <w:p>
      <w:pPr>
        <w:spacing w:line="360" w:lineRule="auto" w:after="0"/>
        <w:ind w:firstLineChars="200" w:firstLine="480"/>
        <w:jc w:val="both"/>
      </w:pPr>
      <w:r>
        <w:rPr>
          <w:rFonts w:ascii="宋体" w:hAnsi="宋体" w:eastAsia="宋体"/>
          <w:sz w:val="24"/>
        </w:rPr>
        <w:t>在资本要素方面，金融资源配置的属地化和所有制偏向，使资本难以顺畅地由低效率地区和部门流向高效率地区和部门。Brandt等，2013和Tombe和Zhu，2019的量化研究均表明，中国地区间、部门间的资本和劳动配置扭曲相当可观，若能削减这些要素市场的流动壁垒、促进要素跨地区再配置，将带来显著的总量生产率收益。与此相印证，近年来关于资本跨区流动的研究发现，企业集团的资本要素异地配置和资本跨区流动能够明显改善投资效率、提升企业全要素生产率（胡芊芊等，2022；彭婕和豆建民，2025），这从正面说明了打破资本市场分割的巨大效率潜力。</w:t>
      </w:r>
    </w:p>
    <w:p>
      <w:pPr>
        <w:spacing w:line="360" w:lineRule="auto" w:after="0"/>
        <w:ind w:firstLineChars="200" w:firstLine="480"/>
        <w:jc w:val="both"/>
      </w:pPr>
      <w:r>
        <w:rPr>
          <w:rFonts w:ascii="宋体" w:hAnsi="宋体" w:eastAsia="宋体"/>
          <w:sz w:val="24"/>
        </w:rPr>
        <w:t>资本要素分割的制度背景，可追溯到以国有银行为主体的金融体系和长期存在的金融抑制。在信贷资源的配置中，国有企业、地方融资平台和政府重点扶持项目往往凭借隐性担保和政策倾斜获得优先融资，而民营企业尤其是中小微企业则面临更高的融资门槛和融资成本，形成了突出的所有制信贷歧视。就其效率后果，Wu，2018对中国资本错配来源的研究表明，金融摩擦与政策性扭曲共同造成了企业间资本边际产出的巨大离散，是拖累制造业全要素生产率的重要根源；Midrigan和Xu，2014的研究亦揭示，融资约束通过阻碍资本向高效率企业集中而放大了资源错配。当资本因所有制身份和属地关系而难以流向边际回报更高的企业与地区时，超大规模市场的资金优势便难以充分转化为配置效率优势。</w:t>
      </w:r>
    </w:p>
    <w:p>
      <w:pPr>
        <w:keepNext/>
        <w:spacing w:before="160" w:after="120" w:line="360" w:lineRule="auto"/>
      </w:pPr>
      <w:r>
        <w:rPr>
          <w:rFonts w:ascii="黑体" w:hAnsi="黑体" w:eastAsia="黑体"/>
          <w:sz w:val="24"/>
        </w:rPr>
        <w:t>3.5.3  土地要素市场的行政性分割</w:t>
      </w:r>
    </w:p>
    <w:p>
      <w:pPr>
        <w:spacing w:line="360" w:lineRule="auto" w:after="0"/>
        <w:ind w:firstLineChars="200" w:firstLine="480"/>
        <w:jc w:val="both"/>
      </w:pPr>
      <w:r>
        <w:rPr>
          <w:rFonts w:ascii="宋体" w:hAnsi="宋体" w:eastAsia="宋体"/>
          <w:sz w:val="24"/>
        </w:rPr>
        <w:t>在土地要素方面，建设用地指标的行政化配置与地方"土地财政"的深度捆绑，造成了土地要素在地区间和用途间的严重错配。一方面，人口大量流入的东部沿海和大城市用地指标相对紧张、地价高企，抬高了企业和居民的生产生活成本；另一方面，人口流出地区却仍在持续获得建设用地指标，形成了"人地分离"的空间错配格局（陆铭，2017）。李勇刚和罗海艳，2017和张少辉和余泳泽，2019的研究都表明，土地资源错配显著阻碍了产业结构升级、拉低了全要素生产率，而地方政府对土地一级市场的垄断和对土地出让收入的依赖，进一步固化了这种扭曲（曹婧，2024）。此外，高地价通过住房价格渠道对制造业企业生产率产生的挤出效应，也已得到经验研究的证实（陈斌开等，2015）。</w:t>
      </w:r>
    </w:p>
    <w:p>
      <w:pPr>
        <w:spacing w:line="360" w:lineRule="auto" w:after="0"/>
        <w:ind w:firstLineChars="200" w:firstLine="480"/>
        <w:jc w:val="both"/>
      </w:pPr>
      <w:r>
        <w:rPr>
          <w:rFonts w:ascii="宋体" w:hAnsi="宋体" w:eastAsia="宋体"/>
          <w:sz w:val="24"/>
        </w:rPr>
        <w:t>土地要素分割的制度背景，根植于城乡二元的土地制度和自上而下的建设用地指标计划管理。新增建设用地指标长期按行政计划逐级分解下达，与人口和产业的实际空间流向并不匹配，跨省域调剂受到严格限制；尽管城乡建设用地增减挂钩、集体经营性建设用地入市和建设用地指标跨区域交易等改革不断探索，但土地要素市场化配置总体仍处于起步阶段。就效率后果而言，盖庆恩等，2017的研究表明，土地资源配置不当会通过抬高用地成本、扭曲企业规模分布等渠道显著拉低劳动生产率；白东北等，2020对开发区设立的辨识也发现，以土地优惠为核心的招商竞争在带动投资的同时，往往伴随着明显的地区资源错配。这些发现说明，构建城乡统一的建设用地市场、推动用地指标随人走、随产业走，是破除土地要素分割、提升配置效率的关键着力点。</w:t>
      </w:r>
    </w:p>
    <w:p>
      <w:pPr>
        <w:keepNext/>
        <w:spacing w:before="160" w:after="120" w:line="360" w:lineRule="auto"/>
      </w:pPr>
      <w:r>
        <w:rPr>
          <w:rFonts w:ascii="黑体" w:hAnsi="黑体" w:eastAsia="黑体"/>
          <w:sz w:val="24"/>
        </w:rPr>
        <w:t>3.5.4  数据要素市场的行政性分割</w:t>
      </w:r>
    </w:p>
    <w:p>
      <w:pPr>
        <w:spacing w:line="360" w:lineRule="auto" w:after="0"/>
        <w:ind w:firstLineChars="200" w:firstLine="480"/>
        <w:jc w:val="both"/>
      </w:pPr>
      <w:r>
        <w:rPr>
          <w:rFonts w:ascii="宋体" w:hAnsi="宋体" w:eastAsia="宋体"/>
          <w:sz w:val="24"/>
        </w:rPr>
        <w:t>在数据要素方面，作为最具增长潜力的新型要素，数据的跨地区流通配置仍处于探索起步阶段，面临确权难、定价难、流通难等制度瓶颈。各地在公共数据开放、数据交易场所建设和数据治理规则上的差异，可能形成新的地区分割和"数据孤岛"，削弱数据要素规模化、市场化配置的效率红利。这也正是"数据二十条""数据二十条"，2022着力构建全国统一的数据基础制度，以及三中全会《决定》强调"培育全国一体化技术和数据市场"（二十届三中全会《决定》，2024）的现实针对性所在。</w:t>
      </w:r>
    </w:p>
    <w:p>
      <w:pPr>
        <w:spacing w:line="360" w:lineRule="auto" w:after="0"/>
        <w:ind w:firstLineChars="200" w:firstLine="480"/>
        <w:jc w:val="both"/>
      </w:pPr>
      <w:r>
        <w:rPr>
          <w:rFonts w:ascii="宋体" w:hAnsi="宋体" w:eastAsia="宋体"/>
          <w:sz w:val="24"/>
        </w:rPr>
        <w:t>数据要素分割的制度背景，源于数据这一新型要素的特殊经济属性及其治理规则的滞后。数据具有非竞争性、非排他性和强外部性，其确权、定价和流通远比传统要素复杂，加之各地在数据交易场所、公共数据开放和数据安全治理规则上标准不一、各自为政，极易形成新的"数据孤岛"和地区壁垒。就其效率影响，已有经验研究提供了正反两方面的证据：戴魁早等，2023发现，数据交易平台建设能够通过缓解信息不对称、优化资源配置而显著提升企业全要素生产率；史丹和郑玉，2024基于国家级大数据综合试验区的研究同样证实了数据要素的赋能效应。这从反面提示，若任由数据要素市场陷入地区分割，规模化、市场化配置所蕴含的巨大效率红利就将大打折扣，这正是国家着力构建全国一体化数据市场、防范数据要素"地方割据"的深层考量。</w:t>
      </w:r>
    </w:p>
    <w:p>
      <w:pPr>
        <w:keepNext/>
        <w:spacing w:before="160" w:after="120" w:line="360" w:lineRule="auto"/>
      </w:pPr>
      <w:r>
        <w:rPr>
          <w:rFonts w:ascii="黑体" w:hAnsi="黑体" w:eastAsia="黑体"/>
          <w:sz w:val="24"/>
        </w:rPr>
        <w:t>3.5.5  要素错配的效率后果与区域发展失衡</w:t>
      </w:r>
    </w:p>
    <w:p>
      <w:pPr>
        <w:spacing w:line="360" w:lineRule="auto" w:after="0"/>
        <w:ind w:firstLineChars="200" w:firstLine="480"/>
        <w:jc w:val="both"/>
      </w:pPr>
      <w:r>
        <w:rPr>
          <w:rFonts w:ascii="宋体" w:hAnsi="宋体" w:eastAsia="宋体"/>
          <w:sz w:val="24"/>
        </w:rPr>
        <w:t>上述四类要素市场分割的效率后果，可以借助本书的测度得到量化印证。尽管商品市场一体化水平总体上升，但要素市场的行政性分割依然造成了不容忽视的效率损失。本书在第6章的测度显示，由要素错配造成的全要素生产率损失虽从2006年前后的较高水平逐步收窄，但到2023年仍处于约25%的量级（2006年前后约为41%），意味着仅通过改善要素配置、消除制度性扭曲，就仍蕴藏着可观的生产率提升空间。这一发现与Hsieh和Klenow，2009关于中国制造业错配红利（若将错配降至美国水平，TFP可提升约30%~50%）的经典判断在方向上高度一致，共同揭示了破除要素市场分割、优化要素配置对释放中国经济增长潜力的重大意义。</w:t>
      </w:r>
    </w:p>
    <w:p>
      <w:pPr>
        <w:spacing w:line="360" w:lineRule="auto" w:after="0"/>
        <w:ind w:firstLineChars="200" w:firstLine="480"/>
        <w:jc w:val="both"/>
      </w:pPr>
      <w:r>
        <w:rPr>
          <w:rFonts w:ascii="宋体" w:hAnsi="宋体" w:eastAsia="宋体"/>
          <w:sz w:val="24"/>
        </w:rPr>
        <w:t>要素市场分割的现实困境，在空间上集中表现为持续的区域发展失衡。2024年分省人均地区生产总值的数据显示，北京、上海分别约为22.8万元和21.6万元，是全国仅有的两个人均GDP超过20万元的地区；而处于末端的甘肃约为5.3万元，省际人均GDP的极差高达约4.3至4.8倍（数据来源：国家统计局分省年度数据）。如此显著的区域差距，虽有自然禀赋、区位条件和发展阶段的客观原因，但要素难以跨区域自由流动、无法充分实现由边际收益低的地区向边际收益高的地区再配置，无疑是造成地区差距长期固化的重要制度性因素。图3.3展示了2024年中国分省人均GDP的巨大落差。</w:t>
      </w:r>
    </w:p>
    <w:p>
      <w:pPr>
        <w:spacing w:before="120" w:after="40"/>
        <w:jc w:val="center"/>
      </w:pPr>
      <w:r>
        <w:drawing>
          <wp:inline xmlns:a="http://schemas.openxmlformats.org/drawingml/2006/main" xmlns:pic="http://schemas.openxmlformats.org/drawingml/2006/picture">
            <wp:extent cx="4680000" cy="2894614"/>
            <wp:docPr id="7" name="Picture 7"/>
            <wp:cNvGraphicFramePr>
              <a:graphicFrameLocks noChangeAspect="1"/>
            </wp:cNvGraphicFramePr>
            <a:graphic>
              <a:graphicData uri="http://schemas.openxmlformats.org/drawingml/2006/picture">
                <pic:pic>
                  <pic:nvPicPr>
                    <pic:cNvPr id="0" name="fig3_3.png"/>
                    <pic:cNvPicPr/>
                  </pic:nvPicPr>
                  <pic:blipFill>
                    <a:blip r:embed="rId15"/>
                    <a:stretch>
                      <a:fillRect/>
                    </a:stretch>
                  </pic:blipFill>
                  <pic:spPr>
                    <a:xfrm>
                      <a:off x="0" y="0"/>
                      <a:ext cx="4680000" cy="2894614"/>
                    </a:xfrm>
                    <a:prstGeom prst="rect"/>
                  </pic:spPr>
                </pic:pic>
              </a:graphicData>
            </a:graphic>
          </wp:inline>
        </w:drawing>
      </w:r>
    </w:p>
    <w:p>
      <w:pPr>
        <w:keepNext w:val="0"/>
        <w:spacing w:after="200"/>
        <w:jc w:val="center"/>
      </w:pPr>
      <w:r>
        <w:rPr>
          <w:rFonts w:ascii="黑体" w:hAnsi="黑体" w:eastAsia="黑体"/>
          <w:sz w:val="21"/>
        </w:rPr>
        <w:t>图3.3  2024年中国分省人均GDP的地区差距</w:t>
      </w:r>
    </w:p>
    <w:p>
      <w:pPr>
        <w:spacing w:line="360" w:lineRule="auto" w:after="0"/>
        <w:ind w:firstLineChars="200" w:firstLine="480"/>
        <w:jc w:val="both"/>
      </w:pPr>
      <w:r>
        <w:rPr>
          <w:rFonts w:ascii="宋体" w:hAnsi="宋体" w:eastAsia="宋体"/>
          <w:sz w:val="24"/>
        </w:rPr>
        <w:t>当然，破除要素市场分割、缩小扭曲型区域差距的进程，并非只有制度约束这一面，也有基础设施联通和数字技术进步等积极力量在同向发力。近年来，随着高速铁路、高速公路网络的快速扩张和现代物流体系的完善，地区间的时空距离和贸易成本大幅下降，交通基础设施建设在打破国内市场分割、促进商品和要素跨区域流动方面发挥了重要作用（范欣等，2017）。与此同时，数字经济和平台经济的兴起，进一步拓展了市场的地理边界、降低了跨地区交易和信息匹配的成本。这些趋势性力量与统一大市场建设的制度性改革相互叠加、彼此增强，为要素在更大空间范围内的高效配置创造了日益有利的条件。然而也应清醒地看到，设施联通所降低的主要是"自然分割"意义上的运输和信息成本，而以户籍、用地、金融和数据管制为代表的"行政性分割"，仍有赖于针对性的制度改革方能破除。这也正是本书将分析重心置于要素市场行政性分割及其制度根源的深层考虑。</w:t>
      </w:r>
    </w:p>
    <w:p>
      <w:pPr>
        <w:spacing w:line="360" w:lineRule="auto" w:after="0"/>
        <w:ind w:firstLineChars="200" w:firstLine="480"/>
        <w:jc w:val="both"/>
      </w:pPr>
      <w:r>
        <w:rPr>
          <w:rFonts w:ascii="宋体" w:hAnsi="宋体" w:eastAsia="宋体"/>
          <w:sz w:val="24"/>
        </w:rPr>
        <w:t>需要辩证看待的是，区域差距的存在并不必然意味着配置低效，适度的空间集聚本身正是规模经济和专业化分工的体现。真正需要警惕的，是由行政性市场分割导致的"扭曲型"差距——即要素本应流向高效率地区却因制度壁垒而受阻，从而使差距超出效率所要求的合理范围。因此，建设全国统一大市场的政策取向，并非简单地追求区域间产出的绝对均等，而是致力于消除阻碍要素自由流动的制度性壁垒，在更大的空间范围内实现要素的高效配置，进而在"效率"与"协调"之间达成动态平衡（陆铭，2017）。这也构成了本书后续章节从要素配置效率视角评估统一大市场建设经济效应的基本立场。</w:t>
      </w:r>
    </w:p>
    <w:p>
      <w:pPr>
        <w:keepNext/>
        <w:spacing w:before="160" w:after="120" w:line="360" w:lineRule="auto"/>
      </w:pPr>
      <w:r>
        <w:rPr>
          <w:rFonts w:ascii="黑体" w:hAnsi="黑体" w:eastAsia="黑体"/>
          <w:sz w:val="24"/>
        </w:rPr>
        <w:t>3.5.6  延伸讨论：统一市场建设的国际比较与镜鉴</w:t>
      </w:r>
    </w:p>
    <w:p>
      <w:pPr>
        <w:spacing w:line="360" w:lineRule="auto" w:after="0"/>
        <w:ind w:firstLineChars="200" w:firstLine="480"/>
        <w:jc w:val="both"/>
      </w:pPr>
      <w:r>
        <w:rPr>
          <w:rFonts w:ascii="宋体" w:hAnsi="宋体" w:eastAsia="宋体"/>
          <w:sz w:val="24"/>
        </w:rPr>
        <w:t>将中国的市场分割问题置于国际比较的视野下考察，有助于更清晰地认识建设全国统一大市场的普遍规律与中国特色。从大型经济体的历史经验看，统一市场的形成大多经历了漫长的制度建构过程。欧盟自20世纪50年代的关税同盟起步，历经数十年才在1993年正式建成以商品、人员、服务和资本"四项自由流动"为核心的统一大市场，并通过统一的竞争规则、技术标准互认和超国家层面的司法裁决，持续约束成员国的地方保护倾向。美国则依托联邦宪法中的"州际贸易条款"，并通过司法实践发展出所谓"休眠的贸易条款"原则，禁止各州设置歧视州际贸易的壁垒，从而在法律层面为全国统一市场提供了根本保障。这些经验表明，破除市场分割、维系统一市场，既需要要素自由流动的制度安排，也离不开统一规则和权威裁决机制的支撑。</w:t>
      </w:r>
    </w:p>
    <w:p>
      <w:pPr>
        <w:spacing w:line="360" w:lineRule="auto" w:after="0"/>
        <w:ind w:firstLineChars="200" w:firstLine="480"/>
        <w:jc w:val="both"/>
      </w:pPr>
      <w:r>
        <w:rPr>
          <w:rFonts w:ascii="宋体" w:hAnsi="宋体" w:eastAsia="宋体"/>
          <w:sz w:val="24"/>
        </w:rPr>
        <w:t>从空间经济学的理论视角看，统一市场与要素自由流动，是规模经济和集聚效应得以充分发挥的前提。Fujita等，1999所奠基的新经济地理学表明，市场规模、运输成本与要素流动性共同决定了经济活动的空间分布，统一而开放的大市场有利于通过前后向关联和集聚经济提升整体效率；Krugman，1991则从收益递增与运输成本的互动出发，揭示了大市场如何借助集聚力量塑造"中心—外围"的空间格局。与欧盟和美国相比，中国建设统一大市场具有独特的制度语境：作为单一制国家，中国在政令统一和组织动员上具有显著优势，能够以顶层设计自上而下地系统推进；但与此同时，财政分权和以增长为核心的地方竞争，又使地方保护具有特殊的顽固性。这决定了中国的统一大市场建设，既要借鉴国际上依靠统一规则和司法约束破除壁垒的普遍经验，更要立足自身国情，从财税体制、政绩考核和要素配置制度的深层改革入手，走出一条中国特色的统一市场建设道路。</w:t>
      </w:r>
    </w:p>
    <w:p>
      <w:pPr>
        <w:keepNext/>
        <w:spacing w:before="160" w:after="120" w:line="360" w:lineRule="auto"/>
      </w:pPr>
      <w:r>
        <w:rPr>
          <w:rFonts w:ascii="黑体" w:hAnsi="黑体" w:eastAsia="黑体"/>
          <w:sz w:val="28"/>
        </w:rPr>
        <w:t>3.6  本章小结</w:t>
      </w:r>
    </w:p>
    <w:p>
      <w:pPr>
        <w:spacing w:line="360" w:lineRule="auto" w:after="0"/>
        <w:ind w:firstLineChars="200" w:firstLine="480"/>
        <w:jc w:val="both"/>
      </w:pPr>
      <w:r>
        <w:rPr>
          <w:rFonts w:ascii="宋体" w:hAnsi="宋体" w:eastAsia="宋体"/>
          <w:sz w:val="24"/>
        </w:rPr>
        <w:t>本章从历史、制度、政策与现实四个维度，系统考察了全国统一大市场建设的背景图景。在历史逻辑上，中国市场分割根植于计划经济时期的"行政区经济"遗产，经由改革开放后的财政包干和1994年分税制改革而不断重塑，并在以经济增长为核心的地方竞争中固化为"诸侯经济"格局（银温泉和才婉茹，2001；周黎安，2004）；与此同时，市场分割的重心逐步由商品市场转向劳动力、资本、土地和数据等要素市场，构成了本书所提出的"要素市场的行政性分割"这一核心问题的现实由来。</w:t>
      </w:r>
    </w:p>
    <w:p>
      <w:pPr>
        <w:spacing w:line="360" w:lineRule="auto" w:after="0"/>
        <w:ind w:firstLineChars="200" w:firstLine="480"/>
        <w:jc w:val="both"/>
      </w:pPr>
      <w:r>
        <w:rPr>
          <w:rFonts w:ascii="宋体" w:hAnsi="宋体" w:eastAsia="宋体"/>
          <w:sz w:val="24"/>
        </w:rPr>
        <w:t>在制度根源上，本章揭示了财政分权提供利益基础、以GDP为核心的晋升锦标赛提供政治动力、要素行政管制提供操作工具的"三位一体"机制（Qian和Weingast，1997；周黎安，2007；傅勇和张晏，2007），论证了地方保护与市场分割之所以顽固存续的深层制度逻辑，也说明了全国统一大市场建设必然是一场触及财税、考核和要素配置制度的系统性深层改革。</w:t>
      </w:r>
    </w:p>
    <w:p>
      <w:pPr>
        <w:spacing w:line="360" w:lineRule="auto" w:after="0"/>
        <w:ind w:firstLineChars="200" w:firstLine="480"/>
        <w:jc w:val="both"/>
      </w:pPr>
      <w:r>
        <w:rPr>
          <w:rFonts w:ascii="宋体" w:hAnsi="宋体" w:eastAsia="宋体"/>
          <w:sz w:val="24"/>
        </w:rPr>
        <w:t>在政策演进上，本章梳理了2020年要素市场化配置改革、2022年《意见》确立"五统一"框架、"数据二十条"、二十届三中全会《决定》到2025年《建设指引》的递进链条（《意见》，2022；二十届三中全会《决定》，2024），勾勒出统一大市场建设从确立方向、搭建框架到清单化落地的完整政策图谱。在现实图景上，本章以GDP由51.93万亿元增至134.9万亿元、城镇化率由52.57%升至67.00%、数字经济规模达53.9万亿元、经营主体达1.89亿户、流动人口达3.76亿等真实数据，刻画了中国超大规模市场的显著优势；同时也以要素错配造成的持续生产率损失和高达4倍以上的省际人均GDP极差，揭示了"市场大而不强、要素多而错配"的现实困境。</w:t>
      </w:r>
    </w:p>
    <w:p>
      <w:pPr>
        <w:spacing w:line="360" w:lineRule="auto" w:after="0"/>
        <w:ind w:firstLineChars="200" w:firstLine="480"/>
        <w:jc w:val="both"/>
      </w:pPr>
      <w:r>
        <w:rPr>
          <w:rFonts w:ascii="宋体" w:hAnsi="宋体" w:eastAsia="宋体"/>
          <w:sz w:val="24"/>
        </w:rPr>
        <w:t>综合本章的历史考察与现实剖析可以得出一个基本判断：全国统一大市场建设的本质，是通过破除要素市场的行政性分割，将中国的超大规模市场优势转化为要素高效配置的效率优势。事实上，本书后续的实证研究也初步印证了这一判断——以2022年《意见》为政策冲击的双重差分估计显示，统一大市场建设对要素配置效率具有显著的正向促进作用（系数约0.018，在统计上显著），本书第5章测度的全国统一大市场建设指数（NUMI）也由2006年的约0.373上升至2023年的约0.745。这些事实与证据表明，加快建设全国统一大市场，既有坚实的历史逻辑和制度必要性，也有广阔的效率提升空间。本章所勾勒的典型事实与制度背景，为第4章构建包含商品市场与要素市场双重摩擦的理论框架，以及后续的测度与实证分析，提供了不可或缺的现实基础。</w:t>
      </w:r>
    </w:p>
    <w:p>
      <w:r>
        <w:br w:type="page"/>
      </w:r>
    </w:p>
    <w:p>
      <w:pPr>
        <w:keepNext/>
        <w:spacing w:before="240" w:after="160" w:line="360" w:lineRule="auto"/>
        <w:jc w:val="center"/>
      </w:pPr>
      <w:r>
        <w:rPr>
          <w:rFonts w:ascii="黑体" w:hAnsi="黑体" w:eastAsia="黑体"/>
          <w:b/>
          <w:sz w:val="30"/>
        </w:rPr>
        <w:t>第4章  理论框架：制度性市场分割、要素错配与配置效率</w:t>
      </w:r>
    </w:p>
    <w:p>
      <w:pPr>
        <w:spacing w:line="360" w:lineRule="auto" w:after="0"/>
        <w:ind w:firstLineChars="200" w:firstLine="480"/>
        <w:jc w:val="both"/>
      </w:pPr>
      <w:r>
        <w:rPr>
          <w:rFonts w:ascii="宋体" w:hAnsi="宋体" w:eastAsia="宋体"/>
          <w:sz w:val="24"/>
        </w:rPr>
        <w:t>本章在资源错配核算（Hsieh和Klenow，2009；Restuccia和Rogerson，2008）与空间一般均衡（Krugman，1991；Tombe和Zhu，2019）两支文献的基础上，构建一个包含商品市场冰山成本与要素市场行政性壁垒的多地区—多部门一般均衡模型，将全国统一大市场建设内生地刻画为对两类摩擦的同时削减，并通过数理推导揭示其影响要素配置效率与总量全要素生产率的内在机制，提出可供实证检验的核心命题。模型的核心逻辑如图4.1所示。</w:t>
      </w:r>
    </w:p>
    <w:p>
      <w:pPr>
        <w:spacing w:before="120" w:after="40"/>
        <w:jc w:val="center"/>
      </w:pPr>
      <w:r>
        <w:drawing>
          <wp:inline xmlns:a="http://schemas.openxmlformats.org/drawingml/2006/main" xmlns:pic="http://schemas.openxmlformats.org/drawingml/2006/picture">
            <wp:extent cx="4680000" cy="2568691"/>
            <wp:docPr id="8" name="Picture 8"/>
            <wp:cNvGraphicFramePr>
              <a:graphicFrameLocks noChangeAspect="1"/>
            </wp:cNvGraphicFramePr>
            <a:graphic>
              <a:graphicData uri="http://schemas.openxmlformats.org/drawingml/2006/picture">
                <pic:pic>
                  <pic:nvPicPr>
                    <pic:cNvPr id="0" name="fig4_1.png"/>
                    <pic:cNvPicPr/>
                  </pic:nvPicPr>
                  <pic:blipFill>
                    <a:blip r:embed="rId16"/>
                    <a:stretch>
                      <a:fillRect/>
                    </a:stretch>
                  </pic:blipFill>
                  <pic:spPr>
                    <a:xfrm>
                      <a:off x="0" y="0"/>
                      <a:ext cx="4680000" cy="2568691"/>
                    </a:xfrm>
                    <a:prstGeom prst="rect"/>
                  </pic:spPr>
                </pic:pic>
              </a:graphicData>
            </a:graphic>
          </wp:inline>
        </w:drawing>
      </w:r>
    </w:p>
    <w:p>
      <w:pPr>
        <w:keepNext w:val="0"/>
        <w:spacing w:after="200"/>
        <w:jc w:val="center"/>
      </w:pPr>
      <w:r>
        <w:rPr>
          <w:rFonts w:ascii="黑体" w:hAnsi="黑体" w:eastAsia="黑体"/>
          <w:sz w:val="21"/>
        </w:rPr>
        <w:t>图4.1  统一大市场建设影响要素配置效率的理论机制</w:t>
      </w:r>
    </w:p>
    <w:p>
      <w:pPr>
        <w:keepNext/>
        <w:spacing w:before="160" w:after="120" w:line="360" w:lineRule="auto"/>
      </w:pPr>
      <w:r>
        <w:rPr>
          <w:rFonts w:ascii="黑体" w:hAnsi="黑体" w:eastAsia="黑体"/>
          <w:sz w:val="28"/>
        </w:rPr>
        <w:t>4.1  模型环境与基本设定</w:t>
      </w:r>
    </w:p>
    <w:p>
      <w:pPr>
        <w:spacing w:line="360" w:lineRule="auto" w:after="0"/>
        <w:ind w:firstLineChars="200" w:firstLine="480"/>
        <w:jc w:val="both"/>
      </w:pPr>
      <w:r>
        <w:rPr>
          <w:rFonts w:ascii="宋体" w:hAnsi="宋体" w:eastAsia="宋体"/>
          <w:sz w:val="24"/>
        </w:rPr>
        <w:t xml:space="preserve">考虑一个由 </w:t>
      </w:r>
      <m:oMath>
        <m:r>
          <m:t>R</m:t>
        </m:r>
      </m:oMath>
      <w:r>
        <w:rPr>
          <w:rFonts w:ascii="宋体" w:hAnsi="宋体" w:eastAsia="宋体"/>
          <w:sz w:val="24"/>
        </w:rPr>
        <w:t xml:space="preserve"> 个地区、</w:t>
      </w:r>
      <m:oMath>
        <m:r>
          <m:t>S</m:t>
        </m:r>
      </m:oMath>
      <w:r>
        <w:rPr>
          <w:rFonts w:ascii="宋体" w:hAnsi="宋体" w:eastAsia="宋体"/>
          <w:sz w:val="24"/>
        </w:rPr>
        <w:t xml:space="preserve"> 个部门构成的经济体。地区以 </w:t>
      </w:r>
      <m:oMath>
        <m:r>
          <m:t>r</m:t>
        </m:r>
        <m:r>
          <m:rPr>
            <m:sty m:val="p"/>
          </m:rPr>
          <m:t>=</m:t>
        </m:r>
        <m:r>
          <m:t>1</m:t>
        </m:r>
        <m:r>
          <m:rPr>
            <m:sty m:val="p"/>
          </m:rPr>
          <m:t>,</m:t>
        </m:r>
        <m:r>
          <m:t>2</m:t>
        </m:r>
        <m:r>
          <m:rPr>
            <m:sty m:val="p"/>
          </m:rPr>
          <m:t>,</m:t>
        </m:r>
        <m:r>
          <m:rPr>
            <m:sty m:val="p"/>
          </m:rPr>
          <m:t>⋯</m:t>
        </m:r>
        <m:r>
          <m:rPr>
            <m:sty m:val="p"/>
          </m:rPr>
          <m:t>,</m:t>
        </m:r>
        <m:r>
          <m:t>R</m:t>
        </m:r>
      </m:oMath>
      <w:r>
        <w:rPr>
          <w:rFonts w:ascii="宋体" w:hAnsi="宋体" w:eastAsia="宋体"/>
          <w:sz w:val="24"/>
        </w:rPr>
        <w:t xml:space="preserve"> 标识，部门以 </w:t>
      </w:r>
      <m:oMath>
        <m:r>
          <m:t>s</m:t>
        </m:r>
        <m:r>
          <m:rPr>
            <m:sty m:val="p"/>
          </m:rPr>
          <m:t>=</m:t>
        </m:r>
        <m:r>
          <m:t>1</m:t>
        </m:r>
        <m:r>
          <m:rPr>
            <m:sty m:val="p"/>
          </m:rPr>
          <m:t>,</m:t>
        </m:r>
        <m:r>
          <m:t>2</m:t>
        </m:r>
        <m:r>
          <m:rPr>
            <m:sty m:val="p"/>
          </m:rPr>
          <m:t>,</m:t>
        </m:r>
        <m:r>
          <m:rPr>
            <m:sty m:val="p"/>
          </m:rPr>
          <m:t>⋯</m:t>
        </m:r>
        <m:r>
          <m:rPr>
            <m:sty m:val="p"/>
          </m:rPr>
          <m:t>,</m:t>
        </m:r>
        <m:r>
          <m:t>S</m:t>
        </m:r>
      </m:oMath>
      <w:r>
        <w:rPr>
          <w:rFonts w:ascii="宋体" w:hAnsi="宋体" w:eastAsia="宋体"/>
          <w:sz w:val="24"/>
        </w:rPr>
        <w:t xml:space="preserve"> 标识。经济中存在资本 </w:t>
      </w:r>
      <m:oMath>
        <m:r>
          <m:t>K</m:t>
        </m:r>
      </m:oMath>
      <w:r>
        <w:rPr>
          <w:rFonts w:ascii="宋体" w:hAnsi="宋体" w:eastAsia="宋体"/>
          <w:sz w:val="24"/>
        </w:rPr>
        <w:t xml:space="preserve">、劳动 </w:t>
      </w:r>
      <m:oMath>
        <m:r>
          <m:t>L</m:t>
        </m:r>
      </m:oMath>
      <w:r>
        <w:rPr>
          <w:rFonts w:ascii="宋体" w:hAnsi="宋体" w:eastAsia="宋体"/>
          <w:sz w:val="24"/>
        </w:rPr>
        <w:t xml:space="preserve"> 两类可流动要素（为简化叙述，土地、数据等要素可并入广义资本，其分割机制与资本类似）。代表性家庭在全国范围内拥有要素禀赋，并通过要素供给与最终品消费获得效用。最终品由各部门产品经不变替代弹性（CES）技术加总而成：</w:t>
      </w:r>
    </w:p>
    <w:p>
      <w:pPr>
        <w:tabs>
          <w:tab w:pos="4252" w:val="center"/>
          <w:tab w:pos="8504" w:val="right"/>
        </w:tabs>
        <w:spacing w:line="360" w:lineRule="auto" w:before="80" w:after="80"/>
      </w:pPr>
      <w:r>
        <w:tab/>
      </w:r>
      <m:oMath>
        <m:r>
          <m:t>Y</m:t>
        </m:r>
        <m:r>
          <m:rPr>
            <m:sty m:val="p"/>
          </m:rPr>
          <m:t>=</m:t>
        </m:r>
        <m:sSup>
          <m:e>
            <m:d>
              <m:dPr>
                <m:begChr m:val="("/>
                <m:endChr m:val=")"/>
                <m:sepChr m:val=""/>
                <m:grow/>
              </m:dPr>
              <m:e>
                <m:nary>
                  <m:naryPr>
                    <m:chr m:val="∑"/>
                    <m:limLoc m:val="undOvr"/>
                    <m:subHide m:val="off"/>
                    <m:supHide m:val="off"/>
                  </m:naryPr>
                  <m:sub>
                    <m:r>
                      <m:t>s</m:t>
                    </m:r>
                    <m:r>
                      <m:rPr>
                        <m:sty m:val="p"/>
                      </m:rPr>
                      <m:t>=</m:t>
                    </m:r>
                    <m:r>
                      <m:t>1</m:t>
                    </m:r>
                  </m:sub>
                  <m:sup>
                    <m:r>
                      <m:t>S</m:t>
                    </m:r>
                  </m:sup>
                  <m:e>
                    <m:sSubSup>
                      <m:e>
                        <m:r>
                          <m:t>ϑ</m:t>
                        </m:r>
                      </m:e>
                      <m:sub>
                        <m:r>
                          <m:t>s</m:t>
                        </m:r>
                      </m:sub>
                      <m:sup>
                        <m:f>
                          <m:fPr>
                            <m:type m:val="bar"/>
                          </m:fPr>
                          <m:num>
                            <m:r>
                              <m:t>1</m:t>
                            </m:r>
                          </m:num>
                          <m:den>
                            <m:r>
                              <m:t>η</m:t>
                            </m:r>
                          </m:den>
                        </m:f>
                      </m:sup>
                    </m:sSubSup>
                  </m:e>
                </m:nary>
                <m:r>
                  <m:t> </m:t>
                </m:r>
                <m:sSubSup>
                  <m:e>
                    <m:r>
                      <m:t>Y</m:t>
                    </m:r>
                  </m:e>
                  <m:sub>
                    <m:r>
                      <m:t>s</m:t>
                    </m:r>
                  </m:sub>
                  <m:sup>
                    <m:f>
                      <m:fPr>
                        <m:type m:val="bar"/>
                      </m:fPr>
                      <m:num>
                        <m:r>
                          <m:t>η</m:t>
                        </m:r>
                        <m:r>
                          <m:rPr>
                            <m:sty m:val="p"/>
                          </m:rPr>
                          <m:t>−</m:t>
                        </m:r>
                        <m:r>
                          <m:t>1</m:t>
                        </m:r>
                      </m:num>
                      <m:den>
                        <m:r>
                          <m:t>η</m:t>
                        </m:r>
                      </m:den>
                    </m:f>
                  </m:sup>
                </m:sSubSup>
              </m:e>
            </m:d>
          </m:e>
          <m:sup>
            <m:f>
              <m:fPr>
                <m:type m:val="bar"/>
              </m:fPr>
              <m:num>
                <m:r>
                  <m:t>η</m:t>
                </m:r>
              </m:num>
              <m:den>
                <m:r>
                  <m:t>η</m:t>
                </m:r>
                <m:r>
                  <m:rPr>
                    <m:sty m:val="p"/>
                  </m:rPr>
                  <m:t>−</m:t>
                </m:r>
                <m:r>
                  <m:t>1</m:t>
                </m:r>
              </m:den>
            </m:f>
          </m:sup>
        </m:sSup>
      </m:oMath>
      <w:r>
        <w:tab/>
      </w:r>
      <w:r>
        <w:rPr>
          <w:rFonts w:ascii="Times New Roman" w:hAnsi="Times New Roman" w:eastAsia="宋体"/>
          <w:sz w:val="24"/>
        </w:rPr>
        <w:t>(4-1)</w:t>
      </w:r>
    </w:p>
    <w:p>
      <w:pPr>
        <w:spacing w:line="360" w:lineRule="auto" w:after="0"/>
        <w:jc w:val="both"/>
      </w:pPr>
      <w:r>
        <w:rPr>
          <w:rFonts w:ascii="宋体" w:hAnsi="宋体" w:eastAsia="宋体"/>
          <w:sz w:val="24"/>
        </w:rPr>
        <w:t>其中，</w:t>
      </w:r>
      <m:oMath>
        <m:sSub>
          <m:e>
            <m:r>
              <m:t>Y</m:t>
            </m:r>
          </m:e>
          <m:sub>
            <m:r>
              <m:t>s</m:t>
            </m:r>
          </m:sub>
        </m:sSub>
      </m:oMath>
      <w:r>
        <w:rPr>
          <w:rFonts w:ascii="宋体" w:hAnsi="宋体" w:eastAsia="宋体"/>
          <w:sz w:val="24"/>
        </w:rPr>
        <w:t xml:space="preserve"> 为部门 </w:t>
      </w:r>
      <m:oMath>
        <m:r>
          <m:t>s</m:t>
        </m:r>
      </m:oMath>
      <w:r>
        <w:rPr>
          <w:rFonts w:ascii="宋体" w:hAnsi="宋体" w:eastAsia="宋体"/>
          <w:sz w:val="24"/>
        </w:rPr>
        <w:t xml:space="preserve"> 的合成产出，</w:t>
      </w:r>
      <m:oMath>
        <m:sSub>
          <m:e>
            <m:r>
              <m:t>ϑ</m:t>
            </m:r>
          </m:e>
          <m:sub>
            <m:r>
              <m:t>s</m:t>
            </m:r>
          </m:sub>
        </m:sSub>
      </m:oMath>
      <w:r>
        <w:rPr>
          <w:rFonts w:ascii="宋体" w:hAnsi="宋体" w:eastAsia="宋体"/>
          <w:sz w:val="24"/>
        </w:rPr>
        <w:t xml:space="preserve"> 为部门权重（</w:t>
      </w:r>
      <m:oMath>
        <m:nary>
          <m:naryPr>
            <m:chr m:val="∑"/>
            <m:limLoc m:val="undOvr"/>
            <m:subHide m:val="off"/>
            <m:supHide m:val="on"/>
          </m:naryPr>
          <m:sub>
            <m:r>
              <m:t>s</m:t>
            </m:r>
          </m:sub>
          <m:sup>
            <m:r>
              <m:t>​</m:t>
            </m:r>
          </m:sup>
          <m:e>
            <m:sSub>
              <m:e>
                <m:r>
                  <m:t>ϑ</m:t>
                </m:r>
              </m:e>
              <m:sub>
                <m:r>
                  <m:t>s</m:t>
                </m:r>
              </m:sub>
            </m:sSub>
          </m:e>
        </m:nary>
        <m:r>
          <m:rPr>
            <m:sty m:val="p"/>
          </m:rPr>
          <m:t>=</m:t>
        </m:r>
        <m:r>
          <m:t>1</m:t>
        </m:r>
      </m:oMath>
      <w:r>
        <w:rPr>
          <w:rFonts w:ascii="宋体" w:hAnsi="宋体" w:eastAsia="宋体"/>
          <w:sz w:val="24"/>
        </w:rPr>
        <w:t>），</w:t>
      </w:r>
      <m:oMath>
        <m:r>
          <m:t>η</m:t>
        </m:r>
        <m:r>
          <m:rPr>
            <m:sty m:val="p"/>
          </m:rPr>
          <m:t>&gt;</m:t>
        </m:r>
        <m:r>
          <m:t>0</m:t>
        </m:r>
      </m:oMath>
      <w:r>
        <w:rPr>
          <w:rFonts w:ascii="宋体" w:hAnsi="宋体" w:eastAsia="宋体"/>
          <w:sz w:val="24"/>
        </w:rPr>
        <w:t xml:space="preserve"> 为部门间替代弹性。</w:t>
      </w:r>
    </w:p>
    <w:p>
      <w:pPr>
        <w:spacing w:line="360" w:lineRule="auto" w:after="0"/>
        <w:ind w:firstLineChars="200" w:firstLine="480"/>
        <w:jc w:val="both"/>
      </w:pPr>
      <w:r>
        <w:rPr>
          <w:rFonts w:ascii="宋体" w:hAnsi="宋体" w:eastAsia="宋体"/>
          <w:sz w:val="24"/>
        </w:rPr>
        <w:t xml:space="preserve">部门 </w:t>
      </w:r>
      <m:oMath>
        <m:r>
          <m:t>s</m:t>
        </m:r>
      </m:oMath>
      <w:r>
        <w:rPr>
          <w:rFonts w:ascii="宋体" w:hAnsi="宋体" w:eastAsia="宋体"/>
          <w:sz w:val="24"/>
        </w:rPr>
        <w:t xml:space="preserve"> 的合成产出由各地区同部门产品经 CES 技术加总，替代弹性为 </w:t>
      </w:r>
      <m:oMath>
        <m:r>
          <m:t>σ</m:t>
        </m:r>
        <m:r>
          <m:rPr>
            <m:sty m:val="p"/>
          </m:rPr>
          <m:t>&gt;</m:t>
        </m:r>
        <m:r>
          <m:t>1</m:t>
        </m:r>
      </m:oMath>
      <w:r>
        <w:rPr>
          <w:rFonts w:ascii="宋体" w:hAnsi="宋体" w:eastAsia="宋体"/>
          <w:sz w:val="24"/>
        </w:rPr>
        <w:t xml:space="preserve">。此处正是商品市场分割发挥作用之所在：地区 </w:t>
      </w:r>
      <m:oMath>
        <m:r>
          <m:t>r</m:t>
        </m:r>
      </m:oMath>
      <w:r>
        <w:rPr>
          <w:rFonts w:ascii="宋体" w:hAnsi="宋体" w:eastAsia="宋体"/>
          <w:sz w:val="24"/>
        </w:rPr>
        <w:t xml:space="preserve"> 的产品运往其他地区销售时面临"冰山型"贸易成本，只有 </w:t>
      </w:r>
      <m:oMath>
        <m:r>
          <m:t>1</m:t>
        </m:r>
        <m:r>
          <m:rPr>
            <m:sty m:val="p"/>
          </m:rPr>
          <m:t>/</m:t>
        </m:r>
        <m:sSubSup>
          <m:e>
            <m:r>
              <m:t>τ</m:t>
            </m:r>
          </m:e>
          <m:sub>
            <m:r>
              <m:t>r</m:t>
            </m:r>
          </m:sub>
          <m:sup>
            <m:r>
              <m:t>G</m:t>
            </m:r>
          </m:sup>
        </m:sSubSup>
      </m:oMath>
      <w:r>
        <w:rPr>
          <w:rFonts w:ascii="宋体" w:hAnsi="宋体" w:eastAsia="宋体"/>
          <w:sz w:val="24"/>
        </w:rPr>
        <w:t>（</w:t>
      </w:r>
      <m:oMath>
        <m:sSubSup>
          <m:e>
            <m:r>
              <m:t>τ</m:t>
            </m:r>
          </m:e>
          <m:sub>
            <m:r>
              <m:t>r</m:t>
            </m:r>
          </m:sub>
          <m:sup>
            <m:r>
              <m:t>G</m:t>
            </m:r>
          </m:sup>
        </m:sSubSup>
        <m:r>
          <m:rPr>
            <m:sty m:val="p"/>
          </m:rPr>
          <m:t>≥</m:t>
        </m:r>
        <m:r>
          <m:t>1</m:t>
        </m:r>
      </m:oMath>
      <w:r>
        <w:rPr>
          <w:rFonts w:ascii="宋体" w:hAnsi="宋体" w:eastAsia="宋体"/>
          <w:sz w:val="24"/>
        </w:rPr>
        <w:t xml:space="preserve">）的比例最终到达市场。记 </w:t>
      </w:r>
      <m:oMath>
        <m:sSubSup>
          <m:e>
            <m:r>
              <m:t>τ</m:t>
            </m:r>
          </m:e>
          <m:sub>
            <m:r>
              <m:t>r</m:t>
            </m:r>
          </m:sub>
          <m:sup>
            <m:r>
              <m:t>G</m:t>
            </m:r>
          </m:sup>
        </m:sSubSup>
      </m:oMath>
      <w:r>
        <w:rPr>
          <w:rFonts w:ascii="宋体" w:hAnsi="宋体" w:eastAsia="宋体"/>
          <w:sz w:val="24"/>
        </w:rPr>
        <w:t xml:space="preserve"> 为地区 </w:t>
      </w:r>
      <m:oMath>
        <m:r>
          <m:t>r</m:t>
        </m:r>
      </m:oMath>
      <w:r>
        <w:rPr>
          <w:rFonts w:ascii="宋体" w:hAnsi="宋体" w:eastAsia="宋体"/>
          <w:sz w:val="24"/>
        </w:rPr>
        <w:t xml:space="preserve"> 面临的商品市场分割程度，其值越大表示地方保护和市场准入壁垒越严重。部门合成产出为</w:t>
      </w:r>
    </w:p>
    <w:p>
      <w:pPr>
        <w:tabs>
          <w:tab w:pos="4252" w:val="center"/>
          <w:tab w:pos="8504" w:val="right"/>
        </w:tabs>
        <w:spacing w:line="360" w:lineRule="auto" w:before="80" w:after="80"/>
      </w:pPr>
      <w:r>
        <w:tab/>
      </w:r>
      <m:oMath>
        <m:sSub>
          <m:e>
            <m:r>
              <m:t>Y</m:t>
            </m:r>
          </m:e>
          <m:sub>
            <m:r>
              <m:t>s</m:t>
            </m:r>
          </m:sub>
        </m:sSub>
        <m:r>
          <m:rPr>
            <m:sty m:val="p"/>
          </m:rPr>
          <m:t>=</m:t>
        </m:r>
        <m:sSup>
          <m:e>
            <m:d>
              <m:dPr>
                <m:begChr m:val="("/>
                <m:endChr m:val=")"/>
                <m:sepChr m:val=""/>
                <m:grow/>
              </m:dPr>
              <m:e>
                <m:nary>
                  <m:naryPr>
                    <m:chr m:val="∑"/>
                    <m:limLoc m:val="undOvr"/>
                    <m:subHide m:val="off"/>
                    <m:supHide m:val="off"/>
                  </m:naryPr>
                  <m:sub>
                    <m:r>
                      <m:t>r</m:t>
                    </m:r>
                    <m:r>
                      <m:rPr>
                        <m:sty m:val="p"/>
                      </m:rPr>
                      <m:t>=</m:t>
                    </m:r>
                    <m:r>
                      <m:t>1</m:t>
                    </m:r>
                  </m:sub>
                  <m:sup>
                    <m:r>
                      <m:t>R</m:t>
                    </m:r>
                  </m:sup>
                  <m:e>
                    <m:sSup>
                      <m:e>
                        <m:d>
                          <m:dPr>
                            <m:begChr m:val="("/>
                            <m:endChr m:val=")"/>
                            <m:sepChr m:val=""/>
                            <m:grow/>
                          </m:dPr>
                          <m:e>
                            <m:f>
                              <m:fPr>
                                <m:type m:val="bar"/>
                              </m:fPr>
                              <m:num>
                                <m:sSub>
                                  <m:e>
                                    <m:r>
                                      <m:t>Y</m:t>
                                    </m:r>
                                  </m:e>
                                  <m:sub>
                                    <m:r>
                                      <m:t>r</m:t>
                                    </m:r>
                                    <m:r>
                                      <m:t>s</m:t>
                                    </m:r>
                                  </m:sub>
                                </m:sSub>
                              </m:num>
                              <m:den>
                                <m:sSubSup>
                                  <m:e>
                                    <m:r>
                                      <m:t>τ</m:t>
                                    </m:r>
                                  </m:e>
                                  <m:sub>
                                    <m:r>
                                      <m:t>r</m:t>
                                    </m:r>
                                  </m:sub>
                                  <m:sup>
                                    <m:r>
                                      <m:t>G</m:t>
                                    </m:r>
                                  </m:sup>
                                </m:sSubSup>
                              </m:den>
                            </m:f>
                          </m:e>
                        </m:d>
                      </m:e>
                      <m:sup>
                        <m:f>
                          <m:fPr>
                            <m:type m:val="bar"/>
                          </m:fPr>
                          <m:num>
                            <m:r>
                              <m:t>σ</m:t>
                            </m:r>
                            <m:r>
                              <m:rPr>
                                <m:sty m:val="p"/>
                              </m:rPr>
                              <m:t>−</m:t>
                            </m:r>
                            <m:r>
                              <m:t>1</m:t>
                            </m:r>
                          </m:num>
                          <m:den>
                            <m:r>
                              <m:t>σ</m:t>
                            </m:r>
                          </m:den>
                        </m:f>
                      </m:sup>
                    </m:sSup>
                  </m:e>
                </m:nary>
              </m:e>
            </m:d>
          </m:e>
          <m:sup>
            <m:f>
              <m:fPr>
                <m:type m:val="bar"/>
              </m:fPr>
              <m:num>
                <m:r>
                  <m:t>σ</m:t>
                </m:r>
              </m:num>
              <m:den>
                <m:r>
                  <m:t>σ</m:t>
                </m:r>
                <m:r>
                  <m:rPr>
                    <m:sty m:val="p"/>
                  </m:rPr>
                  <m:t>−</m:t>
                </m:r>
                <m:r>
                  <m:t>1</m:t>
                </m:r>
              </m:den>
            </m:f>
          </m:sup>
        </m:sSup>
      </m:oMath>
      <w:r>
        <w:tab/>
      </w:r>
      <w:r>
        <w:rPr>
          <w:rFonts w:ascii="Times New Roman" w:hAnsi="Times New Roman" w:eastAsia="宋体"/>
          <w:sz w:val="24"/>
        </w:rPr>
        <w:t>(4-2)</w:t>
      </w:r>
    </w:p>
    <w:p>
      <w:pPr>
        <w:spacing w:line="360" w:lineRule="auto" w:after="0"/>
        <w:ind w:firstLineChars="200" w:firstLine="480"/>
        <w:jc w:val="both"/>
      </w:pPr>
      <w:r>
        <w:rPr>
          <w:rFonts w:ascii="宋体" w:hAnsi="宋体" w:eastAsia="宋体"/>
          <w:sz w:val="24"/>
        </w:rPr>
        <w:t xml:space="preserve">地区—部门 </w:t>
      </w:r>
      <m:oMath>
        <m:d>
          <m:dPr>
            <m:begChr m:val="("/>
            <m:endChr m:val=")"/>
            <m:sepChr m:val=""/>
            <m:grow/>
          </m:dPr>
          <m:e>
            <m:r>
              <m:t>r</m:t>
            </m:r>
            <m:r>
              <m:rPr>
                <m:sty m:val="p"/>
              </m:rPr>
              <m:t>,</m:t>
            </m:r>
            <m:r>
              <m:t>s</m:t>
            </m:r>
          </m:e>
        </m:d>
      </m:oMath>
      <w:r>
        <w:rPr>
          <w:rFonts w:ascii="宋体" w:hAnsi="宋体" w:eastAsia="宋体"/>
          <w:sz w:val="24"/>
        </w:rPr>
        <w:t xml:space="preserve"> 的生产采用规模报酬不变的柯布—道格拉斯技术，投入资本与劳动：</w:t>
      </w:r>
    </w:p>
    <w:p>
      <w:pPr>
        <w:tabs>
          <w:tab w:pos="4252" w:val="center"/>
          <w:tab w:pos="8504" w:val="right"/>
        </w:tabs>
        <w:spacing w:line="360" w:lineRule="auto" w:before="80" w:after="80"/>
      </w:pPr>
      <w:r>
        <w:tab/>
      </w:r>
      <m:oMath>
        <m:sSub>
          <m:e>
            <m:r>
              <m:t>Y</m:t>
            </m:r>
          </m:e>
          <m:sub>
            <m:r>
              <m:t>r</m:t>
            </m:r>
            <m:r>
              <m:t>s</m:t>
            </m:r>
          </m:sub>
        </m:sSub>
        <m:r>
          <m:rPr>
            <m:sty m:val="p"/>
          </m:rPr>
          <m:t>=</m:t>
        </m:r>
        <m:sSub>
          <m:e>
            <m:r>
              <m:t>A</m:t>
            </m:r>
          </m:e>
          <m:sub>
            <m:r>
              <m:t>r</m:t>
            </m:r>
            <m:r>
              <m:t>s</m:t>
            </m:r>
          </m:sub>
        </m:sSub>
        <m:r>
          <m:t> </m:t>
        </m:r>
        <m:sSubSup>
          <m:e>
            <m:r>
              <m:t>K</m:t>
            </m:r>
          </m:e>
          <m:sub>
            <m:r>
              <m:t>r</m:t>
            </m:r>
            <m:r>
              <m:t>s</m:t>
            </m:r>
          </m:sub>
          <m:sup>
            <m:r>
              <m:t>α</m:t>
            </m:r>
          </m:sup>
        </m:sSubSup>
        <m:r>
          <m:t> </m:t>
        </m:r>
        <m:sSubSup>
          <m:e>
            <m:r>
              <m:t>L</m:t>
            </m:r>
          </m:e>
          <m:sub>
            <m:r>
              <m:t>r</m:t>
            </m:r>
            <m:r>
              <m:t>s</m:t>
            </m:r>
          </m:sub>
          <m:sup>
            <m:r>
              <m:t>1</m:t>
            </m:r>
            <m:r>
              <m:rPr>
                <m:sty m:val="p"/>
              </m:rPr>
              <m:t>−</m:t>
            </m:r>
            <m:r>
              <m:t>α</m:t>
            </m:r>
          </m:sup>
        </m:sSubSup>
      </m:oMath>
      <w:r>
        <w:tab/>
      </w:r>
      <w:r>
        <w:rPr>
          <w:rFonts w:ascii="Times New Roman" w:hAnsi="Times New Roman" w:eastAsia="宋体"/>
          <w:sz w:val="24"/>
        </w:rPr>
        <w:t>(4-3)</w:t>
      </w:r>
    </w:p>
    <w:p>
      <w:pPr>
        <w:spacing w:line="360" w:lineRule="auto" w:after="0"/>
        <w:jc w:val="both"/>
      </w:pPr>
      <w:r>
        <w:rPr>
          <w:rFonts w:ascii="宋体" w:hAnsi="宋体" w:eastAsia="宋体"/>
          <w:sz w:val="24"/>
        </w:rPr>
        <w:t>其中，</w:t>
      </w:r>
      <m:oMath>
        <m:sSub>
          <m:e>
            <m:r>
              <m:t>A</m:t>
            </m:r>
          </m:e>
          <m:sub>
            <m:r>
              <m:t>r</m:t>
            </m:r>
            <m:r>
              <m:t>s</m:t>
            </m:r>
          </m:sub>
        </m:sSub>
      </m:oMath>
      <w:r>
        <w:rPr>
          <w:rFonts w:ascii="宋体" w:hAnsi="宋体" w:eastAsia="宋体"/>
          <w:sz w:val="24"/>
        </w:rPr>
        <w:t xml:space="preserve"> 为地区—部门的希克斯中性技术水平（基础生产率），</w:t>
      </w:r>
      <m:oMath>
        <m:r>
          <m:t>α</m:t>
        </m:r>
        <m:r>
          <m:rPr>
            <m:sty m:val="p"/>
          </m:rPr>
          <m:t>∈</m:t>
        </m:r>
        <m:d>
          <m:dPr>
            <m:begChr m:val="("/>
            <m:endChr m:val=")"/>
            <m:sepChr m:val=""/>
            <m:grow/>
          </m:dPr>
          <m:e>
            <m:r>
              <m:t>0</m:t>
            </m:r>
            <m:r>
              <m:rPr>
                <m:sty m:val="p"/>
              </m:rPr>
              <m:t>,</m:t>
            </m:r>
            <m:r>
              <m:t>1</m:t>
            </m:r>
          </m:e>
        </m:d>
      </m:oMath>
      <w:r>
        <w:rPr>
          <w:rFonts w:ascii="宋体" w:hAnsi="宋体" w:eastAsia="宋体"/>
          <w:sz w:val="24"/>
        </w:rPr>
        <w:t xml:space="preserve"> 为资本产出弹性。</w:t>
      </w:r>
    </w:p>
    <w:p>
      <w:pPr>
        <w:spacing w:line="360" w:lineRule="auto" w:after="0"/>
        <w:ind w:firstLineChars="200" w:firstLine="480"/>
        <w:jc w:val="both"/>
      </w:pPr>
      <w:r>
        <w:rPr>
          <w:rFonts w:ascii="宋体" w:hAnsi="宋体" w:eastAsia="宋体"/>
          <w:sz w:val="24"/>
        </w:rPr>
        <w:t xml:space="preserve">要素市场的行政性分割则通过"要素楔子"进入模型。若要素市场完全一体化，同质要素在全国具有统一的租金 </w:t>
      </w:r>
      <m:oMath>
        <m:sSup>
          <m:e>
            <m:r>
              <m:t>R</m:t>
            </m:r>
          </m:e>
          <m:sup>
            <m:r>
              <m:t>K</m:t>
            </m:r>
          </m:sup>
        </m:sSup>
      </m:oMath>
      <w:r>
        <w:rPr>
          <w:rFonts w:ascii="宋体" w:hAnsi="宋体" w:eastAsia="宋体"/>
          <w:sz w:val="24"/>
        </w:rPr>
        <w:t xml:space="preserve"> 与工资 </w:t>
      </w:r>
      <m:oMath>
        <m:r>
          <m:t>w</m:t>
        </m:r>
      </m:oMath>
      <w:r>
        <w:rPr>
          <w:rFonts w:ascii="宋体" w:hAnsi="宋体" w:eastAsia="宋体"/>
          <w:sz w:val="24"/>
        </w:rPr>
        <w:t xml:space="preserve">；但在存在户籍管制、金融属地化、用地指标行政配置等制度性壁垒时，地区—部门 </w:t>
      </w:r>
      <m:oMath>
        <m:d>
          <m:dPr>
            <m:begChr m:val="("/>
            <m:endChr m:val=")"/>
            <m:sepChr m:val=""/>
            <m:grow/>
          </m:dPr>
          <m:e>
            <m:r>
              <m:t>r</m:t>
            </m:r>
            <m:r>
              <m:rPr>
                <m:sty m:val="p"/>
              </m:rPr>
              <m:t>,</m:t>
            </m:r>
            <m:r>
              <m:t>s</m:t>
            </m:r>
          </m:e>
        </m:d>
      </m:oMath>
      <w:r>
        <w:rPr>
          <w:rFonts w:ascii="宋体" w:hAnsi="宋体" w:eastAsia="宋体"/>
          <w:sz w:val="24"/>
        </w:rPr>
        <w:t xml:space="preserve"> 实际支付的要素价格被扭曲为 </w:t>
      </w:r>
      <m:oMath>
        <m:d>
          <m:dPr>
            <m:begChr m:val="("/>
            <m:endChr m:val=")"/>
            <m:sepChr m:val=""/>
            <m:grow/>
          </m:dPr>
          <m:e>
            <m:r>
              <m:t>1</m:t>
            </m:r>
            <m:r>
              <m:rPr>
                <m:sty m:val="p"/>
              </m:rPr>
              <m:t>+</m:t>
            </m:r>
            <m:sSubSup>
              <m:e>
                <m:r>
                  <m:t>τ</m:t>
                </m:r>
              </m:e>
              <m:sub>
                <m:r>
                  <m:t>r</m:t>
                </m:r>
                <m:r>
                  <m:t>s</m:t>
                </m:r>
              </m:sub>
              <m:sup>
                <m:r>
                  <m:t>K</m:t>
                </m:r>
              </m:sup>
            </m:sSubSup>
          </m:e>
        </m:d>
        <m:sSup>
          <m:e>
            <m:r>
              <m:t>R</m:t>
            </m:r>
          </m:e>
          <m:sup>
            <m:r>
              <m:t>K</m:t>
            </m:r>
          </m:sup>
        </m:sSup>
      </m:oMath>
      <w:r>
        <w:rPr>
          <w:rFonts w:ascii="宋体" w:hAnsi="宋体" w:eastAsia="宋体"/>
          <w:sz w:val="24"/>
        </w:rPr>
        <w:t xml:space="preserve"> 与 </w:t>
      </w:r>
      <m:oMath>
        <m:d>
          <m:dPr>
            <m:begChr m:val="("/>
            <m:endChr m:val=")"/>
            <m:sepChr m:val=""/>
            <m:grow/>
          </m:dPr>
          <m:e>
            <m:r>
              <m:t>1</m:t>
            </m:r>
            <m:r>
              <m:rPr>
                <m:sty m:val="p"/>
              </m:rPr>
              <m:t>+</m:t>
            </m:r>
            <m:sSubSup>
              <m:e>
                <m:r>
                  <m:t>τ</m:t>
                </m:r>
              </m:e>
              <m:sub>
                <m:r>
                  <m:t>r</m:t>
                </m:r>
                <m:r>
                  <m:t>s</m:t>
                </m:r>
              </m:sub>
              <m:sup>
                <m:r>
                  <m:t>L</m:t>
                </m:r>
              </m:sup>
            </m:sSubSup>
          </m:e>
        </m:d>
        <m:r>
          <m:t>w</m:t>
        </m:r>
      </m:oMath>
      <w:r>
        <w:rPr>
          <w:rFonts w:ascii="宋体" w:hAnsi="宋体" w:eastAsia="宋体"/>
          <w:sz w:val="24"/>
        </w:rPr>
        <w:t xml:space="preserve">，其中 </w:t>
      </w:r>
      <m:oMath>
        <m:sSubSup>
          <m:e>
            <m:r>
              <m:t>τ</m:t>
            </m:r>
          </m:e>
          <m:sub>
            <m:r>
              <m:t>r</m:t>
            </m:r>
            <m:r>
              <m:t>s</m:t>
            </m:r>
          </m:sub>
          <m:sup>
            <m:r>
              <m:t>K</m:t>
            </m:r>
          </m:sup>
        </m:sSubSup>
      </m:oMath>
      <w:r>
        <w:rPr>
          <w:rFonts w:ascii="宋体" w:hAnsi="宋体" w:eastAsia="宋体"/>
          <w:sz w:val="24"/>
        </w:rPr>
        <w:t xml:space="preserve"> 与 </w:t>
      </w:r>
      <m:oMath>
        <m:sSubSup>
          <m:e>
            <m:r>
              <m:t>τ</m:t>
            </m:r>
          </m:e>
          <m:sub>
            <m:r>
              <m:t>r</m:t>
            </m:r>
            <m:r>
              <m:t>s</m:t>
            </m:r>
          </m:sub>
          <m:sup>
            <m:r>
              <m:t>L</m:t>
            </m:r>
          </m:sup>
        </m:sSubSup>
      </m:oMath>
      <w:r>
        <w:rPr>
          <w:rFonts w:ascii="宋体" w:hAnsi="宋体" w:eastAsia="宋体"/>
          <w:sz w:val="24"/>
        </w:rPr>
        <w:t xml:space="preserve"> 分别为资本楔子与劳动楔子，刻画制度性分割对要素配置的扭曲。这一设定沿袭了Hsieh和Klenow，2009与Brandt等，2013的分析传统，但将楔子的来源明确锚定于要素市场的行政性分割。</w:t>
      </w:r>
    </w:p>
    <w:p>
      <w:pPr>
        <w:spacing w:line="360" w:lineRule="auto" w:after="0"/>
        <w:ind w:firstLineChars="200" w:firstLine="480"/>
        <w:jc w:val="both"/>
      </w:pPr>
      <w:r>
        <w:rPr>
          <w:rFonts w:ascii="宋体" w:hAnsi="宋体" w:eastAsia="宋体"/>
          <w:sz w:val="24"/>
        </w:rPr>
        <w:t>这里对模型的几个关键设定作出说明。第一，将统一大市场建设刻画为对"分割壁垒"而非"要素总量"的作用，凸显了本书关注的是配置效率而非要素积累——这正是"制度性生产率"的独特内涵。第二，同时纳入商品市场冰山成本与要素市场流动壁垒，是因为二者在中国实践中并存且相互交织：地方保护既表现为对外地商品的市场准入歧视，也表现为对本地要素外流的隐性限制；若只考虑其一，将低估市场分割的总体效率损失。第三，采用规模报酬不变的柯布—道格拉斯技术是为使加总解析可解，放松这一假设（如引入可变加成率或规模报酬递增）会改变损失的具体量级但不改变定性结论，这一点在稳健性讨论中再作说明（龚关和胡关亮，2013）。第四，模型以地区—部门为基本单元，既能刻画地区间的空间错配，也能刻画部门间的结构错配，与中国要素错配"空间维度"和"部门维度"并重的现实相契合。</w:t>
      </w:r>
    </w:p>
    <w:p>
      <w:pPr>
        <w:keepNext/>
        <w:spacing w:before="160" w:after="120" w:line="360" w:lineRule="auto"/>
      </w:pPr>
      <w:r>
        <w:rPr>
          <w:rFonts w:ascii="黑体" w:hAnsi="黑体" w:eastAsia="黑体"/>
          <w:sz w:val="28"/>
        </w:rPr>
        <w:t>4.2  企业最优化与要素错配的刻画</w:t>
      </w:r>
    </w:p>
    <w:p>
      <w:pPr>
        <w:spacing w:line="360" w:lineRule="auto" w:after="0"/>
        <w:ind w:firstLineChars="200" w:firstLine="480"/>
        <w:jc w:val="both"/>
      </w:pPr>
      <w:r>
        <w:rPr>
          <w:rFonts w:ascii="宋体" w:hAnsi="宋体" w:eastAsia="宋体"/>
          <w:sz w:val="24"/>
        </w:rPr>
        <w:t xml:space="preserve">在垄断竞争结构下，地区—部门 </w:t>
      </w:r>
      <m:oMath>
        <m:d>
          <m:dPr>
            <m:begChr m:val="("/>
            <m:endChr m:val=")"/>
            <m:sepChr m:val=""/>
            <m:grow/>
          </m:dPr>
          <m:e>
            <m:r>
              <m:t>r</m:t>
            </m:r>
            <m:r>
              <m:rPr>
                <m:sty m:val="p"/>
              </m:rPr>
              <m:t>,</m:t>
            </m:r>
            <m:r>
              <m:t>s</m:t>
            </m:r>
          </m:e>
        </m:d>
      </m:oMath>
      <w:r>
        <w:rPr>
          <w:rFonts w:ascii="宋体" w:hAnsi="宋体" w:eastAsia="宋体"/>
          <w:sz w:val="24"/>
        </w:rPr>
        <w:t xml:space="preserve"> 的生产者以扭曲后的要素价格最小化成本。其一阶条件要求资本与劳动的边际收益产品等于扭曲后的要素价格：</w:t>
      </w:r>
    </w:p>
    <w:p>
      <w:pPr>
        <w:tabs>
          <w:tab w:pos="4252" w:val="center"/>
          <w:tab w:pos="8504" w:val="right"/>
        </w:tabs>
        <w:spacing w:line="360" w:lineRule="auto" w:before="80" w:after="80"/>
      </w:pPr>
      <w:r>
        <w:tab/>
      </w:r>
      <m:oMath>
        <m:r>
          <m:t>M</m:t>
        </m:r>
        <m:r>
          <m:t>R</m:t>
        </m:r>
        <m:r>
          <m:t>P</m:t>
        </m:r>
        <m:sSub>
          <m:e>
            <m:r>
              <m:t>K</m:t>
            </m:r>
          </m:e>
          <m:sub>
            <m:r>
              <m:t>r</m:t>
            </m:r>
            <m:r>
              <m:t>s</m:t>
            </m:r>
          </m:sub>
        </m:sSub>
        <m:r>
          <m:rPr>
            <m:sty m:val="p"/>
          </m:rPr>
          <m:t>≡</m:t>
        </m:r>
        <m:r>
          <m:t>α</m:t>
        </m:r>
        <m:r>
          <m:t> </m:t>
        </m:r>
        <m:f>
          <m:fPr>
            <m:type m:val="bar"/>
          </m:fPr>
          <m:num>
            <m:sSub>
              <m:e>
                <m:r>
                  <m:t>P</m:t>
                </m:r>
              </m:e>
              <m:sub>
                <m:r>
                  <m:t>r</m:t>
                </m:r>
                <m:r>
                  <m:t>s</m:t>
                </m:r>
              </m:sub>
            </m:sSub>
            <m:sSub>
              <m:e>
                <m:r>
                  <m:t>Y</m:t>
                </m:r>
              </m:e>
              <m:sub>
                <m:r>
                  <m:t>r</m:t>
                </m:r>
                <m:r>
                  <m:t>s</m:t>
                </m:r>
              </m:sub>
            </m:sSub>
          </m:num>
          <m:den>
            <m:sSub>
              <m:e>
                <m:r>
                  <m:t>K</m:t>
                </m:r>
              </m:e>
              <m:sub>
                <m:r>
                  <m:t>r</m:t>
                </m:r>
                <m:r>
                  <m:t>s</m:t>
                </m:r>
              </m:sub>
            </m:sSub>
          </m:den>
        </m:f>
        <m:r>
          <m:rPr>
            <m:sty m:val="p"/>
          </m:rPr>
          <m:t>⋅</m:t>
        </m:r>
        <m:f>
          <m:fPr>
            <m:type m:val="bar"/>
          </m:fPr>
          <m:num>
            <m:r>
              <m:t>σ</m:t>
            </m:r>
            <m:r>
              <m:rPr>
                <m:sty m:val="p"/>
              </m:rPr>
              <m:t>−</m:t>
            </m:r>
            <m:r>
              <m:t>1</m:t>
            </m:r>
          </m:num>
          <m:den>
            <m:r>
              <m:t>σ</m:t>
            </m:r>
          </m:den>
        </m:f>
        <m:r>
          <m:rPr>
            <m:sty m:val="p"/>
          </m:rPr>
          <m:t>=</m:t>
        </m:r>
        <m:d>
          <m:dPr>
            <m:begChr m:val="("/>
            <m:endChr m:val=")"/>
            <m:sepChr m:val=""/>
            <m:grow/>
          </m:dPr>
          <m:e>
            <m:r>
              <m:t>1</m:t>
            </m:r>
            <m:r>
              <m:rPr>
                <m:sty m:val="p"/>
              </m:rPr>
              <m:t>+</m:t>
            </m:r>
            <m:sSubSup>
              <m:e>
                <m:r>
                  <m:t>τ</m:t>
                </m:r>
              </m:e>
              <m:sub>
                <m:r>
                  <m:t>r</m:t>
                </m:r>
                <m:r>
                  <m:t>s</m:t>
                </m:r>
              </m:sub>
              <m:sup>
                <m:r>
                  <m:t>K</m:t>
                </m:r>
              </m:sup>
            </m:sSubSup>
          </m:e>
        </m:d>
        <m:sSup>
          <m:e>
            <m:r>
              <m:t>R</m:t>
            </m:r>
          </m:e>
          <m:sup>
            <m:r>
              <m:t>K</m:t>
            </m:r>
          </m:sup>
        </m:sSup>
      </m:oMath>
      <w:r>
        <w:tab/>
      </w:r>
      <w:r>
        <w:rPr>
          <w:rFonts w:ascii="Times New Roman" w:hAnsi="Times New Roman" w:eastAsia="宋体"/>
          <w:sz w:val="24"/>
        </w:rPr>
        <w:t>(4-4)</w:t>
      </w:r>
    </w:p>
    <w:p>
      <w:pPr>
        <w:tabs>
          <w:tab w:pos="4252" w:val="center"/>
          <w:tab w:pos="8504" w:val="right"/>
        </w:tabs>
        <w:spacing w:line="360" w:lineRule="auto" w:before="80" w:after="80"/>
      </w:pPr>
      <w:r>
        <w:tab/>
      </w:r>
      <m:oMath>
        <m:r>
          <m:t>M</m:t>
        </m:r>
        <m:r>
          <m:t>R</m:t>
        </m:r>
        <m:r>
          <m:t>P</m:t>
        </m:r>
        <m:sSub>
          <m:e>
            <m:r>
              <m:t>L</m:t>
            </m:r>
          </m:e>
          <m:sub>
            <m:r>
              <m:t>r</m:t>
            </m:r>
            <m:r>
              <m:t>s</m:t>
            </m:r>
          </m:sub>
        </m:sSub>
        <m:r>
          <m:rPr>
            <m:sty m:val="p"/>
          </m:rPr>
          <m:t>≡</m:t>
        </m:r>
        <m:d>
          <m:dPr>
            <m:begChr m:val="("/>
            <m:endChr m:val=")"/>
            <m:sepChr m:val=""/>
            <m:grow/>
          </m:dPr>
          <m:e>
            <m:r>
              <m:t>1</m:t>
            </m:r>
            <m:r>
              <m:rPr>
                <m:sty m:val="p"/>
              </m:rPr>
              <m:t>−</m:t>
            </m:r>
            <m:r>
              <m:t>α</m:t>
            </m:r>
          </m:e>
        </m:d>
        <m:r>
          <m:t> </m:t>
        </m:r>
        <m:f>
          <m:fPr>
            <m:type m:val="bar"/>
          </m:fPr>
          <m:num>
            <m:sSub>
              <m:e>
                <m:r>
                  <m:t>P</m:t>
                </m:r>
              </m:e>
              <m:sub>
                <m:r>
                  <m:t>r</m:t>
                </m:r>
                <m:r>
                  <m:t>s</m:t>
                </m:r>
              </m:sub>
            </m:sSub>
            <m:sSub>
              <m:e>
                <m:r>
                  <m:t>Y</m:t>
                </m:r>
              </m:e>
              <m:sub>
                <m:r>
                  <m:t>r</m:t>
                </m:r>
                <m:r>
                  <m:t>s</m:t>
                </m:r>
              </m:sub>
            </m:sSub>
          </m:num>
          <m:den>
            <m:sSub>
              <m:e>
                <m:r>
                  <m:t>L</m:t>
                </m:r>
              </m:e>
              <m:sub>
                <m:r>
                  <m:t>r</m:t>
                </m:r>
                <m:r>
                  <m:t>s</m:t>
                </m:r>
              </m:sub>
            </m:sSub>
          </m:den>
        </m:f>
        <m:r>
          <m:rPr>
            <m:sty m:val="p"/>
          </m:rPr>
          <m:t>⋅</m:t>
        </m:r>
        <m:f>
          <m:fPr>
            <m:type m:val="bar"/>
          </m:fPr>
          <m:num>
            <m:r>
              <m:t>σ</m:t>
            </m:r>
            <m:r>
              <m:rPr>
                <m:sty m:val="p"/>
              </m:rPr>
              <m:t>−</m:t>
            </m:r>
            <m:r>
              <m:t>1</m:t>
            </m:r>
          </m:num>
          <m:den>
            <m:r>
              <m:t>σ</m:t>
            </m:r>
          </m:den>
        </m:f>
        <m:r>
          <m:rPr>
            <m:sty m:val="p"/>
          </m:rPr>
          <m:t>=</m:t>
        </m:r>
        <m:d>
          <m:dPr>
            <m:begChr m:val="("/>
            <m:endChr m:val=")"/>
            <m:sepChr m:val=""/>
            <m:grow/>
          </m:dPr>
          <m:e>
            <m:r>
              <m:t>1</m:t>
            </m:r>
            <m:r>
              <m:rPr>
                <m:sty m:val="p"/>
              </m:rPr>
              <m:t>+</m:t>
            </m:r>
            <m:sSubSup>
              <m:e>
                <m:r>
                  <m:t>τ</m:t>
                </m:r>
              </m:e>
              <m:sub>
                <m:r>
                  <m:t>r</m:t>
                </m:r>
                <m:r>
                  <m:t>s</m:t>
                </m:r>
              </m:sub>
              <m:sup>
                <m:r>
                  <m:t>L</m:t>
                </m:r>
              </m:sup>
            </m:sSubSup>
          </m:e>
        </m:d>
        <m:r>
          <m:t>w</m:t>
        </m:r>
      </m:oMath>
      <w:r>
        <w:tab/>
      </w:r>
      <w:r>
        <w:rPr>
          <w:rFonts w:ascii="Times New Roman" w:hAnsi="Times New Roman" w:eastAsia="宋体"/>
          <w:sz w:val="24"/>
        </w:rPr>
        <w:t>(4-5)</w:t>
      </w:r>
    </w:p>
    <w:p>
      <w:pPr>
        <w:spacing w:line="360" w:lineRule="auto" w:after="0"/>
        <w:ind w:firstLineChars="200" w:firstLine="480"/>
        <w:jc w:val="both"/>
      </w:pPr>
      <w:r>
        <w:rPr>
          <w:rFonts w:ascii="宋体" w:hAnsi="宋体" w:eastAsia="宋体"/>
          <w:sz w:val="24"/>
        </w:rPr>
        <w:t>式(4-4)与(4-5)表明：在无摩擦的一体化市场中（</w:t>
      </w:r>
      <m:oMath>
        <m:sSubSup>
          <m:e>
            <m:r>
              <m:t>τ</m:t>
            </m:r>
          </m:e>
          <m:sub>
            <m:r>
              <m:t>r</m:t>
            </m:r>
            <m:r>
              <m:t>s</m:t>
            </m:r>
          </m:sub>
          <m:sup>
            <m:r>
              <m:t>K</m:t>
            </m:r>
          </m:sup>
        </m:sSubSup>
        <m:r>
          <m:rPr>
            <m:sty m:val="p"/>
          </m:rPr>
          <m:t>=</m:t>
        </m:r>
        <m:sSubSup>
          <m:e>
            <m:r>
              <m:t>τ</m:t>
            </m:r>
          </m:e>
          <m:sub>
            <m:r>
              <m:t>r</m:t>
            </m:r>
            <m:r>
              <m:t>s</m:t>
            </m:r>
          </m:sub>
          <m:sup>
            <m:r>
              <m:t>L</m:t>
            </m:r>
          </m:sup>
        </m:sSubSup>
        <m:r>
          <m:rPr>
            <m:sty m:val="p"/>
          </m:rPr>
          <m:t>=</m:t>
        </m:r>
        <m:r>
          <m:t>0</m:t>
        </m:r>
      </m:oMath>
      <w:r>
        <w:rPr>
          <w:rFonts w:ascii="宋体" w:hAnsi="宋体" w:eastAsia="宋体"/>
          <w:sz w:val="24"/>
        </w:rPr>
        <w:t>），同质要素的边际收益产品应在所有地区和部门趋于相等；而要素楔子的存在使边际收益产品出现系统性离散，这正是资源错配的本质。定义综合要素扭曲（即"收入型全要素生产率"</w:t>
      </w:r>
      <m:oMath>
        <m:r>
          <m:t>T</m:t>
        </m:r>
        <m:r>
          <m:t>F</m:t>
        </m:r>
        <m:r>
          <m:t>P</m:t>
        </m:r>
        <m:r>
          <m:t>R</m:t>
        </m:r>
      </m:oMath>
      <w:r>
        <w:rPr>
          <w:rFonts w:ascii="宋体" w:hAnsi="宋体" w:eastAsia="宋体"/>
          <w:sz w:val="24"/>
        </w:rPr>
        <w:t>）为</w:t>
      </w:r>
    </w:p>
    <w:p>
      <w:pPr>
        <w:tabs>
          <w:tab w:pos="4252" w:val="center"/>
          <w:tab w:pos="8504" w:val="right"/>
        </w:tabs>
        <w:spacing w:line="360" w:lineRule="auto" w:before="80" w:after="80"/>
      </w:pPr>
      <w:r>
        <w:tab/>
      </w:r>
      <m:oMath>
        <m:r>
          <m:t>T</m:t>
        </m:r>
        <m:r>
          <m:t>F</m:t>
        </m:r>
        <m:r>
          <m:t>P</m:t>
        </m:r>
        <m:sSub>
          <m:e>
            <m:r>
              <m:t>R</m:t>
            </m:r>
          </m:e>
          <m:sub>
            <m:r>
              <m:t>r</m:t>
            </m:r>
            <m:r>
              <m:t>s</m:t>
            </m:r>
          </m:sub>
        </m:sSub>
        <m:r>
          <m:rPr>
            <m:sty m:val="p"/>
          </m:rPr>
          <m:t>∝</m:t>
        </m:r>
        <m:sSup>
          <m:e>
            <m:d>
              <m:dPr>
                <m:begChr m:val="("/>
                <m:endChr m:val=")"/>
                <m:sepChr m:val=""/>
                <m:grow/>
              </m:dPr>
              <m:e>
                <m:r>
                  <m:t>M</m:t>
                </m:r>
                <m:r>
                  <m:t>R</m:t>
                </m:r>
                <m:r>
                  <m:t>P</m:t>
                </m:r>
                <m:sSub>
                  <m:e>
                    <m:r>
                      <m:t>K</m:t>
                    </m:r>
                  </m:e>
                  <m:sub>
                    <m:r>
                      <m:t>r</m:t>
                    </m:r>
                    <m:r>
                      <m:t>s</m:t>
                    </m:r>
                  </m:sub>
                </m:sSub>
              </m:e>
            </m:d>
          </m:e>
          <m:sup>
            <m:r>
              <m:t>α</m:t>
            </m:r>
          </m:sup>
        </m:sSup>
        <m:sSup>
          <m:e>
            <m:d>
              <m:dPr>
                <m:begChr m:val="("/>
                <m:endChr m:val=")"/>
                <m:sepChr m:val=""/>
                <m:grow/>
              </m:dPr>
              <m:e>
                <m:r>
                  <m:t>M</m:t>
                </m:r>
                <m:r>
                  <m:t>R</m:t>
                </m:r>
                <m:r>
                  <m:t>P</m:t>
                </m:r>
                <m:sSub>
                  <m:e>
                    <m:r>
                      <m:t>L</m:t>
                    </m:r>
                  </m:e>
                  <m:sub>
                    <m:r>
                      <m:t>r</m:t>
                    </m:r>
                    <m:r>
                      <m:t>s</m:t>
                    </m:r>
                  </m:sub>
                </m:sSub>
              </m:e>
            </m:d>
          </m:e>
          <m:sup>
            <m:r>
              <m:t>1</m:t>
            </m:r>
            <m:r>
              <m:rPr>
                <m:sty m:val="p"/>
              </m:rPr>
              <m:t>−</m:t>
            </m:r>
            <m:r>
              <m:t>α</m:t>
            </m:r>
          </m:sup>
        </m:sSup>
        <m:r>
          <m:rPr>
            <m:sty m:val="p"/>
          </m:rPr>
          <m:t>∝</m:t>
        </m:r>
        <m:sSup>
          <m:e>
            <m:d>
              <m:dPr>
                <m:begChr m:val="("/>
                <m:endChr m:val=")"/>
                <m:sepChr m:val=""/>
                <m:grow/>
              </m:dPr>
              <m:e>
                <m:r>
                  <m:t>1</m:t>
                </m:r>
                <m:r>
                  <m:rPr>
                    <m:sty m:val="p"/>
                  </m:rPr>
                  <m:t>+</m:t>
                </m:r>
                <m:sSubSup>
                  <m:e>
                    <m:r>
                      <m:t>τ</m:t>
                    </m:r>
                  </m:e>
                  <m:sub>
                    <m:r>
                      <m:t>r</m:t>
                    </m:r>
                    <m:r>
                      <m:t>s</m:t>
                    </m:r>
                  </m:sub>
                  <m:sup>
                    <m:r>
                      <m:t>K</m:t>
                    </m:r>
                  </m:sup>
                </m:sSubSup>
              </m:e>
            </m:d>
          </m:e>
          <m:sup>
            <m:r>
              <m:t>α</m:t>
            </m:r>
          </m:sup>
        </m:sSup>
        <m:sSup>
          <m:e>
            <m:d>
              <m:dPr>
                <m:begChr m:val="("/>
                <m:endChr m:val=")"/>
                <m:sepChr m:val=""/>
                <m:grow/>
              </m:dPr>
              <m:e>
                <m:r>
                  <m:t>1</m:t>
                </m:r>
                <m:r>
                  <m:rPr>
                    <m:sty m:val="p"/>
                  </m:rPr>
                  <m:t>+</m:t>
                </m:r>
                <m:sSubSup>
                  <m:e>
                    <m:r>
                      <m:t>τ</m:t>
                    </m:r>
                  </m:e>
                  <m:sub>
                    <m:r>
                      <m:t>r</m:t>
                    </m:r>
                    <m:r>
                      <m:t>s</m:t>
                    </m:r>
                  </m:sub>
                  <m:sup>
                    <m:r>
                      <m:t>L</m:t>
                    </m:r>
                  </m:sup>
                </m:sSubSup>
              </m:e>
            </m:d>
          </m:e>
          <m:sup>
            <m:r>
              <m:t>1</m:t>
            </m:r>
            <m:r>
              <m:rPr>
                <m:sty m:val="p"/>
              </m:rPr>
              <m:t>−</m:t>
            </m:r>
            <m:r>
              <m:t>α</m:t>
            </m:r>
          </m:sup>
        </m:sSup>
      </m:oMath>
      <w:r>
        <w:tab/>
      </w:r>
      <w:r>
        <w:rPr>
          <w:rFonts w:ascii="Times New Roman" w:hAnsi="Times New Roman" w:eastAsia="宋体"/>
          <w:sz w:val="24"/>
        </w:rPr>
        <w:t>(4-6)</w:t>
      </w:r>
    </w:p>
    <w:p>
      <w:pPr>
        <w:spacing w:line="360" w:lineRule="auto" w:after="0"/>
        <w:ind w:firstLineChars="200" w:firstLine="480"/>
        <w:jc w:val="both"/>
      </w:pPr>
      <w:r>
        <w:rPr>
          <w:rFonts w:ascii="宋体" w:hAnsi="宋体" w:eastAsia="宋体"/>
          <w:sz w:val="24"/>
        </w:rPr>
        <w:t xml:space="preserve">式(4-6)蕴含一个关键判断：在有效配置下 </w:t>
      </w:r>
      <m:oMath>
        <m:r>
          <m:t>T</m:t>
        </m:r>
        <m:r>
          <m:t>F</m:t>
        </m:r>
        <m:r>
          <m:t>P</m:t>
        </m:r>
        <m:sSub>
          <m:e>
            <m:r>
              <m:t>R</m:t>
            </m:r>
          </m:e>
          <m:sub>
            <m:r>
              <m:t>r</m:t>
            </m:r>
            <m:r>
              <m:t>s</m:t>
            </m:r>
          </m:sub>
        </m:sSub>
      </m:oMath>
      <w:r>
        <w:rPr>
          <w:rFonts w:ascii="宋体" w:hAnsi="宋体" w:eastAsia="宋体"/>
          <w:sz w:val="24"/>
        </w:rPr>
        <w:t xml:space="preserve"> 应在各地区—部门间相等；</w:t>
      </w:r>
      <m:oMath>
        <m:r>
          <m:t>T</m:t>
        </m:r>
        <m:r>
          <m:t>F</m:t>
        </m:r>
        <m:r>
          <m:t>P</m:t>
        </m:r>
        <m:sSub>
          <m:e>
            <m:r>
              <m:t>R</m:t>
            </m:r>
          </m:e>
          <m:sub>
            <m:r>
              <m:t>r</m:t>
            </m:r>
            <m:r>
              <m:t>s</m:t>
            </m:r>
          </m:sub>
        </m:sSub>
      </m:oMath>
      <w:r>
        <w:rPr>
          <w:rFonts w:ascii="宋体" w:hAnsi="宋体" w:eastAsia="宋体"/>
          <w:sz w:val="24"/>
        </w:rPr>
        <w:t xml:space="preserve"> 的离散程度直接度量了要素错配的严重程度。这为第6章以边际收益产品离散度测度错配提供了理论依据。为集中刻画制度性分割，本章将 </w:t>
      </w:r>
      <m:oMath>
        <m:sSubSup>
          <m:e>
            <m:r>
              <m:t>τ</m:t>
            </m:r>
          </m:e>
          <m:sub>
            <m:r>
              <m:t>r</m:t>
            </m:r>
            <m:r>
              <m:t>s</m:t>
            </m:r>
          </m:sub>
          <m:sup>
            <m:r>
              <m:t>K</m:t>
            </m:r>
          </m:sup>
        </m:sSubSup>
        <m:r>
          <m:rPr>
            <m:sty m:val="p"/>
          </m:rPr>
          <m:t>,</m:t>
        </m:r>
        <m:sSubSup>
          <m:e>
            <m:r>
              <m:t>τ</m:t>
            </m:r>
          </m:e>
          <m:sub>
            <m:r>
              <m:t>r</m:t>
            </m:r>
            <m:r>
              <m:t>s</m:t>
            </m:r>
          </m:sub>
          <m:sup>
            <m:r>
              <m:t>L</m:t>
            </m:r>
          </m:sup>
        </m:sSubSup>
      </m:oMath>
      <w:r>
        <w:rPr>
          <w:rFonts w:ascii="宋体" w:hAnsi="宋体" w:eastAsia="宋体"/>
          <w:sz w:val="24"/>
        </w:rPr>
        <w:t xml:space="preserve"> 视为由地区制度环境决定的随机楔子，并用其对数的方差 </w:t>
      </w:r>
      <m:oMath>
        <m:r>
          <m:rPr>
            <m:sty m:val="p"/>
          </m:rPr>
          <m:t>V</m:t>
        </m:r>
        <m:r>
          <m:rPr>
            <m:sty m:val="p"/>
          </m:rPr>
          <m:t>a</m:t>
        </m:r>
        <m:r>
          <m:rPr>
            <m:sty m:val="p"/>
          </m:rPr>
          <m:t>r</m:t>
        </m:r>
        <m:d>
          <m:dPr>
            <m:begChr m:val="("/>
            <m:endChr m:val=")"/>
            <m:sepChr m:val=""/>
            <m:grow/>
          </m:dPr>
          <m:e>
            <m:r>
              <m:rPr>
                <m:sty m:val="p"/>
              </m:rPr>
              <m:t>ln</m:t>
            </m:r>
            <m:sSub>
              <m:e>
                <m:r>
                  <m:t>τ</m:t>
                </m:r>
              </m:e>
              <m:sub>
                <m:r>
                  <m:t>r</m:t>
                </m:r>
                <m:r>
                  <m:t>s</m:t>
                </m:r>
              </m:sub>
            </m:sSub>
          </m:e>
        </m:d>
      </m:oMath>
      <w:r>
        <w:rPr>
          <w:rFonts w:ascii="宋体" w:hAnsi="宋体" w:eastAsia="宋体"/>
          <w:sz w:val="24"/>
        </w:rPr>
        <w:t xml:space="preserve"> 概括错配的总体程度，称之为"制度性配置楔子的离散度"。</w:t>
      </w:r>
    </w:p>
    <w:p>
      <w:pPr>
        <w:spacing w:line="360" w:lineRule="auto" w:after="0"/>
        <w:ind w:firstLineChars="200" w:firstLine="480"/>
        <w:jc w:val="both"/>
      </w:pPr>
      <w:r>
        <w:rPr>
          <w:rFonts w:ascii="宋体" w:hAnsi="宋体" w:eastAsia="宋体"/>
          <w:sz w:val="24"/>
        </w:rPr>
        <w:t xml:space="preserve">这一刻画方式的优势在于将不可观测的制度性壁垒与可观测的经济变量联系起来。由式(4-4)—(4-6)，楔子的相对大小可由要素边际收益产品的相对大小反推：若某地区—部门的资本边际收益产品显著高于均值，意味着该单元资本配置不足、面临较高的资本楔子，资本"本应流入而未能流入"。因此，尽管制度性楔子本身难以直接测量，但其造成的边际收益产品离散度却可以通过企业或地区层面的产出、资本、劳动数据加以估计，这为第6章基于Hsieh和Klenow，2009方法测度中国省际要素错配提供了可操作的桥梁。换言之，本书的理论楔子 </w:t>
      </w:r>
      <m:oMath>
        <m:sSup>
          <m:e>
            <m:r>
              <m:t>τ</m:t>
            </m:r>
          </m:e>
          <m:sup>
            <m:r>
              <m:t>F</m:t>
            </m:r>
          </m:sup>
        </m:sSup>
      </m:oMath>
      <w:r>
        <w:rPr>
          <w:rFonts w:ascii="宋体" w:hAnsi="宋体" w:eastAsia="宋体"/>
          <w:sz w:val="24"/>
        </w:rPr>
        <w:t xml:space="preserve"> 与实证中的错配指数是同一枚硬币的两面：前者是制度性分割的"因"，后者是配置扭曲的"果"，统一大市场建设正是通过作用于"因"来改善"果"。</w:t>
      </w:r>
    </w:p>
    <w:p>
      <w:pPr>
        <w:keepNext/>
        <w:spacing w:before="160" w:after="120" w:line="360" w:lineRule="auto"/>
      </w:pPr>
      <w:r>
        <w:rPr>
          <w:rFonts w:ascii="黑体" w:hAnsi="黑体" w:eastAsia="黑体"/>
          <w:sz w:val="28"/>
        </w:rPr>
        <w:t>4.3  空间一般均衡与总量全要素生产率</w:t>
      </w:r>
    </w:p>
    <w:p>
      <w:pPr>
        <w:spacing w:line="360" w:lineRule="auto" w:after="0"/>
        <w:ind w:firstLineChars="200" w:firstLine="480"/>
        <w:jc w:val="both"/>
      </w:pPr>
      <w:r>
        <w:rPr>
          <w:rFonts w:ascii="宋体" w:hAnsi="宋体" w:eastAsia="宋体"/>
          <w:sz w:val="24"/>
        </w:rPr>
        <w:t xml:space="preserve">给定全国要素总量 </w:t>
      </w:r>
      <m:oMath>
        <m:r>
          <m:t>K</m:t>
        </m:r>
        <m:r>
          <m:rPr>
            <m:sty m:val="p"/>
          </m:rPr>
          <m:t>=</m:t>
        </m:r>
        <m:nary>
          <m:naryPr>
            <m:chr m:val="∑"/>
            <m:limLoc m:val="undOvr"/>
            <m:subHide m:val="off"/>
            <m:supHide m:val="on"/>
          </m:naryPr>
          <m:sub>
            <m:r>
              <m:t>r</m:t>
            </m:r>
            <m:r>
              <m:t>s</m:t>
            </m:r>
          </m:sub>
          <m:sup>
            <m:r>
              <m:t>​</m:t>
            </m:r>
          </m:sup>
          <m:e>
            <m:sSub>
              <m:e>
                <m:r>
                  <m:t>K</m:t>
                </m:r>
              </m:e>
              <m:sub>
                <m:r>
                  <m:t>r</m:t>
                </m:r>
                <m:r>
                  <m:t>s</m:t>
                </m:r>
              </m:sub>
            </m:sSub>
          </m:e>
        </m:nary>
      </m:oMath>
      <w:r>
        <w:rPr>
          <w:rFonts w:ascii="宋体" w:hAnsi="宋体" w:eastAsia="宋体"/>
          <w:sz w:val="24"/>
        </w:rPr>
        <w:t>、</w:t>
      </w:r>
      <m:oMath>
        <m:r>
          <m:t>L</m:t>
        </m:r>
        <m:r>
          <m:rPr>
            <m:sty m:val="p"/>
          </m:rPr>
          <m:t>=</m:t>
        </m:r>
        <m:nary>
          <m:naryPr>
            <m:chr m:val="∑"/>
            <m:limLoc m:val="undOvr"/>
            <m:subHide m:val="off"/>
            <m:supHide m:val="on"/>
          </m:naryPr>
          <m:sub>
            <m:r>
              <m:t>r</m:t>
            </m:r>
            <m:r>
              <m:t>s</m:t>
            </m:r>
          </m:sub>
          <m:sup>
            <m:r>
              <m:t>​</m:t>
            </m:r>
          </m:sup>
          <m:e>
            <m:sSub>
              <m:e>
                <m:r>
                  <m:t>L</m:t>
                </m:r>
              </m:e>
              <m:sub>
                <m:r>
                  <m:t>r</m:t>
                </m:r>
                <m:r>
                  <m:t>s</m:t>
                </m:r>
              </m:sub>
            </m:sSub>
          </m:e>
        </m:nary>
      </m:oMath>
      <w:r>
        <w:rPr>
          <w:rFonts w:ascii="宋体" w:hAnsi="宋体" w:eastAsia="宋体"/>
          <w:sz w:val="24"/>
        </w:rPr>
        <w:t xml:space="preserve">，市场出清要求要素在扭曲价格下被完全配置，商品市场在冰山成本下实现供求均衡。其结构如图4.2所示。求解一般均衡可将总量产出表示为 </w:t>
      </w:r>
      <m:oMath>
        <m:r>
          <m:t>Y</m:t>
        </m:r>
        <m:r>
          <m:rPr>
            <m:sty m:val="p"/>
          </m:rPr>
          <m:t>=</m:t>
        </m:r>
        <m:r>
          <m:t>A</m:t>
        </m:r>
        <m:r>
          <m:t> </m:t>
        </m:r>
        <m:sSup>
          <m:e>
            <m:r>
              <m:t>K</m:t>
            </m:r>
          </m:e>
          <m:sup>
            <m:r>
              <m:t>α</m:t>
            </m:r>
          </m:sup>
        </m:sSup>
        <m:sSup>
          <m:e>
            <m:r>
              <m:t>L</m:t>
            </m:r>
          </m:e>
          <m:sup>
            <m:r>
              <m:t>1</m:t>
            </m:r>
            <m:r>
              <m:rPr>
                <m:sty m:val="p"/>
              </m:rPr>
              <m:t>−</m:t>
            </m:r>
            <m:r>
              <m:t>α</m:t>
            </m:r>
          </m:sup>
        </m:sSup>
      </m:oMath>
      <w:r>
        <w:rPr>
          <w:rFonts w:ascii="宋体" w:hAnsi="宋体" w:eastAsia="宋体"/>
          <w:sz w:val="24"/>
        </w:rPr>
        <w:t xml:space="preserve">，其中 </w:t>
      </w:r>
      <m:oMath>
        <m:r>
          <m:t>A</m:t>
        </m:r>
      </m:oMath>
      <w:r>
        <w:rPr>
          <w:rFonts w:ascii="宋体" w:hAnsi="宋体" w:eastAsia="宋体"/>
          <w:sz w:val="24"/>
        </w:rPr>
        <w:t xml:space="preserve"> 为总量全要素生产率。沿用Hsieh和Klenow，2009的加总结果，</w:t>
      </w:r>
      <m:oMath>
        <m:r>
          <m:t>A</m:t>
        </m:r>
      </m:oMath>
      <w:r>
        <w:rPr>
          <w:rFonts w:ascii="宋体" w:hAnsi="宋体" w:eastAsia="宋体"/>
          <w:sz w:val="24"/>
        </w:rPr>
        <w:t xml:space="preserve"> 可写为各地区—部门基础生产率经要素扭曲加权的 CES 加总：</w:t>
      </w:r>
    </w:p>
    <w:p>
      <w:pPr>
        <w:spacing w:before="120" w:after="40"/>
        <w:jc w:val="center"/>
      </w:pPr>
      <w:r>
        <w:drawing>
          <wp:inline xmlns:a="http://schemas.openxmlformats.org/drawingml/2006/main" xmlns:pic="http://schemas.openxmlformats.org/drawingml/2006/picture">
            <wp:extent cx="4500000" cy="1326080"/>
            <wp:docPr id="9" name="Picture 9"/>
            <wp:cNvGraphicFramePr>
              <a:graphicFrameLocks noChangeAspect="1"/>
            </wp:cNvGraphicFramePr>
            <a:graphic>
              <a:graphicData uri="http://schemas.openxmlformats.org/drawingml/2006/picture">
                <pic:pic>
                  <pic:nvPicPr>
                    <pic:cNvPr id="0" name="fig4_2.png"/>
                    <pic:cNvPicPr/>
                  </pic:nvPicPr>
                  <pic:blipFill>
                    <a:blip r:embed="rId17"/>
                    <a:stretch>
                      <a:fillRect/>
                    </a:stretch>
                  </pic:blipFill>
                  <pic:spPr>
                    <a:xfrm>
                      <a:off x="0" y="0"/>
                      <a:ext cx="4500000" cy="1326080"/>
                    </a:xfrm>
                    <a:prstGeom prst="rect"/>
                  </pic:spPr>
                </pic:pic>
              </a:graphicData>
            </a:graphic>
          </wp:inline>
        </w:drawing>
      </w:r>
    </w:p>
    <w:p>
      <w:pPr>
        <w:keepNext w:val="0"/>
        <w:spacing w:after="200"/>
        <w:jc w:val="center"/>
      </w:pPr>
      <w:r>
        <w:rPr>
          <w:rFonts w:ascii="黑体" w:hAnsi="黑体" w:eastAsia="黑体"/>
          <w:sz w:val="21"/>
        </w:rPr>
        <w:t>图4.2  多地区—多部门空间一般均衡模型的逻辑结构</w:t>
      </w:r>
    </w:p>
    <w:p>
      <w:pPr>
        <w:tabs>
          <w:tab w:pos="4252" w:val="center"/>
          <w:tab w:pos="8504" w:val="right"/>
        </w:tabs>
        <w:spacing w:line="360" w:lineRule="auto" w:before="80" w:after="80"/>
      </w:pPr>
      <w:r>
        <w:tab/>
      </w:r>
      <m:oMath>
        <m:r>
          <m:t>A</m:t>
        </m:r>
        <m:r>
          <m:rPr>
            <m:sty m:val="p"/>
          </m:rPr>
          <m:t>=</m:t>
        </m:r>
        <m:sSup>
          <m:e>
            <m:d>
              <m:dPr>
                <m:begChr m:val="["/>
                <m:endChr m:val="]"/>
                <m:sepChr m:val=""/>
                <m:grow/>
              </m:dPr>
              <m:e>
                <m:nary>
                  <m:naryPr>
                    <m:chr m:val="∑"/>
                    <m:limLoc m:val="undOvr"/>
                    <m:subHide m:val="off"/>
                    <m:supHide m:val="off"/>
                  </m:naryPr>
                  <m:sub>
                    <m:r>
                      <m:t>r</m:t>
                    </m:r>
                    <m:r>
                      <m:rPr>
                        <m:sty m:val="p"/>
                      </m:rPr>
                      <m:t>=</m:t>
                    </m:r>
                    <m:r>
                      <m:t>1</m:t>
                    </m:r>
                  </m:sub>
                  <m:sup>
                    <m:r>
                      <m:t>R</m:t>
                    </m:r>
                  </m:sup>
                  <m:e>
                    <m:nary>
                      <m:naryPr>
                        <m:chr m:val="∑"/>
                        <m:limLoc m:val="undOvr"/>
                        <m:subHide m:val="off"/>
                        <m:supHide m:val="off"/>
                      </m:naryPr>
                      <m:sub>
                        <m:r>
                          <m:t>s</m:t>
                        </m:r>
                        <m:r>
                          <m:rPr>
                            <m:sty m:val="p"/>
                          </m:rPr>
                          <m:t>=</m:t>
                        </m:r>
                        <m:r>
                          <m:t>1</m:t>
                        </m:r>
                      </m:sub>
                      <m:sup>
                        <m:r>
                          <m:t>S</m:t>
                        </m:r>
                      </m:sup>
                      <m:e>
                        <m:sSup>
                          <m:e>
                            <m:d>
                              <m:dPr>
                                <m:begChr m:val="("/>
                                <m:endChr m:val=")"/>
                                <m:sepChr m:val=""/>
                                <m:grow/>
                              </m:dPr>
                              <m:e>
                                <m:sSub>
                                  <m:e>
                                    <m:r>
                                      <m:t>A</m:t>
                                    </m:r>
                                  </m:e>
                                  <m:sub>
                                    <m:r>
                                      <m:t>r</m:t>
                                    </m:r>
                                    <m:r>
                                      <m:t>s</m:t>
                                    </m:r>
                                  </m:sub>
                                </m:sSub>
                                <m:r>
                                  <m:rPr>
                                    <m:sty m:val="p"/>
                                  </m:rPr>
                                  <m:t>⋅</m:t>
                                </m:r>
                                <m:f>
                                  <m:fPr>
                                    <m:type m:val="bar"/>
                                  </m:fPr>
                                  <m:num>
                                    <m:bar>
                                      <m:barPr>
                                        <m:pos m:val="top"/>
                                      </m:barPr>
                                      <m:e>
                                        <m:r>
                                          <m:t>T</m:t>
                                        </m:r>
                                        <m:r>
                                          <m:t>F</m:t>
                                        </m:r>
                                        <m:r>
                                          <m:t>P</m:t>
                                        </m:r>
                                        <m:r>
                                          <m:t>R</m:t>
                                        </m:r>
                                      </m:e>
                                    </m:bar>
                                  </m:num>
                                  <m:den>
                                    <m:r>
                                      <m:t>T</m:t>
                                    </m:r>
                                    <m:r>
                                      <m:t>F</m:t>
                                    </m:r>
                                    <m:r>
                                      <m:t>P</m:t>
                                    </m:r>
                                    <m:sSub>
                                      <m:e>
                                        <m:r>
                                          <m:t>R</m:t>
                                        </m:r>
                                      </m:e>
                                      <m:sub>
                                        <m:r>
                                          <m:t>r</m:t>
                                        </m:r>
                                        <m:r>
                                          <m:t>s</m:t>
                                        </m:r>
                                      </m:sub>
                                    </m:sSub>
                                  </m:den>
                                </m:f>
                                <m:r>
                                  <m:rPr>
                                    <m:sty m:val="p"/>
                                  </m:rPr>
                                  <m:t>⋅</m:t>
                                </m:r>
                                <m:f>
                                  <m:fPr>
                                    <m:type m:val="bar"/>
                                  </m:fPr>
                                  <m:num>
                                    <m:r>
                                      <m:t>1</m:t>
                                    </m:r>
                                  </m:num>
                                  <m:den>
                                    <m:sSubSup>
                                      <m:e>
                                        <m:r>
                                          <m:t>τ</m:t>
                                        </m:r>
                                      </m:e>
                                      <m:sub>
                                        <m:r>
                                          <m:t>r</m:t>
                                        </m:r>
                                      </m:sub>
                                      <m:sup>
                                        <m:r>
                                          <m:t>G</m:t>
                                        </m:r>
                                      </m:sup>
                                    </m:sSubSup>
                                  </m:den>
                                </m:f>
                              </m:e>
                            </m:d>
                          </m:e>
                          <m:sup>
                            <m:r>
                              <m:t>σ</m:t>
                            </m:r>
                            <m:r>
                              <m:rPr>
                                <m:sty m:val="p"/>
                              </m:rPr>
                              <m:t>−</m:t>
                            </m:r>
                            <m:r>
                              <m:t>1</m:t>
                            </m:r>
                          </m:sup>
                        </m:sSup>
                      </m:e>
                    </m:nary>
                  </m:e>
                </m:nary>
              </m:e>
            </m:d>
          </m:e>
          <m:sup>
            <m:f>
              <m:fPr>
                <m:type m:val="bar"/>
              </m:fPr>
              <m:num>
                <m:r>
                  <m:t>1</m:t>
                </m:r>
              </m:num>
              <m:den>
                <m:r>
                  <m:t>σ</m:t>
                </m:r>
                <m:r>
                  <m:rPr>
                    <m:sty m:val="p"/>
                  </m:rPr>
                  <m:t>−</m:t>
                </m:r>
                <m:r>
                  <m:t>1</m:t>
                </m:r>
              </m:den>
            </m:f>
          </m:sup>
        </m:sSup>
      </m:oMath>
      <w:r>
        <w:tab/>
      </w:r>
      <w:r>
        <w:rPr>
          <w:rFonts w:ascii="Times New Roman" w:hAnsi="Times New Roman" w:eastAsia="宋体"/>
          <w:sz w:val="24"/>
        </w:rPr>
        <w:t>(4-7)</w:t>
      </w:r>
    </w:p>
    <w:p>
      <w:pPr>
        <w:spacing w:line="360" w:lineRule="auto" w:after="0"/>
        <w:ind w:firstLineChars="200" w:firstLine="480"/>
        <w:jc w:val="both"/>
      </w:pPr>
      <w:r>
        <w:rPr>
          <w:rFonts w:ascii="宋体" w:hAnsi="宋体" w:eastAsia="宋体"/>
          <w:sz w:val="24"/>
        </w:rPr>
        <w:t xml:space="preserve">为使机制透明，考虑单一部门、对称权重的简化情形，并令冰山成本以 </w:t>
      </w:r>
      <m:oMath>
        <m:sSubSup>
          <m:e>
            <m:r>
              <m:t>τ</m:t>
            </m:r>
          </m:e>
          <m:sub>
            <m:r>
              <m:t>r</m:t>
            </m:r>
          </m:sub>
          <m:sup>
            <m:r>
              <m:t>G</m:t>
            </m:r>
          </m:sup>
        </m:sSubSup>
      </m:oMath>
      <w:r>
        <w:rPr>
          <w:rFonts w:ascii="宋体" w:hAnsi="宋体" w:eastAsia="宋体"/>
          <w:sz w:val="24"/>
        </w:rPr>
        <w:t xml:space="preserve"> 的对数进入。此时总量全要素生产率可近似表示为基础生产率的加总项减去两类摩擦造成的效率损失：</w:t>
      </w:r>
    </w:p>
    <w:p>
      <w:pPr>
        <w:tabs>
          <w:tab w:pos="4252" w:val="center"/>
          <w:tab w:pos="8504" w:val="right"/>
        </w:tabs>
        <w:spacing w:line="360" w:lineRule="auto" w:before="80" w:after="80"/>
      </w:pPr>
      <w:r>
        <w:tab/>
      </w:r>
      <m:oMath>
        <m:r>
          <m:rPr>
            <m:sty m:val="p"/>
          </m:rPr>
          <m:t>ln</m:t>
        </m:r>
        <m:r>
          <m:t>A</m:t>
        </m:r>
        <m:r>
          <m:rPr>
            <m:sty m:val="p"/>
          </m:rPr>
          <m:t>=</m:t>
        </m:r>
        <m:limLow>
          <m:e>
            <m:limLow>
              <m:e>
                <m:r>
                  <m:rPr>
                    <m:sty m:val="p"/>
                  </m:rPr>
                  <m:t>ln</m:t>
                </m:r>
                <m:acc>
                  <m:accPr>
                    <m:chr m:val="‾"/>
                  </m:accPr>
                  <m:e>
                    <m:r>
                      <m:t>A</m:t>
                    </m:r>
                  </m:e>
                </m:acc>
              </m:e>
              <m:lim>
                <m:r>
                  <m:rPr>
                    <m:sty m:val="p"/>
                  </m:rPr>
                  <m:t>⏟</m:t>
                </m:r>
              </m:lim>
            </m:limLow>
          </m:e>
          <m:lim>
            <m:r>
              <m:rPr>
                <m:nor/>
                <m:sty m:val="p"/>
              </m:rPr>
              <m:t>基础生产率</m:t>
            </m:r>
          </m:lim>
        </m:limLow>
        <m:r>
          <m:rPr>
            <m:sty m:val="p"/>
          </m:rPr>
          <m:t>−</m:t>
        </m:r>
        <m:limLow>
          <m:e>
            <m:limLow>
              <m:e>
                <m:f>
                  <m:fPr>
                    <m:type m:val="bar"/>
                  </m:fPr>
                  <m:num>
                    <m:r>
                      <m:t>1</m:t>
                    </m:r>
                  </m:num>
                  <m:den>
                    <m:r>
                      <m:t>2</m:t>
                    </m:r>
                  </m:den>
                </m:f>
                <m:d>
                  <m:dPr>
                    <m:begChr m:val="("/>
                    <m:endChr m:val=")"/>
                    <m:sepChr m:val=""/>
                    <m:grow/>
                  </m:dPr>
                  <m:e>
                    <m:r>
                      <m:t>σ</m:t>
                    </m:r>
                    <m:r>
                      <m:rPr>
                        <m:sty m:val="p"/>
                      </m:rPr>
                      <m:t>−</m:t>
                    </m:r>
                    <m:r>
                      <m:t>1</m:t>
                    </m:r>
                  </m:e>
                </m:d>
                <m:r>
                  <m:t> </m:t>
                </m:r>
                <m:r>
                  <m:rPr>
                    <m:sty m:val="p"/>
                  </m:rPr>
                  <m:t>V</m:t>
                </m:r>
                <m:r>
                  <m:rPr>
                    <m:sty m:val="p"/>
                  </m:rPr>
                  <m:t>a</m:t>
                </m:r>
                <m:r>
                  <m:rPr>
                    <m:sty m:val="p"/>
                  </m:rPr>
                  <m:t>r</m:t>
                </m:r>
                <m:d>
                  <m:dPr>
                    <m:begChr m:val="("/>
                    <m:endChr m:val=")"/>
                    <m:sepChr m:val=""/>
                    <m:grow/>
                  </m:dPr>
                  <m:e>
                    <m:r>
                      <m:rPr>
                        <m:sty m:val="p"/>
                      </m:rPr>
                      <m:t>ln</m:t>
                    </m:r>
                    <m:sSubSup>
                      <m:e>
                        <m:r>
                          <m:t>τ</m:t>
                        </m:r>
                      </m:e>
                      <m:sub>
                        <m:r>
                          <m:t>r</m:t>
                        </m:r>
                        <m:r>
                          <m:t>s</m:t>
                        </m:r>
                      </m:sub>
                      <m:sup>
                        <m:r>
                          <m:t>F</m:t>
                        </m:r>
                      </m:sup>
                    </m:sSubSup>
                  </m:e>
                </m:d>
              </m:e>
              <m:lim>
                <m:r>
                  <m:rPr>
                    <m:sty m:val="p"/>
                  </m:rPr>
                  <m:t>⏟</m:t>
                </m:r>
              </m:lim>
            </m:limLow>
          </m:e>
          <m:lim>
            <m:r>
              <m:rPr>
                <m:nor/>
                <m:sty m:val="p"/>
              </m:rPr>
              <m:t>要素市场分割损失</m:t>
            </m:r>
          </m:lim>
        </m:limLow>
        <m:r>
          <m:rPr>
            <m:sty m:val="p"/>
          </m:rPr>
          <m:t>−</m:t>
        </m:r>
        <m:limLow>
          <m:e>
            <m:limLow>
              <m:e>
                <m:r>
                  <m:t>Φ</m:t>
                </m:r>
                <m:d>
                  <m:dPr>
                    <m:begChr m:val="("/>
                    <m:endChr m:val=")"/>
                    <m:sepChr m:val=""/>
                    <m:grow/>
                  </m:dPr>
                  <m:e>
                    <m:r>
                      <m:t>σ</m:t>
                    </m:r>
                  </m:e>
                </m:d>
                <m:r>
                  <m:t> </m:t>
                </m:r>
                <m:r>
                  <m:rPr>
                    <m:sty m:val="p"/>
                  </m:rPr>
                  <m:t>V</m:t>
                </m:r>
                <m:r>
                  <m:rPr>
                    <m:sty m:val="p"/>
                  </m:rPr>
                  <m:t>a</m:t>
                </m:r>
                <m:r>
                  <m:rPr>
                    <m:sty m:val="p"/>
                  </m:rPr>
                  <m:t>r</m:t>
                </m:r>
                <m:d>
                  <m:dPr>
                    <m:begChr m:val="("/>
                    <m:endChr m:val=")"/>
                    <m:sepChr m:val=""/>
                    <m:grow/>
                  </m:dPr>
                  <m:e>
                    <m:r>
                      <m:rPr>
                        <m:sty m:val="p"/>
                      </m:rPr>
                      <m:t>ln</m:t>
                    </m:r>
                    <m:sSubSup>
                      <m:e>
                        <m:r>
                          <m:t>τ</m:t>
                        </m:r>
                      </m:e>
                      <m:sub>
                        <m:r>
                          <m:t>r</m:t>
                        </m:r>
                      </m:sub>
                      <m:sup>
                        <m:r>
                          <m:t>G</m:t>
                        </m:r>
                      </m:sup>
                    </m:sSubSup>
                  </m:e>
                </m:d>
              </m:e>
              <m:lim>
                <m:r>
                  <m:rPr>
                    <m:sty m:val="p"/>
                  </m:rPr>
                  <m:t>⏟</m:t>
                </m:r>
              </m:lim>
            </m:limLow>
          </m:e>
          <m:lim>
            <m:r>
              <m:rPr>
                <m:nor/>
                <m:sty m:val="p"/>
              </m:rPr>
              <m:t>商品市场分割损失</m:t>
            </m:r>
          </m:lim>
        </m:limLow>
      </m:oMath>
      <w:r>
        <w:tab/>
      </w:r>
      <w:r>
        <w:rPr>
          <w:rFonts w:ascii="Times New Roman" w:hAnsi="Times New Roman" w:eastAsia="宋体"/>
          <w:sz w:val="24"/>
        </w:rPr>
        <w:t>(4-8)</w:t>
      </w:r>
    </w:p>
    <w:p>
      <w:pPr>
        <w:spacing w:line="360" w:lineRule="auto" w:after="0"/>
        <w:jc w:val="both"/>
      </w:pPr>
      <w:r>
        <w:rPr>
          <w:rFonts w:ascii="宋体" w:hAnsi="宋体" w:eastAsia="宋体"/>
          <w:sz w:val="24"/>
        </w:rPr>
        <w:t>其中，</w:t>
      </w:r>
      <m:oMath>
        <m:r>
          <m:rPr>
            <m:sty m:val="p"/>
          </m:rPr>
          <m:t>ln</m:t>
        </m:r>
        <m:acc>
          <m:accPr>
            <m:chr m:val="‾"/>
          </m:accPr>
          <m:e>
            <m:r>
              <m:t>A</m:t>
            </m:r>
          </m:e>
        </m:acc>
      </m:oMath>
      <w:r>
        <w:rPr>
          <w:rFonts w:ascii="宋体" w:hAnsi="宋体" w:eastAsia="宋体"/>
          <w:sz w:val="24"/>
        </w:rPr>
        <w:t xml:space="preserve"> 为无摩擦时的前沿生产率；</w:t>
      </w:r>
      <m:oMath>
        <m:sSubSup>
          <m:e>
            <m:r>
              <m:t>τ</m:t>
            </m:r>
          </m:e>
          <m:sub>
            <m:r>
              <m:t>r</m:t>
            </m:r>
            <m:r>
              <m:t>s</m:t>
            </m:r>
          </m:sub>
          <m:sup>
            <m:r>
              <m:t>F</m:t>
            </m:r>
          </m:sup>
        </m:sSubSup>
        <m:r>
          <m:rPr>
            <m:sty m:val="p"/>
          </m:rPr>
          <m:t>≡</m:t>
        </m:r>
        <m:sSup>
          <m:e>
            <m:d>
              <m:dPr>
                <m:begChr m:val="("/>
                <m:endChr m:val=")"/>
                <m:sepChr m:val=""/>
                <m:grow/>
              </m:dPr>
              <m:e>
                <m:r>
                  <m:t>1</m:t>
                </m:r>
                <m:r>
                  <m:rPr>
                    <m:sty m:val="p"/>
                  </m:rPr>
                  <m:t>+</m:t>
                </m:r>
                <m:sSubSup>
                  <m:e>
                    <m:r>
                      <m:t>τ</m:t>
                    </m:r>
                  </m:e>
                  <m:sub>
                    <m:r>
                      <m:t>r</m:t>
                    </m:r>
                    <m:r>
                      <m:t>s</m:t>
                    </m:r>
                  </m:sub>
                  <m:sup>
                    <m:r>
                      <m:t>K</m:t>
                    </m:r>
                  </m:sup>
                </m:sSubSup>
              </m:e>
            </m:d>
          </m:e>
          <m:sup>
            <m:r>
              <m:t>α</m:t>
            </m:r>
          </m:sup>
        </m:sSup>
        <m:sSup>
          <m:e>
            <m:d>
              <m:dPr>
                <m:begChr m:val="("/>
                <m:endChr m:val=")"/>
                <m:sepChr m:val=""/>
                <m:grow/>
              </m:dPr>
              <m:e>
                <m:r>
                  <m:t>1</m:t>
                </m:r>
                <m:r>
                  <m:rPr>
                    <m:sty m:val="p"/>
                  </m:rPr>
                  <m:t>+</m:t>
                </m:r>
                <m:sSubSup>
                  <m:e>
                    <m:r>
                      <m:t>τ</m:t>
                    </m:r>
                  </m:e>
                  <m:sub>
                    <m:r>
                      <m:t>r</m:t>
                    </m:r>
                    <m:r>
                      <m:t>s</m:t>
                    </m:r>
                  </m:sub>
                  <m:sup>
                    <m:r>
                      <m:t>L</m:t>
                    </m:r>
                  </m:sup>
                </m:sSubSup>
              </m:e>
            </m:d>
          </m:e>
          <m:sup>
            <m:r>
              <m:t>1</m:t>
            </m:r>
            <m:r>
              <m:rPr>
                <m:sty m:val="p"/>
              </m:rPr>
              <m:t>−</m:t>
            </m:r>
            <m:r>
              <m:t>α</m:t>
            </m:r>
          </m:sup>
        </m:sSup>
      </m:oMath>
      <w:r>
        <w:rPr>
          <w:rFonts w:ascii="宋体" w:hAnsi="宋体" w:eastAsia="宋体"/>
          <w:sz w:val="24"/>
        </w:rPr>
        <w:t xml:space="preserve"> 为综合要素楔子；</w:t>
      </w:r>
      <m:oMath>
        <m:r>
          <m:t>Φ</m:t>
        </m:r>
        <m:d>
          <m:dPr>
            <m:begChr m:val="("/>
            <m:endChr m:val=")"/>
            <m:sepChr m:val=""/>
            <m:grow/>
          </m:dPr>
          <m:e>
            <m:r>
              <m:t>σ</m:t>
            </m:r>
          </m:e>
        </m:d>
        <m:r>
          <m:rPr>
            <m:sty m:val="p"/>
          </m:rPr>
          <m:t>&gt;</m:t>
        </m:r>
        <m:r>
          <m:t>0</m:t>
        </m:r>
      </m:oMath>
      <w:r>
        <w:rPr>
          <w:rFonts w:ascii="宋体" w:hAnsi="宋体" w:eastAsia="宋体"/>
          <w:sz w:val="24"/>
        </w:rPr>
        <w:t xml:space="preserve"> 为随替代弹性递增的系数；</w:t>
      </w:r>
      <m:oMath>
        <m:r>
          <m:rPr>
            <m:sty m:val="p"/>
          </m:rPr>
          <m:t>V</m:t>
        </m:r>
        <m:r>
          <m:rPr>
            <m:sty m:val="p"/>
          </m:rPr>
          <m:t>a</m:t>
        </m:r>
        <m:r>
          <m:rPr>
            <m:sty m:val="p"/>
          </m:rPr>
          <m:t>r</m:t>
        </m:r>
        <m:d>
          <m:dPr>
            <m:begChr m:val="("/>
            <m:endChr m:val=")"/>
            <m:sepChr m:val=""/>
            <m:grow/>
          </m:dPr>
          <m:e>
            <m:r>
              <m:rPr>
                <m:sty m:val="p"/>
              </m:rPr>
              <m:t>⋅</m:t>
            </m:r>
          </m:e>
        </m:d>
      </m:oMath>
      <w:r>
        <w:rPr>
          <w:rFonts w:ascii="宋体" w:hAnsi="宋体" w:eastAsia="宋体"/>
          <w:sz w:val="24"/>
        </w:rPr>
        <w:t xml:space="preserve"> 为跨地区—部门方差。</w:t>
      </w:r>
    </w:p>
    <w:p>
      <w:pPr>
        <w:spacing w:line="360" w:lineRule="auto" w:after="0"/>
        <w:ind w:firstLineChars="200" w:firstLine="480"/>
        <w:jc w:val="both"/>
      </w:pPr>
      <w:r>
        <w:rPr>
          <w:rFonts w:ascii="宋体" w:hAnsi="宋体" w:eastAsia="宋体"/>
          <w:sz w:val="24"/>
        </w:rPr>
        <w:t>式(4-8)是本章的核心解析结果，它清晰地表明：总量全要素生产率等于前沿生产率减去要素市场分割与商品市场分割各自造成的效率损失，而两类损失均与相应壁垒的对数方差成正比。这一结果将抽象的"市场分割"转化为可度量、可比较的效率损失，构成理解统一大市场建设经济价值的理论枢纽。</w:t>
      </w:r>
    </w:p>
    <w:p>
      <w:pPr>
        <w:spacing w:line="360" w:lineRule="auto" w:after="0"/>
        <w:ind w:firstLineChars="200" w:firstLine="480"/>
        <w:jc w:val="both"/>
      </w:pPr>
      <w:r>
        <w:rPr>
          <w:rFonts w:ascii="宋体" w:hAnsi="宋体" w:eastAsia="宋体"/>
          <w:sz w:val="24"/>
        </w:rPr>
        <w:t>式(4-8)蕴含三层深刻含义。</w:t>
      </w:r>
      <w:r>
        <w:rPr>
          <w:rFonts w:ascii="宋体" w:hAnsi="宋体" w:eastAsia="宋体"/>
          <w:b/>
          <w:sz w:val="24"/>
        </w:rPr>
        <w:t>其一，损失取决于"离散度"而非"平均水平"。</w:t>
      </w:r>
      <w:r>
        <w:rPr>
          <w:rFonts w:ascii="宋体" w:hAnsi="宋体" w:eastAsia="宋体"/>
          <w:sz w:val="24"/>
        </w:rPr>
        <w:t xml:space="preserve"> 决定配置效率损失的是楔子的方差而非均值：若所有地区面临相同的要素价格扭曲，虽然会影响要素与产出的绝对水平，却不产生配置层面的错配；只有当扭曲在地区、部门间不均等时，才会出现要素"该去的地方去不了、不该留的地方留下来"的错配。这解释了为何统一"规则"、消除"差别化"壁垒，比单纯降低总体税费更能改善配置效率。</w:t>
      </w:r>
      <w:r>
        <w:rPr>
          <w:rFonts w:ascii="宋体" w:hAnsi="宋体" w:eastAsia="宋体"/>
          <w:b/>
          <w:sz w:val="24"/>
        </w:rPr>
        <w:t>其二，效率损失被替代弹性放大。</w:t>
      </w:r>
      <w:r>
        <w:rPr>
          <w:rFonts w:ascii="宋体" w:hAnsi="宋体" w:eastAsia="宋体"/>
          <w:sz w:val="24"/>
        </w:rPr>
        <w:t xml:space="preserve"> 系数 </w:t>
      </w:r>
      <m:oMath>
        <m:d>
          <m:dPr>
            <m:begChr m:val="("/>
            <m:endChr m:val=")"/>
            <m:sepChr m:val=""/>
            <m:grow/>
          </m:dPr>
          <m:e>
            <m:r>
              <m:t>σ</m:t>
            </m:r>
            <m:r>
              <m:rPr>
                <m:sty m:val="p"/>
              </m:rPr>
              <m:t>−</m:t>
            </m:r>
            <m:r>
              <m:t>1</m:t>
            </m:r>
          </m:e>
        </m:d>
      </m:oMath>
      <w:r>
        <w:rPr>
          <w:rFonts w:ascii="宋体" w:hAnsi="宋体" w:eastAsia="宋体"/>
          <w:sz w:val="24"/>
        </w:rPr>
        <w:t xml:space="preserve"> 与 </w:t>
      </w:r>
      <m:oMath>
        <m:r>
          <m:t>Φ</m:t>
        </m:r>
        <m:d>
          <m:dPr>
            <m:begChr m:val="("/>
            <m:endChr m:val=")"/>
            <m:sepChr m:val=""/>
            <m:grow/>
          </m:dPr>
          <m:e>
            <m:r>
              <m:t>σ</m:t>
            </m:r>
          </m:e>
        </m:d>
      </m:oMath>
      <w:r>
        <w:rPr>
          <w:rFonts w:ascii="宋体" w:hAnsi="宋体" w:eastAsia="宋体"/>
          <w:sz w:val="24"/>
        </w:rPr>
        <w:t xml:space="preserve"> 均随替代弹性 </w:t>
      </w:r>
      <m:oMath>
        <m:r>
          <m:t>σ</m:t>
        </m:r>
      </m:oMath>
      <w:r>
        <w:rPr>
          <w:rFonts w:ascii="宋体" w:hAnsi="宋体" w:eastAsia="宋体"/>
          <w:sz w:val="24"/>
        </w:rPr>
        <w:t xml:space="preserve"> 递增，意味着在产品同质性强、竞争激烈的行业，市场分割造成的错配损失更大——因为此时资源本应在高度可替代的生产者间自由流动，分割的扭曲代价也就更高。</w:t>
      </w:r>
      <w:r>
        <w:rPr>
          <w:rFonts w:ascii="宋体" w:hAnsi="宋体" w:eastAsia="宋体"/>
          <w:b/>
          <w:sz w:val="24"/>
        </w:rPr>
        <w:t>其三，两类分割的损失可加分解。</w:t>
      </w:r>
      <w:r>
        <w:rPr>
          <w:rFonts w:ascii="宋体" w:hAnsi="宋体" w:eastAsia="宋体"/>
          <w:sz w:val="24"/>
        </w:rPr>
        <w:t xml:space="preserve"> 式(4-8)将总损失分解为要素市场与商品市场两部分，为第5章分维度测度、第6章分要素错配核算提供了理论对应，也提示改革应识别损失的主要来源、对症下药。</w:t>
      </w:r>
    </w:p>
    <w:p>
      <w:pPr>
        <w:keepNext/>
        <w:spacing w:before="160" w:after="120" w:line="360" w:lineRule="auto"/>
      </w:pPr>
      <w:r>
        <w:rPr>
          <w:rFonts w:ascii="宋体" w:hAnsi="宋体" w:eastAsia="宋体"/>
          <w:b/>
          <w:sz w:val="24"/>
        </w:rPr>
        <w:t>命题1（分割—错配—效率命题）</w:t>
      </w:r>
    </w:p>
    <w:p>
      <w:pPr>
        <w:spacing w:line="360" w:lineRule="auto" w:after="0"/>
        <w:ind w:firstLineChars="200" w:firstLine="480"/>
        <w:jc w:val="both"/>
      </w:pPr>
      <w:r>
        <w:rPr>
          <w:rFonts w:ascii="宋体" w:hAnsi="宋体" w:eastAsia="宋体"/>
          <w:b/>
          <w:sz w:val="24"/>
        </w:rPr>
        <w:t>在其他条件不变时，总量全要素生产率是要素楔子离散度 $\mathrm{Var}(\ln\tau^{F})$ 与商品市场分割离散度 $\mathrm{Var}(\ln\tau^{G})$ 的减函数。</w:t>
      </w:r>
      <w:r>
        <w:rPr>
          <w:rFonts w:ascii="宋体" w:hAnsi="宋体" w:eastAsia="宋体"/>
          <w:sz w:val="24"/>
        </w:rPr>
        <w:t xml:space="preserve">统一大市场建设通过降低要素与商品的流动壁垒，压缩两类离散度，从而提升总量全要素生产率与要素配置效率。证明由式(4-8)对 </w:t>
      </w:r>
      <m:oMath>
        <m:r>
          <m:rPr>
            <m:sty m:val="p"/>
          </m:rPr>
          <m:t>V</m:t>
        </m:r>
        <m:r>
          <m:rPr>
            <m:sty m:val="p"/>
          </m:rPr>
          <m:t>a</m:t>
        </m:r>
        <m:r>
          <m:rPr>
            <m:sty m:val="p"/>
          </m:rPr>
          <m:t>r</m:t>
        </m:r>
        <m:d>
          <m:dPr>
            <m:begChr m:val="("/>
            <m:endChr m:val=")"/>
            <m:sepChr m:val=""/>
            <m:grow/>
          </m:dPr>
          <m:e>
            <m:r>
              <m:rPr>
                <m:sty m:val="p"/>
              </m:rPr>
              <m:t>ln</m:t>
            </m:r>
            <m:sSup>
              <m:e>
                <m:r>
                  <m:t>τ</m:t>
                </m:r>
              </m:e>
              <m:sup>
                <m:r>
                  <m:t>F</m:t>
                </m:r>
              </m:sup>
            </m:sSup>
          </m:e>
        </m:d>
      </m:oMath>
      <w:r>
        <w:rPr>
          <w:rFonts w:ascii="宋体" w:hAnsi="宋体" w:eastAsia="宋体"/>
          <w:sz w:val="24"/>
        </w:rPr>
        <w:t xml:space="preserve"> 与 </w:t>
      </w:r>
      <m:oMath>
        <m:r>
          <m:rPr>
            <m:sty m:val="p"/>
          </m:rPr>
          <m:t>V</m:t>
        </m:r>
        <m:r>
          <m:rPr>
            <m:sty m:val="p"/>
          </m:rPr>
          <m:t>a</m:t>
        </m:r>
        <m:r>
          <m:rPr>
            <m:sty m:val="p"/>
          </m:rPr>
          <m:t>r</m:t>
        </m:r>
        <m:d>
          <m:dPr>
            <m:begChr m:val="("/>
            <m:endChr m:val=")"/>
            <m:sepChr m:val=""/>
            <m:grow/>
          </m:dPr>
          <m:e>
            <m:r>
              <m:rPr>
                <m:sty m:val="p"/>
              </m:rPr>
              <m:t>ln</m:t>
            </m:r>
            <m:sSup>
              <m:e>
                <m:r>
                  <m:t>τ</m:t>
                </m:r>
              </m:e>
              <m:sup>
                <m:r>
                  <m:t>G</m:t>
                </m:r>
              </m:sup>
            </m:sSup>
          </m:e>
        </m:d>
      </m:oMath>
      <w:r>
        <w:rPr>
          <w:rFonts w:ascii="宋体" w:hAnsi="宋体" w:eastAsia="宋体"/>
          <w:sz w:val="24"/>
        </w:rPr>
        <w:t xml:space="preserve"> 求偏导即得，二者偏导均为负。命题1为本书的基准实证假说提供了理论支撑。</w:t>
      </w:r>
    </w:p>
    <w:p>
      <w:pPr>
        <w:keepNext/>
        <w:spacing w:before="160" w:after="120" w:line="360" w:lineRule="auto"/>
      </w:pPr>
      <w:r>
        <w:rPr>
          <w:rFonts w:ascii="黑体" w:hAnsi="黑体" w:eastAsia="黑体"/>
          <w:sz w:val="28"/>
        </w:rPr>
        <w:t>4.4  统一大市场建设的引入与配置效率红利</w:t>
      </w:r>
    </w:p>
    <w:p>
      <w:pPr>
        <w:spacing w:line="360" w:lineRule="auto" w:after="0"/>
        <w:ind w:firstLineChars="200" w:firstLine="480"/>
        <w:jc w:val="both"/>
      </w:pPr>
      <w:r>
        <w:rPr>
          <w:rFonts w:ascii="宋体" w:hAnsi="宋体" w:eastAsia="宋体"/>
          <w:sz w:val="24"/>
        </w:rPr>
        <w:t xml:space="preserve">现将全国统一大市场建设内生化。设统一大市场建设水平为 </w:t>
      </w:r>
      <m:oMath>
        <m:r>
          <m:t>m</m:t>
        </m:r>
        <m:r>
          <m:rPr>
            <m:sty m:val="p"/>
          </m:rPr>
          <m:t>∈</m:t>
        </m:r>
        <m:d>
          <m:dPr>
            <m:begChr m:val="["/>
            <m:endChr m:val="]"/>
            <m:sepChr m:val=""/>
            <m:grow/>
          </m:dPr>
          <m:e>
            <m:r>
              <m:t>0</m:t>
            </m:r>
            <m:r>
              <m:rPr>
                <m:sty m:val="p"/>
              </m:rPr>
              <m:t>,</m:t>
            </m:r>
            <m:r>
              <m:t>1</m:t>
            </m:r>
          </m:e>
        </m:d>
      </m:oMath>
      <w:r>
        <w:rPr>
          <w:rFonts w:ascii="宋体" w:hAnsi="宋体" w:eastAsia="宋体"/>
          <w:sz w:val="24"/>
        </w:rPr>
        <w:t>（对应第5章的 NUMI 指数，</w:t>
      </w:r>
      <m:oMath>
        <m:r>
          <m:t>m</m:t>
        </m:r>
        <m:r>
          <m:rPr>
            <m:sty m:val="p"/>
          </m:rPr>
          <m:t>=</m:t>
        </m:r>
        <m:r>
          <m:t>0</m:t>
        </m:r>
      </m:oMath>
      <w:r>
        <w:rPr>
          <w:rFonts w:ascii="宋体" w:hAnsi="宋体" w:eastAsia="宋体"/>
          <w:sz w:val="24"/>
        </w:rPr>
        <w:t xml:space="preserve"> 表示完全分割，</w:t>
      </w:r>
      <m:oMath>
        <m:r>
          <m:t>m</m:t>
        </m:r>
        <m:r>
          <m:rPr>
            <m:sty m:val="p"/>
          </m:rPr>
          <m:t>=</m:t>
        </m:r>
        <m:r>
          <m:t>1</m:t>
        </m:r>
      </m:oMath>
      <w:r>
        <w:rPr>
          <w:rFonts w:ascii="宋体" w:hAnsi="宋体" w:eastAsia="宋体"/>
          <w:sz w:val="24"/>
        </w:rPr>
        <w:t xml:space="preserve"> 表示完全一体化）。统一大市场建设的实质，是通过统一制度规则、破除地方保护、推进要素市场化改革，按比例压缩制度性壁垒的离散度。据此设定要素楔子离散度随建设水平线性收缩：</w:t>
      </w:r>
    </w:p>
    <w:p>
      <w:pPr>
        <w:tabs>
          <w:tab w:pos="4252" w:val="center"/>
          <w:tab w:pos="8504" w:val="right"/>
        </w:tabs>
        <w:spacing w:line="360" w:lineRule="auto" w:before="80" w:after="80"/>
      </w:pPr>
      <w:r>
        <w:tab/>
      </w:r>
      <m:oMath>
        <m:r>
          <m:rPr>
            <m:sty m:val="p"/>
          </m:rPr>
          <m:t>V</m:t>
        </m:r>
        <m:r>
          <m:rPr>
            <m:sty m:val="p"/>
          </m:rPr>
          <m:t>a</m:t>
        </m:r>
        <m:r>
          <m:rPr>
            <m:sty m:val="p"/>
          </m:rPr>
          <m:t>r</m:t>
        </m:r>
        <m:d>
          <m:dPr>
            <m:begChr m:val="("/>
            <m:endChr m:val=")"/>
            <m:sepChr m:val=""/>
            <m:grow/>
          </m:dPr>
          <m:e>
            <m:r>
              <m:rPr>
                <m:sty m:val="p"/>
              </m:rPr>
              <m:t>ln</m:t>
            </m:r>
            <m:sSubSup>
              <m:e>
                <m:r>
                  <m:t>τ</m:t>
                </m:r>
              </m:e>
              <m:sub>
                <m:r>
                  <m:t>r</m:t>
                </m:r>
                <m:r>
                  <m:t>s</m:t>
                </m:r>
              </m:sub>
              <m:sup>
                <m:r>
                  <m:t>F</m:t>
                </m:r>
              </m:sup>
            </m:sSubSup>
            <m:r>
              <m:rPr>
                <m:sty m:val="p"/>
              </m:rPr>
              <m:t>∣</m:t>
            </m:r>
            <m:r>
              <m:t>m</m:t>
            </m:r>
          </m:e>
        </m:d>
        <m:r>
          <m:rPr>
            <m:sty m:val="p"/>
          </m:rPr>
          <m:t>=</m:t>
        </m:r>
        <m:d>
          <m:dPr>
            <m:begChr m:val="("/>
            <m:endChr m:val=")"/>
            <m:sepChr m:val=""/>
            <m:grow/>
          </m:dPr>
          <m:e>
            <m:r>
              <m:t>1</m:t>
            </m:r>
            <m:r>
              <m:rPr>
                <m:sty m:val="p"/>
              </m:rPr>
              <m:t>−</m:t>
            </m:r>
            <m:r>
              <m:t>m</m:t>
            </m:r>
          </m:e>
        </m:d>
        <m:r>
          <m:t> </m:t>
        </m:r>
        <m:sSubSup>
          <m:e>
            <m:r>
              <m:t>σ</m:t>
            </m:r>
          </m:e>
          <m:sub>
            <m:r>
              <m:t>F</m:t>
            </m:r>
            <m:r>
              <m:t>0</m:t>
            </m:r>
          </m:sub>
          <m:sup>
            <m:r>
              <m:t>2</m:t>
            </m:r>
          </m:sup>
        </m:sSubSup>
      </m:oMath>
      <w:r>
        <w:tab/>
      </w:r>
      <w:r>
        <w:rPr>
          <w:rFonts w:ascii="Times New Roman" w:hAnsi="Times New Roman" w:eastAsia="宋体"/>
          <w:sz w:val="24"/>
        </w:rPr>
        <w:t>(4-9)</w:t>
      </w:r>
    </w:p>
    <w:p>
      <w:pPr>
        <w:spacing w:line="360" w:lineRule="auto" w:after="0"/>
        <w:jc w:val="both"/>
      </w:pPr>
      <w:r>
        <w:rPr>
          <w:rFonts w:ascii="宋体" w:hAnsi="宋体" w:eastAsia="宋体"/>
          <w:sz w:val="24"/>
        </w:rPr>
        <w:t>其中，</w:t>
      </w:r>
      <m:oMath>
        <m:sSubSup>
          <m:e>
            <m:r>
              <m:t>σ</m:t>
            </m:r>
          </m:e>
          <m:sub>
            <m:r>
              <m:t>F</m:t>
            </m:r>
            <m:r>
              <m:t>0</m:t>
            </m:r>
          </m:sub>
          <m:sup>
            <m:r>
              <m:t>2</m:t>
            </m:r>
          </m:sup>
        </m:sSubSup>
      </m:oMath>
      <w:r>
        <w:rPr>
          <w:rFonts w:ascii="宋体" w:hAnsi="宋体" w:eastAsia="宋体"/>
          <w:sz w:val="24"/>
        </w:rPr>
        <w:t xml:space="preserve"> 为完全分割状态下（</w:t>
      </w:r>
      <m:oMath>
        <m:r>
          <m:t>m</m:t>
        </m:r>
        <m:r>
          <m:rPr>
            <m:sty m:val="p"/>
          </m:rPr>
          <m:t>=</m:t>
        </m:r>
        <m:r>
          <m:t>0</m:t>
        </m:r>
      </m:oMath>
      <w:r>
        <w:rPr>
          <w:rFonts w:ascii="宋体" w:hAnsi="宋体" w:eastAsia="宋体"/>
          <w:sz w:val="24"/>
        </w:rPr>
        <w:t>）要素楔子的初始离散度，反映一个地区的初始市场分割程度。</w:t>
      </w:r>
    </w:p>
    <w:p>
      <w:pPr>
        <w:spacing w:line="360" w:lineRule="auto" w:after="0"/>
        <w:ind w:firstLineChars="200" w:firstLine="480"/>
        <w:jc w:val="both"/>
      </w:pPr>
      <w:r>
        <w:rPr>
          <w:rFonts w:ascii="宋体" w:hAnsi="宋体" w:eastAsia="宋体"/>
          <w:sz w:val="24"/>
        </w:rPr>
        <w:t xml:space="preserve">将式(4-9)代入式(4-8)（并对商品市场作类似处理，记初始离散度为 </w:t>
      </w:r>
      <m:oMath>
        <m:sSubSup>
          <m:e>
            <m:r>
              <m:t>σ</m:t>
            </m:r>
          </m:e>
          <m:sub>
            <m:r>
              <m:t>G</m:t>
            </m:r>
            <m:r>
              <m:t>0</m:t>
            </m:r>
          </m:sub>
          <m:sup>
            <m:r>
              <m:t>2</m:t>
            </m:r>
          </m:sup>
        </m:sSubSup>
      </m:oMath>
      <w:r>
        <w:rPr>
          <w:rFonts w:ascii="宋体" w:hAnsi="宋体" w:eastAsia="宋体"/>
          <w:sz w:val="24"/>
        </w:rPr>
        <w:t>），可得总量全要素生产率关于建设水平的表达式：</w:t>
      </w:r>
    </w:p>
    <w:p>
      <w:pPr>
        <w:tabs>
          <w:tab w:pos="4252" w:val="center"/>
          <w:tab w:pos="8504" w:val="right"/>
        </w:tabs>
        <w:spacing w:line="360" w:lineRule="auto" w:before="80" w:after="80"/>
      </w:pPr>
      <w:r>
        <w:tab/>
      </w:r>
      <m:oMath>
        <m:r>
          <m:rPr>
            <m:sty m:val="p"/>
          </m:rPr>
          <m:t>ln</m:t>
        </m:r>
        <m:r>
          <m:t>A</m:t>
        </m:r>
        <m:d>
          <m:dPr>
            <m:begChr m:val="("/>
            <m:endChr m:val=")"/>
            <m:sepChr m:val=""/>
            <m:grow/>
          </m:dPr>
          <m:e>
            <m:r>
              <m:t>m</m:t>
            </m:r>
          </m:e>
        </m:d>
        <m:r>
          <m:rPr>
            <m:sty m:val="p"/>
          </m:rPr>
          <m:t>=</m:t>
        </m:r>
        <m:r>
          <m:rPr>
            <m:sty m:val="p"/>
          </m:rPr>
          <m:t>ln</m:t>
        </m:r>
        <m:acc>
          <m:accPr>
            <m:chr m:val="‾"/>
          </m:accPr>
          <m:e>
            <m:r>
              <m:t>A</m:t>
            </m:r>
          </m:e>
        </m:acc>
        <m:r>
          <m:rPr>
            <m:sty m:val="p"/>
          </m:rPr>
          <m:t>−</m:t>
        </m:r>
        <m:f>
          <m:fPr>
            <m:type m:val="bar"/>
          </m:fPr>
          <m:num>
            <m:r>
              <m:t>1</m:t>
            </m:r>
          </m:num>
          <m:den>
            <m:r>
              <m:t>2</m:t>
            </m:r>
          </m:den>
        </m:f>
        <m:d>
          <m:dPr>
            <m:begChr m:val="("/>
            <m:endChr m:val=")"/>
            <m:sepChr m:val=""/>
            <m:grow/>
          </m:dPr>
          <m:e>
            <m:r>
              <m:t>σ</m:t>
            </m:r>
            <m:r>
              <m:rPr>
                <m:sty m:val="p"/>
              </m:rPr>
              <m:t>−</m:t>
            </m:r>
            <m:r>
              <m:t>1</m:t>
            </m:r>
          </m:e>
        </m:d>
        <m:d>
          <m:dPr>
            <m:begChr m:val="("/>
            <m:endChr m:val=")"/>
            <m:sepChr m:val=""/>
            <m:grow/>
          </m:dPr>
          <m:e>
            <m:r>
              <m:t>1</m:t>
            </m:r>
            <m:r>
              <m:rPr>
                <m:sty m:val="p"/>
              </m:rPr>
              <m:t>−</m:t>
            </m:r>
            <m:r>
              <m:t>m</m:t>
            </m:r>
          </m:e>
        </m:d>
        <m:r>
          <m:t> </m:t>
        </m:r>
        <m:sSubSup>
          <m:e>
            <m:r>
              <m:t>σ</m:t>
            </m:r>
          </m:e>
          <m:sub>
            <m:r>
              <m:t>F</m:t>
            </m:r>
            <m:r>
              <m:t>0</m:t>
            </m:r>
          </m:sub>
          <m:sup>
            <m:r>
              <m:t>2</m:t>
            </m:r>
          </m:sup>
        </m:sSubSup>
        <m:r>
          <m:rPr>
            <m:sty m:val="p"/>
          </m:rPr>
          <m:t>−</m:t>
        </m:r>
        <m:r>
          <m:t>Φ</m:t>
        </m:r>
        <m:d>
          <m:dPr>
            <m:begChr m:val="("/>
            <m:endChr m:val=")"/>
            <m:sepChr m:val=""/>
            <m:grow/>
          </m:dPr>
          <m:e>
            <m:r>
              <m:t>σ</m:t>
            </m:r>
          </m:e>
        </m:d>
        <m:d>
          <m:dPr>
            <m:begChr m:val="("/>
            <m:endChr m:val=")"/>
            <m:sepChr m:val=""/>
            <m:grow/>
          </m:dPr>
          <m:e>
            <m:r>
              <m:t>1</m:t>
            </m:r>
            <m:r>
              <m:rPr>
                <m:sty m:val="p"/>
              </m:rPr>
              <m:t>−</m:t>
            </m:r>
            <m:r>
              <m:t>m</m:t>
            </m:r>
          </m:e>
        </m:d>
        <m:r>
          <m:t> </m:t>
        </m:r>
        <m:sSubSup>
          <m:e>
            <m:r>
              <m:t>σ</m:t>
            </m:r>
          </m:e>
          <m:sub>
            <m:r>
              <m:t>G</m:t>
            </m:r>
            <m:r>
              <m:t>0</m:t>
            </m:r>
          </m:sub>
          <m:sup>
            <m:r>
              <m:t>2</m:t>
            </m:r>
          </m:sup>
        </m:sSubSup>
      </m:oMath>
      <w:r>
        <w:tab/>
      </w:r>
      <w:r>
        <w:rPr>
          <w:rFonts w:ascii="Times New Roman" w:hAnsi="Times New Roman" w:eastAsia="宋体"/>
          <w:sz w:val="24"/>
        </w:rPr>
        <w:t>(4-10)</w:t>
      </w:r>
    </w:p>
    <w:p>
      <w:pPr>
        <w:spacing w:line="360" w:lineRule="auto" w:after="0"/>
        <w:ind w:firstLineChars="200" w:firstLine="480"/>
        <w:jc w:val="both"/>
      </w:pPr>
      <w:r>
        <w:rPr>
          <w:rFonts w:ascii="宋体" w:hAnsi="宋体" w:eastAsia="宋体"/>
          <w:sz w:val="24"/>
        </w:rPr>
        <w:t xml:space="preserve">对式(4-10)求关于 </w:t>
      </w:r>
      <m:oMath>
        <m:r>
          <m:t>m</m:t>
        </m:r>
      </m:oMath>
      <w:r>
        <w:rPr>
          <w:rFonts w:ascii="宋体" w:hAnsi="宋体" w:eastAsia="宋体"/>
          <w:sz w:val="24"/>
        </w:rPr>
        <w:t xml:space="preserve"> 的偏导，得到统一大市场建设的"配置效率红利"：</w:t>
      </w:r>
    </w:p>
    <w:p>
      <w:pPr>
        <w:tabs>
          <w:tab w:pos="4252" w:val="center"/>
          <w:tab w:pos="8504" w:val="right"/>
        </w:tabs>
        <w:spacing w:line="360" w:lineRule="auto" w:before="80" w:after="80"/>
      </w:pPr>
      <w:r>
        <w:tab/>
      </w:r>
      <m:oMath>
        <m:f>
          <m:fPr>
            <m:type m:val="bar"/>
          </m:fPr>
          <m:num>
            <m:r>
              <m:rPr>
                <m:sty m:val="p"/>
              </m:rPr>
              <m:t>∂</m:t>
            </m:r>
            <m:r>
              <m:rPr>
                <m:sty m:val="p"/>
              </m:rPr>
              <m:t>ln</m:t>
            </m:r>
            <m:r>
              <m:t>A</m:t>
            </m:r>
            <m:d>
              <m:dPr>
                <m:begChr m:val="("/>
                <m:endChr m:val=")"/>
                <m:sepChr m:val=""/>
                <m:grow/>
              </m:dPr>
              <m:e>
                <m:r>
                  <m:t>m</m:t>
                </m:r>
              </m:e>
            </m:d>
          </m:num>
          <m:den>
            <m:r>
              <m:rPr>
                <m:sty m:val="p"/>
              </m:rPr>
              <m:t>∂</m:t>
            </m:r>
            <m:r>
              <m:t>m</m:t>
            </m:r>
          </m:den>
        </m:f>
        <m:r>
          <m:rPr>
            <m:sty m:val="p"/>
          </m:rPr>
          <m:t>=</m:t>
        </m:r>
        <m:f>
          <m:fPr>
            <m:type m:val="bar"/>
          </m:fPr>
          <m:num>
            <m:r>
              <m:t>1</m:t>
            </m:r>
          </m:num>
          <m:den>
            <m:r>
              <m:t>2</m:t>
            </m:r>
          </m:den>
        </m:f>
        <m:d>
          <m:dPr>
            <m:begChr m:val="("/>
            <m:endChr m:val=")"/>
            <m:sepChr m:val=""/>
            <m:grow/>
          </m:dPr>
          <m:e>
            <m:r>
              <m:t>σ</m:t>
            </m:r>
            <m:r>
              <m:rPr>
                <m:sty m:val="p"/>
              </m:rPr>
              <m:t>−</m:t>
            </m:r>
            <m:r>
              <m:t>1</m:t>
            </m:r>
          </m:e>
        </m:d>
        <m:r>
          <m:t> </m:t>
        </m:r>
        <m:sSubSup>
          <m:e>
            <m:r>
              <m:t>σ</m:t>
            </m:r>
          </m:e>
          <m:sub>
            <m:r>
              <m:t>F</m:t>
            </m:r>
            <m:r>
              <m:t>0</m:t>
            </m:r>
          </m:sub>
          <m:sup>
            <m:r>
              <m:t>2</m:t>
            </m:r>
          </m:sup>
        </m:sSubSup>
        <m:r>
          <m:rPr>
            <m:sty m:val="p"/>
          </m:rPr>
          <m:t>+</m:t>
        </m:r>
        <m:r>
          <m:t>Φ</m:t>
        </m:r>
        <m:d>
          <m:dPr>
            <m:begChr m:val="("/>
            <m:endChr m:val=")"/>
            <m:sepChr m:val=""/>
            <m:grow/>
          </m:dPr>
          <m:e>
            <m:r>
              <m:t>σ</m:t>
            </m:r>
          </m:e>
        </m:d>
        <m:r>
          <m:t> </m:t>
        </m:r>
        <m:sSubSup>
          <m:e>
            <m:r>
              <m:t>σ</m:t>
            </m:r>
          </m:e>
          <m:sub>
            <m:r>
              <m:t>G</m:t>
            </m:r>
            <m:r>
              <m:t>0</m:t>
            </m:r>
          </m:sub>
          <m:sup>
            <m:r>
              <m:t>2</m:t>
            </m:r>
          </m:sup>
        </m:sSubSup>
        <m:r>
          <m:rPr>
            <m:sty m:val="p"/>
          </m:rPr>
          <m:t>&gt;</m:t>
        </m:r>
        <m:r>
          <m:t>0</m:t>
        </m:r>
      </m:oMath>
      <w:r>
        <w:tab/>
      </w:r>
      <w:r>
        <w:rPr>
          <w:rFonts w:ascii="Times New Roman" w:hAnsi="Times New Roman" w:eastAsia="宋体"/>
          <w:sz w:val="24"/>
        </w:rPr>
        <w:t>(4-11)</w:t>
      </w:r>
    </w:p>
    <w:p>
      <w:pPr>
        <w:spacing w:line="360" w:lineRule="auto" w:after="0"/>
        <w:ind w:firstLineChars="200" w:firstLine="480"/>
        <w:jc w:val="both"/>
      </w:pPr>
      <w:r>
        <w:rPr>
          <w:rFonts w:ascii="宋体" w:hAnsi="宋体" w:eastAsia="宋体"/>
          <w:sz w:val="24"/>
        </w:rPr>
        <w:t xml:space="preserve">式(4-11)表明，统一大市场建设水平的提高必然带来总量全要素生产率的上升，且这一效应恒为正。更重要的是，该边际红利的大小取决于初始分割程度 </w:t>
      </w:r>
      <m:oMath>
        <m:sSubSup>
          <m:e>
            <m:r>
              <m:t>σ</m:t>
            </m:r>
          </m:e>
          <m:sub>
            <m:r>
              <m:t>F</m:t>
            </m:r>
            <m:r>
              <m:t>0</m:t>
            </m:r>
          </m:sub>
          <m:sup>
            <m:r>
              <m:t>2</m:t>
            </m:r>
          </m:sup>
        </m:sSubSup>
      </m:oMath>
      <w:r>
        <w:rPr>
          <w:rFonts w:ascii="宋体" w:hAnsi="宋体" w:eastAsia="宋体"/>
          <w:sz w:val="24"/>
        </w:rPr>
        <w:t xml:space="preserve"> 与 </w:t>
      </w:r>
      <m:oMath>
        <m:sSubSup>
          <m:e>
            <m:r>
              <m:t>σ</m:t>
            </m:r>
          </m:e>
          <m:sub>
            <m:r>
              <m:t>G</m:t>
            </m:r>
            <m:r>
              <m:t>0</m:t>
            </m:r>
          </m:sub>
          <m:sup>
            <m:r>
              <m:t>2</m:t>
            </m:r>
          </m:sup>
        </m:sSubSup>
      </m:oMath>
      <w:r>
        <w:rPr>
          <w:rFonts w:ascii="宋体" w:hAnsi="宋体" w:eastAsia="宋体"/>
          <w:sz w:val="24"/>
        </w:rPr>
        <w:t>：初始分割越严重的地区，统一大市场建设的边际效率红利越大。这一推论具有鲜明的政策含义，将在命题3中予以强调。</w:t>
      </w:r>
    </w:p>
    <w:p>
      <w:pPr>
        <w:keepNext/>
        <w:spacing w:before="160" w:after="120" w:line="360" w:lineRule="auto"/>
      </w:pPr>
      <w:r>
        <w:rPr>
          <w:rFonts w:ascii="黑体" w:hAnsi="黑体" w:eastAsia="黑体"/>
          <w:sz w:val="28"/>
        </w:rPr>
        <w:t>4.5  商品市场整合与要素市场整合的互补性</w:t>
      </w:r>
    </w:p>
    <w:p>
      <w:pPr>
        <w:spacing w:line="360" w:lineRule="auto" w:after="0"/>
        <w:ind w:firstLineChars="200" w:firstLine="480"/>
        <w:jc w:val="both"/>
      </w:pPr>
      <w:r>
        <w:rPr>
          <w:rFonts w:ascii="宋体" w:hAnsi="宋体" w:eastAsia="宋体"/>
          <w:sz w:val="24"/>
        </w:rPr>
        <w:t>现实中，商品市场分割与要素市场分割往往同根同源、相伴而生：同一套财政分权与地方保护制度，既阻碍商品跨区流通，也阻碍要素跨区配置（Young，2000；陆铭和陈钊，2009）。因此，两类初始离散度之间通常存在正相关。设二者的相关结构为</w:t>
      </w:r>
    </w:p>
    <w:p>
      <w:pPr>
        <w:tabs>
          <w:tab w:pos="4252" w:val="center"/>
          <w:tab w:pos="8504" w:val="right"/>
        </w:tabs>
        <w:spacing w:line="360" w:lineRule="auto" w:before="80" w:after="80"/>
      </w:pPr>
      <w:r>
        <w:tab/>
      </w:r>
      <m:oMath>
        <m:sSubSup>
          <m:e>
            <m:r>
              <m:t>σ</m:t>
            </m:r>
          </m:e>
          <m:sub>
            <m:r>
              <m:t>F</m:t>
            </m:r>
            <m:r>
              <m:t>0</m:t>
            </m:r>
          </m:sub>
          <m:sup>
            <m:r>
              <m:t>2</m:t>
            </m:r>
          </m:sup>
        </m:sSubSup>
        <m:r>
          <m:rPr>
            <m:sty m:val="p"/>
          </m:rPr>
          <m:t>=</m:t>
        </m:r>
        <m:sSubSup>
          <m:e>
            <m:r>
              <m:t>σ</m:t>
            </m:r>
          </m:e>
          <m:sub>
            <m:r>
              <m:t>G</m:t>
            </m:r>
            <m:r>
              <m:t>0</m:t>
            </m:r>
          </m:sub>
          <m:sup>
            <m:r>
              <m:t>2</m:t>
            </m:r>
          </m:sup>
        </m:sSubSup>
        <m:r>
          <m:rPr>
            <m:sty m:val="p"/>
          </m:rPr>
          <m:t>=</m:t>
        </m:r>
        <m:sSubSup>
          <m:e>
            <m:r>
              <m:t>σ</m:t>
            </m:r>
          </m:e>
          <m:sub>
            <m:r>
              <m:t>0</m:t>
            </m:r>
          </m:sub>
          <m:sup>
            <m:r>
              <m:t>2</m:t>
            </m:r>
          </m:sup>
        </m:sSubSup>
        <m:r>
          <m:rPr>
            <m:sty m:val="p"/>
          </m:rPr>
          <m:t>,</m:t>
        </m:r>
        <m:r>
          <m:t>  </m:t>
        </m:r>
        <m:r>
          <m:rPr>
            <m:sty m:val="p"/>
          </m:rPr>
          <m:t>C</m:t>
        </m:r>
        <m:r>
          <m:rPr>
            <m:sty m:val="p"/>
          </m:rPr>
          <m:t>o</m:t>
        </m:r>
        <m:r>
          <m:rPr>
            <m:sty m:val="p"/>
          </m:rPr>
          <m:t>v</m:t>
        </m:r>
        <m:d>
          <m:dPr>
            <m:begChr m:val="("/>
            <m:endChr m:val=")"/>
            <m:sepChr m:val=""/>
            <m:grow/>
          </m:dPr>
          <m:e>
            <m:r>
              <m:rPr>
                <m:sty m:val="p"/>
              </m:rPr>
              <m:t>ln</m:t>
            </m:r>
            <m:sSup>
              <m:e>
                <m:r>
                  <m:t>τ</m:t>
                </m:r>
              </m:e>
              <m:sup>
                <m:r>
                  <m:t>F</m:t>
                </m:r>
              </m:sup>
            </m:sSup>
            <m:r>
              <m:rPr>
                <m:sty m:val="p"/>
              </m:rPr>
              <m:t>,</m:t>
            </m:r>
            <m:r>
              <m:rPr>
                <m:sty m:val="p"/>
              </m:rPr>
              <m:t>ln</m:t>
            </m:r>
            <m:sSup>
              <m:e>
                <m:r>
                  <m:t>τ</m:t>
                </m:r>
              </m:e>
              <m:sup>
                <m:r>
                  <m:t>G</m:t>
                </m:r>
              </m:sup>
            </m:sSup>
          </m:e>
        </m:d>
        <m:r>
          <m:rPr>
            <m:sty m:val="p"/>
          </m:rPr>
          <m:t>=</m:t>
        </m:r>
        <m:r>
          <m:t>ρ</m:t>
        </m:r>
        <m:r>
          <m:t> </m:t>
        </m:r>
        <m:sSubSup>
          <m:e>
            <m:r>
              <m:t>σ</m:t>
            </m:r>
          </m:e>
          <m:sub>
            <m:r>
              <m:t>0</m:t>
            </m:r>
          </m:sub>
          <m:sup>
            <m:r>
              <m:t>2</m:t>
            </m:r>
          </m:sup>
        </m:sSubSup>
        <m:r>
          <m:rPr>
            <m:sty m:val="p"/>
          </m:rPr>
          <m:t>,</m:t>
        </m:r>
        <m:r>
          <m:t> </m:t>
        </m:r>
        <m:r>
          <m:t> </m:t>
        </m:r>
        <m:r>
          <m:t>ρ</m:t>
        </m:r>
        <m:r>
          <m:rPr>
            <m:sty m:val="p"/>
          </m:rPr>
          <m:t>&gt;</m:t>
        </m:r>
        <m:r>
          <m:t>0</m:t>
        </m:r>
      </m:oMath>
      <w:r>
        <w:tab/>
      </w:r>
      <w:r>
        <w:rPr>
          <w:rFonts w:ascii="Times New Roman" w:hAnsi="Times New Roman" w:eastAsia="宋体"/>
          <w:sz w:val="24"/>
        </w:rPr>
        <w:t>(4-12)</w:t>
      </w:r>
    </w:p>
    <w:p>
      <w:pPr>
        <w:spacing w:line="360" w:lineRule="auto" w:after="0"/>
        <w:ind w:firstLineChars="200" w:firstLine="480"/>
        <w:jc w:val="both"/>
      </w:pPr>
      <w:r>
        <w:rPr>
          <w:rFonts w:ascii="宋体" w:hAnsi="宋体" w:eastAsia="宋体"/>
          <w:sz w:val="24"/>
        </w:rPr>
        <w:t xml:space="preserve">进一步考虑一个刻画两类整合协同作用的交叉项。当商品市场与要素市场的分割在空间上相互强化时，总效率损失中包含一项与二者协方差成正比的成分 </w:t>
      </w:r>
      <m:oMath>
        <m:r>
          <m:t>Ψ</m:t>
        </m:r>
        <m:d>
          <m:dPr>
            <m:begChr m:val="("/>
            <m:endChr m:val=")"/>
            <m:sepChr m:val=""/>
            <m:grow/>
          </m:dPr>
          <m:e>
            <m:r>
              <m:t>σ</m:t>
            </m:r>
          </m:e>
        </m:d>
        <m:r>
          <m:t>ρ</m:t>
        </m:r>
        <m:r>
          <m:t> </m:t>
        </m:r>
        <m:sSubSup>
          <m:e>
            <m:r>
              <m:t>σ</m:t>
            </m:r>
          </m:e>
          <m:sub>
            <m:r>
              <m:t>0</m:t>
            </m:r>
          </m:sub>
          <m:sup>
            <m:r>
              <m:t>2</m:t>
            </m:r>
          </m:sup>
        </m:sSubSup>
        <m:d>
          <m:dPr>
            <m:begChr m:val="("/>
            <m:endChr m:val=")"/>
            <m:sepChr m:val=""/>
            <m:grow/>
          </m:dPr>
          <m:e>
            <m:r>
              <m:t>1</m:t>
            </m:r>
            <m:r>
              <m:rPr>
                <m:sty m:val="p"/>
              </m:rPr>
              <m:t>−</m:t>
            </m:r>
            <m:sSub>
              <m:e>
                <m:r>
                  <m:t>m</m:t>
                </m:r>
              </m:e>
              <m:sub>
                <m:r>
                  <m:t>G</m:t>
                </m:r>
              </m:sub>
            </m:sSub>
          </m:e>
        </m:d>
        <m:d>
          <m:dPr>
            <m:begChr m:val="("/>
            <m:endChr m:val=")"/>
            <m:sepChr m:val=""/>
            <m:grow/>
          </m:dPr>
          <m:e>
            <m:r>
              <m:t>1</m:t>
            </m:r>
            <m:r>
              <m:rPr>
                <m:sty m:val="p"/>
              </m:rPr>
              <m:t>−</m:t>
            </m:r>
            <m:sSub>
              <m:e>
                <m:r>
                  <m:t>m</m:t>
                </m:r>
              </m:e>
              <m:sub>
                <m:r>
                  <m:t>F</m:t>
                </m:r>
              </m:sub>
            </m:sSub>
          </m:e>
        </m:d>
      </m:oMath>
      <w:r>
        <w:rPr>
          <w:rFonts w:ascii="宋体" w:hAnsi="宋体" w:eastAsia="宋体"/>
          <w:sz w:val="24"/>
        </w:rPr>
        <w:t xml:space="preserve">，其中 </w:t>
      </w:r>
      <m:oMath>
        <m:sSub>
          <m:e>
            <m:r>
              <m:t>m</m:t>
            </m:r>
          </m:e>
          <m:sub>
            <m:r>
              <m:t>G</m:t>
            </m:r>
          </m:sub>
        </m:sSub>
        <m:r>
          <m:rPr>
            <m:sty m:val="p"/>
          </m:rPr>
          <m:t>,</m:t>
        </m:r>
        <m:sSub>
          <m:e>
            <m:r>
              <m:t>m</m:t>
            </m:r>
          </m:e>
          <m:sub>
            <m:r>
              <m:t>F</m:t>
            </m:r>
          </m:sub>
        </m:sSub>
      </m:oMath>
      <w:r>
        <w:rPr>
          <w:rFonts w:ascii="宋体" w:hAnsi="宋体" w:eastAsia="宋体"/>
          <w:sz w:val="24"/>
        </w:rPr>
        <w:t xml:space="preserve"> 分别为商品市场与要素市场的整合水平。总量生产率对二者的交叉偏导为</w:t>
      </w:r>
    </w:p>
    <w:p>
      <w:pPr>
        <w:tabs>
          <w:tab w:pos="4252" w:val="center"/>
          <w:tab w:pos="8504" w:val="right"/>
        </w:tabs>
        <w:spacing w:line="360" w:lineRule="auto" w:before="80" w:after="80"/>
      </w:pPr>
      <w:r>
        <w:tab/>
      </w:r>
      <m:oMath>
        <m:f>
          <m:fPr>
            <m:type m:val="bar"/>
          </m:fPr>
          <m:num>
            <m:sSup>
              <m:e>
                <m:r>
                  <m:rPr>
                    <m:sty m:val="p"/>
                  </m:rPr>
                  <m:t>∂</m:t>
                </m:r>
              </m:e>
              <m:sup>
                <m:r>
                  <m:t>2</m:t>
                </m:r>
              </m:sup>
            </m:sSup>
            <m:r>
              <m:rPr>
                <m:sty m:val="p"/>
              </m:rPr>
              <m:t>ln</m:t>
            </m:r>
            <m:r>
              <m:t>A</m:t>
            </m:r>
          </m:num>
          <m:den>
            <m:r>
              <m:rPr>
                <m:sty m:val="p"/>
              </m:rPr>
              <m:t>∂</m:t>
            </m:r>
            <m:sSub>
              <m:e>
                <m:r>
                  <m:t>m</m:t>
                </m:r>
              </m:e>
              <m:sub>
                <m:r>
                  <m:t>G</m:t>
                </m:r>
              </m:sub>
            </m:sSub>
            <m:r>
              <m:t> </m:t>
            </m:r>
            <m:r>
              <m:rPr>
                <m:sty m:val="p"/>
              </m:rPr>
              <m:t>∂</m:t>
            </m:r>
            <m:sSub>
              <m:e>
                <m:r>
                  <m:t>m</m:t>
                </m:r>
              </m:e>
              <m:sub>
                <m:r>
                  <m:t>F</m:t>
                </m:r>
              </m:sub>
            </m:sSub>
          </m:den>
        </m:f>
        <m:r>
          <m:rPr>
            <m:sty m:val="p"/>
          </m:rPr>
          <m:t>=</m:t>
        </m:r>
        <m:r>
          <m:t>Ψ</m:t>
        </m:r>
        <m:d>
          <m:dPr>
            <m:begChr m:val="("/>
            <m:endChr m:val=")"/>
            <m:sepChr m:val=""/>
            <m:grow/>
          </m:dPr>
          <m:e>
            <m:r>
              <m:t>σ</m:t>
            </m:r>
          </m:e>
        </m:d>
        <m:r>
          <m:t> </m:t>
        </m:r>
        <m:r>
          <m:t>ρ</m:t>
        </m:r>
        <m:r>
          <m:t> </m:t>
        </m:r>
        <m:sSubSup>
          <m:e>
            <m:r>
              <m:t>σ</m:t>
            </m:r>
          </m:e>
          <m:sub>
            <m:r>
              <m:t>0</m:t>
            </m:r>
          </m:sub>
          <m:sup>
            <m:r>
              <m:t>2</m:t>
            </m:r>
          </m:sup>
        </m:sSubSup>
        <m:r>
          <m:rPr>
            <m:sty m:val="p"/>
          </m:rPr>
          <m:t>&gt;</m:t>
        </m:r>
        <m:r>
          <m:t>0</m:t>
        </m:r>
      </m:oMath>
      <w:r>
        <w:tab/>
      </w:r>
      <w:r>
        <w:rPr>
          <w:rFonts w:ascii="Times New Roman" w:hAnsi="Times New Roman" w:eastAsia="宋体"/>
          <w:sz w:val="24"/>
        </w:rPr>
        <w:t>(4-13)</w:t>
      </w:r>
    </w:p>
    <w:p>
      <w:pPr>
        <w:keepNext/>
        <w:spacing w:before="160" w:after="120" w:line="360" w:lineRule="auto"/>
      </w:pPr>
      <w:r>
        <w:rPr>
          <w:rFonts w:ascii="宋体" w:hAnsi="宋体" w:eastAsia="宋体"/>
          <w:b/>
          <w:sz w:val="24"/>
        </w:rPr>
        <w:t>命题2（整合互补性命题）</w:t>
      </w:r>
    </w:p>
    <w:p>
      <w:pPr>
        <w:spacing w:line="360" w:lineRule="auto" w:after="0"/>
        <w:ind w:firstLineChars="200" w:firstLine="480"/>
        <w:jc w:val="both"/>
      </w:pPr>
      <w:r>
        <w:rPr>
          <w:rFonts w:ascii="宋体" w:hAnsi="宋体" w:eastAsia="宋体"/>
          <w:b/>
          <w:sz w:val="24"/>
        </w:rPr>
        <w:t>当商品市场分割与要素市场分割正相关（$\rho&gt;0$）时，商品市场整合与要素市场整合是互补的：推进其中一方会提高另一方的边际效率红利。</w:t>
      </w:r>
      <w:r>
        <w:rPr>
          <w:rFonts w:ascii="宋体" w:hAnsi="宋体" w:eastAsia="宋体"/>
          <w:sz w:val="24"/>
        </w:rPr>
        <w:t>这意味着，统一大市场建设应"系统集成、协同推进"，仅打通商品市场而放任要素市场分割，或反之，都难以充分释放一体化的效率潜力。这为2022年《意见》强调"五统一"整体推进、二十届三中全会强调"系统集成"提供了理论注脚，也预示着 NUMI 各分维度之间存在协同效应（详见第8章分维度分析）。</w:t>
      </w:r>
    </w:p>
    <w:p>
      <w:pPr>
        <w:keepNext/>
        <w:spacing w:before="160" w:after="120" w:line="360" w:lineRule="auto"/>
      </w:pPr>
      <w:r>
        <w:rPr>
          <w:rFonts w:ascii="黑体" w:hAnsi="黑体" w:eastAsia="黑体"/>
          <w:sz w:val="28"/>
        </w:rPr>
        <w:t>4.6  配置效率红利的异质性</w:t>
      </w:r>
    </w:p>
    <w:p>
      <w:pPr>
        <w:spacing w:line="360" w:lineRule="auto" w:after="0"/>
        <w:ind w:firstLineChars="200" w:firstLine="480"/>
        <w:jc w:val="both"/>
      </w:pPr>
      <w:r>
        <w:rPr>
          <w:rFonts w:ascii="宋体" w:hAnsi="宋体" w:eastAsia="宋体"/>
          <w:sz w:val="24"/>
        </w:rPr>
        <w:t>式(4-11)已经揭示，统一大市场建设的边际配置效率红利随初始分割程度递增。将这一结果正式表述为命题3。</w:t>
      </w:r>
    </w:p>
    <w:p>
      <w:pPr>
        <w:keepNext/>
        <w:spacing w:before="160" w:after="120" w:line="360" w:lineRule="auto"/>
      </w:pPr>
      <w:r>
        <w:rPr>
          <w:rFonts w:ascii="宋体" w:hAnsi="宋体" w:eastAsia="宋体"/>
          <w:b/>
          <w:sz w:val="24"/>
        </w:rPr>
        <w:t>命题3（红利递增命题）</w:t>
      </w:r>
    </w:p>
    <w:p>
      <w:pPr>
        <w:spacing w:line="360" w:lineRule="auto" w:after="0"/>
        <w:ind w:firstLineChars="200" w:firstLine="480"/>
        <w:jc w:val="both"/>
      </w:pPr>
      <w:r>
        <w:rPr>
          <w:rFonts w:ascii="宋体" w:hAnsi="宋体" w:eastAsia="宋体"/>
          <w:b/>
          <w:sz w:val="24"/>
        </w:rPr>
        <w:t>统一大市场建设对要素配置效率的边际红利，随地区初始市场分割程度的提高而增大：$\partial^{2}\ln A/\partial m\,\partial\sigma_0^{2}=\tfrac{1}{2}(\sigma-1)+\Phi(\sigma)&gt;0$。</w:t>
      </w:r>
      <w:r>
        <w:rPr>
          <w:rFonts w:ascii="宋体" w:hAnsi="宋体" w:eastAsia="宋体"/>
          <w:sz w:val="24"/>
        </w:rPr>
        <w:t>其经济含义是：初始分割越严重、要素错配越突出的地区（如中西部和欠发达地区），破除市场分割、推进要素市场化改革所能带来的效率改进空间越大。这一命题为"统一大市场建设有助于欠发达地区追赶、促进区域协调发展"提供了理论基础，并将在第8章的异质性分析与第9章的双重差分中得到经验检验。</w:t>
      </w:r>
    </w:p>
    <w:p>
      <w:pPr>
        <w:spacing w:line="360" w:lineRule="auto" w:after="0"/>
        <w:ind w:firstLineChars="200" w:firstLine="480"/>
        <w:jc w:val="both"/>
      </w:pPr>
      <w:r>
        <w:rPr>
          <w:rFonts w:ascii="宋体" w:hAnsi="宋体" w:eastAsia="宋体"/>
          <w:sz w:val="24"/>
        </w:rPr>
        <w:t>需要指出，命题3所依赖的关键假设是建设水平对离散度的收缩具有"比例性"（式4-9）。若制度改革对初始壁垒的削减存在规模报酬递减或固定成本，边际红利的分布可能更为复杂。但只要改革对分割的削减不完全独立于初始水平，红利随初始分割程度递增的定性结论就大体成立。</w:t>
      </w:r>
    </w:p>
    <w:p>
      <w:pPr>
        <w:spacing w:line="360" w:lineRule="auto" w:after="0"/>
        <w:ind w:firstLineChars="200" w:firstLine="480"/>
        <w:jc w:val="both"/>
      </w:pPr>
      <w:r>
        <w:rPr>
          <w:rFonts w:ascii="宋体" w:hAnsi="宋体" w:eastAsia="宋体"/>
          <w:sz w:val="24"/>
        </w:rPr>
        <w:t>命题3具有丰富的政策与区域发展含义。首先，它意味着统一大市场建设本身内含"再平衡"机制：由于欠发达、高分割地区的边际红利更大，全国范围内推进统一大市场建设，将不成比例地提升落后地区的配置效率与生产率，从而缩小地区差距、促进区域协调发展。这与"通过全国统一大市场建设促进共同富裕"的政策取向内在一致，也为第9章检验统一大市场建设的区域收敛效应提供了理论预期。其次，命题3提示改革的"次序与重点"：在资源有限的条件下，优先在市场分割最严重、要素错配最突出的地区和领域突破，能够获得最高的边际效率回报。最后，命题3也解释了一个看似矛盾的现象——尽管发达地区市场发育更成熟，但统一大市场建设的"增量红利"可能更多地体现在欠发达地区，这要求政策评估不能只看建设水平的绝对高低，更要关注其对配置效率的边际贡献。</w:t>
      </w:r>
    </w:p>
    <w:p>
      <w:pPr>
        <w:keepNext/>
        <w:spacing w:before="160" w:after="120" w:line="360" w:lineRule="auto"/>
      </w:pPr>
      <w:r>
        <w:rPr>
          <w:rFonts w:ascii="黑体" w:hAnsi="黑体" w:eastAsia="黑体"/>
          <w:sz w:val="28"/>
        </w:rPr>
        <w:t>4.7  模型的拓展、稳健性与讨论</w:t>
      </w:r>
    </w:p>
    <w:p>
      <w:pPr>
        <w:keepNext/>
        <w:spacing w:before="160" w:after="120" w:line="360" w:lineRule="auto"/>
      </w:pPr>
      <w:r>
        <w:rPr>
          <w:rFonts w:ascii="黑体" w:hAnsi="黑体" w:eastAsia="黑体"/>
          <w:sz w:val="24"/>
        </w:rPr>
        <w:t>4.7.1  要素楔子的制度来源与要素异质性</w:t>
      </w:r>
    </w:p>
    <w:p>
      <w:pPr>
        <w:spacing w:line="360" w:lineRule="auto" w:after="0"/>
        <w:ind w:firstLineChars="200" w:firstLine="480"/>
        <w:jc w:val="both"/>
      </w:pPr>
      <w:r>
        <w:rPr>
          <w:rFonts w:ascii="宋体" w:hAnsi="宋体" w:eastAsia="宋体"/>
          <w:sz w:val="24"/>
        </w:rPr>
        <w:t xml:space="preserve">前文以一般化的要素楔子 </w:t>
      </w:r>
      <m:oMath>
        <m:sSubSup>
          <m:e>
            <m:r>
              <m:t>τ</m:t>
            </m:r>
          </m:e>
          <m:sub>
            <m:r>
              <m:t>r</m:t>
            </m:r>
            <m:r>
              <m:t>s</m:t>
            </m:r>
          </m:sub>
          <m:sup>
            <m:r>
              <m:t>K</m:t>
            </m:r>
          </m:sup>
        </m:sSubSup>
        <m:r>
          <m:rPr>
            <m:sty m:val="p"/>
          </m:rPr>
          <m:t>,</m:t>
        </m:r>
        <m:sSubSup>
          <m:e>
            <m:r>
              <m:t>τ</m:t>
            </m:r>
          </m:e>
          <m:sub>
            <m:r>
              <m:t>r</m:t>
            </m:r>
            <m:r>
              <m:t>s</m:t>
            </m:r>
          </m:sub>
          <m:sup>
            <m:r>
              <m:t>L</m:t>
            </m:r>
          </m:sup>
        </m:sSubSup>
      </m:oMath>
      <w:r>
        <w:rPr>
          <w:rFonts w:ascii="宋体" w:hAnsi="宋体" w:eastAsia="宋体"/>
          <w:sz w:val="24"/>
        </w:rPr>
        <w:t xml:space="preserve"> 刻画制度性分割，这里进一步阐明其制度来源，以彰显"要素市场行政性分割"的中国特征。</w:t>
      </w:r>
      <w:r>
        <w:rPr>
          <w:rFonts w:ascii="宋体" w:hAnsi="宋体" w:eastAsia="宋体"/>
          <w:b/>
          <w:sz w:val="24"/>
        </w:rPr>
        <w:t>劳动楔子</w:t>
      </w:r>
      <w:r>
        <w:rPr>
          <w:rFonts w:ascii="宋体" w:hAnsi="宋体" w:eastAsia="宋体"/>
          <w:sz w:val="24"/>
        </w:rPr>
        <w:t xml:space="preserve"> </w:t>
      </w:r>
      <m:oMath>
        <m:sSup>
          <m:e>
            <m:r>
              <m:t>τ</m:t>
            </m:r>
          </m:e>
          <m:sup>
            <m:r>
              <m:t>L</m:t>
            </m:r>
          </m:sup>
        </m:sSup>
      </m:oMath>
      <w:r>
        <w:rPr>
          <w:rFonts w:ascii="宋体" w:hAnsi="宋体" w:eastAsia="宋体"/>
          <w:sz w:val="24"/>
        </w:rPr>
        <w:t xml:space="preserve"> 主要源于户籍制度、社会保障属地化和公共服务的地区绑定，这些制度抬高了劳动力跨区流动的成本，使欠发达地区的劳动力难以流向边际产出更高的发达地区（Tombe和Zhu，2019；刘毓芸等，2015）。</w:t>
      </w:r>
      <w:r>
        <w:rPr>
          <w:rFonts w:ascii="宋体" w:hAnsi="宋体" w:eastAsia="宋体"/>
          <w:b/>
          <w:sz w:val="24"/>
        </w:rPr>
        <w:t>资本楔子</w:t>
      </w:r>
      <w:r>
        <w:rPr>
          <w:rFonts w:ascii="宋体" w:hAnsi="宋体" w:eastAsia="宋体"/>
          <w:sz w:val="24"/>
        </w:rPr>
        <w:t xml:space="preserve"> </w:t>
      </w:r>
      <m:oMath>
        <m:sSup>
          <m:e>
            <m:r>
              <m:t>τ</m:t>
            </m:r>
          </m:e>
          <m:sup>
            <m:r>
              <m:t>K</m:t>
            </m:r>
          </m:sup>
        </m:sSup>
      </m:oMath>
      <w:r>
        <w:rPr>
          <w:rFonts w:ascii="宋体" w:hAnsi="宋体" w:eastAsia="宋体"/>
          <w:sz w:val="24"/>
        </w:rPr>
        <w:t xml:space="preserve"> 主要源于金融资源配置的属地化倾向、地方政府对信贷的隐性干预和所有制歧视，导致资本回报在地区、部门与所有制之间存在系统性差异（Wu，2018；陈永伟和胡伟民，2011）。</w:t>
      </w:r>
      <w:r>
        <w:rPr>
          <w:rFonts w:ascii="宋体" w:hAnsi="宋体" w:eastAsia="宋体"/>
          <w:b/>
          <w:sz w:val="24"/>
        </w:rPr>
        <w:t>土地楔子</w:t>
      </w:r>
      <w:r>
        <w:rPr>
          <w:rFonts w:ascii="宋体" w:hAnsi="宋体" w:eastAsia="宋体"/>
          <w:sz w:val="24"/>
        </w:rPr>
        <w:t>源于建设用地指标的行政化分配和地方政府的土地财政激励，使土地要素难以按市场效率配置（盖庆恩等，2017；曹婧，2024）。</w:t>
      </w:r>
      <w:r>
        <w:rPr>
          <w:rFonts w:ascii="宋体" w:hAnsi="宋体" w:eastAsia="宋体"/>
          <w:b/>
          <w:sz w:val="24"/>
        </w:rPr>
        <w:t>数据与技术楔子</w:t>
      </w:r>
      <w:r>
        <w:rPr>
          <w:rFonts w:ascii="宋体" w:hAnsi="宋体" w:eastAsia="宋体"/>
          <w:sz w:val="24"/>
        </w:rPr>
        <w:t xml:space="preserve">则是数字经济时代的新型分割，源于数据的地区封锁、标准不统一和技术市场的行政壁垒（戴魁早等，2023；史丹和郑玉，2024）。上述四类楔子共同构成 </w:t>
      </w:r>
      <m:oMath>
        <m:sSup>
          <m:e>
            <m:r>
              <m:t>τ</m:t>
            </m:r>
          </m:e>
          <m:sup>
            <m:r>
              <m:t>F</m:t>
            </m:r>
          </m:sup>
        </m:sSup>
      </m:oMath>
      <w:r>
        <w:rPr>
          <w:rFonts w:ascii="宋体" w:hAnsi="宋体" w:eastAsia="宋体"/>
          <w:sz w:val="24"/>
        </w:rPr>
        <w:t>，其离散度正是统一大市场建设着力压缩的对象。</w:t>
      </w:r>
    </w:p>
    <w:p>
      <w:pPr>
        <w:spacing w:line="360" w:lineRule="auto" w:after="0"/>
        <w:ind w:firstLineChars="200" w:firstLine="480"/>
        <w:jc w:val="both"/>
      </w:pPr>
      <w:r>
        <w:rPr>
          <w:rFonts w:ascii="宋体" w:hAnsi="宋体" w:eastAsia="宋体"/>
          <w:sz w:val="24"/>
        </w:rPr>
        <w:t>要素异质性意味着，不同要素市场的分割对总量效率的影响权重不同，改革的边际收益也不同。若某类要素的初始楔子离散度更大、或其产出弹性更高，则针对该要素的市场化改革具有更高的边际配置效率红利。这一推论为第5章 NUMI 分维度测度、第8章分维度异质性分析提供了理论依据，也提示统一大市场建设应识别并优先突破约束最紧的要素市场短板。</w:t>
      </w:r>
    </w:p>
    <w:p>
      <w:pPr>
        <w:keepNext/>
        <w:spacing w:before="160" w:after="120" w:line="360" w:lineRule="auto"/>
      </w:pPr>
      <w:r>
        <w:rPr>
          <w:rFonts w:ascii="黑体" w:hAnsi="黑体" w:eastAsia="黑体"/>
          <w:sz w:val="24"/>
        </w:rPr>
        <w:t>4.7.2  动态视角与调整成本</w:t>
      </w:r>
    </w:p>
    <w:p>
      <w:pPr>
        <w:spacing w:line="360" w:lineRule="auto" w:after="0"/>
        <w:ind w:firstLineChars="200" w:firstLine="480"/>
        <w:jc w:val="both"/>
      </w:pPr>
      <w:r>
        <w:rPr>
          <w:rFonts w:ascii="宋体" w:hAnsi="宋体" w:eastAsia="宋体"/>
          <w:sz w:val="24"/>
        </w:rPr>
        <w:t>静态模型刻画了长期均衡下的配置效率，但现实中要素再配置伴随调整成本，制度改革的效应亦需时间释放。引入调整成本后，统一大市场建设对配置效率的影响将呈现动态特征：短期内，壁垒削减触发要素重新配置，但受调整成本约束，效应有限；中长期，随着要素逐步流向高效率部门、低效企业退出、新企业进入，配置效率的改善持续累积并可能加速。这一动态过程为第9章以事件研究刻画统一大市场建设效应的时间路径提供了理论预期——效应应在政策冲击后逐步显现并增强，而非瞬时完成。此外，预期与承诺也很重要：可信的、稳定的统一大市场制度安排能够引导市场主体形成长期预期，降低跨区投资的不确定性，从而放大配置效率红利（Qian和Weingast，1997）。</w:t>
      </w:r>
    </w:p>
    <w:p>
      <w:pPr>
        <w:keepNext/>
        <w:spacing w:before="160" w:after="120" w:line="360" w:lineRule="auto"/>
      </w:pPr>
      <w:r>
        <w:rPr>
          <w:rFonts w:ascii="黑体" w:hAnsi="黑体" w:eastAsia="黑体"/>
          <w:sz w:val="24"/>
        </w:rPr>
        <w:t>4.7.3  政治经济学微观基础</w:t>
      </w:r>
    </w:p>
    <w:p>
      <w:pPr>
        <w:spacing w:line="360" w:lineRule="auto" w:after="0"/>
        <w:ind w:firstLineChars="200" w:firstLine="480"/>
        <w:jc w:val="both"/>
      </w:pPr>
      <w:r>
        <w:rPr>
          <w:rFonts w:ascii="宋体" w:hAnsi="宋体" w:eastAsia="宋体"/>
          <w:sz w:val="24"/>
        </w:rPr>
        <w:t>要素楔子并非外生给定，而是地方政府在特定激励结构下理性选择的结果。在财政分权与以经济增长为核心的晋升激励下，地方政府具有维持市场分割、保护本地税基与就业的动机（周黎安，2007；傅勇和张晏，2007）。因此，统一大市场建设的实质，是通过改变地方政府的激励约束（如改革政绩考核、建立跨区利益补偿机制）来内生地降低楔子。这意味着，仅从技术层面推进"设施联通"而不触动地方保护的激励根源，难以根本消除要素市场的行政性分割。这一政治经济学视角为第10章"健全激励相容机制"的政策主张提供了理论支撑，也解释了为何统一大市场建设是一项需要"立柱破壁"的深层次改革。</w:t>
      </w:r>
    </w:p>
    <w:p>
      <w:pPr>
        <w:keepNext/>
        <w:spacing w:before="160" w:after="120" w:line="360" w:lineRule="auto"/>
      </w:pPr>
      <w:r>
        <w:rPr>
          <w:rFonts w:ascii="黑体" w:hAnsi="黑体" w:eastAsia="黑体"/>
          <w:sz w:val="24"/>
        </w:rPr>
        <w:t>4.7.4  与既有模型的关系及稳健性</w:t>
      </w:r>
    </w:p>
    <w:p>
      <w:pPr>
        <w:spacing w:line="360" w:lineRule="auto" w:after="0"/>
        <w:ind w:firstLineChars="200" w:firstLine="480"/>
        <w:jc w:val="both"/>
      </w:pPr>
      <w:r>
        <w:rPr>
          <w:rFonts w:ascii="宋体" w:hAnsi="宋体" w:eastAsia="宋体"/>
          <w:sz w:val="24"/>
        </w:rPr>
        <w:t xml:space="preserve">本章模型是Hsieh和Klenow，2009静态错配核算与（Tombe和Zhu，2019；Fujita等，1999）空间一般均衡的融合与拓展。相较Hsieh和Klenow，2009仅关注企业间错配，本章突出了要素市场行政性分割这一制度性来源，并将其与商品市场冰山成本统一在同一框架；相较标准新经济地理模型，本章的创新在于将统一大市场建设 </w:t>
      </w:r>
      <m:oMath>
        <m:r>
          <m:t>m</m:t>
        </m:r>
      </m:oMath>
      <w:r>
        <w:rPr>
          <w:rFonts w:ascii="宋体" w:hAnsi="宋体" w:eastAsia="宋体"/>
          <w:sz w:val="24"/>
        </w:rPr>
        <w:t xml:space="preserve"> 显式内生化为对分割离散度的比例压缩，从而直接推导出可测度、可检验的配置效率红利。就稳健性而言，核心结论（命题1—3）不依赖于 CES 的具体参数，只要总量生产率是分割离散度的减函数、且建设对离散度的削减不完全独立于初始水平即可成立；放松规模报酬不变假设（如引入可变加成率）会改变损失的具体量级，但不改变定性方向，这与龚关和胡关亮，2013的经验发现一致。</w:t>
      </w:r>
    </w:p>
    <w:p>
      <w:pPr>
        <w:keepNext/>
        <w:spacing w:before="160" w:after="120" w:line="360" w:lineRule="auto"/>
      </w:pPr>
      <w:r>
        <w:rPr>
          <w:rFonts w:ascii="黑体" w:hAnsi="黑体" w:eastAsia="黑体"/>
          <w:sz w:val="24"/>
        </w:rPr>
        <w:t>4.7.5  数值校准：效率损失的量级</w:t>
      </w:r>
    </w:p>
    <w:p>
      <w:pPr>
        <w:spacing w:line="360" w:lineRule="auto" w:after="0"/>
        <w:ind w:firstLineChars="200" w:firstLine="480"/>
        <w:jc w:val="both"/>
      </w:pPr>
      <w:r>
        <w:rPr>
          <w:rFonts w:ascii="宋体" w:hAnsi="宋体" w:eastAsia="宋体"/>
          <w:sz w:val="24"/>
        </w:rPr>
        <w:t xml:space="preserve">为直观理解模型的经济含义，可对式(4-8)作简单数值校准。取产品替代弹性 </w:t>
      </w:r>
      <m:oMath>
        <m:r>
          <m:t>σ</m:t>
        </m:r>
        <m:r>
          <m:rPr>
            <m:sty m:val="p"/>
          </m:rPr>
          <m:t>=</m:t>
        </m:r>
        <m:r>
          <m:t>3</m:t>
        </m:r>
      </m:oMath>
      <w:r>
        <w:rPr>
          <w:rFonts w:ascii="宋体" w:hAnsi="宋体" w:eastAsia="宋体"/>
          <w:sz w:val="24"/>
        </w:rPr>
        <w:t xml:space="preserve">（这是资源错配文献的常用取值，见（Hsieh和Klenow，2009；龚关和胡关亮，2013）），则要素市场分割造成的全要素生产率损失近似为 </w:t>
      </w:r>
      <m:oMath>
        <m:r>
          <m:t>1</m:t>
        </m:r>
        <m:r>
          <m:rPr>
            <m:sty m:val="p"/>
          </m:rPr>
          <m:t>−</m:t>
        </m:r>
        <m:r>
          <m:rPr>
            <m:sty m:val="p"/>
          </m:rPr>
          <m:t>exp</m:t>
        </m:r>
        <m:r>
          <m:t>​</m:t>
        </m:r>
        <m:d>
          <m:dPr>
            <m:begChr m:val="["/>
            <m:endChr m:val="]"/>
            <m:sepChr m:val=""/>
            <m:grow/>
          </m:dPr>
          <m:e>
            <m:r>
              <m:rPr>
                <m:sty m:val="p"/>
              </m:rPr>
              <m:t>−</m:t>
            </m:r>
            <m:f>
              <m:fPr>
                <m:type m:val="lin"/>
              </m:fPr>
              <m:num>
                <m:r>
                  <m:t>1</m:t>
                </m:r>
              </m:num>
              <m:den>
                <m:r>
                  <m:t>2</m:t>
                </m:r>
              </m:den>
            </m:f>
            <m:d>
              <m:dPr>
                <m:begChr m:val="("/>
                <m:endChr m:val=")"/>
                <m:sepChr m:val=""/>
                <m:grow/>
              </m:dPr>
              <m:e>
                <m:r>
                  <m:t>σ</m:t>
                </m:r>
                <m:r>
                  <m:rPr>
                    <m:sty m:val="p"/>
                  </m:rPr>
                  <m:t>−</m:t>
                </m:r>
                <m:r>
                  <m:t>1</m:t>
                </m:r>
              </m:e>
            </m:d>
            <m:r>
              <m:rPr>
                <m:sty m:val="p"/>
              </m:rPr>
              <m:t>V</m:t>
            </m:r>
            <m:r>
              <m:rPr>
                <m:sty m:val="p"/>
              </m:rPr>
              <m:t>a</m:t>
            </m:r>
            <m:r>
              <m:rPr>
                <m:sty m:val="p"/>
              </m:rPr>
              <m:t>r</m:t>
            </m:r>
            <m:d>
              <m:dPr>
                <m:begChr m:val="("/>
                <m:endChr m:val=")"/>
                <m:sepChr m:val=""/>
                <m:grow/>
              </m:dPr>
              <m:e>
                <m:r>
                  <m:rPr>
                    <m:sty m:val="p"/>
                  </m:rPr>
                  <m:t>ln</m:t>
                </m:r>
                <m:sSup>
                  <m:e>
                    <m:r>
                      <m:t>τ</m:t>
                    </m:r>
                  </m:e>
                  <m:sup>
                    <m:r>
                      <m:t>F</m:t>
                    </m:r>
                  </m:sup>
                </m:sSup>
              </m:e>
            </m:d>
          </m:e>
        </m:d>
        <m:r>
          <m:rPr>
            <m:sty m:val="p"/>
          </m:rPr>
          <m:t>=</m:t>
        </m:r>
        <m:r>
          <m:t>1</m:t>
        </m:r>
        <m:r>
          <m:rPr>
            <m:sty m:val="p"/>
          </m:rPr>
          <m:t>−</m:t>
        </m:r>
        <m:r>
          <m:rPr>
            <m:sty m:val="p"/>
          </m:rPr>
          <m:t>exp</m:t>
        </m:r>
        <m:r>
          <m:t>​</m:t>
        </m:r>
        <m:d>
          <m:dPr>
            <m:begChr m:val="["/>
            <m:endChr m:val="]"/>
            <m:sepChr m:val=""/>
            <m:grow/>
          </m:dPr>
          <m:e>
            <m:r>
              <m:rPr>
                <m:sty m:val="p"/>
              </m:rPr>
              <m:t>−</m:t>
            </m:r>
            <m:r>
              <m:rPr>
                <m:sty m:val="p"/>
              </m:rPr>
              <m:t>V</m:t>
            </m:r>
            <m:r>
              <m:rPr>
                <m:sty m:val="p"/>
              </m:rPr>
              <m:t>a</m:t>
            </m:r>
            <m:r>
              <m:rPr>
                <m:sty m:val="p"/>
              </m:rPr>
              <m:t>r</m:t>
            </m:r>
            <m:d>
              <m:dPr>
                <m:begChr m:val="("/>
                <m:endChr m:val=")"/>
                <m:sepChr m:val=""/>
                <m:grow/>
              </m:dPr>
              <m:e>
                <m:r>
                  <m:rPr>
                    <m:sty m:val="p"/>
                  </m:rPr>
                  <m:t>ln</m:t>
                </m:r>
                <m:sSup>
                  <m:e>
                    <m:r>
                      <m:t>τ</m:t>
                    </m:r>
                  </m:e>
                  <m:sup>
                    <m:r>
                      <m:t>F</m:t>
                    </m:r>
                  </m:sup>
                </m:sSup>
              </m:e>
            </m:d>
          </m:e>
        </m:d>
      </m:oMath>
      <w:r>
        <w:rPr>
          <w:rFonts w:ascii="宋体" w:hAnsi="宋体" w:eastAsia="宋体"/>
          <w:sz w:val="24"/>
        </w:rPr>
        <w:t xml:space="preserve">。据第6章的测算，中国省际要素楔子的对数方差在样本初期约为0.5、样本末期约为0.3。代入上式，要素市场分割造成的全要素生产率损失在样本初期约为 </w:t>
      </w:r>
      <m:oMath>
        <m:r>
          <m:t>1</m:t>
        </m:r>
        <m:r>
          <m:rPr>
            <m:sty m:val="p"/>
          </m:rPr>
          <m:t>−</m:t>
        </m:r>
        <m:sSup>
          <m:e>
            <m:r>
              <m:t>e</m:t>
            </m:r>
          </m:e>
          <m:sup>
            <m:r>
              <m:rPr>
                <m:sty m:val="p"/>
              </m:rPr>
              <m:t>−</m:t>
            </m:r>
            <m:r>
              <m:t>0.5</m:t>
            </m:r>
          </m:sup>
        </m:sSup>
        <m:r>
          <m:rPr>
            <m:sty m:val="p"/>
          </m:rPr>
          <m:t>≈</m:t>
        </m:r>
        <m:r>
          <m:t>39</m:t>
        </m:r>
        <m:r>
          <m:rPr>
            <m:sty m:val="p"/>
          </m:rPr>
          <m:t>%</m:t>
        </m:r>
      </m:oMath>
      <w:r>
        <w:rPr>
          <w:rFonts w:ascii="宋体" w:hAnsi="宋体" w:eastAsia="宋体"/>
          <w:sz w:val="24"/>
        </w:rPr>
        <w:t xml:space="preserve">，末期约为 </w:t>
      </w:r>
      <m:oMath>
        <m:r>
          <m:t>1</m:t>
        </m:r>
        <m:r>
          <m:rPr>
            <m:sty m:val="p"/>
          </m:rPr>
          <m:t>−</m:t>
        </m:r>
        <m:sSup>
          <m:e>
            <m:r>
              <m:t>e</m:t>
            </m:r>
          </m:e>
          <m:sup>
            <m:r>
              <m:rPr>
                <m:sty m:val="p"/>
              </m:rPr>
              <m:t>−</m:t>
            </m:r>
            <m:r>
              <m:t>0.3</m:t>
            </m:r>
          </m:sup>
        </m:sSup>
        <m:r>
          <m:rPr>
            <m:sty m:val="p"/>
          </m:rPr>
          <m:t>≈</m:t>
        </m:r>
        <m:r>
          <m:t>26</m:t>
        </m:r>
        <m:r>
          <m:rPr>
            <m:sty m:val="p"/>
          </m:rPr>
          <m:t>%</m:t>
        </m:r>
      </m:oMath>
      <w:r>
        <w:rPr>
          <w:rFonts w:ascii="宋体" w:hAnsi="宋体" w:eastAsia="宋体"/>
          <w:sz w:val="24"/>
        </w:rPr>
        <w:t>。</w:t>
      </w:r>
    </w:p>
    <w:p>
      <w:pPr>
        <w:spacing w:line="360" w:lineRule="auto" w:after="0"/>
        <w:ind w:firstLineChars="200" w:firstLine="480"/>
        <w:jc w:val="both"/>
      </w:pPr>
      <w:r>
        <w:rPr>
          <w:rFonts w:ascii="宋体" w:hAnsi="宋体" w:eastAsia="宋体"/>
          <w:sz w:val="24"/>
        </w:rPr>
        <w:t>这一量级与Hsieh和Klenow，2009关于中国制造业错配的经典估计（若降至美国水平 TFP 可提升30%~50%）高度吻合，也与第6章基于反事实核算得到的效率损失（由约41%降至约25%）相互印证。数值校准表明：其一，市场分割造成的效率损失是"第一序"的、数量级可观的，破除分割具有巨大的潜在生产率红利；其二，损失随分割离散度下降而收窄，与统一大市场建设的现实进程一致；其三，即便到样本末期仍有约四分之一的效率损失有待释放，说明统一大市场建设远未完成，改革仍有可观空间。这为本书的现实关切提供了量化支撑。</w:t>
      </w:r>
    </w:p>
    <w:p>
      <w:pPr>
        <w:keepNext/>
        <w:spacing w:before="160" w:after="120" w:line="360" w:lineRule="auto"/>
      </w:pPr>
      <w:r>
        <w:rPr>
          <w:rFonts w:ascii="黑体" w:hAnsi="黑体" w:eastAsia="黑体"/>
          <w:sz w:val="24"/>
        </w:rPr>
        <w:t>4.7.6  福利含义与一般均衡视角</w:t>
      </w:r>
    </w:p>
    <w:p>
      <w:pPr>
        <w:spacing w:line="360" w:lineRule="auto" w:after="0"/>
        <w:ind w:firstLineChars="200" w:firstLine="480"/>
        <w:jc w:val="both"/>
      </w:pPr>
      <w:r>
        <w:rPr>
          <w:rFonts w:ascii="宋体" w:hAnsi="宋体" w:eastAsia="宋体"/>
          <w:sz w:val="24"/>
        </w:rPr>
        <w:t>前文以总量全要素生产率刻画统一大市场建设的效率红利，但其福利含义更为丰富。在一般均衡中，市场分割的削减不仅提高总产出，还通过要素价格的重新调整影响收入分配。当劳动楔子下降、劳动力得以从低边际产出地区流向高边际产出地区时，欠发达地区的劳动力获得更高的工资回报，发达地区的资本获得更充分的劳动配合，双方福利均可改善——这正是统一大市场"帕累托改进"潜力的来源。Tombe和Zhu，2019的量化研究表明，削减中国内部的贸易与迁移壁垒能够同时提高总量生产率与地区间的福利均等程度，与本书的理论预期一致。</w:t>
      </w:r>
    </w:p>
    <w:p>
      <w:pPr>
        <w:spacing w:line="360" w:lineRule="auto" w:after="0"/>
        <w:ind w:firstLineChars="200" w:firstLine="480"/>
        <w:jc w:val="both"/>
      </w:pPr>
      <w:r>
        <w:rPr>
          <w:rFonts w:ascii="宋体" w:hAnsi="宋体" w:eastAsia="宋体"/>
          <w:sz w:val="24"/>
        </w:rPr>
        <w:t>需要区分两类效率：一是"配置效率"（allocative efficiency），即既定要素在不同用途间的配置是否使总产出最大化，这是本书的核心；二是"生产效率"（productive efficiency），即既定配置下的技术效率。市场分割主要损害配置效率，但通过抑制竞争、保护落后产能，也会间接损害生产效率——被保护的低效企业得以存续，延缓了"创造性破坏"。因此，统一大市场建设的福利收益是双重的：既通过要素再配置提高配置效率，又通过强化竞争提升生产效率（Melitz，2003；Aghion等，2005）。这一区分为第8章从"要素流动"与"竞争淘汰"两条机制分别检验统一大市场建设效应提供了理论依据。</w:t>
      </w:r>
    </w:p>
    <w:p>
      <w:pPr>
        <w:spacing w:line="360" w:lineRule="auto" w:after="0"/>
        <w:ind w:firstLineChars="200" w:firstLine="480"/>
        <w:jc w:val="both"/>
      </w:pPr>
      <w:r>
        <w:rPr>
          <w:rFonts w:ascii="宋体" w:hAnsi="宋体" w:eastAsia="宋体"/>
          <w:sz w:val="24"/>
        </w:rPr>
        <w:t>从一般均衡视角看，还需警惕两类可能削弱效率红利的力量。其一是"第二优"问题：当经济中存在多重扭曲时，仅消除某一类市场分割未必带来效率改进，甚至可能因扭曲间的相互作用而适得其反，这要求统一大市场建设"系统集成、协同推进"，与命题2的互补性结论相呼应。其二是要素禀赋与集聚的张力：要素向高效率地区集中虽提高总量效率，但也可能加剧空间集聚与地区间人均差距（Krugman，1991；Fujita等，1999）。不过，如命题3所示，统一大市场建设对欠发达地区的边际红利更大，加之劳动力自由流动本身即是缩小人均差距的机制（陆铭，2016），因此在中国的现实条件下，统一大市场建设更可能是"效率与公平兼得"的改革。这一判断将在第9章的区域收敛分析中得到检验。</w:t>
      </w:r>
    </w:p>
    <w:p>
      <w:pPr>
        <w:keepNext/>
        <w:spacing w:before="160" w:after="120" w:line="360" w:lineRule="auto"/>
      </w:pPr>
      <w:r>
        <w:rPr>
          <w:rFonts w:ascii="黑体" w:hAnsi="黑体" w:eastAsia="黑体"/>
          <w:sz w:val="28"/>
        </w:rPr>
        <w:t>4.8  从理论到实证：可识别的推论</w:t>
      </w:r>
    </w:p>
    <w:p>
      <w:pPr>
        <w:spacing w:line="360" w:lineRule="auto" w:after="0"/>
        <w:ind w:firstLineChars="200" w:firstLine="480"/>
        <w:jc w:val="both"/>
      </w:pPr>
      <w:r>
        <w:rPr>
          <w:rFonts w:ascii="宋体" w:hAnsi="宋体" w:eastAsia="宋体"/>
          <w:sz w:val="24"/>
        </w:rPr>
        <w:t>上述模型为后续实证提供了三条可识别的推论。</w:t>
      </w:r>
      <w:r>
        <w:rPr>
          <w:rFonts w:ascii="宋体" w:hAnsi="宋体" w:eastAsia="宋体"/>
          <w:b/>
          <w:sz w:val="24"/>
        </w:rPr>
        <w:t>推论一（基准效应）</w:t>
      </w:r>
      <w:r>
        <w:rPr>
          <w:rFonts w:ascii="宋体" w:hAnsi="宋体" w:eastAsia="宋体"/>
          <w:sz w:val="24"/>
        </w:rPr>
        <w:t xml:space="preserve">：由命题1，地区统一大市场建设水平 </w:t>
      </w:r>
      <m:oMath>
        <m:r>
          <m:t>m</m:t>
        </m:r>
      </m:oMath>
      <w:r>
        <w:rPr>
          <w:rFonts w:ascii="宋体" w:hAnsi="宋体" w:eastAsia="宋体"/>
          <w:sz w:val="24"/>
        </w:rPr>
        <w:t>（NUMI）与要素配置效率、全要素生产率正相关，这构成第7章的基准回归假说。</w:t>
      </w:r>
      <w:r>
        <w:rPr>
          <w:rFonts w:ascii="宋体" w:hAnsi="宋体" w:eastAsia="宋体"/>
          <w:b/>
          <w:sz w:val="24"/>
        </w:rPr>
        <w:t>推论二（机制）</w:t>
      </w:r>
      <w:r>
        <w:rPr>
          <w:rFonts w:ascii="宋体" w:hAnsi="宋体" w:eastAsia="宋体"/>
          <w:sz w:val="24"/>
        </w:rPr>
        <w:t>：由式(4-8)—(4-11)，建设水平通过压缩要素楔子离散度提升效率，而离散度的压缩又依赖要素跨区流动增强、低效企业退出、创新与专业化深化等中间过程，这为第8章的机制检验（要素流动、竞争淘汰、创新激励）提供了理论指引。</w:t>
      </w:r>
    </w:p>
    <w:p>
      <w:pPr>
        <w:spacing w:line="360" w:lineRule="auto" w:after="0"/>
        <w:ind w:firstLineChars="200" w:firstLine="480"/>
        <w:jc w:val="both"/>
      </w:pPr>
      <w:r>
        <w:rPr>
          <w:rFonts w:ascii="宋体" w:hAnsi="宋体" w:eastAsia="宋体"/>
          <w:b/>
          <w:sz w:val="24"/>
        </w:rPr>
        <w:t>推论三（异质性与识别）</w:t>
      </w:r>
      <w:r>
        <w:rPr>
          <w:rFonts w:ascii="宋体" w:hAnsi="宋体" w:eastAsia="宋体"/>
          <w:sz w:val="24"/>
        </w:rPr>
        <w:t>：由命题3，效应在初始分割程度较高的地区更强，这既是第8章异质性分析的假说，也提示可利用初始分割程度作为处理强度、以2022年《意见》为时点构造双重差分（第9章）。此外，由于楔子的可观测对应物是边际收益产品的离散度，式(4-6)表明可用价格离散度与要素回报离散度来间接识别不可观测的制度性楔子，这为第6章的错配测度提供了桥梁。</w:t>
      </w:r>
    </w:p>
    <w:p>
      <w:pPr>
        <w:spacing w:line="360" w:lineRule="auto" w:after="0"/>
        <w:ind w:firstLineChars="200" w:firstLine="480"/>
        <w:jc w:val="both"/>
      </w:pPr>
      <w:r>
        <w:rPr>
          <w:rFonts w:ascii="宋体" w:hAnsi="宋体" w:eastAsia="宋体"/>
          <w:sz w:val="24"/>
        </w:rPr>
        <w:t>值得强调的是，模型中要素配置效率的改善并非源于要素总量的增加，而是源于既有要素在地区、部门与企业间的重新配置——这正是"配置效率"区别于"要素积累"的关键，也是统一大市场建设作为一种"制度性生产率"来源的独特价值所在（Restuccia和Rogerson，2017；蔡昉，2021）。</w:t>
      </w:r>
    </w:p>
    <w:p>
      <w:pPr>
        <w:spacing w:line="360" w:lineRule="auto" w:after="0"/>
        <w:ind w:firstLineChars="200" w:firstLine="480"/>
        <w:jc w:val="both"/>
      </w:pPr>
      <w:r>
        <w:rPr>
          <w:rFonts w:ascii="宋体" w:hAnsi="宋体" w:eastAsia="宋体"/>
          <w:sz w:val="24"/>
        </w:rPr>
        <w:t xml:space="preserve">将理论推论转化为可信的经验证据，还需克服若干识别挑战。首先是内生性：统一大市场建设水平 </w:t>
      </w:r>
      <m:oMath>
        <m:r>
          <m:t>m</m:t>
        </m:r>
      </m:oMath>
      <w:r>
        <w:rPr>
          <w:rFonts w:ascii="宋体" w:hAnsi="宋体" w:eastAsia="宋体"/>
          <w:sz w:val="24"/>
        </w:rPr>
        <w:t xml:space="preserve"> 可能与地区的其他特征（如经济发展水平、对外开放程度）相关，也可能与配置效率互为因果（配置效率高的地区更有能力推进市场一体化）。为此，本书在基准回归中控制地区与年份固定效应及一系列时变特征，并进一步采用以地形起伏度为基础的工具变量、以2022年《意见》为冲击的多期双重差分等策略缓解内生性（第9章）。其次是测量：制度性楔子与配置效率均为潜变量，需借助可观测代理加以度量，测量误差可能造成衰减偏误，本书通过多种测度方式的交叉验证加以应对。最后是机制识别：验证"统一大市场建设→要素再配置→效率提升"的完整链条，需要分别检验各中间环节，本书在第8章通过对要素流动、企业进入退出、创新产出等中介变量的分析予以落实。通过上述设计，本书力求在理论逻辑与经验证据之间建立起严密、可信的对应关系，使"顶天"的理论与"立地"的实证相互支撑。</w:t>
      </w:r>
    </w:p>
    <w:p>
      <w:pPr>
        <w:keepNext/>
        <w:spacing w:before="160" w:after="120" w:line="360" w:lineRule="auto"/>
      </w:pPr>
      <w:r>
        <w:rPr>
          <w:rFonts w:ascii="黑体" w:hAnsi="黑体" w:eastAsia="黑体"/>
          <w:sz w:val="28"/>
        </w:rPr>
        <w:t>4.8  本章小结</w:t>
      </w:r>
    </w:p>
    <w:p>
      <w:pPr>
        <w:spacing w:line="360" w:lineRule="auto" w:after="0"/>
        <w:ind w:firstLineChars="200" w:firstLine="480"/>
        <w:jc w:val="both"/>
      </w:pPr>
      <w:r>
        <w:rPr>
          <w:rFonts w:ascii="宋体" w:hAnsi="宋体" w:eastAsia="宋体"/>
          <w:sz w:val="24"/>
        </w:rPr>
        <w:t>本章构建了一个包含商品市场冰山成本与要素市场行政性壁垒的多地区—多部门空间一般均衡模型，将全国统一大市场建设刻画为对两类制度性摩擦的同时削减，并通过数理推导得到三条核心命题：命题1表明总量全要素生产率是市场分割离散度的减函数，统一大市场建设通过降低错配提升效率；命题2表明商品市场整合与要素市场整合具有互补性，须协同推进；命题3表明建设的边际效率红利随初始分割程度递增，欠发达地区改进空间更大。这三条命题构成全书实证研究的理论主线：第5章测度建设水平（</w:t>
      </w:r>
      <m:oMath>
        <m:r>
          <m:t>m</m:t>
        </m:r>
      </m:oMath>
      <w:r>
        <w:rPr>
          <w:rFonts w:ascii="宋体" w:hAnsi="宋体" w:eastAsia="宋体"/>
          <w:sz w:val="24"/>
        </w:rPr>
        <w:t>），第6章测度错配与效率损失（</w:t>
      </w:r>
      <m:oMath>
        <m:r>
          <m:rPr>
            <m:sty m:val="p"/>
          </m:rPr>
          <m:t>V</m:t>
        </m:r>
        <m:r>
          <m:rPr>
            <m:sty m:val="p"/>
          </m:rPr>
          <m:t>a</m:t>
        </m:r>
        <m:r>
          <m:rPr>
            <m:sty m:val="p"/>
          </m:rPr>
          <m:t>r</m:t>
        </m:r>
        <m:d>
          <m:dPr>
            <m:begChr m:val="("/>
            <m:endChr m:val=")"/>
            <m:sepChr m:val=""/>
            <m:grow/>
          </m:dPr>
          <m:e>
            <m:r>
              <m:rPr>
                <m:sty m:val="p"/>
              </m:rPr>
              <m:t>ln</m:t>
            </m:r>
            <m:r>
              <m:t>τ</m:t>
            </m:r>
          </m:e>
        </m:d>
      </m:oMath>
      <w:r>
        <w:rPr>
          <w:rFonts w:ascii="宋体" w:hAnsi="宋体" w:eastAsia="宋体"/>
          <w:sz w:val="24"/>
        </w:rPr>
        <w:t>），第7—9章检验建设水平对配置效率的因果效应、作用机制与异质性。理论与经验由此形成闭环。</w:t>
      </w:r>
    </w:p>
    <w:p>
      <w:r>
        <w:br w:type="page"/>
      </w:r>
    </w:p>
    <w:p>
      <w:pPr>
        <w:keepNext/>
        <w:spacing w:before="240" w:after="160" w:line="360" w:lineRule="auto"/>
        <w:jc w:val="center"/>
      </w:pPr>
      <w:r>
        <w:rPr>
          <w:rFonts w:ascii="黑体" w:hAnsi="黑体" w:eastAsia="黑体"/>
          <w:b/>
          <w:sz w:val="30"/>
        </w:rPr>
        <w:t>第5章  全国统一大市场建设水平的测度体系与时空演变</w:t>
      </w:r>
    </w:p>
    <w:p>
      <w:pPr>
        <w:spacing w:line="360" w:lineRule="auto" w:after="0"/>
        <w:ind w:firstLineChars="200" w:firstLine="480"/>
        <w:jc w:val="both"/>
      </w:pPr>
      <w:r>
        <w:rPr>
          <w:rFonts w:ascii="宋体" w:hAnsi="宋体" w:eastAsia="宋体"/>
          <w:sz w:val="24"/>
        </w:rPr>
        <w:t>科学测度全国统一大市场建设水平，是评估其经济效应、诊断区域短板、指导改革实践的前提。既有研究或以相对价格法测度的市场分割指数刻画商品市场一体化（桂琦寒等，2006；张昊，2020），或以市场化总指数刻画制度环境（王小鲁等，2021），但均难以全面反映统一大市场"五统一"的丰富内涵，尤其忽视了要素市场的行政性分割。本章构建一个涵盖商品、劳动力、资本、土地、技术与数据、制度环境六个维度的"全国统一大市场建设指数"（National Unified Market Index，NUMI），并刻画其2006—2023年的时空演变格局。</w:t>
      </w:r>
    </w:p>
    <w:p>
      <w:pPr>
        <w:keepNext/>
        <w:spacing w:before="160" w:after="120" w:line="360" w:lineRule="auto"/>
      </w:pPr>
      <w:r>
        <w:rPr>
          <w:rFonts w:ascii="黑体" w:hAnsi="黑体" w:eastAsia="黑体"/>
          <w:sz w:val="28"/>
        </w:rPr>
        <w:t>5.1  测度思路与指标体系构建</w:t>
      </w:r>
    </w:p>
    <w:p>
      <w:pPr>
        <w:spacing w:line="360" w:lineRule="auto" w:after="0"/>
        <w:ind w:firstLineChars="200" w:firstLine="480"/>
        <w:jc w:val="both"/>
      </w:pPr>
      <w:r>
        <w:rPr>
          <w:rFonts w:ascii="宋体" w:hAnsi="宋体" w:eastAsia="宋体"/>
          <w:sz w:val="24"/>
        </w:rPr>
        <w:t>统一大市场建设是一个多维度的系统工程。根据2022年《意见》提出的"五统一"以及要素市场化配置改革的要求，本书认为，测度统一大市场建设水平应同时兼顾商品市场与要素市场、结果性指标与制度性指标。据此，NUMI 从六个维度刻画一个地区融入全国统一大市场的程度：商品市场一体化、劳动力市场一体化、资本市场一体化、土地市场一体化、技术与数据市场一体化，以及市场制度环境一体化。前五个维度对应"要素和资源市场统一"与"商品和服务市场高水平统一"，第六个维度对应"市场基础制度规则统一"与"市场监管公平统一"。指标体系的层次结构如图5.1所示。</w:t>
      </w:r>
    </w:p>
    <w:p>
      <w:pPr>
        <w:spacing w:before="120" w:after="40"/>
        <w:jc w:val="center"/>
      </w:pPr>
      <w:r>
        <w:drawing>
          <wp:inline xmlns:a="http://schemas.openxmlformats.org/drawingml/2006/main" xmlns:pic="http://schemas.openxmlformats.org/drawingml/2006/picture">
            <wp:extent cx="4860000" cy="2472852"/>
            <wp:docPr id="10" name="Picture 10"/>
            <wp:cNvGraphicFramePr>
              <a:graphicFrameLocks noChangeAspect="1"/>
            </wp:cNvGraphicFramePr>
            <a:graphic>
              <a:graphicData uri="http://schemas.openxmlformats.org/drawingml/2006/picture">
                <pic:pic>
                  <pic:nvPicPr>
                    <pic:cNvPr id="0" name="fig5_1.png"/>
                    <pic:cNvPicPr/>
                  </pic:nvPicPr>
                  <pic:blipFill>
                    <a:blip r:embed="rId18"/>
                    <a:stretch>
                      <a:fillRect/>
                    </a:stretch>
                  </pic:blipFill>
                  <pic:spPr>
                    <a:xfrm>
                      <a:off x="0" y="0"/>
                      <a:ext cx="4860000" cy="2472852"/>
                    </a:xfrm>
                    <a:prstGeom prst="rect"/>
                  </pic:spPr>
                </pic:pic>
              </a:graphicData>
            </a:graphic>
          </wp:inline>
        </w:drawing>
      </w:r>
    </w:p>
    <w:p>
      <w:pPr>
        <w:keepNext w:val="0"/>
        <w:spacing w:after="200"/>
        <w:jc w:val="center"/>
      </w:pPr>
      <w:r>
        <w:rPr>
          <w:rFonts w:ascii="黑体" w:hAnsi="黑体" w:eastAsia="黑体"/>
          <w:sz w:val="21"/>
        </w:rPr>
        <w:t>图5.1  全国统一大市场建设指数（NUMI）的指标体系</w:t>
      </w:r>
    </w:p>
    <w:p>
      <w:pPr>
        <w:spacing w:line="360" w:lineRule="auto" w:after="0"/>
        <w:ind w:firstLineChars="200" w:firstLine="480"/>
        <w:jc w:val="both"/>
      </w:pPr>
      <w:r>
        <w:rPr>
          <w:rFonts w:ascii="宋体" w:hAnsi="宋体" w:eastAsia="宋体"/>
          <w:sz w:val="24"/>
        </w:rPr>
        <w:t>各维度的二级指标设计如下。</w:t>
      </w:r>
      <w:r>
        <w:rPr>
          <w:rFonts w:ascii="宋体" w:hAnsi="宋体" w:eastAsia="宋体"/>
          <w:b/>
          <w:sz w:val="24"/>
        </w:rPr>
        <w:t>商品市场一体化</w:t>
      </w:r>
      <w:r>
        <w:rPr>
          <w:rFonts w:ascii="宋体" w:hAnsi="宋体" w:eastAsia="宋体"/>
          <w:sz w:val="24"/>
        </w:rPr>
        <w:t>以相对价格法测度的市场分割指数（逆向）和省际贸易强度衡量，分割越弱、省际贸易越活跃，一体化程度越高。</w:t>
      </w:r>
      <w:r>
        <w:rPr>
          <w:rFonts w:ascii="宋体" w:hAnsi="宋体" w:eastAsia="宋体"/>
          <w:b/>
          <w:sz w:val="24"/>
        </w:rPr>
        <w:t>劳动力市场一体化</w:t>
      </w:r>
      <w:r>
        <w:rPr>
          <w:rFonts w:ascii="宋体" w:hAnsi="宋体" w:eastAsia="宋体"/>
          <w:sz w:val="24"/>
        </w:rPr>
        <w:t>以跨省流动人口占比、地区间工资收敛程度和户籍开放度衡量，刻画劳动力跨区流动的自由程度（刘毓芸等，2015；Tombe和Zhu，2019）。</w:t>
      </w:r>
      <w:r>
        <w:rPr>
          <w:rFonts w:ascii="宋体" w:hAnsi="宋体" w:eastAsia="宋体"/>
          <w:b/>
          <w:sz w:val="24"/>
        </w:rPr>
        <w:t>资本市场一体化</w:t>
      </w:r>
      <w:r>
        <w:rPr>
          <w:rFonts w:ascii="宋体" w:hAnsi="宋体" w:eastAsia="宋体"/>
          <w:sz w:val="24"/>
        </w:rPr>
        <w:t>以信贷可得性的地区收敛、资本回报离散度（逆向）衡量，反映金融资源跨区配置的顺畅程度（Wu，2018）。</w:t>
      </w:r>
      <w:r>
        <w:rPr>
          <w:rFonts w:ascii="宋体" w:hAnsi="宋体" w:eastAsia="宋体"/>
          <w:b/>
          <w:sz w:val="24"/>
        </w:rPr>
        <w:t>土地市场一体化</w:t>
      </w:r>
      <w:r>
        <w:rPr>
          <w:rFonts w:ascii="宋体" w:hAnsi="宋体" w:eastAsia="宋体"/>
          <w:sz w:val="24"/>
        </w:rPr>
        <w:t>以建设用地市场化出让比例和地价收敛度衡量，刻画土地要素配置的市场化程度（盖庆恩等，2017；曹婧，2024）。</w:t>
      </w:r>
      <w:r>
        <w:rPr>
          <w:rFonts w:ascii="宋体" w:hAnsi="宋体" w:eastAsia="宋体"/>
          <w:b/>
          <w:sz w:val="24"/>
        </w:rPr>
        <w:t>技术与数据市场一体化</w:t>
      </w:r>
      <w:r>
        <w:rPr>
          <w:rFonts w:ascii="宋体" w:hAnsi="宋体" w:eastAsia="宋体"/>
          <w:sz w:val="24"/>
        </w:rPr>
        <w:t>以技术合同跨省成交额、数据交易平台接入和专利跨区转移衡量，反映创新要素与数据要素的跨区流通（戴魁早等，2023；史丹和郑玉，2024）。</w:t>
      </w:r>
      <w:r>
        <w:rPr>
          <w:rFonts w:ascii="宋体" w:hAnsi="宋体" w:eastAsia="宋体"/>
          <w:b/>
          <w:sz w:val="24"/>
        </w:rPr>
        <w:t>市场制度环境一体化</w:t>
      </w:r>
      <w:r>
        <w:rPr>
          <w:rFonts w:ascii="宋体" w:hAnsi="宋体" w:eastAsia="宋体"/>
          <w:sz w:val="24"/>
        </w:rPr>
        <w:t>以公平竞争审查落实、市场监管统一程度和营商环境衡量，刻画制度规则的统一性（杨兴全和张可欣，2023；王菁华和毕超，2024）。</w:t>
      </w:r>
    </w:p>
    <w:p>
      <w:pPr>
        <w:keepNext/>
        <w:spacing w:before="160" w:after="120" w:line="360" w:lineRule="auto"/>
      </w:pPr>
      <w:r>
        <w:rPr>
          <w:rFonts w:ascii="黑体" w:hAnsi="黑体" w:eastAsia="黑体"/>
          <w:sz w:val="24"/>
        </w:rPr>
        <w:t>5.1.1  指标体系构建的基本原则</w:t>
      </w:r>
    </w:p>
    <w:p>
      <w:pPr>
        <w:spacing w:line="360" w:lineRule="auto" w:after="0"/>
        <w:ind w:firstLineChars="200" w:firstLine="480"/>
        <w:jc w:val="both"/>
      </w:pPr>
      <w:r>
        <w:rPr>
          <w:rFonts w:ascii="宋体" w:hAnsi="宋体" w:eastAsia="宋体"/>
          <w:sz w:val="24"/>
        </w:rPr>
        <w:t>构建 NUMI 遵循五项基本原则。其一，系统性原则。统一大市场是商品市场与要素市场、有形设施与无形规则相互耦合的复杂系统，指标体系必须完整覆盖"五统一"的核心内涵，避免以偏概全或畸轻畸重。其二，结果性与制度性并重原则。既有测度或偏重市场运行的结果表现（如价格离散、贸易强度），或偏重制度环境（如市场化指数），本书主张二者兼顾：以结果性指标刻画一体化的"实然"状态，以制度性指标刻画一体化的"应然"基础，从而更全面地反映一个地区融入全国统一大市场的真实程度（刘志彪和孔令池，2021；刘志彪，2021）。其三，科学性原则。二级指标的选取须有明确的理论逻辑与文献支撑，并尽量采用国内外学界公认、经过检验的测度方法，力求指标含义清晰、可解释性强。其四，可比性原则。各指标须在31个省级单位与2006—2023年间保持口径一致，既能横向比较地区差异，又能纵向反映水平的绝对变化。其五，数据可得性原则。在理论理想与数据现实之间审慎权衡，优先选用来源权威、连续可得、可复核的公开统计与文献校准数据，对确难获得的理想指标以合理的代理变量替代。</w:t>
      </w:r>
    </w:p>
    <w:p>
      <w:pPr>
        <w:keepNext/>
        <w:spacing w:before="160" w:after="120" w:line="360" w:lineRule="auto"/>
      </w:pPr>
      <w:r>
        <w:rPr>
          <w:rFonts w:ascii="黑体" w:hAnsi="黑体" w:eastAsia="黑体"/>
          <w:sz w:val="24"/>
        </w:rPr>
        <w:t>5.1.2  六个维度二级指标的理论依据与文献支撑</w:t>
      </w:r>
    </w:p>
    <w:p>
      <w:pPr>
        <w:spacing w:line="360" w:lineRule="auto" w:after="0"/>
        <w:ind w:firstLineChars="200" w:firstLine="480"/>
        <w:jc w:val="both"/>
      </w:pPr>
      <w:r>
        <w:rPr>
          <w:rFonts w:ascii="宋体" w:hAnsi="宋体" w:eastAsia="宋体"/>
          <w:sz w:val="24"/>
        </w:rPr>
        <w:t>以下分述六个维度二级指标选取的理论依据。需要强调的是，各维度的设计既呼应了资源错配文献对"要素边际收益均等化"的一般刻画，又立足中国要素市场行政性分割的制度特征，力求在国际可比性与本土解释力之间取得平衡。指标方向的处理上，正向指标越大代表一体化程度越高，逆向指标（如市场分割指数、要素回报离散度）则作反向处理。</w:t>
      </w:r>
    </w:p>
    <w:p>
      <w:pPr>
        <w:keepNext/>
        <w:spacing w:before="160" w:after="120" w:line="360" w:lineRule="auto"/>
      </w:pPr>
      <w:r>
        <w:rPr>
          <w:rFonts w:ascii="宋体" w:hAnsi="宋体" w:eastAsia="宋体"/>
          <w:b/>
          <w:sz w:val="24"/>
        </w:rPr>
        <w:t>（一）商品市场一体化维度</w:t>
      </w:r>
    </w:p>
    <w:p>
      <w:pPr>
        <w:spacing w:line="360" w:lineRule="auto" w:after="0"/>
        <w:ind w:firstLineChars="200" w:firstLine="480"/>
        <w:jc w:val="both"/>
      </w:pPr>
      <w:r>
        <w:rPr>
          <w:rFonts w:ascii="宋体" w:hAnsi="宋体" w:eastAsia="宋体"/>
          <w:sz w:val="24"/>
        </w:rPr>
        <w:t>商品市场一体化是统一大市场最外显、也是研究最充分的层面。本维度以相对价格法测度的市场分割指数（逆向）为核心指标。相对价格法由桂琦寒等，2006引入国内研究，其逻辑源于"冰山成本"约束下的一价定律：若地区间商品市场充分整合，同种商品的相对价格波动应随套利活动而收敛，相对价格方差越小则一体化程度越高；这一方法此后被广泛用于刻画中国国内市场的整合趋势（盛斌和毛其淋，2011；张昊，2020）。考虑到价格法可能受计价单位、共同冲击与"边界效应"的干扰（Holz，2009；Parsley和Wei，2001），本维度辅以省际贸易强度（省际贸易流量占地区生产总值之比）作为正向补充，直接刻画商品跨区流通的活跃程度（黄玖立和李坤望，2006；杨文溥和夏婷，2024）。二者结合，兼顾了"价格信号"与"数量流动"两个侧面，可相互印证、彼此校验。</w:t>
      </w:r>
    </w:p>
    <w:p>
      <w:pPr>
        <w:keepNext/>
        <w:spacing w:before="160" w:after="120" w:line="360" w:lineRule="auto"/>
      </w:pPr>
      <w:r>
        <w:rPr>
          <w:rFonts w:ascii="宋体" w:hAnsi="宋体" w:eastAsia="宋体"/>
          <w:b/>
          <w:sz w:val="24"/>
        </w:rPr>
        <w:t>（二）劳动力市场一体化维度</w:t>
      </w:r>
    </w:p>
    <w:p>
      <w:pPr>
        <w:spacing w:line="360" w:lineRule="auto" w:after="0"/>
        <w:ind w:firstLineChars="200" w:firstLine="480"/>
        <w:jc w:val="both"/>
      </w:pPr>
      <w:r>
        <w:rPr>
          <w:rFonts w:ascii="宋体" w:hAnsi="宋体" w:eastAsia="宋体"/>
          <w:sz w:val="24"/>
        </w:rPr>
        <w:t>劳动力是流动性最受制度约束的要素。本维度以跨省流动人口占常住人口比重、地区间工资水平的收敛程度和户籍开放度三项指标衡量。理论上，劳动力市场一体化意味着同质劳动力的工资在地区间趋于相等，劳动者可自由迁移以获取更高回报；户籍制度、方言文化与社会保障的属地化则构成迁移壁垒，导致劳动力配置扭曲（刘毓芸等，2015；盖庆恩等，2019）。Tombe和Zhu，2019的量化研究表明，削减中国内部的劳动力流动壁垒可带来可观的总量生产率提升；蒲艳萍和顾冉，2019进一步指出劳动力工资扭曲会抑制企业创新。跨省流动人口占比越高、工资离散越低、户籍越开放，表明劳动力市场一体化程度越高，故前者取正向、工资离散取逆向处理。</w:t>
      </w:r>
    </w:p>
    <w:p>
      <w:pPr>
        <w:keepNext/>
        <w:spacing w:before="160" w:after="120" w:line="360" w:lineRule="auto"/>
      </w:pPr>
      <w:r>
        <w:rPr>
          <w:rFonts w:ascii="宋体" w:hAnsi="宋体" w:eastAsia="宋体"/>
          <w:b/>
          <w:sz w:val="24"/>
        </w:rPr>
        <w:t>（三）资本市场一体化维度</w:t>
      </w:r>
    </w:p>
    <w:p>
      <w:pPr>
        <w:spacing w:line="360" w:lineRule="auto" w:after="0"/>
        <w:ind w:firstLineChars="200" w:firstLine="480"/>
        <w:jc w:val="both"/>
      </w:pPr>
      <w:r>
        <w:rPr>
          <w:rFonts w:ascii="宋体" w:hAnsi="宋体" w:eastAsia="宋体"/>
          <w:sz w:val="24"/>
        </w:rPr>
        <w:t>资本市场一体化以信贷可得性的地区收敛和资本边际回报离散度（逆向）衡量。在金融资源配置属地化、地方政府对信贷存在隐性干预的背景下，资本难以顺畅地从低效率地区流向高效率地区，形成"金融分割"（Wu，2018；Midrigan和Xu，2014）。David和Venkateswaran，2019从资本边际产出离散的角度识别资本错配的来源；陈斌开等，2015则揭示了住房价格上涨通过挤占信贷加剧工业企业资源错配的机制。资本边际回报（以资本边际产出的地区离散度近似）越分散，意味着资本配置越扭曲、一体化程度越低；企业跨区投资与异地设立子公司的活跃程度（余典范等，2023）则从微观层面印证资本要素的跨区流动。</w:t>
      </w:r>
    </w:p>
    <w:p>
      <w:pPr>
        <w:keepNext/>
        <w:spacing w:before="160" w:after="120" w:line="360" w:lineRule="auto"/>
      </w:pPr>
      <w:r>
        <w:rPr>
          <w:rFonts w:ascii="宋体" w:hAnsi="宋体" w:eastAsia="宋体"/>
          <w:b/>
          <w:sz w:val="24"/>
        </w:rPr>
        <w:t>（四）土地市场一体化维度</w:t>
      </w:r>
    </w:p>
    <w:p>
      <w:pPr>
        <w:spacing w:line="360" w:lineRule="auto" w:after="0"/>
        <w:ind w:firstLineChars="200" w:firstLine="480"/>
        <w:jc w:val="both"/>
      </w:pPr>
      <w:r>
        <w:rPr>
          <w:rFonts w:ascii="宋体" w:hAnsi="宋体" w:eastAsia="宋体"/>
          <w:sz w:val="24"/>
        </w:rPr>
        <w:t>土地是行政化配置色彩最浓的要素。本维度以建设用地市场化出让比例和地价的地区收敛度衡量。中国建设用地长期实行指标的行政化分配，地方政府通过低价协议出让工业用地招商引资、高价出让商住用地经营城市，造成土地在地区与用途间的双重错配（盖庆恩等，2017；张少辉和余泳泽，2019）。李勇刚和罗海艳，2017发现土地资源错配阻碍产业结构升级，曹婧，2024揭示土地金融化对企业全要素生产率的负面效应，白东北等，2020则从开发区设立的角度辨识了地区资源错配。建设用地市场化出让比例越高、地价越收敛，表明土地要素配置的市场化和一体化程度越高。</w:t>
      </w:r>
    </w:p>
    <w:p>
      <w:pPr>
        <w:keepNext/>
        <w:spacing w:before="160" w:after="120" w:line="360" w:lineRule="auto"/>
      </w:pPr>
      <w:r>
        <w:rPr>
          <w:rFonts w:ascii="宋体" w:hAnsi="宋体" w:eastAsia="宋体"/>
          <w:b/>
          <w:sz w:val="24"/>
        </w:rPr>
        <w:t>（五）技术与数据市场一体化维度</w:t>
      </w:r>
    </w:p>
    <w:p>
      <w:pPr>
        <w:spacing w:line="360" w:lineRule="auto" w:after="0"/>
        <w:ind w:firstLineChars="200" w:firstLine="480"/>
        <w:jc w:val="both"/>
      </w:pPr>
      <w:r>
        <w:rPr>
          <w:rFonts w:ascii="宋体" w:hAnsi="宋体" w:eastAsia="宋体"/>
          <w:sz w:val="24"/>
        </w:rPr>
        <w:t>技术与数据是新型生产要素，其跨区流通对创新驱动发展至关重要。本维度以技术合同跨省成交额占比、数据交易平台接入和专利的跨区转移衡量。研发要素的跨区流动能够产生空间知识溢出、促进经济增长（白俊红等，2017）；市场一体化则有助于激发企业的数字创新（胡增玺和马述忠，2023）。随着数据被正式列为生产要素并被纳入数据基础制度建设（《要素市场化配置意见》，2020；"数据二十条"，2022），数据要素市场培育成为统一大市场建设的新前沿，（戴魁早等，2023；史丹和郑玉，2024）的研究表明数据交易平台建设与数据要素赋能能够显著提升企业全要素生产率。技术合同跨省成交越活跃、数据平台接入越广、专利跨区转移越频繁，表明技术与数据市场一体化程度越高。</w:t>
      </w:r>
    </w:p>
    <w:p>
      <w:pPr>
        <w:keepNext/>
        <w:spacing w:before="160" w:after="120" w:line="360" w:lineRule="auto"/>
      </w:pPr>
      <w:r>
        <w:rPr>
          <w:rFonts w:ascii="宋体" w:hAnsi="宋体" w:eastAsia="宋体"/>
          <w:b/>
          <w:sz w:val="24"/>
        </w:rPr>
        <w:t>（六）市场制度环境一体化维度</w:t>
      </w:r>
    </w:p>
    <w:p>
      <w:pPr>
        <w:spacing w:line="360" w:lineRule="auto" w:after="0"/>
        <w:ind w:firstLineChars="200" w:firstLine="480"/>
        <w:jc w:val="both"/>
      </w:pPr>
      <w:r>
        <w:rPr>
          <w:rFonts w:ascii="宋体" w:hAnsi="宋体" w:eastAsia="宋体"/>
          <w:sz w:val="24"/>
        </w:rPr>
        <w:t>制度环境一体化对应"市场基础制度规则统一"与"市场监管公平统一"，是统一大市场的规则基础。本维度以公平竞争审查的落实程度、市场监管的统一性和营商环境质量衡量。公平竞争审查制度旨在从源头上遏制行政性垄断与地方保护，（杨兴全和张可欣，2023；王菁华和毕超，2024）的研究证实其对企业创新与全要素生产率具有积极效应；行政审批改革则通过降低制度性交易成本促进企业进入与市场竞争（毕青苗等，2018；冯笑等，2018）。竞争政策的强化与产业政策的转型共同塑造着统一的市场秩序（叶光亮等，2022）。制度规则越统一、监管越公平、营商环境越优良，表明制度环境一体化程度越高。这一维度弥补了纯粹结果性指标难以捕捉的制度基础信息，构成 NUMI 区别于既有测度的重要特征。</w:t>
      </w:r>
    </w:p>
    <w:p>
      <w:pPr>
        <w:spacing w:line="360" w:lineRule="auto" w:after="0"/>
        <w:ind w:firstLineChars="200" w:firstLine="480"/>
        <w:jc w:val="both"/>
      </w:pPr>
      <w:r>
        <w:rPr>
          <w:rFonts w:ascii="宋体" w:hAnsi="宋体" w:eastAsia="宋体"/>
          <w:sz w:val="24"/>
        </w:rPr>
        <w:t>从更深层看，NUMI 的六维结构是对本书核心概念"要素市场的行政性分割"的操作化。传统市场分割研究多聚焦商品市场的"冰山成本"，而中国式市场分割的症结更在于劳动力、资本、土地、技术与数据等要素市场因行政边界形成的制度性流动壁垒（陆铭和陈钊，2009；Brandt等，2013）。将劳动力、资本、土地、技术与数据五类要素市场一体化与制度环境一体化纳入测度，正是为了在指标层面捕捉这一被既有商品市场测度所忽视的关键维度，使 NUMI 不仅刻画"商品能否自由流通"，更刻画"要素能否自由配置"，从而与全书"分割—错配—效率损失"的理论主线在概念上保持内在一致。</w:t>
      </w:r>
    </w:p>
    <w:p>
      <w:pPr>
        <w:keepNext/>
        <w:spacing w:before="160" w:after="120" w:line="360" w:lineRule="auto"/>
      </w:pPr>
      <w:r>
        <w:rPr>
          <w:rFonts w:ascii="黑体" w:hAnsi="黑体" w:eastAsia="黑体"/>
          <w:sz w:val="28"/>
        </w:rPr>
        <w:t>5.2  测度方法与数据来源</w:t>
      </w:r>
    </w:p>
    <w:p>
      <w:pPr>
        <w:keepNext/>
        <w:spacing w:before="160" w:after="120" w:line="360" w:lineRule="auto"/>
      </w:pPr>
      <w:r>
        <w:rPr>
          <w:rFonts w:ascii="黑体" w:hAnsi="黑体" w:eastAsia="黑体"/>
          <w:sz w:val="24"/>
        </w:rPr>
        <w:t>5.2.1  指标标准化与合成</w:t>
      </w:r>
    </w:p>
    <w:p>
      <w:pPr>
        <w:spacing w:line="360" w:lineRule="auto" w:after="0"/>
        <w:ind w:firstLineChars="200" w:firstLine="480"/>
        <w:jc w:val="both"/>
      </w:pPr>
      <w:r>
        <w:rPr>
          <w:rFonts w:ascii="宋体" w:hAnsi="宋体" w:eastAsia="宋体"/>
          <w:sz w:val="24"/>
        </w:rPr>
        <w:t>由于各二级指标量纲不同、方向不一，需先进行标准化处理。对正向指标，采用极差法标准化：</w:t>
      </w:r>
    </w:p>
    <w:p>
      <w:pPr>
        <w:tabs>
          <w:tab w:pos="4252" w:val="center"/>
          <w:tab w:pos="8504" w:val="right"/>
        </w:tabs>
        <w:spacing w:line="360" w:lineRule="auto" w:before="80" w:after="80"/>
      </w:pPr>
      <w:r>
        <w:tab/>
      </w:r>
      <m:oMath>
        <m:sSubSup>
          <m:e>
            <m:r>
              <m:t>x</m:t>
            </m:r>
          </m:e>
          <m:sub>
            <m:r>
              <m:t>i</m:t>
            </m:r>
            <m:r>
              <m:t>j</m:t>
            </m:r>
            <m:r>
              <m:t>t</m:t>
            </m:r>
          </m:sub>
          <m:sup>
            <m:r>
              <m:rPr>
                <m:sty m:val="p"/>
              </m:rPr>
              <m:t>*</m:t>
            </m:r>
          </m:sup>
        </m:sSubSup>
        <m:r>
          <m:rPr>
            <m:sty m:val="p"/>
          </m:rPr>
          <m:t>=</m:t>
        </m:r>
        <m:f>
          <m:fPr>
            <m:type m:val="bar"/>
          </m:fPr>
          <m:num>
            <m:sSub>
              <m:e>
                <m:r>
                  <m:t>x</m:t>
                </m:r>
              </m:e>
              <m:sub>
                <m:r>
                  <m:t>i</m:t>
                </m:r>
                <m:r>
                  <m:t>j</m:t>
                </m:r>
                <m:r>
                  <m:t>t</m:t>
                </m:r>
              </m:sub>
            </m:sSub>
            <m:r>
              <m:rPr>
                <m:sty m:val="p"/>
              </m:rPr>
              <m:t>−</m:t>
            </m:r>
            <m:sSub>
              <m:e>
                <m:r>
                  <m:rPr>
                    <m:sty m:val="p"/>
                  </m:rPr>
                  <m:t>min</m:t>
                </m:r>
              </m:e>
              <m:sub>
                <m:r>
                  <m:t>j</m:t>
                </m:r>
                <m:r>
                  <m:rPr>
                    <m:sty m:val="p"/>
                  </m:rPr>
                  <m:t>,</m:t>
                </m:r>
                <m:r>
                  <m:t>t</m:t>
                </m:r>
              </m:sub>
            </m:sSub>
            <m:d>
              <m:dPr>
                <m:begChr m:val="("/>
                <m:endChr m:val=")"/>
                <m:sepChr m:val=""/>
                <m:grow/>
              </m:dPr>
              <m:e>
                <m:sSub>
                  <m:e>
                    <m:r>
                      <m:t>x</m:t>
                    </m:r>
                  </m:e>
                  <m:sub>
                    <m:r>
                      <m:t>i</m:t>
                    </m:r>
                    <m:r>
                      <m:t>j</m:t>
                    </m:r>
                  </m:sub>
                </m:sSub>
              </m:e>
            </m:d>
          </m:num>
          <m:den>
            <m:sSub>
              <m:e>
                <m:r>
                  <m:rPr>
                    <m:sty m:val="p"/>
                  </m:rPr>
                  <m:t>max</m:t>
                </m:r>
              </m:e>
              <m:sub>
                <m:r>
                  <m:t>j</m:t>
                </m:r>
                <m:r>
                  <m:rPr>
                    <m:sty m:val="p"/>
                  </m:rPr>
                  <m:t>,</m:t>
                </m:r>
                <m:r>
                  <m:t>t</m:t>
                </m:r>
              </m:sub>
            </m:sSub>
            <m:d>
              <m:dPr>
                <m:begChr m:val="("/>
                <m:endChr m:val=")"/>
                <m:sepChr m:val=""/>
                <m:grow/>
              </m:dPr>
              <m:e>
                <m:sSub>
                  <m:e>
                    <m:r>
                      <m:t>x</m:t>
                    </m:r>
                  </m:e>
                  <m:sub>
                    <m:r>
                      <m:t>i</m:t>
                    </m:r>
                    <m:r>
                      <m:t>j</m:t>
                    </m:r>
                  </m:sub>
                </m:sSub>
              </m:e>
            </m:d>
            <m:r>
              <m:rPr>
                <m:sty m:val="p"/>
              </m:rPr>
              <m:t>−</m:t>
            </m:r>
            <m:sSub>
              <m:e>
                <m:r>
                  <m:rPr>
                    <m:sty m:val="p"/>
                  </m:rPr>
                  <m:t>min</m:t>
                </m:r>
              </m:e>
              <m:sub>
                <m:r>
                  <m:t>j</m:t>
                </m:r>
                <m:r>
                  <m:rPr>
                    <m:sty m:val="p"/>
                  </m:rPr>
                  <m:t>,</m:t>
                </m:r>
                <m:r>
                  <m:t>t</m:t>
                </m:r>
              </m:sub>
            </m:sSub>
            <m:d>
              <m:dPr>
                <m:begChr m:val="("/>
                <m:endChr m:val=")"/>
                <m:sepChr m:val=""/>
                <m:grow/>
              </m:dPr>
              <m:e>
                <m:sSub>
                  <m:e>
                    <m:r>
                      <m:t>x</m:t>
                    </m:r>
                  </m:e>
                  <m:sub>
                    <m:r>
                      <m:t>i</m:t>
                    </m:r>
                    <m:r>
                      <m:t>j</m:t>
                    </m:r>
                  </m:sub>
                </m:sSub>
              </m:e>
            </m:d>
          </m:den>
        </m:f>
      </m:oMath>
      <w:r>
        <w:tab/>
      </w:r>
      <w:r>
        <w:rPr>
          <w:rFonts w:ascii="Times New Roman" w:hAnsi="Times New Roman" w:eastAsia="宋体"/>
          <w:sz w:val="24"/>
        </w:rPr>
        <w:t>(5-1)</w:t>
      </w:r>
    </w:p>
    <w:p>
      <w:pPr>
        <w:spacing w:line="360" w:lineRule="auto" w:after="0"/>
        <w:jc w:val="both"/>
      </w:pPr>
      <w:r>
        <w:rPr>
          <w:rFonts w:ascii="宋体" w:hAnsi="宋体" w:eastAsia="宋体"/>
          <w:sz w:val="24"/>
        </w:rPr>
        <w:t>其中，</w:t>
      </w:r>
      <m:oMath>
        <m:sSub>
          <m:e>
            <m:r>
              <m:t>x</m:t>
            </m:r>
          </m:e>
          <m:sub>
            <m:r>
              <m:t>i</m:t>
            </m:r>
            <m:r>
              <m:t>j</m:t>
            </m:r>
            <m:r>
              <m:t>t</m:t>
            </m:r>
          </m:sub>
        </m:sSub>
      </m:oMath>
      <w:r>
        <w:rPr>
          <w:rFonts w:ascii="宋体" w:hAnsi="宋体" w:eastAsia="宋体"/>
          <w:sz w:val="24"/>
        </w:rPr>
        <w:t xml:space="preserve"> 为地区 </w:t>
      </w:r>
      <m:oMath>
        <m:r>
          <m:t>j</m:t>
        </m:r>
      </m:oMath>
      <w:r>
        <w:rPr>
          <w:rFonts w:ascii="宋体" w:hAnsi="宋体" w:eastAsia="宋体"/>
          <w:sz w:val="24"/>
        </w:rPr>
        <w:t xml:space="preserve"> 在 </w:t>
      </w:r>
      <m:oMath>
        <m:r>
          <m:t>t</m:t>
        </m:r>
      </m:oMath>
      <w:r>
        <w:rPr>
          <w:rFonts w:ascii="宋体" w:hAnsi="宋体" w:eastAsia="宋体"/>
          <w:sz w:val="24"/>
        </w:rPr>
        <w:t xml:space="preserve"> 年第 </w:t>
      </w:r>
      <m:oMath>
        <m:r>
          <m:t>i</m:t>
        </m:r>
      </m:oMath>
      <w:r>
        <w:rPr>
          <w:rFonts w:ascii="宋体" w:hAnsi="宋体" w:eastAsia="宋体"/>
          <w:sz w:val="24"/>
        </w:rPr>
        <w:t xml:space="preserve"> 个指标的原始值，</w:t>
      </w:r>
      <m:oMath>
        <m:sSubSup>
          <m:e>
            <m:r>
              <m:t>x</m:t>
            </m:r>
          </m:e>
          <m:sub>
            <m:r>
              <m:t>i</m:t>
            </m:r>
            <m:r>
              <m:t>j</m:t>
            </m:r>
            <m:r>
              <m:t>t</m:t>
            </m:r>
          </m:sub>
          <m:sup>
            <m:r>
              <m:rPr>
                <m:sty m:val="p"/>
              </m:rPr>
              <m:t>*</m:t>
            </m:r>
          </m:sup>
        </m:sSubSup>
        <m:r>
          <m:rPr>
            <m:sty m:val="p"/>
          </m:rPr>
          <m:t>∈</m:t>
        </m:r>
        <m:d>
          <m:dPr>
            <m:begChr m:val="["/>
            <m:endChr m:val="]"/>
            <m:sepChr m:val=""/>
            <m:grow/>
          </m:dPr>
          <m:e>
            <m:r>
              <m:t>0</m:t>
            </m:r>
            <m:r>
              <m:rPr>
                <m:sty m:val="p"/>
              </m:rPr>
              <m:t>,</m:t>
            </m:r>
            <m:r>
              <m:t>1</m:t>
            </m:r>
          </m:e>
        </m:d>
      </m:oMath>
      <w:r>
        <w:rPr>
          <w:rFonts w:ascii="宋体" w:hAnsi="宋体" w:eastAsia="宋体"/>
          <w:sz w:val="24"/>
        </w:rPr>
        <w:t xml:space="preserve"> 为标准化值；逆向指标以 </w:t>
      </w:r>
      <m:oMath>
        <m:r>
          <m:t>1</m:t>
        </m:r>
        <m:r>
          <m:rPr>
            <m:sty m:val="p"/>
          </m:rPr>
          <m:t>−</m:t>
        </m:r>
        <m:sSup>
          <m:e>
            <m:r>
              <m:t>x</m:t>
            </m:r>
          </m:e>
          <m:sup>
            <m:r>
              <m:rPr>
                <m:sty m:val="p"/>
              </m:rPr>
              <m:t>*</m:t>
            </m:r>
          </m:sup>
        </m:sSup>
      </m:oMath>
      <w:r>
        <w:rPr>
          <w:rFonts w:ascii="宋体" w:hAnsi="宋体" w:eastAsia="宋体"/>
          <w:sz w:val="24"/>
        </w:rPr>
        <w:t xml:space="preserve"> 处理。</w:t>
      </w:r>
    </w:p>
    <w:p>
      <w:pPr>
        <w:spacing w:line="360" w:lineRule="auto" w:after="0"/>
        <w:ind w:firstLineChars="200" w:firstLine="480"/>
        <w:jc w:val="both"/>
      </w:pPr>
      <w:r>
        <w:rPr>
          <w:rFonts w:ascii="宋体" w:hAnsi="宋体" w:eastAsia="宋体"/>
          <w:sz w:val="24"/>
        </w:rPr>
        <w:t xml:space="preserve">在标准化方法的选择上，本书采用极差法（min-max 标准化）而非 Z-score 标准化，主要基于两点考虑：一是极差法将各指标线性映射到 </w:t>
      </w:r>
      <m:oMath>
        <m:d>
          <m:dPr>
            <m:begChr m:val="["/>
            <m:endChr m:val="]"/>
            <m:sepChr m:val=""/>
            <m:grow/>
          </m:dPr>
          <m:e>
            <m:r>
              <m:t>0</m:t>
            </m:r>
            <m:r>
              <m:rPr>
                <m:sty m:val="p"/>
              </m:rPr>
              <m:t>,</m:t>
            </m:r>
            <m:r>
              <m:t>1</m:t>
            </m:r>
          </m:e>
        </m:d>
      </m:oMath>
      <w:r>
        <w:rPr>
          <w:rFonts w:ascii="宋体" w:hAnsi="宋体" w:eastAsia="宋体"/>
          <w:sz w:val="24"/>
        </w:rPr>
        <w:t xml:space="preserve"> 的统一区间，便于跨维度合成与结果的直观解读，且能保留指标分布的原始形状；二是本书的时空面板需要同时进行横向（地区间）与纵向（年份间）比较，故在求极值时采用"全样本池化"口径，即在全部地区与全部年份构成的联合样本上确定最小值与最大值，从而保证标准化后的数值在时间维度上可比、能够刻画建设水平的绝对提升，而不仅是相对排序的变化。这一处理是本章能够刻画 NUMI 长期上升趋势的技术前提。对于市场分割指数、要素回报离散度等逆向指标，以 </w:t>
      </w:r>
      <m:oMath>
        <m:r>
          <m:t>1</m:t>
        </m:r>
        <m:r>
          <m:rPr>
            <m:sty m:val="p"/>
          </m:rPr>
          <m:t>−</m:t>
        </m:r>
        <m:sSup>
          <m:e>
            <m:r>
              <m:t>x</m:t>
            </m:r>
          </m:e>
          <m:sup>
            <m:r>
              <m:rPr>
                <m:sty m:val="p"/>
              </m:rPr>
              <m:t>*</m:t>
            </m:r>
          </m:sup>
        </m:sSup>
      </m:oMath>
      <w:r>
        <w:rPr>
          <w:rFonts w:ascii="宋体" w:hAnsi="宋体" w:eastAsia="宋体"/>
          <w:sz w:val="24"/>
        </w:rPr>
        <w:t xml:space="preserve"> 作反向处理，使其与正向指标方向一致，数值越大代表一体化程度越高。</w:t>
      </w:r>
    </w:p>
    <w:p>
      <w:pPr>
        <w:spacing w:line="360" w:lineRule="auto" w:after="0"/>
        <w:ind w:firstLineChars="200" w:firstLine="480"/>
        <w:jc w:val="both"/>
      </w:pPr>
      <w:r>
        <w:rPr>
          <w:rFonts w:ascii="宋体" w:hAnsi="宋体" w:eastAsia="宋体"/>
          <w:sz w:val="24"/>
        </w:rPr>
        <w:t xml:space="preserve">在指标赋权上，为兼顾客观性与稳健性，本书以熵权法确定二级指标权重，并以等权法作为稳健性对照。熵权法根据指标信息含量赋权，信息熵越小、变异程度越大的指标权重越高。第 </w:t>
      </w:r>
      <m:oMath>
        <m:r>
          <m:t>i</m:t>
        </m:r>
      </m:oMath>
      <w:r>
        <w:rPr>
          <w:rFonts w:ascii="宋体" w:hAnsi="宋体" w:eastAsia="宋体"/>
          <w:sz w:val="24"/>
        </w:rPr>
        <w:t xml:space="preserve"> 个指标的信息熵与权重分别为</w:t>
      </w:r>
    </w:p>
    <w:p>
      <w:pPr>
        <w:tabs>
          <w:tab w:pos="4252" w:val="center"/>
          <w:tab w:pos="8504" w:val="right"/>
        </w:tabs>
        <w:spacing w:line="360" w:lineRule="auto" w:before="80" w:after="80"/>
      </w:pPr>
      <w:r>
        <w:tab/>
      </w:r>
      <m:oMath>
        <m:sSub>
          <m:e>
            <m:r>
              <m:t>e</m:t>
            </m:r>
          </m:e>
          <m:sub>
            <m:r>
              <m:t>i</m:t>
            </m:r>
          </m:sub>
        </m:sSub>
        <m:r>
          <m:rPr>
            <m:sty m:val="p"/>
          </m:rPr>
          <m:t>=</m:t>
        </m:r>
        <m:r>
          <m:rPr>
            <m:sty m:val="p"/>
          </m:rPr>
          <m:t>−</m:t>
        </m:r>
        <m:f>
          <m:fPr>
            <m:type m:val="bar"/>
          </m:fPr>
          <m:num>
            <m:r>
              <m:t>1</m:t>
            </m:r>
          </m:num>
          <m:den>
            <m:r>
              <m:rPr>
                <m:sty m:val="p"/>
              </m:rPr>
              <m:t>ln</m:t>
            </m:r>
            <m:d>
              <m:dPr>
                <m:begChr m:val="("/>
                <m:endChr m:val=")"/>
                <m:sepChr m:val=""/>
                <m:grow/>
              </m:dPr>
              <m:e>
                <m:r>
                  <m:t>N</m:t>
                </m:r>
                <m:r>
                  <m:t>T</m:t>
                </m:r>
              </m:e>
            </m:d>
          </m:den>
        </m:f>
        <m:nary>
          <m:naryPr>
            <m:chr m:val="∑"/>
            <m:limLoc m:val="undOvr"/>
            <m:subHide m:val="off"/>
            <m:supHide m:val="on"/>
          </m:naryPr>
          <m:sub>
            <m:r>
              <m:t>j</m:t>
            </m:r>
            <m:r>
              <m:rPr>
                <m:sty m:val="p"/>
              </m:rPr>
              <m:t>,</m:t>
            </m:r>
            <m:r>
              <m:t>t</m:t>
            </m:r>
          </m:sub>
          <m:sup>
            <m:r>
              <m:t>​</m:t>
            </m:r>
          </m:sup>
          <m:e>
            <m:sSub>
              <m:e>
                <m:r>
                  <m:t>p</m:t>
                </m:r>
              </m:e>
              <m:sub>
                <m:r>
                  <m:t>i</m:t>
                </m:r>
                <m:r>
                  <m:t>j</m:t>
                </m:r>
                <m:r>
                  <m:t>t</m:t>
                </m:r>
              </m:sub>
            </m:sSub>
          </m:e>
        </m:nary>
        <m:r>
          <m:rPr>
            <m:sty m:val="p"/>
          </m:rPr>
          <m:t>ln</m:t>
        </m:r>
        <m:sSub>
          <m:e>
            <m:r>
              <m:t>p</m:t>
            </m:r>
          </m:e>
          <m:sub>
            <m:r>
              <m:t>i</m:t>
            </m:r>
            <m:r>
              <m:t>j</m:t>
            </m:r>
            <m:r>
              <m:t>t</m:t>
            </m:r>
          </m:sub>
        </m:sSub>
        <m:r>
          <m:rPr>
            <m:sty m:val="p"/>
          </m:rPr>
          <m:t>,</m:t>
        </m:r>
        <m:r>
          <m:t>  </m:t>
        </m:r>
        <m:sSub>
          <m:e>
            <m:r>
              <m:t>w</m:t>
            </m:r>
          </m:e>
          <m:sub>
            <m:r>
              <m:t>i</m:t>
            </m:r>
          </m:sub>
        </m:sSub>
        <m:r>
          <m:rPr>
            <m:sty m:val="p"/>
          </m:rPr>
          <m:t>=</m:t>
        </m:r>
        <m:f>
          <m:fPr>
            <m:type m:val="bar"/>
          </m:fPr>
          <m:num>
            <m:r>
              <m:t>1</m:t>
            </m:r>
            <m:r>
              <m:rPr>
                <m:sty m:val="p"/>
              </m:rPr>
              <m:t>−</m:t>
            </m:r>
            <m:sSub>
              <m:e>
                <m:r>
                  <m:t>e</m:t>
                </m:r>
              </m:e>
              <m:sub>
                <m:r>
                  <m:t>i</m:t>
                </m:r>
              </m:sub>
            </m:sSub>
          </m:num>
          <m:den>
            <m:nary>
              <m:naryPr>
                <m:chr m:val="∑"/>
                <m:limLoc m:val="undOvr"/>
                <m:subHide m:val="off"/>
                <m:supHide m:val="on"/>
              </m:naryPr>
              <m:sub>
                <m:r>
                  <m:t>k</m:t>
                </m:r>
              </m:sub>
              <m:sup>
                <m:r>
                  <m:t>​</m:t>
                </m:r>
              </m:sup>
              <m:e>
                <m:d>
                  <m:dPr>
                    <m:begChr m:val="("/>
                    <m:endChr m:val=")"/>
                    <m:sepChr m:val=""/>
                    <m:grow/>
                  </m:dPr>
                  <m:e>
                    <m:r>
                      <m:t>1</m:t>
                    </m:r>
                    <m:r>
                      <m:rPr>
                        <m:sty m:val="p"/>
                      </m:rPr>
                      <m:t>−</m:t>
                    </m:r>
                    <m:sSub>
                      <m:e>
                        <m:r>
                          <m:t>e</m:t>
                        </m:r>
                      </m:e>
                      <m:sub>
                        <m:r>
                          <m:t>k</m:t>
                        </m:r>
                      </m:sub>
                    </m:sSub>
                  </m:e>
                </m:d>
              </m:e>
            </m:nary>
          </m:den>
        </m:f>
      </m:oMath>
      <w:r>
        <w:tab/>
      </w:r>
      <w:r>
        <w:rPr>
          <w:rFonts w:ascii="Times New Roman" w:hAnsi="Times New Roman" w:eastAsia="宋体"/>
          <w:sz w:val="24"/>
        </w:rPr>
        <w:t>(5-2)</w:t>
      </w:r>
    </w:p>
    <w:p>
      <w:pPr>
        <w:spacing w:line="360" w:lineRule="auto" w:after="0"/>
        <w:jc w:val="both"/>
      </w:pPr>
      <w:r>
        <w:rPr>
          <w:rFonts w:ascii="宋体" w:hAnsi="宋体" w:eastAsia="宋体"/>
          <w:sz w:val="24"/>
        </w:rPr>
        <w:t>其中，</w:t>
      </w:r>
      <m:oMath>
        <m:sSub>
          <m:e>
            <m:r>
              <m:t>p</m:t>
            </m:r>
          </m:e>
          <m:sub>
            <m:r>
              <m:t>i</m:t>
            </m:r>
            <m:r>
              <m:t>j</m:t>
            </m:r>
            <m:r>
              <m:t>t</m:t>
            </m:r>
          </m:sub>
        </m:sSub>
        <m:r>
          <m:rPr>
            <m:sty m:val="p"/>
          </m:rPr>
          <m:t>=</m:t>
        </m:r>
        <m:sSubSup>
          <m:e>
            <m:r>
              <m:t>x</m:t>
            </m:r>
          </m:e>
          <m:sub>
            <m:r>
              <m:t>i</m:t>
            </m:r>
            <m:r>
              <m:t>j</m:t>
            </m:r>
            <m:r>
              <m:t>t</m:t>
            </m:r>
          </m:sub>
          <m:sup>
            <m:r>
              <m:rPr>
                <m:sty m:val="p"/>
              </m:rPr>
              <m:t>*</m:t>
            </m:r>
          </m:sup>
        </m:sSubSup>
        <m:r>
          <m:rPr>
            <m:sty m:val="p"/>
          </m:rPr>
          <m:t>/</m:t>
        </m:r>
        <m:nary>
          <m:naryPr>
            <m:chr m:val="∑"/>
            <m:limLoc m:val="undOvr"/>
            <m:subHide m:val="off"/>
            <m:supHide m:val="on"/>
          </m:naryPr>
          <m:sub>
            <m:r>
              <m:t>j</m:t>
            </m:r>
            <m:r>
              <m:rPr>
                <m:sty m:val="p"/>
              </m:rPr>
              <m:t>,</m:t>
            </m:r>
            <m:r>
              <m:t>t</m:t>
            </m:r>
          </m:sub>
          <m:sup>
            <m:r>
              <m:t>​</m:t>
            </m:r>
          </m:sup>
          <m:e>
            <m:sSubSup>
              <m:e>
                <m:r>
                  <m:t>x</m:t>
                </m:r>
              </m:e>
              <m:sub>
                <m:r>
                  <m:t>i</m:t>
                </m:r>
                <m:r>
                  <m:t>j</m:t>
                </m:r>
                <m:r>
                  <m:t>t</m:t>
                </m:r>
              </m:sub>
              <m:sup>
                <m:r>
                  <m:rPr>
                    <m:sty m:val="p"/>
                  </m:rPr>
                  <m:t>*</m:t>
                </m:r>
              </m:sup>
            </m:sSubSup>
          </m:e>
        </m:nary>
      </m:oMath>
      <w:r>
        <w:rPr>
          <w:rFonts w:ascii="宋体" w:hAnsi="宋体" w:eastAsia="宋体"/>
          <w:sz w:val="24"/>
        </w:rPr>
        <w:t>，</w:t>
      </w:r>
      <m:oMath>
        <m:r>
          <m:t>N</m:t>
        </m:r>
      </m:oMath>
      <w:r>
        <w:rPr>
          <w:rFonts w:ascii="宋体" w:hAnsi="宋体" w:eastAsia="宋体"/>
          <w:sz w:val="24"/>
        </w:rPr>
        <w:t xml:space="preserve"> 为地区数，</w:t>
      </w:r>
      <m:oMath>
        <m:r>
          <m:t>T</m:t>
        </m:r>
      </m:oMath>
      <w:r>
        <w:rPr>
          <w:rFonts w:ascii="宋体" w:hAnsi="宋体" w:eastAsia="宋体"/>
          <w:sz w:val="24"/>
        </w:rPr>
        <w:t xml:space="preserve"> 为年数。</w:t>
      </w:r>
    </w:p>
    <w:p>
      <w:pPr>
        <w:spacing w:line="360" w:lineRule="auto" w:after="0"/>
        <w:ind w:firstLineChars="200" w:firstLine="480"/>
        <w:jc w:val="both"/>
      </w:pPr>
      <w:r>
        <w:rPr>
          <w:rFonts w:ascii="宋体" w:hAnsi="宋体" w:eastAsia="宋体"/>
          <w:sz w:val="24"/>
        </w:rPr>
        <w:t>各维度得分由其二级指标加权合成，NUMI 总指数再由六个维度得分加权合成：</w:t>
      </w:r>
    </w:p>
    <w:p>
      <w:pPr>
        <w:tabs>
          <w:tab w:pos="4252" w:val="center"/>
          <w:tab w:pos="8504" w:val="right"/>
        </w:tabs>
        <w:spacing w:line="360" w:lineRule="auto" w:before="80" w:after="80"/>
      </w:pPr>
      <w:r>
        <w:tab/>
      </w:r>
      <m:oMath>
        <m:r>
          <m:t>N</m:t>
        </m:r>
        <m:r>
          <m:t>U</m:t>
        </m:r>
        <m:r>
          <m:t>M</m:t>
        </m:r>
        <m:sSub>
          <m:e>
            <m:r>
              <m:t>I</m:t>
            </m:r>
          </m:e>
          <m:sub>
            <m:r>
              <m:t>j</m:t>
            </m:r>
            <m:r>
              <m:t>t</m:t>
            </m:r>
          </m:sub>
        </m:sSub>
        <m:r>
          <m:rPr>
            <m:sty m:val="p"/>
          </m:rPr>
          <m:t>=</m:t>
        </m:r>
        <m:nary>
          <m:naryPr>
            <m:chr m:val="∑"/>
            <m:limLoc m:val="undOvr"/>
            <m:subHide m:val="off"/>
            <m:supHide m:val="off"/>
          </m:naryPr>
          <m:sub>
            <m:r>
              <m:t>d</m:t>
            </m:r>
            <m:r>
              <m:rPr>
                <m:sty m:val="p"/>
              </m:rPr>
              <m:t>=</m:t>
            </m:r>
            <m:r>
              <m:t>1</m:t>
            </m:r>
          </m:sub>
          <m:sup>
            <m:r>
              <m:t>6</m:t>
            </m:r>
          </m:sup>
          <m:e>
            <m:sSub>
              <m:e>
                <m:r>
                  <m:t>ω</m:t>
                </m:r>
              </m:e>
              <m:sub>
                <m:r>
                  <m:t>d</m:t>
                </m:r>
              </m:sub>
            </m:sSub>
          </m:e>
        </m:nary>
        <m:d>
          <m:dPr>
            <m:begChr m:val="("/>
            <m:endChr m:val=")"/>
            <m:sepChr m:val=""/>
            <m:grow/>
          </m:dPr>
          <m:e>
            <m:nary>
              <m:naryPr>
                <m:chr m:val="∑"/>
                <m:limLoc m:val="undOvr"/>
                <m:subHide m:val="off"/>
                <m:supHide m:val="on"/>
              </m:naryPr>
              <m:sub>
                <m:r>
                  <m:t>i</m:t>
                </m:r>
                <m:r>
                  <m:rPr>
                    <m:sty m:val="p"/>
                  </m:rPr>
                  <m:t>∈</m:t>
                </m:r>
                <m:r>
                  <m:t>d</m:t>
                </m:r>
              </m:sub>
              <m:sup>
                <m:r>
                  <m:t>​</m:t>
                </m:r>
              </m:sup>
              <m:e>
                <m:sSub>
                  <m:e>
                    <m:r>
                      <m:t>w</m:t>
                    </m:r>
                  </m:e>
                  <m:sub>
                    <m:r>
                      <m:t>i</m:t>
                    </m:r>
                  </m:sub>
                </m:sSub>
              </m:e>
            </m:nary>
            <m:r>
              <m:t> </m:t>
            </m:r>
            <m:sSubSup>
              <m:e>
                <m:r>
                  <m:t>x</m:t>
                </m:r>
              </m:e>
              <m:sub>
                <m:r>
                  <m:t>i</m:t>
                </m:r>
                <m:r>
                  <m:t>j</m:t>
                </m:r>
                <m:r>
                  <m:t>t</m:t>
                </m:r>
              </m:sub>
              <m:sup>
                <m:r>
                  <m:rPr>
                    <m:sty m:val="p"/>
                  </m:rPr>
                  <m:t>*</m:t>
                </m:r>
              </m:sup>
            </m:sSubSup>
          </m:e>
        </m:d>
      </m:oMath>
      <w:r>
        <w:tab/>
      </w:r>
      <w:r>
        <w:rPr>
          <w:rFonts w:ascii="Times New Roman" w:hAnsi="Times New Roman" w:eastAsia="宋体"/>
          <w:sz w:val="24"/>
        </w:rPr>
        <w:t>(5-3)</w:t>
      </w:r>
    </w:p>
    <w:p>
      <w:pPr>
        <w:spacing w:line="360" w:lineRule="auto" w:after="0"/>
        <w:jc w:val="both"/>
      </w:pPr>
      <w:r>
        <w:rPr>
          <w:rFonts w:ascii="宋体" w:hAnsi="宋体" w:eastAsia="宋体"/>
          <w:sz w:val="24"/>
        </w:rPr>
        <w:t>其中，</w:t>
      </w:r>
      <m:oMath>
        <m:sSub>
          <m:e>
            <m:r>
              <m:t>ω</m:t>
            </m:r>
          </m:e>
          <m:sub>
            <m:r>
              <m:t>d</m:t>
            </m:r>
          </m:sub>
        </m:sSub>
      </m:oMath>
      <w:r>
        <w:rPr>
          <w:rFonts w:ascii="宋体" w:hAnsi="宋体" w:eastAsia="宋体"/>
          <w:sz w:val="24"/>
        </w:rPr>
        <w:t xml:space="preserve"> 为第 </w:t>
      </w:r>
      <m:oMath>
        <m:r>
          <m:t>d</m:t>
        </m:r>
      </m:oMath>
      <w:r>
        <w:rPr>
          <w:rFonts w:ascii="宋体" w:hAnsi="宋体" w:eastAsia="宋体"/>
          <w:sz w:val="24"/>
        </w:rPr>
        <w:t xml:space="preserve"> 个维度的权重，</w:t>
      </w:r>
      <m:oMath>
        <m:sSub>
          <m:e>
            <m:r>
              <m:t>w</m:t>
            </m:r>
          </m:e>
          <m:sub>
            <m:r>
              <m:t>i</m:t>
            </m:r>
          </m:sub>
        </m:sSub>
      </m:oMath>
      <w:r>
        <w:rPr>
          <w:rFonts w:ascii="宋体" w:hAnsi="宋体" w:eastAsia="宋体"/>
          <w:sz w:val="24"/>
        </w:rPr>
        <w:t xml:space="preserve"> 为维度内第 </w:t>
      </w:r>
      <m:oMath>
        <m:r>
          <m:t>i</m:t>
        </m:r>
      </m:oMath>
      <w:r>
        <w:rPr>
          <w:rFonts w:ascii="宋体" w:hAnsi="宋体" w:eastAsia="宋体"/>
          <w:sz w:val="24"/>
        </w:rPr>
        <w:t xml:space="preserve"> 个二级指标的权重。NUMI 取值介于0与1之间，越大表示统一大市场建设水平越高。</w:t>
      </w:r>
    </w:p>
    <w:p>
      <w:pPr>
        <w:spacing w:line="360" w:lineRule="auto" w:after="0"/>
        <w:ind w:firstLineChars="200" w:firstLine="480"/>
        <w:jc w:val="both"/>
      </w:pPr>
      <w:r>
        <w:rPr>
          <w:rFonts w:ascii="宋体" w:hAnsi="宋体" w:eastAsia="宋体"/>
          <w:sz w:val="24"/>
        </w:rPr>
        <w:t>关于赋权方法，学界大体有主观赋权（如层次分析法、专家打分法）与客观赋权（如熵权法、主成分分析法、变异系数法）两类。主观赋权依赖研究者判断，透明度和可复制性较弱；客观赋权则依据数据本身的信息结构确定权重，更为客观、可复现。本书之所以以熵权法为主，是因为它直接根据指标的信息含量（离散程度）赋权：某一指标在地区与年份间的变异越大，其携带的鉴别信息越多，所赋权重越高，这与"突出区分度高的短板维度"的测度目标相契合。相比之下，主成分分析法虽能降维去相关，但其提取的公因子缺乏明确的经济含义、权重可能出现负值而不易解释；变异系数法则未对信息熵作归一处理，稳健性稍逊。为检验结果对赋权方案的敏感性，本书同时报告等权法（各维度、各指标权重相等）的合成结果作为对照，二者的相关性检验详见5.6节。</w:t>
      </w:r>
    </w:p>
    <w:p>
      <w:pPr>
        <w:spacing w:line="360" w:lineRule="auto" w:after="0"/>
        <w:ind w:firstLineChars="200" w:firstLine="480"/>
        <w:jc w:val="both"/>
      </w:pPr>
      <w:r>
        <w:rPr>
          <w:rFonts w:ascii="宋体" w:hAnsi="宋体" w:eastAsia="宋体"/>
          <w:sz w:val="24"/>
        </w:rPr>
        <w:t>在缺失值处理上，个别省份、个别年份的二级指标存在缺失或口径变动。对此，本书按"先插值、后校准"的原则处理：对时间序列中的零星缺失，采用线性插值或移动平均补齐；对系统性缺失，则参照相邻地区同类指标的比例关系进行校准，并以《中国分省份市场化指数报告》等权威来源交叉验证。为避免极端观测对极差标准化的过度影响，对个别异常值在1%与99%分位处进行缩尾（winsorize）处理。这些技术处理力求在数据可得性约束下，最大限度地保证测度的连续性、可比性与稳健性。</w:t>
      </w:r>
    </w:p>
    <w:p>
      <w:pPr>
        <w:keepNext/>
        <w:spacing w:before="160" w:after="120" w:line="360" w:lineRule="auto"/>
      </w:pPr>
      <w:r>
        <w:rPr>
          <w:rFonts w:ascii="宋体" w:hAnsi="宋体" w:eastAsia="宋体"/>
          <w:b/>
          <w:sz w:val="24"/>
        </w:rPr>
        <w:t>（一）  熵权法赋权的具体计算步骤</w:t>
      </w:r>
    </w:p>
    <w:p>
      <w:pPr>
        <w:spacing w:line="360" w:lineRule="auto" w:after="0"/>
        <w:ind w:firstLineChars="200" w:firstLine="480"/>
        <w:jc w:val="both"/>
      </w:pPr>
      <w:r>
        <w:rPr>
          <w:rFonts w:ascii="宋体" w:hAnsi="宋体" w:eastAsia="宋体"/>
          <w:sz w:val="24"/>
        </w:rPr>
        <w:t xml:space="preserve">熵权法源于信息论中以信息熵度量系统无序程度的思想，其核心逻辑是：某一指标在样本间取值的差异越大，所蕴含的鉴别信息越丰富，对综合评价的贡献越大，越应被赋予更高权重；反之，若某指标在所有地区、所有年份取值近乎一致，则几乎无助于区分建设水平的高低，其权重趋近于零。据此，NUMI 二级指标权重的测算可分解为四个步骤。第一步，无量纲化，按式（5-1）将各指标原始值线性映射至 </w:t>
      </w:r>
      <m:oMath>
        <m:d>
          <m:dPr>
            <m:begChr m:val="["/>
            <m:endChr m:val="]"/>
            <m:sepChr m:val=""/>
            <m:grow/>
          </m:dPr>
          <m:e>
            <m:r>
              <m:t>0</m:t>
            </m:r>
            <m:r>
              <m:rPr>
                <m:sty m:val="p"/>
              </m:rPr>
              <m:t>,</m:t>
            </m:r>
            <m:r>
              <m:t>1</m:t>
            </m:r>
          </m:e>
        </m:d>
      </m:oMath>
      <w:r>
        <w:rPr>
          <w:rFonts w:ascii="宋体" w:hAnsi="宋体" w:eastAsia="宋体"/>
          <w:sz w:val="24"/>
        </w:rPr>
        <w:t xml:space="preserve"> 区间，并对逆向指标作 </w:t>
      </w:r>
      <m:oMath>
        <m:r>
          <m:t>1</m:t>
        </m:r>
        <m:r>
          <m:rPr>
            <m:sty m:val="p"/>
          </m:rPr>
          <m:t>−</m:t>
        </m:r>
        <m:sSup>
          <m:e>
            <m:r>
              <m:t>x</m:t>
            </m:r>
          </m:e>
          <m:sup>
            <m:r>
              <m:rPr>
                <m:sty m:val="p"/>
              </m:rPr>
              <m:t>*</m:t>
            </m:r>
          </m:sup>
        </m:sSup>
      </m:oMath>
      <w:r>
        <w:rPr>
          <w:rFonts w:ascii="宋体" w:hAnsi="宋体" w:eastAsia="宋体"/>
          <w:sz w:val="24"/>
        </w:rPr>
        <w:t xml:space="preserve"> 处理，消除量纲与方向的差异。第二步，计算指标比重，令 </w:t>
      </w:r>
      <m:oMath>
        <m:sSub>
          <m:e>
            <m:r>
              <m:t>p</m:t>
            </m:r>
          </m:e>
          <m:sub>
            <m:r>
              <m:t>i</m:t>
            </m:r>
            <m:r>
              <m:t>j</m:t>
            </m:r>
            <m:r>
              <m:t>t</m:t>
            </m:r>
          </m:sub>
        </m:sSub>
        <m:r>
          <m:rPr>
            <m:sty m:val="p"/>
          </m:rPr>
          <m:t>=</m:t>
        </m:r>
        <m:sSubSup>
          <m:e>
            <m:r>
              <m:t>x</m:t>
            </m:r>
          </m:e>
          <m:sub>
            <m:r>
              <m:t>i</m:t>
            </m:r>
            <m:r>
              <m:t>j</m:t>
            </m:r>
            <m:r>
              <m:t>t</m:t>
            </m:r>
          </m:sub>
          <m:sup>
            <m:r>
              <m:rPr>
                <m:sty m:val="p"/>
              </m:rPr>
              <m:t>*</m:t>
            </m:r>
          </m:sup>
        </m:sSubSup>
        <m:r>
          <m:rPr>
            <m:sty m:val="p"/>
          </m:rPr>
          <m:t>/</m:t>
        </m:r>
        <m:nary>
          <m:naryPr>
            <m:chr m:val="∑"/>
            <m:limLoc m:val="undOvr"/>
            <m:subHide m:val="off"/>
            <m:supHide m:val="on"/>
          </m:naryPr>
          <m:sub>
            <m:r>
              <m:t>j</m:t>
            </m:r>
            <m:r>
              <m:rPr>
                <m:sty m:val="p"/>
              </m:rPr>
              <m:t>,</m:t>
            </m:r>
            <m:r>
              <m:t>t</m:t>
            </m:r>
          </m:sub>
          <m:sup>
            <m:r>
              <m:t>​</m:t>
            </m:r>
          </m:sup>
          <m:e>
            <m:sSubSup>
              <m:e>
                <m:r>
                  <m:t>x</m:t>
                </m:r>
              </m:e>
              <m:sub>
                <m:r>
                  <m:t>i</m:t>
                </m:r>
                <m:r>
                  <m:t>j</m:t>
                </m:r>
                <m:r>
                  <m:t>t</m:t>
                </m:r>
              </m:sub>
              <m:sup>
                <m:r>
                  <m:rPr>
                    <m:sty m:val="p"/>
                  </m:rPr>
                  <m:t>*</m:t>
                </m:r>
              </m:sup>
            </m:sSubSup>
          </m:e>
        </m:nary>
      </m:oMath>
      <w:r>
        <w:rPr>
          <w:rFonts w:ascii="宋体" w:hAnsi="宋体" w:eastAsia="宋体"/>
          <w:sz w:val="24"/>
        </w:rPr>
        <w:t xml:space="preserve">，得到地区 </w:t>
      </w:r>
      <m:oMath>
        <m:r>
          <m:t>j</m:t>
        </m:r>
      </m:oMath>
      <w:r>
        <w:rPr>
          <w:rFonts w:ascii="宋体" w:hAnsi="宋体" w:eastAsia="宋体"/>
          <w:sz w:val="24"/>
        </w:rPr>
        <w:t xml:space="preserve"> 在 </w:t>
      </w:r>
      <m:oMath>
        <m:r>
          <m:t>t</m:t>
        </m:r>
      </m:oMath>
      <w:r>
        <w:rPr>
          <w:rFonts w:ascii="宋体" w:hAnsi="宋体" w:eastAsia="宋体"/>
          <w:sz w:val="24"/>
        </w:rPr>
        <w:t xml:space="preserve"> 年第 </w:t>
      </w:r>
      <m:oMath>
        <m:r>
          <m:t>i</m:t>
        </m:r>
      </m:oMath>
      <w:r>
        <w:rPr>
          <w:rFonts w:ascii="宋体" w:hAnsi="宋体" w:eastAsia="宋体"/>
          <w:sz w:val="24"/>
        </w:rPr>
        <w:t xml:space="preserve"> 个指标占该指标全样本合计的份额。第三步，按式（5-2）计算第 </w:t>
      </w:r>
      <m:oMath>
        <m:r>
          <m:t>i</m:t>
        </m:r>
      </m:oMath>
      <w:r>
        <w:rPr>
          <w:rFonts w:ascii="宋体" w:hAnsi="宋体" w:eastAsia="宋体"/>
          <w:sz w:val="24"/>
        </w:rPr>
        <w:t xml:space="preserve"> 个指标的信息熵 </w:t>
      </w:r>
      <m:oMath>
        <m:sSub>
          <m:e>
            <m:r>
              <m:t>e</m:t>
            </m:r>
          </m:e>
          <m:sub>
            <m:r>
              <m:t>i</m:t>
            </m:r>
          </m:sub>
        </m:sSub>
      </m:oMath>
      <w:r>
        <w:rPr>
          <w:rFonts w:ascii="宋体" w:hAnsi="宋体" w:eastAsia="宋体"/>
          <w:sz w:val="24"/>
        </w:rPr>
        <w:t xml:space="preserve">，其取值介于0与1之间，越接近1表示该指标在时空维度上越"均匀"、信息含量越低。第四步，以冗余度 </w:t>
      </w:r>
      <m:oMath>
        <m:sSub>
          <m:e>
            <m:r>
              <m:t>g</m:t>
            </m:r>
          </m:e>
          <m:sub>
            <m:r>
              <m:t>i</m:t>
            </m:r>
          </m:sub>
        </m:sSub>
        <m:r>
          <m:rPr>
            <m:sty m:val="p"/>
          </m:rPr>
          <m:t>=</m:t>
        </m:r>
        <m:r>
          <m:t>1</m:t>
        </m:r>
        <m:r>
          <m:rPr>
            <m:sty m:val="p"/>
          </m:rPr>
          <m:t>−</m:t>
        </m:r>
        <m:sSub>
          <m:e>
            <m:r>
              <m:t>e</m:t>
            </m:r>
          </m:e>
          <m:sub>
            <m:r>
              <m:t>i</m:t>
            </m:r>
          </m:sub>
        </m:sSub>
      </m:oMath>
      <w:r>
        <w:rPr>
          <w:rFonts w:ascii="宋体" w:hAnsi="宋体" w:eastAsia="宋体"/>
          <w:sz w:val="24"/>
        </w:rPr>
        <w:t xml:space="preserve"> 衡量指标的效用价值，归一化后得到权重 </w:t>
      </w:r>
      <m:oMath>
        <m:sSub>
          <m:e>
            <m:r>
              <m:t>w</m:t>
            </m:r>
          </m:e>
          <m:sub>
            <m:r>
              <m:t>i</m:t>
            </m:r>
          </m:sub>
        </m:sSub>
        <m:r>
          <m:rPr>
            <m:sty m:val="p"/>
          </m:rPr>
          <m:t>=</m:t>
        </m:r>
        <m:sSub>
          <m:e>
            <m:r>
              <m:t>g</m:t>
            </m:r>
          </m:e>
          <m:sub>
            <m:r>
              <m:t>i</m:t>
            </m:r>
          </m:sub>
        </m:sSub>
        <m:r>
          <m:rPr>
            <m:sty m:val="p"/>
          </m:rPr>
          <m:t>/</m:t>
        </m:r>
        <m:nary>
          <m:naryPr>
            <m:chr m:val="∑"/>
            <m:limLoc m:val="undOvr"/>
            <m:subHide m:val="off"/>
            <m:supHide m:val="on"/>
          </m:naryPr>
          <m:sub>
            <m:r>
              <m:t>k</m:t>
            </m:r>
          </m:sub>
          <m:sup>
            <m:r>
              <m:t>​</m:t>
            </m:r>
          </m:sup>
          <m:e>
            <m:sSub>
              <m:e>
                <m:r>
                  <m:t>g</m:t>
                </m:r>
              </m:e>
              <m:sub>
                <m:r>
                  <m:t>k</m:t>
                </m:r>
              </m:sub>
            </m:sSub>
          </m:e>
        </m:nary>
      </m:oMath>
      <w:r>
        <w:rPr>
          <w:rFonts w:ascii="宋体" w:hAnsi="宋体" w:eastAsia="宋体"/>
          <w:sz w:val="24"/>
        </w:rPr>
        <w:t xml:space="preserve">。维度权重 </w:t>
      </w:r>
      <m:oMath>
        <m:sSub>
          <m:e>
            <m:r>
              <m:t>ω</m:t>
            </m:r>
          </m:e>
          <m:sub>
            <m:r>
              <m:t>d</m:t>
            </m:r>
          </m:sub>
        </m:sSub>
      </m:oMath>
      <w:r>
        <w:rPr>
          <w:rFonts w:ascii="宋体" w:hAnsi="宋体" w:eastAsia="宋体"/>
          <w:sz w:val="24"/>
        </w:rPr>
        <w:t xml:space="preserve"> 亦遵循同一逻辑，在六个维度得分之间再次运用熵权法确定，最终按式（5-3）自下而上逐层合成 NUMI 总指数。</w:t>
      </w:r>
    </w:p>
    <w:p>
      <w:pPr>
        <w:spacing w:line="360" w:lineRule="auto" w:after="0"/>
        <w:ind w:firstLineChars="200" w:firstLine="480"/>
        <w:jc w:val="both"/>
      </w:pPr>
      <w:r>
        <w:rPr>
          <w:rFonts w:ascii="宋体" w:hAnsi="宋体" w:eastAsia="宋体"/>
          <w:sz w:val="24"/>
        </w:rPr>
        <w:t xml:space="preserve">熵权法在时空面板中的运用还需注意两个技术细节。其一，比重 </w:t>
      </w:r>
      <m:oMath>
        <m:sSub>
          <m:e>
            <m:r>
              <m:t>p</m:t>
            </m:r>
          </m:e>
          <m:sub>
            <m:r>
              <m:t>i</m:t>
            </m:r>
            <m:r>
              <m:t>j</m:t>
            </m:r>
            <m:r>
              <m:t>t</m:t>
            </m:r>
          </m:sub>
        </m:sSub>
      </m:oMath>
      <w:r>
        <w:rPr>
          <w:rFonts w:ascii="宋体" w:hAnsi="宋体" w:eastAsia="宋体"/>
          <w:sz w:val="24"/>
        </w:rPr>
        <w:t xml:space="preserve"> 的求和范围涵盖全部 </w:t>
      </w:r>
      <m:oMath>
        <m:r>
          <m:t>N</m:t>
        </m:r>
      </m:oMath>
      <w:r>
        <w:rPr>
          <w:rFonts w:ascii="宋体" w:hAnsi="宋体" w:eastAsia="宋体"/>
          <w:sz w:val="24"/>
        </w:rPr>
        <w:t xml:space="preserve"> 个地区与 </w:t>
      </w:r>
      <m:oMath>
        <m:r>
          <m:t>T</m:t>
        </m:r>
      </m:oMath>
      <w:r>
        <w:rPr>
          <w:rFonts w:ascii="宋体" w:hAnsi="宋体" w:eastAsia="宋体"/>
          <w:sz w:val="24"/>
        </w:rPr>
        <w:t xml:space="preserve"> 个年份，而非仅在某一横截面内计算，如此得到的权重反映了指标在整个样本时空域上的平均鉴别力，避免了逐年赋权导致的权重漂移与跨期不可比。其二，为防止标准化值为零时对数无定义，实际计算中对其作微小平移后重新归一。这一赋权机制的内在含义是：样本期内地区差异越悬殊、动态变化越剧烈的指标，其区分度越高，越会被熵权法自适应地突出，从而使综合指数更敏锐地捕捉最具信息量的短板与差异，这与本书"精准识别结构性短板"的测度目标高度契合。</w:t>
      </w:r>
    </w:p>
    <w:p>
      <w:pPr>
        <w:keepNext/>
        <w:spacing w:before="160" w:after="120" w:line="360" w:lineRule="auto"/>
      </w:pPr>
      <w:r>
        <w:rPr>
          <w:rFonts w:ascii="宋体" w:hAnsi="宋体" w:eastAsia="宋体"/>
          <w:b/>
          <w:sz w:val="24"/>
        </w:rPr>
        <w:t>（二）  标准化方法的抉择：极差法与 Z-score 的权衡</w:t>
      </w:r>
    </w:p>
    <w:p>
      <w:pPr>
        <w:spacing w:line="360" w:lineRule="auto" w:after="0"/>
        <w:ind w:firstLineChars="200" w:firstLine="480"/>
        <w:jc w:val="both"/>
      </w:pPr>
      <w:r>
        <w:rPr>
          <w:rFonts w:ascii="宋体" w:hAnsi="宋体" w:eastAsia="宋体"/>
          <w:sz w:val="24"/>
        </w:rPr>
        <w:t xml:space="preserve">标准化方法的选择直接影响综合指数的可解释性与跨期可比性。常见的无量纲化方法有极差法（min–max）与标准分法（Z-score）两类。Z-score 以 </w:t>
      </w:r>
      <m:oMath>
        <m:d>
          <m:dPr>
            <m:begChr m:val="("/>
            <m:endChr m:val=")"/>
            <m:sepChr m:val=""/>
            <m:grow/>
          </m:dPr>
          <m:e>
            <m:r>
              <m:t>x</m:t>
            </m:r>
            <m:r>
              <m:rPr>
                <m:sty m:val="p"/>
              </m:rPr>
              <m:t>−</m:t>
            </m:r>
            <m:acc>
              <m:accPr>
                <m:chr m:val="‾"/>
              </m:accPr>
              <m:e>
                <m:r>
                  <m:t>x</m:t>
                </m:r>
              </m:e>
            </m:acc>
          </m:e>
        </m:d>
        <m:r>
          <m:rPr>
            <m:sty m:val="p"/>
          </m:rPr>
          <m:t>/</m:t>
        </m:r>
        <m:r>
          <m:t>σ</m:t>
        </m:r>
      </m:oMath>
      <w:r>
        <w:rPr>
          <w:rFonts w:ascii="宋体" w:hAnsi="宋体" w:eastAsia="宋体"/>
          <w:sz w:val="24"/>
        </w:rPr>
        <w:t xml:space="preserve"> 将指标转换为均值为0、标准差为1的分布，其优点是对异常值相对稳健、便于统计推断；但其结果可正可负、缺乏固定的取值上下界，既不便于跨维度加权合成，也难以直观解读为"一体化程度"的高低。更关键的是，Z-score 以样本均值和标准差为基准，本质上刻画的是相对位置——某地区高于或低于平均水平多少个标准差；一旦对每个横截面分别标准化，各年度的均值将被人为固定，长期趋势随之被抹平，无法反映建设水平的绝对提升。相较之下，极差法将指标线性映射到 </w:t>
      </w:r>
      <m:oMath>
        <m:d>
          <m:dPr>
            <m:begChr m:val="["/>
            <m:endChr m:val="]"/>
            <m:sepChr m:val=""/>
            <m:grow/>
          </m:dPr>
          <m:e>
            <m:r>
              <m:t>0</m:t>
            </m:r>
            <m:r>
              <m:rPr>
                <m:sty m:val="p"/>
              </m:rPr>
              <m:t>,</m:t>
            </m:r>
            <m:r>
              <m:t>1</m:t>
            </m:r>
          </m:e>
        </m:d>
      </m:oMath>
      <w:r>
        <w:rPr>
          <w:rFonts w:ascii="宋体" w:hAnsi="宋体" w:eastAsia="宋体"/>
          <w:sz w:val="24"/>
        </w:rPr>
        <w:t xml:space="preserve"> 的固定区间，端点具有明确的现实含义（0对应样本内最低水平、1对应最高水平），既便于加权合成，又能保留原始分布的形状，因而更契合本书"既刻画排序、又刻画绝对水平"的双重目标，这也是国内综合评价与指数构造研究的通行做法（赵涛等，2020；戴魁早等，2023）。</w:t>
      </w:r>
    </w:p>
    <w:p>
      <w:pPr>
        <w:keepNext/>
        <w:spacing w:before="160" w:after="120" w:line="360" w:lineRule="auto"/>
      </w:pPr>
      <w:r>
        <w:rPr>
          <w:rFonts w:ascii="宋体" w:hAnsi="宋体" w:eastAsia="宋体"/>
          <w:b/>
          <w:sz w:val="24"/>
        </w:rPr>
        <w:t>（三）  时序可比性：池化标准化与逐年标准化之辨</w:t>
      </w:r>
    </w:p>
    <w:p>
      <w:pPr>
        <w:spacing w:line="360" w:lineRule="auto" w:after="0"/>
        <w:ind w:firstLineChars="200" w:firstLine="480"/>
        <w:jc w:val="both"/>
      </w:pPr>
      <w:r>
        <w:rPr>
          <w:rFonts w:ascii="宋体" w:hAnsi="宋体" w:eastAsia="宋体"/>
          <w:sz w:val="24"/>
        </w:rPr>
        <w:t xml:space="preserve">在构造长时序面板指数时，一个常被忽视却至关重要的抉择是：极值 </w:t>
      </w:r>
      <m:oMath>
        <m:r>
          <m:rPr>
            <m:sty m:val="p"/>
          </m:rPr>
          <m:t>min</m:t>
        </m:r>
      </m:oMath>
      <w:r>
        <w:rPr>
          <w:rFonts w:ascii="宋体" w:hAnsi="宋体" w:eastAsia="宋体"/>
          <w:sz w:val="24"/>
        </w:rPr>
        <w:t xml:space="preserve"> 与 </w:t>
      </w:r>
      <m:oMath>
        <m:r>
          <m:rPr>
            <m:sty m:val="p"/>
          </m:rPr>
          <m:t>max</m:t>
        </m:r>
      </m:oMath>
      <w:r>
        <w:rPr>
          <w:rFonts w:ascii="宋体" w:hAnsi="宋体" w:eastAsia="宋体"/>
          <w:sz w:val="24"/>
        </w:rPr>
        <w:t xml:space="preserve"> 究竟在何种范围内选取。若采用逐年（横截面）标准化，即在每一年度内部分别确定当年的最小值与最大值，则每一年表现最优的地区都被赋值为1、最差地区被赋值为0，指数只能反映地区间的相对排序，而无法捕捉建设水平随时间的整体抬升——因为无论市场一体化在绝对意义上进步多快，逐年标准化都会把当年最好水平强行"锚定"为1，从而抹平纵向趋势。这正是许多基于横截面标准化的综合指数难以刻画长期演进的根源。本书为刻画统一大市场建设的绝对进程，采用"全样本池化"标准化，即在 </w:t>
      </w:r>
      <m:oMath>
        <m:r>
          <m:t>N</m:t>
        </m:r>
        <m:r>
          <m:rPr>
            <m:sty m:val="p"/>
          </m:rPr>
          <m:t>×</m:t>
        </m:r>
        <m:r>
          <m:t>T</m:t>
        </m:r>
      </m:oMath>
      <w:r>
        <w:rPr>
          <w:rFonts w:ascii="宋体" w:hAnsi="宋体" w:eastAsia="宋体"/>
          <w:sz w:val="24"/>
        </w:rPr>
        <w:t xml:space="preserve"> 个观测构成的联合样本上统一确定 </w:t>
      </w:r>
      <m:oMath>
        <m:sSub>
          <m:e>
            <m:r>
              <m:rPr>
                <m:sty m:val="p"/>
              </m:rPr>
              <m:t>min</m:t>
            </m:r>
          </m:e>
          <m:sub>
            <m:r>
              <m:t>j</m:t>
            </m:r>
            <m:r>
              <m:rPr>
                <m:sty m:val="p"/>
              </m:rPr>
              <m:t>,</m:t>
            </m:r>
            <m:r>
              <m:t>t</m:t>
            </m:r>
          </m:sub>
        </m:sSub>
      </m:oMath>
      <w:r>
        <w:rPr>
          <w:rFonts w:ascii="宋体" w:hAnsi="宋体" w:eastAsia="宋体"/>
          <w:sz w:val="24"/>
        </w:rPr>
        <w:t xml:space="preserve"> 与 </w:t>
      </w:r>
      <m:oMath>
        <m:sSub>
          <m:e>
            <m:r>
              <m:rPr>
                <m:sty m:val="p"/>
              </m:rPr>
              <m:t>max</m:t>
            </m:r>
          </m:e>
          <m:sub>
            <m:r>
              <m:t>j</m:t>
            </m:r>
            <m:r>
              <m:rPr>
                <m:sty m:val="p"/>
              </m:rPr>
              <m:t>,</m:t>
            </m:r>
            <m:r>
              <m:t>t</m:t>
            </m:r>
          </m:sub>
        </m:sSub>
      </m:oMath>
      <w:r>
        <w:rPr>
          <w:rFonts w:ascii="宋体" w:hAnsi="宋体" w:eastAsia="宋体"/>
          <w:sz w:val="24"/>
        </w:rPr>
        <w:t>。如此，2006年表现最差的地区不会被强行赋值为0，2023年领先地区的高水平也能真实反映在数值上，指数因而同时具备横向可比性与纵向可比性。图5.2所呈现的 NUMI 均值由0.373稳步上升至0.745的长期趋势，正是这一处理的直接结果；若改用逐年标准化，全国均值将被人为压缩、长期上升趋势难以显现。这一技术选择虽以牺牲部分对极端观测的稳健性为代价，但通过前述缩尾处理已在很大程度上得到弥补，权衡之下更有利于实现本章刻画建设水平长期演进的核心目标。</w:t>
      </w:r>
    </w:p>
    <w:p>
      <w:pPr>
        <w:keepNext/>
        <w:spacing w:before="160" w:after="120" w:line="360" w:lineRule="auto"/>
      </w:pPr>
      <w:r>
        <w:rPr>
          <w:rFonts w:ascii="宋体" w:hAnsi="宋体" w:eastAsia="宋体"/>
          <w:b/>
          <w:sz w:val="24"/>
        </w:rPr>
        <w:t>（四）  缺失值插补与口径校准的稳健性</w:t>
      </w:r>
    </w:p>
    <w:p>
      <w:pPr>
        <w:spacing w:line="360" w:lineRule="auto" w:after="0"/>
        <w:ind w:firstLineChars="200" w:firstLine="480"/>
        <w:jc w:val="both"/>
      </w:pPr>
      <w:r>
        <w:rPr>
          <w:rFonts w:ascii="宋体" w:hAnsi="宋体" w:eastAsia="宋体"/>
          <w:sz w:val="24"/>
        </w:rPr>
        <w:t>数据的连续性与口径一致性是长时序测度的生命线。本书面对的缺失大体可分为三类，并采取差异化的处理策略。第一类是随机性零星缺失，即个别地区某一年份的指标偶然缺记，对此采用线性插值或前后三年移动平均补齐，因其不改变序列的总体走势，对结果影响甚微。第二类是口径变动型缺失，即统计制度调整导致前后年份指标不可直接衔接，对此以变动前后重叠年份的比例系数进行链接调整，使全序列回归可比口径。第三类是系统性缺失，即某些新型指标（如数据交易平台接入）在样本前期尚不存在，对此结合该要素的发展阶段特征赋予合理初值，并参照相邻地区、相近发展水平省份的同类指标进行横向校准。为检验插补对结论的影响，本书还进行了敏感性测试：将含较多插补值的省份剔除后重新合成指数，总体演变趋势与区域格局保持稳定，说明测度结果不依赖于特定的插补方案。</w:t>
      </w:r>
    </w:p>
    <w:p>
      <w:pPr>
        <w:keepNext/>
        <w:spacing w:before="160" w:after="120" w:line="360" w:lineRule="auto"/>
      </w:pPr>
      <w:r>
        <w:rPr>
          <w:rFonts w:ascii="黑体" w:hAnsi="黑体" w:eastAsia="黑体"/>
          <w:sz w:val="24"/>
        </w:rPr>
        <w:t>5.2.2  数据来源</w:t>
      </w:r>
    </w:p>
    <w:p>
      <w:pPr>
        <w:spacing w:line="360" w:lineRule="auto" w:after="0"/>
        <w:ind w:firstLineChars="200" w:firstLine="480"/>
        <w:jc w:val="both"/>
      </w:pPr>
      <w:r>
        <w:rPr>
          <w:rFonts w:ascii="宋体" w:hAnsi="宋体" w:eastAsia="宋体"/>
          <w:sz w:val="24"/>
        </w:rPr>
        <w:t>测度以中国31个省级行政区（不含港澳台）2006—2023年为样本。基础数据来源包括：《中国统计年鉴》、各省（区、市）统计年鉴、《中国区域经济统计年鉴》、《中国人口和就业统计年鉴》、国家统计局分省年度数据、中国人民银行区域金融运行报告、中国信息通信研究院相关报告，以及《中国分省份市场化指数报告》（王小鲁等，2021）等。相对价格法市场分割指数依据各省分类商品零售价格指数按桂琦寒等，2006的方法测算。需说明的是，个别缺失数据以插值法补齐；本章测度用于刻画总体格局与区域差异，具体数值可能因指标口径调整而略有变化。</w:t>
      </w:r>
    </w:p>
    <w:p>
      <w:pPr>
        <w:keepNext/>
        <w:spacing w:before="160" w:after="120" w:line="360" w:lineRule="auto"/>
      </w:pPr>
      <w:r>
        <w:rPr>
          <w:rFonts w:ascii="黑体" w:hAnsi="黑体" w:eastAsia="黑体"/>
          <w:sz w:val="24"/>
        </w:rPr>
        <w:t>5.2.3  NUMI 与既有市场一体化测度的比较</w:t>
      </w:r>
    </w:p>
    <w:p>
      <w:pPr>
        <w:spacing w:line="360" w:lineRule="auto" w:after="0"/>
        <w:ind w:firstLineChars="200" w:firstLine="480"/>
        <w:jc w:val="both"/>
      </w:pPr>
      <w:r>
        <w:rPr>
          <w:rFonts w:ascii="宋体" w:hAnsi="宋体" w:eastAsia="宋体"/>
          <w:sz w:val="24"/>
        </w:rPr>
        <w:t>为凸显 NUMI 的定位与边际贡献，有必要将其与既有主流测度作系统比较。国内外刻画市场一体化（或市场分割）程度的方法大体可归为四类，各有其理论逻辑、数据要求与适用边界，对它们的辨析也有助于理解本书为何要另建一个综合指数。</w:t>
      </w:r>
    </w:p>
    <w:p>
      <w:pPr>
        <w:keepNext/>
        <w:spacing w:before="160" w:after="120" w:line="360" w:lineRule="auto"/>
      </w:pPr>
      <w:r>
        <w:rPr>
          <w:rFonts w:ascii="宋体" w:hAnsi="宋体" w:eastAsia="宋体"/>
          <w:b/>
          <w:sz w:val="24"/>
        </w:rPr>
        <w:t>（一）相对价格法与市场分割指数</w:t>
      </w:r>
    </w:p>
    <w:p>
      <w:pPr>
        <w:spacing w:line="360" w:lineRule="auto" w:after="0"/>
        <w:ind w:firstLineChars="200" w:firstLine="480"/>
        <w:jc w:val="both"/>
      </w:pPr>
      <w:r>
        <w:rPr>
          <w:rFonts w:ascii="宋体" w:hAnsi="宋体" w:eastAsia="宋体"/>
          <w:sz w:val="24"/>
        </w:rPr>
        <w:t>相对价格法是国内应用最广的市场分割测度，由桂琦寒等，2006引入并经张昊，2020等改进。其早期形态可追溯至Young，2000对中国省际贸易壁垒上升的判断，以及Holz，2009对该判断的再检验与质疑。该方法以商品相对价格的波动方差刻画分割：优点是数据可得（依赖分类价格指数）、经济含义清晰、可长期追溯；局限在于它仅覆盖商品市场，且对计价基准、共同冲击和"边界效应"较为敏感（Parsley和Wei，2001），难以反映要素市场的行政性分割。NUMI 将（逆向的）相对价格分割指数纳入商品市场维度，既继承了这一经典测度的信息，又在其之外补充了要素市场与制度环境的丰富内涵。</w:t>
      </w:r>
    </w:p>
    <w:p>
      <w:pPr>
        <w:keepNext/>
        <w:spacing w:before="160" w:after="120" w:line="360" w:lineRule="auto"/>
      </w:pPr>
      <w:r>
        <w:rPr>
          <w:rFonts w:ascii="宋体" w:hAnsi="宋体" w:eastAsia="宋体"/>
          <w:b/>
          <w:sz w:val="24"/>
        </w:rPr>
        <w:t>（二）贸易法、生产法与边界效应法</w:t>
      </w:r>
    </w:p>
    <w:p>
      <w:pPr>
        <w:spacing w:line="360" w:lineRule="auto" w:after="0"/>
        <w:ind w:firstLineChars="200" w:firstLine="480"/>
        <w:jc w:val="both"/>
      </w:pPr>
      <w:r>
        <w:rPr>
          <w:rFonts w:ascii="宋体" w:hAnsi="宋体" w:eastAsia="宋体"/>
          <w:sz w:val="24"/>
        </w:rPr>
        <w:t>贸易法与生产法通过省际贸易流量或地区专业化程度反推市场整合状况。Poncet，2003与Poncet，2005运用投入产出与贸易数据构造边界效应指标，发现中国省际边界对贸易的抑制效应甚至高于部分国界，"碎片化"特征明显；Bai等，2004则以地区专业化指数刻画地方保护对产业布局的扭曲。此类方法直接刻画"数量流动"，贴近贸易一体化的本义，但高度依赖高质量的地区间投入产出表或贸易数据，可得性差、更新滞后，难以构造长时序、宽覆盖的省级面板（杨文溥和夏婷，2024）。NUMI 以省际贸易强度作为商品维度的补充指标，部分吸收了贸易法的思想，同时规避了对完整地区间贸易矩阵的苛刻数据要求。</w:t>
      </w:r>
    </w:p>
    <w:p>
      <w:pPr>
        <w:keepNext/>
        <w:spacing w:before="160" w:after="120" w:line="360" w:lineRule="auto"/>
      </w:pPr>
      <w:r>
        <w:rPr>
          <w:rFonts w:ascii="宋体" w:hAnsi="宋体" w:eastAsia="宋体"/>
          <w:b/>
          <w:sz w:val="24"/>
        </w:rPr>
        <w:t>（三）市场化指数</w:t>
      </w:r>
    </w:p>
    <w:p>
      <w:pPr>
        <w:spacing w:line="360" w:lineRule="auto" w:after="0"/>
        <w:ind w:firstLineChars="200" w:firstLine="480"/>
        <w:jc w:val="both"/>
      </w:pPr>
      <w:r>
        <w:rPr>
          <w:rFonts w:ascii="宋体" w:hAnsi="宋体" w:eastAsia="宋体"/>
          <w:sz w:val="24"/>
        </w:rPr>
        <w:t>以《中国分省份市场化指数报告》（王小鲁等，2021）为代表的市场化指数，从政府与市场关系、非国有经济发展、要素市场发育、产品市场发育、市场中介组织与法治环境等方面综合刻画各省市场化进程，是评价制度环境的权威工具（樊纲等，2011）。其优势在于维度全面、连续更新、影响广泛；但市场化指数着眼于"市场机制发育程度"这一更宽泛的概念，并非专门针对"跨区域统一"而设计，难以直接刻画地区间要素流动的壁垒与分割。NUMI 与市场化指数在制度环境维度上有交集，但更聚焦于"统一"这一核心命题，强调要素跨行政区流动的顺畅程度；二者的显著正相关（见5.6节）恰可互为效标而非相互替代。</w:t>
      </w:r>
    </w:p>
    <w:p>
      <w:pPr>
        <w:keepNext/>
        <w:spacing w:before="160" w:after="120" w:line="360" w:lineRule="auto"/>
      </w:pPr>
      <w:r>
        <w:rPr>
          <w:rFonts w:ascii="宋体" w:hAnsi="宋体" w:eastAsia="宋体"/>
          <w:b/>
          <w:sz w:val="24"/>
        </w:rPr>
        <w:t>（四）效率损失法</w:t>
      </w:r>
    </w:p>
    <w:p>
      <w:pPr>
        <w:spacing w:line="360" w:lineRule="auto" w:after="0"/>
        <w:ind w:firstLineChars="200" w:firstLine="480"/>
        <w:jc w:val="both"/>
      </w:pPr>
      <w:r>
        <w:rPr>
          <w:rFonts w:ascii="宋体" w:hAnsi="宋体" w:eastAsia="宋体"/>
          <w:sz w:val="24"/>
        </w:rPr>
        <w:t>效率损失法不直接测度分割水平，而是估计分割所造成的资源错配与产出损失。郑毓盛和李崇高，2003较早测算了中国地方分割的效率损失，余泳泽等，2022进一步从国内大循环受阻的视角量化了区域市场分割的效率代价。此类方法与本书第4章的理论逻辑、第6章的错配测度高度契合，但它刻画的是分割的"后果"而非分割的"程度"，需以结构模型和较强假设为支撑。NUMI 作为对一体化水平（即分割程度的反面）的直接测度，恰可与效率损失法形成"原因—结果"的呼应：以 NUMI 为解释变量、以配置效率为被解释变量的实证设计（见第7章），正是这一逻辑的自然延伸。</w:t>
      </w:r>
    </w:p>
    <w:p>
      <w:pPr>
        <w:spacing w:line="360" w:lineRule="auto" w:after="0"/>
        <w:ind w:firstLineChars="200" w:firstLine="480"/>
        <w:jc w:val="both"/>
      </w:pPr>
      <w:r>
        <w:rPr>
          <w:rFonts w:ascii="宋体" w:hAnsi="宋体" w:eastAsia="宋体"/>
          <w:sz w:val="24"/>
        </w:rPr>
        <w:t>综上，既有测度多聚焦单一层面：相对价格法、贸易法侧重商品市场，市场化指数侧重制度环境，效率损失法侧重后果估计。NUMI 的边际贡献在于，首次将商品市场与劳动力、资本、土地、技术与数据五类要素市场以及制度环境纳入一个统一的六维测度框架，既刻画结果性的一体化状态，又刻画制度性的一体化基础，从而更完整地对应统一大市场"五统一"的政策内涵，为后续实证提供了一个兼具理论一致性与政策贴合度的核心解释变量。</w:t>
      </w:r>
    </w:p>
    <w:p>
      <w:pPr>
        <w:keepNext/>
        <w:spacing w:before="160" w:after="120" w:line="360" w:lineRule="auto"/>
      </w:pPr>
      <w:r>
        <w:rPr>
          <w:rFonts w:ascii="黑体" w:hAnsi="黑体" w:eastAsia="黑体"/>
          <w:sz w:val="28"/>
        </w:rPr>
        <w:t>5.3  统一大市场建设水平的总体演变</w:t>
      </w:r>
    </w:p>
    <w:p>
      <w:pPr>
        <w:spacing w:line="360" w:lineRule="auto" w:after="0"/>
        <w:ind w:firstLineChars="200" w:firstLine="480"/>
        <w:jc w:val="both"/>
      </w:pPr>
      <w:r>
        <w:rPr>
          <w:rFonts w:ascii="宋体" w:hAnsi="宋体" w:eastAsia="宋体"/>
          <w:sz w:val="24"/>
        </w:rPr>
        <w:t>图5.2刻画了2006—2023年全国 NUMI 均值的演变。总体来看，中国统一大市场建设水平持续提升，NUMI 均值由2006年的0.373上升至2023年的0.745，年均增长约4.2%，累计提高约37个百分点。从演进节奏看，建设水平的提升呈现明显的阶段性特征：2006—2012年稳步上升，主要得益于交通基础设施改善和加入世界贸易组织后的市场开放；2013年党的十八大以后提速，全面深化改革推动要素市场化配置；2020年《要素市场化配置意见》和2022年《意见》出台后，建设进程进一步加快，曲线斜率明显抬升。这一走势与统一大市场建设的政策脉络高度吻合，初步印证了 NUMI 的效度。</w:t>
      </w:r>
    </w:p>
    <w:p>
      <w:pPr>
        <w:spacing w:before="120" w:after="40"/>
        <w:jc w:val="center"/>
      </w:pPr>
      <w:r>
        <w:drawing>
          <wp:inline xmlns:a="http://schemas.openxmlformats.org/drawingml/2006/main" xmlns:pic="http://schemas.openxmlformats.org/drawingml/2006/picture">
            <wp:extent cx="4680000" cy="2771731"/>
            <wp:docPr id="11" name="Picture 11"/>
            <wp:cNvGraphicFramePr>
              <a:graphicFrameLocks noChangeAspect="1"/>
            </wp:cNvGraphicFramePr>
            <a:graphic>
              <a:graphicData uri="http://schemas.openxmlformats.org/drawingml/2006/picture">
                <pic:pic>
                  <pic:nvPicPr>
                    <pic:cNvPr id="0" name="fig5_2.png"/>
                    <pic:cNvPicPr/>
                  </pic:nvPicPr>
                  <pic:blipFill>
                    <a:blip r:embed="rId19"/>
                    <a:stretch>
                      <a:fillRect/>
                    </a:stretch>
                  </pic:blipFill>
                  <pic:spPr>
                    <a:xfrm>
                      <a:off x="0" y="0"/>
                      <a:ext cx="4680000" cy="2771731"/>
                    </a:xfrm>
                    <a:prstGeom prst="rect"/>
                  </pic:spPr>
                </pic:pic>
              </a:graphicData>
            </a:graphic>
          </wp:inline>
        </w:drawing>
      </w:r>
    </w:p>
    <w:p>
      <w:pPr>
        <w:keepNext w:val="0"/>
        <w:spacing w:after="200"/>
        <w:jc w:val="center"/>
      </w:pPr>
      <w:r>
        <w:rPr>
          <w:rFonts w:ascii="黑体" w:hAnsi="黑体" w:eastAsia="黑体"/>
          <w:sz w:val="21"/>
        </w:rPr>
        <w:t>图5.2  全国统一大市场建设指数（NUMI）的时序演变（2006—2023）</w:t>
      </w:r>
    </w:p>
    <w:p>
      <w:pPr>
        <w:spacing w:line="360" w:lineRule="auto" w:after="0"/>
        <w:ind w:firstLineChars="200" w:firstLine="480"/>
        <w:jc w:val="both"/>
      </w:pPr>
      <w:r>
        <w:rPr>
          <w:rFonts w:ascii="宋体" w:hAnsi="宋体" w:eastAsia="宋体"/>
          <w:sz w:val="24"/>
        </w:rPr>
        <w:t>作为效度的进一步验证，图5.6给出了同期以相对价格法测度的国内市场分割指数。可以看到，市场分割指数由2006年的0.0262持续下降至2023年的0.0161，与 NUMI 的上升趋势形成镜像，二者相关系数高度为负，表明 NUMI 能够较好地捕捉市场一体化程度的提高。这与（盛斌和毛其淋，2011；张昊，2020）关于中国国内市场长期趋于整合的判断一致。</w:t>
      </w:r>
    </w:p>
    <w:p>
      <w:pPr>
        <w:spacing w:before="120" w:after="40"/>
        <w:jc w:val="center"/>
      </w:pPr>
      <w:r>
        <w:drawing>
          <wp:inline xmlns:a="http://schemas.openxmlformats.org/drawingml/2006/main" xmlns:pic="http://schemas.openxmlformats.org/drawingml/2006/picture">
            <wp:extent cx="4500000" cy="2644454"/>
            <wp:docPr id="12" name="Picture 12"/>
            <wp:cNvGraphicFramePr>
              <a:graphicFrameLocks noChangeAspect="1"/>
            </wp:cNvGraphicFramePr>
            <a:graphic>
              <a:graphicData uri="http://schemas.openxmlformats.org/drawingml/2006/picture">
                <pic:pic>
                  <pic:nvPicPr>
                    <pic:cNvPr id="0" name="fig5_6.png"/>
                    <pic:cNvPicPr/>
                  </pic:nvPicPr>
                  <pic:blipFill>
                    <a:blip r:embed="rId20"/>
                    <a:stretch>
                      <a:fillRect/>
                    </a:stretch>
                  </pic:blipFill>
                  <pic:spPr>
                    <a:xfrm>
                      <a:off x="0" y="0"/>
                      <a:ext cx="4500000" cy="2644454"/>
                    </a:xfrm>
                    <a:prstGeom prst="rect"/>
                  </pic:spPr>
                </pic:pic>
              </a:graphicData>
            </a:graphic>
          </wp:inline>
        </w:drawing>
      </w:r>
    </w:p>
    <w:p>
      <w:pPr>
        <w:keepNext w:val="0"/>
        <w:spacing w:after="200"/>
        <w:jc w:val="center"/>
      </w:pPr>
      <w:r>
        <w:rPr>
          <w:rFonts w:ascii="黑体" w:hAnsi="黑体" w:eastAsia="黑体"/>
          <w:sz w:val="21"/>
        </w:rPr>
        <w:t>图5.6  国内市场分割指数的时序演变（2006—2023）</w:t>
      </w:r>
    </w:p>
    <w:p>
      <w:pPr>
        <w:keepNext/>
        <w:spacing w:before="160" w:after="120" w:line="360" w:lineRule="auto"/>
      </w:pPr>
      <w:r>
        <w:rPr>
          <w:rFonts w:ascii="黑体" w:hAnsi="黑体" w:eastAsia="黑体"/>
          <w:sz w:val="24"/>
        </w:rPr>
        <w:t>5.3.1  三阶段演进的驱动机制</w:t>
      </w:r>
    </w:p>
    <w:p>
      <w:pPr>
        <w:spacing w:line="360" w:lineRule="auto" w:after="0"/>
        <w:ind w:firstLineChars="200" w:firstLine="480"/>
        <w:jc w:val="both"/>
      </w:pPr>
      <w:r>
        <w:rPr>
          <w:rFonts w:ascii="宋体" w:hAnsi="宋体" w:eastAsia="宋体"/>
          <w:sz w:val="24"/>
        </w:rPr>
        <w:t>将上述走势细分，可清晰识别出三个各具特征的阶段。第一阶段（2006—2012年）为"设施驱动的稳步整合期"，NUMI 年均增长约3.6%。这一时期一体化的提升主要源于交通基础设施的大规模建设与加入世界贸易组织后的对外开放：高速公路、铁路网络的延伸显著降低了商品跨区流通的运输成本，扩大了企业的有效市场范围（Faber，2014；范欣等，2017）；对外开放则通过"以外促内"倒逼国内市场规则与国际接轨。但此阶段要素市场的行政性壁垒尚未实质松动，一体化的深度受到制约（陆铭和陈钊，2009）。第二阶段（2013—2019年）为"改革驱动的加速深化期"，NUMI 年均增长约4.3%。党的十八大以后，全面深化改革将要素市场化配置改革提上日程，负面清单管理、商事制度改革、公平竞争审查制度陆续落地，制度环境与要素市场一体化明显改善（毕青苗等，2018；杨兴全和张可欣，2023）。</w:t>
      </w:r>
    </w:p>
    <w:p>
      <w:pPr>
        <w:spacing w:line="360" w:lineRule="auto" w:after="0"/>
        <w:ind w:firstLineChars="200" w:firstLine="480"/>
        <w:jc w:val="both"/>
      </w:pPr>
      <w:r>
        <w:rPr>
          <w:rFonts w:ascii="宋体" w:hAnsi="宋体" w:eastAsia="宋体"/>
          <w:sz w:val="24"/>
        </w:rPr>
        <w:t>第三阶段（2020年至今）为"顶层设计驱动的攻坚提速期"，NUMI 年均增长约5.5%，曲线斜率达到样本期的最高水平。2020年《要素市场化配置意见》，2020首次系统部署土地、劳动力、资本、技术、数据五类要素的市场化配置改革，并首次将数据列为生产要素；2022年《意见》，2022进一步提出"五统一"的总体框架；2024年二十届三中全会《决定》与2025年《建设指引》，2025则以清单化、可考核的方式将建设推向纵深。政策力度的空前加大，与这一阶段 NUMI 的快速攀升在时间上高度吻合，再次印证了指数对制度变迁的敏感性与刻画效度。三阶段的演进逻辑清晰地表明，统一大市场建设的动力已从早期的"设施联通"逐步转向"制度重构"。</w:t>
      </w:r>
    </w:p>
    <w:p>
      <w:pPr>
        <w:keepNext/>
        <w:spacing w:before="160" w:after="120" w:line="360" w:lineRule="auto"/>
      </w:pPr>
      <w:r>
        <w:rPr>
          <w:rFonts w:ascii="宋体" w:hAnsi="宋体" w:eastAsia="宋体"/>
          <w:b/>
          <w:sz w:val="24"/>
        </w:rPr>
        <w:t>（一）  第一阶段（2006—2012年）：基础设施驱动的稳步整合</w:t>
      </w:r>
    </w:p>
    <w:p>
      <w:pPr>
        <w:spacing w:line="360" w:lineRule="auto" w:after="0"/>
        <w:ind w:firstLineChars="200" w:firstLine="480"/>
        <w:jc w:val="both"/>
      </w:pPr>
      <w:r>
        <w:rPr>
          <w:rFonts w:ascii="宋体" w:hAnsi="宋体" w:eastAsia="宋体"/>
          <w:sz w:val="24"/>
        </w:rPr>
        <w:t>第一阶段 NUMI 均值由2006年的0.373升至2012年的0.460，累计提高8.8个百分点，年均增长约3.6%，是三个阶段中增速相对平缓的时期。这一时期一体化的提升具有鲜明的"设施驱动"特征。一方面，"十一五""十二五"期间高速公路与高速铁路网络的大规模铺设显著压缩了商品跨区流通的时间与运输成本，扩大了企业的有效市场半径、深化了地区间分工（Faber，2014；Baum-Snow等，2017），交通基础设施改善对市场整合的促进作用在这一阶段体现得尤为明显（范欣等，2017；Donaldson，2018）。另一方面，加入世界贸易组织后的深度开放通过"以外促内"倒逼国内规则与国际接轨，客观上削弱了部分地方保护。但也应看到，这一时期要素市场的行政性壁垒尚未实质松动，户籍、土地、金融的属地化配置格局基本延续，地方政府在增长锦标赛激励下仍有分割市场、保护本地企业的动机（陆铭和陈钊，2009；周黎安，2007），一体化的深化因而主要停留在商品市场层面，要素市场的整合相对滞后，这也解释了该阶段总指数增速相对温和的原因。</w:t>
      </w:r>
    </w:p>
    <w:p>
      <w:pPr>
        <w:keepNext/>
        <w:spacing w:before="160" w:after="120" w:line="360" w:lineRule="auto"/>
      </w:pPr>
      <w:r>
        <w:rPr>
          <w:rFonts w:ascii="宋体" w:hAnsi="宋体" w:eastAsia="宋体"/>
          <w:b/>
          <w:sz w:val="24"/>
        </w:rPr>
        <w:t>（二）  第二阶段（2013—2019年）：全面深化改革驱动的加速深化</w:t>
      </w:r>
    </w:p>
    <w:p>
      <w:pPr>
        <w:spacing w:line="360" w:lineRule="auto" w:after="0"/>
        <w:ind w:firstLineChars="200" w:firstLine="480"/>
        <w:jc w:val="both"/>
      </w:pPr>
      <w:r>
        <w:rPr>
          <w:rFonts w:ascii="宋体" w:hAnsi="宋体" w:eastAsia="宋体"/>
          <w:sz w:val="24"/>
        </w:rPr>
        <w:t>第二阶段 NUMI 均值由2013年的0.475升至2019年的0.612，累计提高13.7个百分点，年均增长约4.3%，较第一阶段明显提速。转折的关键在于改革主线由"商品市场开放"转向"要素市场化配置"。党的十八届三中全会提出"使市场在资源配置中起决定性作用"，一系列旨在破除地方保护与要素流动壁垒的改革相继落地：商事制度改革与"放管服"改革大幅降低了企业跨区进入的制度性交易成本（毕青苗等，2018；冯笑等，2018）；2016年公平竞争审查制度的建立，从源头上遏制了行政机关滥用权力排除、限制竞争的行为（杨兴全和张可欣，2023；王菁华和毕超，2024）；负面清单管理模式的推行则统一了市场准入规则。这些改革共同推动制度环境与要素市场一体化明显改善，使这一阶段的建设水平提升不再局限于商品市场，而是向更深层的制度规则统一延伸，指数曲线的斜率随之抬升。</w:t>
      </w:r>
    </w:p>
    <w:p>
      <w:pPr>
        <w:keepNext/>
        <w:spacing w:before="160" w:after="120" w:line="360" w:lineRule="auto"/>
      </w:pPr>
      <w:r>
        <w:rPr>
          <w:rFonts w:ascii="宋体" w:hAnsi="宋体" w:eastAsia="宋体"/>
          <w:b/>
          <w:sz w:val="24"/>
        </w:rPr>
        <w:t>（三）  第三阶段（2020—2023年）：顶层设计驱动的攻坚提速</w:t>
      </w:r>
    </w:p>
    <w:p>
      <w:pPr>
        <w:spacing w:line="360" w:lineRule="auto" w:after="0"/>
        <w:ind w:firstLineChars="200" w:firstLine="480"/>
        <w:jc w:val="both"/>
      </w:pPr>
      <w:r>
        <w:rPr>
          <w:rFonts w:ascii="宋体" w:hAnsi="宋体" w:eastAsia="宋体"/>
          <w:sz w:val="24"/>
        </w:rPr>
        <w:t>第三阶段 NUMI 均值由2020年的0.634快速升至2023年的0.745，仅用三年即提高11.1个百分点，年均增长约5.5%，曲线斜率达到样本期的最高水平。从年度节奏看，最醒目的跃升出现在2021年至2022年，单年增幅高达4.5个百分点，为样本期之最，恰与2022年《意见》正式出台、统一大市场建设上升为国家战略的时点相合。这一阶段的突出特征是要素市场化改革由分散推进转向系统集成：继2020年五类要素配置改革的总体部署之后，2022年"数据二十条""数据二十条"，2022搭建起数据基础制度的四梁八柱，数据这一新型生产要素的市场化培育成为建设新前沿；2024年二十届三中全会《决定》二十届三中全会《决定》，2024又将构建全国统一大市场列为高水平社会主义市场经济体制的重要内容，以清单化、可考核的方式压实责任。政策力度的空前加大与指数的加速攀升相互印证，表明建设动力机制已完成从"设施联通"到"制度重构"的根本转变，也预示要素市场一体化将成为下一阶段攻坚的主战场。</w:t>
      </w:r>
    </w:p>
    <w:p>
      <w:pPr>
        <w:keepNext/>
        <w:spacing w:before="160" w:after="120" w:line="360" w:lineRule="auto"/>
      </w:pPr>
      <w:r>
        <w:rPr>
          <w:rFonts w:ascii="黑体" w:hAnsi="黑体" w:eastAsia="黑体"/>
          <w:sz w:val="24"/>
        </w:rPr>
        <w:t>5.3.2  与市场分割指数的镜像关系</w:t>
      </w:r>
    </w:p>
    <w:p>
      <w:pPr>
        <w:spacing w:line="360" w:lineRule="auto" w:after="0"/>
        <w:ind w:firstLineChars="200" w:firstLine="480"/>
        <w:jc w:val="both"/>
      </w:pPr>
      <w:r>
        <w:rPr>
          <w:rFonts w:ascii="宋体" w:hAnsi="宋体" w:eastAsia="宋体"/>
          <w:sz w:val="24"/>
        </w:rPr>
        <w:t>市场分割指数与 NUMI 的镜像关系，为指数效度提供了独立的外部验证。样本期内，相对价格法市场分割指数由0.0262降至0.0161，累计下降约39%，意味着商品相对价格的地区离散持续收窄、一价定律的适用范围不断扩大。这一长期整合趋势与（盛斌和毛其淋，2011；张昊，2020）基于价格法的判断一致，也与赵奇伟和熊性美，2009对商品、资本、劳动三大市场分割时间走势的刻画相互印证。值得注意的是，分割指数的相对下降幅度小于 NUMI 的相对上升幅度，这从侧面反映出：商品市场的整合是一个相对渐进、逐步逼近"天花板"的过程，而 NUMI 之所以呈现更陡的上升，很大程度上来自要素市场与制度环境维度在近年的追赶式改善——这恰恰是仅用商品市场分割指数所无法捕捉的信息，也再次凸显了多维测度的必要性。</w:t>
      </w:r>
    </w:p>
    <w:p>
      <w:pPr>
        <w:spacing w:line="360" w:lineRule="auto" w:after="0"/>
        <w:ind w:firstLineChars="200" w:firstLine="480"/>
        <w:jc w:val="both"/>
      </w:pPr>
      <w:r>
        <w:rPr>
          <w:rFonts w:ascii="宋体" w:hAnsi="宋体" w:eastAsia="宋体"/>
          <w:sz w:val="24"/>
        </w:rPr>
        <w:t>从更长的学术脉络看，NUMI 与市场分割指数的镜像走势，也为国内市场"整合还是分割"的经典争论提供了新的经验回应。Young，2000曾据省际贸易数据推断中国地方保护加剧、市场趋于分割，而Holz，2009与盛斌和毛其淋，2011则通过重新检验与价格法测度给出相反判断，认为国内市场长期趋于整合。本章基于2006—2023年的综合测度支持后一种判断：随着规模效应的持续释放（陈敏等，2008；黄赜琳和姚婷婷，2020），中国国内市场总体上呈现稳定而非逆转的一体化态势，只是这一进程在要素市场维度上仍显著滞后于商品市场，呈现"商品先行、要素跟进"的非同步整合特征。</w:t>
      </w:r>
    </w:p>
    <w:p>
      <w:pPr>
        <w:keepNext/>
        <w:spacing w:before="160" w:after="120" w:line="360" w:lineRule="auto"/>
      </w:pPr>
      <w:r>
        <w:rPr>
          <w:rFonts w:ascii="黑体" w:hAnsi="黑体" w:eastAsia="黑体"/>
          <w:sz w:val="28"/>
        </w:rPr>
        <w:t>5.4  统一大市场建设水平的区域格局</w:t>
      </w:r>
    </w:p>
    <w:p>
      <w:pPr>
        <w:spacing w:line="360" w:lineRule="auto" w:after="0"/>
        <w:ind w:firstLineChars="200" w:firstLine="480"/>
        <w:jc w:val="both"/>
      </w:pPr>
      <w:r>
        <w:rPr>
          <w:rFonts w:ascii="宋体" w:hAnsi="宋体" w:eastAsia="宋体"/>
          <w:sz w:val="24"/>
        </w:rPr>
        <w:t>中国统一大市场建设水平存在显著的区域差异。表5.1和图5.3报告了四大区域 NUMI 的演变。总体呈现"东部领先、中部与东北居中、西部相对滞后"的梯度格局，这与地区经济发展水平、基础设施密度和对外开放程度的空间分布基本一致。</w:t>
      </w:r>
    </w:p>
    <w:p>
      <w:pPr>
        <w:keepNext/>
        <w:spacing w:before="160" w:after="40"/>
        <w:jc w:val="center"/>
      </w:pPr>
      <w:r>
        <w:rPr>
          <w:rFonts w:ascii="黑体" w:hAnsi="黑体" w:eastAsia="黑体"/>
          <w:sz w:val="21"/>
        </w:rPr>
        <w:t>表5.1  四大区域全国统一大市场建设指数的演变</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1215"/>
        <w:gridCol w:w="1215"/>
        <w:gridCol w:w="1215"/>
        <w:gridCol w:w="1215"/>
        <w:gridCol w:w="1215"/>
        <w:gridCol w:w="1215"/>
        <w:gridCol w:w="1215"/>
      </w:tblGrid>
      <w:tr>
        <w:tc>
          <w:tcPr>
            <w:tcW w:type="dxa" w:w="1215"/>
            <w:vAlign w:val="center"/>
            <w:tcBorders>
              <w:bottom w:val="single" w:sz="6" w:color="000000"/>
            </w:tcBorders>
          </w:tcPr>
          <w:p>
            <w:pPr>
              <w:spacing w:line="240" w:lineRule="auto" w:after="20" w:before="20"/>
              <w:jc w:val="center"/>
            </w:pPr>
            <w:r/>
            <w:r>
              <w:rPr>
                <w:rFonts w:ascii="宋体" w:hAnsi="宋体" w:eastAsia="宋体"/>
                <w:b/>
                <w:sz w:val="21"/>
              </w:rPr>
              <w:t>地区</w:t>
            </w:r>
          </w:p>
        </w:tc>
        <w:tc>
          <w:tcPr>
            <w:tcW w:type="dxa" w:w="1215"/>
            <w:vAlign w:val="center"/>
            <w:tcBorders>
              <w:bottom w:val="single" w:sz="6" w:color="000000"/>
            </w:tcBorders>
          </w:tcPr>
          <w:p>
            <w:pPr>
              <w:spacing w:line="240" w:lineRule="auto" w:after="20" w:before="20"/>
              <w:jc w:val="center"/>
            </w:pPr>
            <w:r/>
            <w:r>
              <w:rPr>
                <w:rFonts w:ascii="宋体" w:hAnsi="宋体" w:eastAsia="宋体"/>
                <w:b/>
                <w:sz w:val="21"/>
              </w:rPr>
              <w:t>2006年</w:t>
            </w:r>
          </w:p>
        </w:tc>
        <w:tc>
          <w:tcPr>
            <w:tcW w:type="dxa" w:w="1215"/>
            <w:vAlign w:val="center"/>
            <w:tcBorders>
              <w:bottom w:val="single" w:sz="6" w:color="000000"/>
            </w:tcBorders>
          </w:tcPr>
          <w:p>
            <w:pPr>
              <w:spacing w:line="240" w:lineRule="auto" w:after="20" w:before="20"/>
              <w:jc w:val="center"/>
            </w:pPr>
            <w:r/>
            <w:r>
              <w:rPr>
                <w:rFonts w:ascii="宋体" w:hAnsi="宋体" w:eastAsia="宋体"/>
                <w:b/>
                <w:sz w:val="21"/>
              </w:rPr>
              <w:t>2010年</w:t>
            </w:r>
          </w:p>
        </w:tc>
        <w:tc>
          <w:tcPr>
            <w:tcW w:type="dxa" w:w="1215"/>
            <w:vAlign w:val="center"/>
            <w:tcBorders>
              <w:bottom w:val="single" w:sz="6" w:color="000000"/>
            </w:tcBorders>
          </w:tcPr>
          <w:p>
            <w:pPr>
              <w:spacing w:line="240" w:lineRule="auto" w:after="20" w:before="20"/>
              <w:jc w:val="center"/>
            </w:pPr>
            <w:r/>
            <w:r>
              <w:rPr>
                <w:rFonts w:ascii="宋体" w:hAnsi="宋体" w:eastAsia="宋体"/>
                <w:b/>
                <w:sz w:val="21"/>
              </w:rPr>
              <w:t>2015年</w:t>
            </w:r>
          </w:p>
        </w:tc>
        <w:tc>
          <w:tcPr>
            <w:tcW w:type="dxa" w:w="1215"/>
            <w:vAlign w:val="center"/>
            <w:tcBorders>
              <w:bottom w:val="single" w:sz="6" w:color="000000"/>
            </w:tcBorders>
          </w:tcPr>
          <w:p>
            <w:pPr>
              <w:spacing w:line="240" w:lineRule="auto" w:after="20" w:before="20"/>
              <w:jc w:val="center"/>
            </w:pPr>
            <w:r/>
            <w:r>
              <w:rPr>
                <w:rFonts w:ascii="宋体" w:hAnsi="宋体" w:eastAsia="宋体"/>
                <w:b/>
                <w:sz w:val="21"/>
              </w:rPr>
              <w:t>2020年</w:t>
            </w:r>
          </w:p>
        </w:tc>
        <w:tc>
          <w:tcPr>
            <w:tcW w:type="dxa" w:w="1215"/>
            <w:vAlign w:val="center"/>
            <w:tcBorders>
              <w:bottom w:val="single" w:sz="6" w:color="000000"/>
            </w:tcBorders>
          </w:tcPr>
          <w:p>
            <w:pPr>
              <w:spacing w:line="240" w:lineRule="auto" w:after="20" w:before="20"/>
              <w:jc w:val="center"/>
            </w:pPr>
            <w:r/>
            <w:r>
              <w:rPr>
                <w:rFonts w:ascii="宋体" w:hAnsi="宋体" w:eastAsia="宋体"/>
                <w:b/>
                <w:sz w:val="21"/>
              </w:rPr>
              <w:t>2023年</w:t>
            </w:r>
          </w:p>
        </w:tc>
        <w:tc>
          <w:tcPr>
            <w:tcW w:type="dxa" w:w="1215"/>
            <w:vAlign w:val="center"/>
            <w:tcBorders>
              <w:bottom w:val="single" w:sz="6" w:color="000000"/>
            </w:tcBorders>
          </w:tcPr>
          <w:p>
            <w:pPr>
              <w:spacing w:line="240" w:lineRule="auto" w:after="20" w:before="20"/>
              <w:jc w:val="center"/>
            </w:pPr>
            <w:r/>
            <w:r>
              <w:rPr>
                <w:rFonts w:ascii="宋体" w:hAnsi="宋体" w:eastAsia="宋体"/>
                <w:b/>
                <w:sz w:val="21"/>
              </w:rPr>
              <w:t>年均增长(%)</w:t>
            </w:r>
          </w:p>
        </w:tc>
      </w:tr>
      <w:tr>
        <w:tc>
          <w:tcPr>
            <w:tcW w:type="dxa" w:w="1215"/>
            <w:vAlign w:val="center"/>
          </w:tcPr>
          <w:p>
            <w:pPr>
              <w:spacing w:line="240" w:lineRule="auto" w:after="20" w:before="20"/>
              <w:jc w:val="left"/>
            </w:pPr>
            <w:r/>
            <w:r>
              <w:rPr>
                <w:rFonts w:ascii="宋体" w:hAnsi="宋体" w:eastAsia="宋体"/>
                <w:sz w:val="21"/>
              </w:rPr>
              <w:t>东部</w:t>
            </w:r>
          </w:p>
        </w:tc>
        <w:tc>
          <w:tcPr>
            <w:tcW w:type="dxa" w:w="1215"/>
            <w:vAlign w:val="center"/>
          </w:tcPr>
          <w:p>
            <w:pPr>
              <w:spacing w:line="240" w:lineRule="auto" w:after="20" w:before="20"/>
              <w:jc w:val="center"/>
            </w:pPr>
            <w:r/>
            <w:r>
              <w:rPr>
                <w:rFonts w:ascii="宋体" w:hAnsi="宋体" w:eastAsia="宋体"/>
                <w:sz w:val="21"/>
              </w:rPr>
              <w:t>0.431</w:t>
            </w:r>
          </w:p>
        </w:tc>
        <w:tc>
          <w:tcPr>
            <w:tcW w:type="dxa" w:w="1215"/>
            <w:vAlign w:val="center"/>
          </w:tcPr>
          <w:p>
            <w:pPr>
              <w:spacing w:line="240" w:lineRule="auto" w:after="20" w:before="20"/>
              <w:jc w:val="center"/>
            </w:pPr>
            <w:r/>
            <w:r>
              <w:rPr>
                <w:rFonts w:ascii="宋体" w:hAnsi="宋体" w:eastAsia="宋体"/>
                <w:sz w:val="21"/>
              </w:rPr>
              <w:t>0.484</w:t>
            </w:r>
          </w:p>
        </w:tc>
        <w:tc>
          <w:tcPr>
            <w:tcW w:type="dxa" w:w="1215"/>
            <w:vAlign w:val="center"/>
          </w:tcPr>
          <w:p>
            <w:pPr>
              <w:spacing w:line="240" w:lineRule="auto" w:after="20" w:before="20"/>
              <w:jc w:val="center"/>
            </w:pPr>
            <w:r/>
            <w:r>
              <w:rPr>
                <w:rFonts w:ascii="宋体" w:hAnsi="宋体" w:eastAsia="宋体"/>
                <w:sz w:val="21"/>
              </w:rPr>
              <w:t>0.563</w:t>
            </w:r>
          </w:p>
        </w:tc>
        <w:tc>
          <w:tcPr>
            <w:tcW w:type="dxa" w:w="1215"/>
            <w:vAlign w:val="center"/>
          </w:tcPr>
          <w:p>
            <w:pPr>
              <w:spacing w:line="240" w:lineRule="auto" w:after="20" w:before="20"/>
              <w:jc w:val="center"/>
            </w:pPr>
            <w:r/>
            <w:r>
              <w:rPr>
                <w:rFonts w:ascii="宋体" w:hAnsi="宋体" w:eastAsia="宋体"/>
                <w:sz w:val="21"/>
              </w:rPr>
              <w:t>0.677</w:t>
            </w:r>
          </w:p>
        </w:tc>
        <w:tc>
          <w:tcPr>
            <w:tcW w:type="dxa" w:w="1215"/>
            <w:vAlign w:val="center"/>
          </w:tcPr>
          <w:p>
            <w:pPr>
              <w:spacing w:line="240" w:lineRule="auto" w:after="20" w:before="20"/>
              <w:jc w:val="center"/>
            </w:pPr>
            <w:r/>
            <w:r>
              <w:rPr>
                <w:rFonts w:ascii="宋体" w:hAnsi="宋体" w:eastAsia="宋体"/>
                <w:sz w:val="21"/>
              </w:rPr>
              <w:t>0.744</w:t>
            </w:r>
          </w:p>
        </w:tc>
        <w:tc>
          <w:tcPr>
            <w:tcW w:type="dxa" w:w="1215"/>
            <w:vAlign w:val="center"/>
          </w:tcPr>
          <w:p>
            <w:pPr>
              <w:spacing w:line="240" w:lineRule="auto" w:after="20" w:before="20"/>
              <w:jc w:val="center"/>
            </w:pPr>
            <w:r/>
            <w:r>
              <w:rPr>
                <w:rFonts w:ascii="宋体" w:hAnsi="宋体" w:eastAsia="宋体"/>
                <w:sz w:val="21"/>
              </w:rPr>
              <w:t>3.27</w:t>
            </w:r>
          </w:p>
        </w:tc>
      </w:tr>
      <w:tr>
        <w:tc>
          <w:tcPr>
            <w:tcW w:type="dxa" w:w="1215"/>
            <w:vAlign w:val="center"/>
          </w:tcPr>
          <w:p>
            <w:pPr>
              <w:spacing w:line="240" w:lineRule="auto" w:after="20" w:before="20"/>
              <w:jc w:val="left"/>
            </w:pPr>
            <w:r/>
            <w:r>
              <w:rPr>
                <w:rFonts w:ascii="宋体" w:hAnsi="宋体" w:eastAsia="宋体"/>
                <w:sz w:val="21"/>
              </w:rPr>
              <w:t>中部</w:t>
            </w:r>
          </w:p>
        </w:tc>
        <w:tc>
          <w:tcPr>
            <w:tcW w:type="dxa" w:w="1215"/>
            <w:vAlign w:val="center"/>
          </w:tcPr>
          <w:p>
            <w:pPr>
              <w:spacing w:line="240" w:lineRule="auto" w:after="20" w:before="20"/>
              <w:jc w:val="center"/>
            </w:pPr>
            <w:r/>
            <w:r>
              <w:rPr>
                <w:rFonts w:ascii="宋体" w:hAnsi="宋体" w:eastAsia="宋体"/>
                <w:sz w:val="21"/>
              </w:rPr>
              <w:t>0.343</w:t>
            </w:r>
          </w:p>
        </w:tc>
        <w:tc>
          <w:tcPr>
            <w:tcW w:type="dxa" w:w="1215"/>
            <w:vAlign w:val="center"/>
          </w:tcPr>
          <w:p>
            <w:pPr>
              <w:spacing w:line="240" w:lineRule="auto" w:after="20" w:before="20"/>
              <w:jc w:val="center"/>
            </w:pPr>
            <w:r/>
            <w:r>
              <w:rPr>
                <w:rFonts w:ascii="宋体" w:hAnsi="宋体" w:eastAsia="宋体"/>
                <w:sz w:val="21"/>
              </w:rPr>
              <w:t>0.399</w:t>
            </w:r>
          </w:p>
        </w:tc>
        <w:tc>
          <w:tcPr>
            <w:tcW w:type="dxa" w:w="1215"/>
            <w:vAlign w:val="center"/>
          </w:tcPr>
          <w:p>
            <w:pPr>
              <w:spacing w:line="240" w:lineRule="auto" w:after="20" w:before="20"/>
              <w:jc w:val="center"/>
            </w:pPr>
            <w:r/>
            <w:r>
              <w:rPr>
                <w:rFonts w:ascii="宋体" w:hAnsi="宋体" w:eastAsia="宋体"/>
                <w:sz w:val="21"/>
              </w:rPr>
              <w:t>0.486</w:t>
            </w:r>
          </w:p>
        </w:tc>
        <w:tc>
          <w:tcPr>
            <w:tcW w:type="dxa" w:w="1215"/>
            <w:vAlign w:val="center"/>
          </w:tcPr>
          <w:p>
            <w:pPr>
              <w:spacing w:line="240" w:lineRule="auto" w:after="20" w:before="20"/>
              <w:jc w:val="center"/>
            </w:pPr>
            <w:r/>
            <w:r>
              <w:rPr>
                <w:rFonts w:ascii="宋体" w:hAnsi="宋体" w:eastAsia="宋体"/>
                <w:sz w:val="21"/>
              </w:rPr>
              <w:t>0.604</w:t>
            </w:r>
          </w:p>
        </w:tc>
        <w:tc>
          <w:tcPr>
            <w:tcW w:type="dxa" w:w="1215"/>
            <w:vAlign w:val="center"/>
          </w:tcPr>
          <w:p>
            <w:pPr>
              <w:spacing w:line="240" w:lineRule="auto" w:after="20" w:before="20"/>
              <w:jc w:val="center"/>
            </w:pPr>
            <w:r/>
            <w:r>
              <w:rPr>
                <w:rFonts w:ascii="宋体" w:hAnsi="宋体" w:eastAsia="宋体"/>
                <w:sz w:val="21"/>
              </w:rPr>
              <w:t>0.727</w:t>
            </w:r>
          </w:p>
        </w:tc>
        <w:tc>
          <w:tcPr>
            <w:tcW w:type="dxa" w:w="1215"/>
            <w:vAlign w:val="center"/>
          </w:tcPr>
          <w:p>
            <w:pPr>
              <w:spacing w:line="240" w:lineRule="auto" w:after="20" w:before="20"/>
              <w:jc w:val="center"/>
            </w:pPr>
            <w:r/>
            <w:r>
              <w:rPr>
                <w:rFonts w:ascii="宋体" w:hAnsi="宋体" w:eastAsia="宋体"/>
                <w:sz w:val="21"/>
              </w:rPr>
              <w:t>4.53</w:t>
            </w:r>
          </w:p>
        </w:tc>
      </w:tr>
      <w:tr>
        <w:tc>
          <w:tcPr>
            <w:tcW w:type="dxa" w:w="1215"/>
            <w:vAlign w:val="center"/>
          </w:tcPr>
          <w:p>
            <w:pPr>
              <w:spacing w:line="240" w:lineRule="auto" w:after="20" w:before="20"/>
              <w:jc w:val="left"/>
            </w:pPr>
            <w:r/>
            <w:r>
              <w:rPr>
                <w:rFonts w:ascii="宋体" w:hAnsi="宋体" w:eastAsia="宋体"/>
                <w:sz w:val="21"/>
              </w:rPr>
              <w:t>西部</w:t>
            </w:r>
          </w:p>
        </w:tc>
        <w:tc>
          <w:tcPr>
            <w:tcW w:type="dxa" w:w="1215"/>
            <w:vAlign w:val="center"/>
          </w:tcPr>
          <w:p>
            <w:pPr>
              <w:spacing w:line="240" w:lineRule="auto" w:after="20" w:before="20"/>
              <w:jc w:val="center"/>
            </w:pPr>
            <w:r/>
            <w:r>
              <w:rPr>
                <w:rFonts w:ascii="宋体" w:hAnsi="宋体" w:eastAsia="宋体"/>
                <w:sz w:val="21"/>
              </w:rPr>
              <w:t>0.337</w:t>
            </w:r>
          </w:p>
        </w:tc>
        <w:tc>
          <w:tcPr>
            <w:tcW w:type="dxa" w:w="1215"/>
            <w:vAlign w:val="center"/>
          </w:tcPr>
          <w:p>
            <w:pPr>
              <w:spacing w:line="240" w:lineRule="auto" w:after="20" w:before="20"/>
              <w:jc w:val="center"/>
            </w:pPr>
            <w:r/>
            <w:r>
              <w:rPr>
                <w:rFonts w:ascii="宋体" w:hAnsi="宋体" w:eastAsia="宋体"/>
                <w:sz w:val="21"/>
              </w:rPr>
              <w:t>0.400</w:t>
            </w:r>
          </w:p>
        </w:tc>
        <w:tc>
          <w:tcPr>
            <w:tcW w:type="dxa" w:w="1215"/>
            <w:vAlign w:val="center"/>
          </w:tcPr>
          <w:p>
            <w:pPr>
              <w:spacing w:line="240" w:lineRule="auto" w:after="20" w:before="20"/>
              <w:jc w:val="center"/>
            </w:pPr>
            <w:r/>
            <w:r>
              <w:rPr>
                <w:rFonts w:ascii="宋体" w:hAnsi="宋体" w:eastAsia="宋体"/>
                <w:sz w:val="21"/>
              </w:rPr>
              <w:t>0.487</w:t>
            </w:r>
          </w:p>
        </w:tc>
        <w:tc>
          <w:tcPr>
            <w:tcW w:type="dxa" w:w="1215"/>
            <w:vAlign w:val="center"/>
          </w:tcPr>
          <w:p>
            <w:pPr>
              <w:spacing w:line="240" w:lineRule="auto" w:after="20" w:before="20"/>
              <w:jc w:val="center"/>
            </w:pPr>
            <w:r/>
            <w:r>
              <w:rPr>
                <w:rFonts w:ascii="宋体" w:hAnsi="宋体" w:eastAsia="宋体"/>
                <w:sz w:val="21"/>
              </w:rPr>
              <w:t>0.607</w:t>
            </w:r>
          </w:p>
        </w:tc>
        <w:tc>
          <w:tcPr>
            <w:tcW w:type="dxa" w:w="1215"/>
            <w:vAlign w:val="center"/>
          </w:tcPr>
          <w:p>
            <w:pPr>
              <w:spacing w:line="240" w:lineRule="auto" w:after="20" w:before="20"/>
              <w:jc w:val="center"/>
            </w:pPr>
            <w:r/>
            <w:r>
              <w:rPr>
                <w:rFonts w:ascii="宋体" w:hAnsi="宋体" w:eastAsia="宋体"/>
                <w:sz w:val="21"/>
              </w:rPr>
              <w:t>0.746</w:t>
            </w:r>
          </w:p>
        </w:tc>
        <w:tc>
          <w:tcPr>
            <w:tcW w:type="dxa" w:w="1215"/>
            <w:vAlign w:val="center"/>
          </w:tcPr>
          <w:p>
            <w:pPr>
              <w:spacing w:line="240" w:lineRule="auto" w:after="20" w:before="20"/>
              <w:jc w:val="center"/>
            </w:pPr>
            <w:r/>
            <w:r>
              <w:rPr>
                <w:rFonts w:ascii="宋体" w:hAnsi="宋体" w:eastAsia="宋体"/>
                <w:sz w:val="21"/>
              </w:rPr>
              <w:t>4.78</w:t>
            </w:r>
          </w:p>
        </w:tc>
      </w:tr>
      <w:tr>
        <w:tc>
          <w:tcPr>
            <w:tcW w:type="dxa" w:w="1215"/>
            <w:vAlign w:val="center"/>
          </w:tcPr>
          <w:p>
            <w:pPr>
              <w:spacing w:line="240" w:lineRule="auto" w:after="20" w:before="20"/>
              <w:jc w:val="left"/>
            </w:pPr>
            <w:r/>
            <w:r>
              <w:rPr>
                <w:rFonts w:ascii="宋体" w:hAnsi="宋体" w:eastAsia="宋体"/>
                <w:sz w:val="21"/>
              </w:rPr>
              <w:t>东北</w:t>
            </w:r>
          </w:p>
        </w:tc>
        <w:tc>
          <w:tcPr>
            <w:tcW w:type="dxa" w:w="1215"/>
            <w:vAlign w:val="center"/>
          </w:tcPr>
          <w:p>
            <w:pPr>
              <w:spacing w:line="240" w:lineRule="auto" w:after="20" w:before="20"/>
              <w:jc w:val="center"/>
            </w:pPr>
            <w:r/>
            <w:r>
              <w:rPr>
                <w:rFonts w:ascii="宋体" w:hAnsi="宋体" w:eastAsia="宋体"/>
                <w:sz w:val="21"/>
              </w:rPr>
              <w:t>0.381</w:t>
            </w:r>
          </w:p>
        </w:tc>
        <w:tc>
          <w:tcPr>
            <w:tcW w:type="dxa" w:w="1215"/>
            <w:vAlign w:val="center"/>
          </w:tcPr>
          <w:p>
            <w:pPr>
              <w:spacing w:line="240" w:lineRule="auto" w:after="20" w:before="20"/>
              <w:jc w:val="center"/>
            </w:pPr>
            <w:r/>
            <w:r>
              <w:rPr>
                <w:rFonts w:ascii="宋体" w:hAnsi="宋体" w:eastAsia="宋体"/>
                <w:sz w:val="21"/>
              </w:rPr>
              <w:t>0.450</w:t>
            </w:r>
          </w:p>
        </w:tc>
        <w:tc>
          <w:tcPr>
            <w:tcW w:type="dxa" w:w="1215"/>
            <w:vAlign w:val="center"/>
          </w:tcPr>
          <w:p>
            <w:pPr>
              <w:spacing w:line="240" w:lineRule="auto" w:after="20" w:before="20"/>
              <w:jc w:val="center"/>
            </w:pPr>
            <w:r/>
            <w:r>
              <w:rPr>
                <w:rFonts w:ascii="宋体" w:hAnsi="宋体" w:eastAsia="宋体"/>
                <w:sz w:val="21"/>
              </w:rPr>
              <w:t>0.540</w:t>
            </w:r>
          </w:p>
        </w:tc>
        <w:tc>
          <w:tcPr>
            <w:tcW w:type="dxa" w:w="1215"/>
            <w:vAlign w:val="center"/>
          </w:tcPr>
          <w:p>
            <w:pPr>
              <w:spacing w:line="240" w:lineRule="auto" w:after="20" w:before="20"/>
              <w:jc w:val="center"/>
            </w:pPr>
            <w:r/>
            <w:r>
              <w:rPr>
                <w:rFonts w:ascii="宋体" w:hAnsi="宋体" w:eastAsia="宋体"/>
                <w:sz w:val="21"/>
              </w:rPr>
              <w:t>0.662</w:t>
            </w:r>
          </w:p>
        </w:tc>
        <w:tc>
          <w:tcPr>
            <w:tcW w:type="dxa" w:w="1215"/>
            <w:vAlign w:val="center"/>
          </w:tcPr>
          <w:p>
            <w:pPr>
              <w:spacing w:line="240" w:lineRule="auto" w:after="20" w:before="20"/>
              <w:jc w:val="center"/>
            </w:pPr>
            <w:r/>
            <w:r>
              <w:rPr>
                <w:rFonts w:ascii="宋体" w:hAnsi="宋体" w:eastAsia="宋体"/>
                <w:sz w:val="21"/>
              </w:rPr>
              <w:t>0.784</w:t>
            </w:r>
          </w:p>
        </w:tc>
        <w:tc>
          <w:tcPr>
            <w:tcW w:type="dxa" w:w="1215"/>
            <w:vAlign w:val="center"/>
          </w:tcPr>
          <w:p>
            <w:pPr>
              <w:spacing w:line="240" w:lineRule="auto" w:after="20" w:before="20"/>
              <w:jc w:val="center"/>
            </w:pPr>
            <w:r/>
            <w:r>
              <w:rPr>
                <w:rFonts w:ascii="宋体" w:hAnsi="宋体" w:eastAsia="宋体"/>
                <w:sz w:val="21"/>
              </w:rPr>
              <w:t>4.34</w:t>
            </w:r>
          </w:p>
        </w:tc>
      </w:tr>
      <w:tr>
        <w:tc>
          <w:tcPr>
            <w:tcW w:type="dxa" w:w="1215"/>
            <w:vAlign w:val="center"/>
          </w:tcPr>
          <w:p>
            <w:pPr>
              <w:spacing w:line="240" w:lineRule="auto" w:after="20" w:before="20"/>
              <w:jc w:val="left"/>
            </w:pPr>
            <w:r/>
            <w:r>
              <w:rPr>
                <w:rFonts w:ascii="宋体" w:hAnsi="宋体" w:eastAsia="宋体"/>
                <w:sz w:val="21"/>
              </w:rPr>
              <w:t>全国</w:t>
            </w:r>
          </w:p>
        </w:tc>
        <w:tc>
          <w:tcPr>
            <w:tcW w:type="dxa" w:w="1215"/>
            <w:vAlign w:val="center"/>
          </w:tcPr>
          <w:p>
            <w:pPr>
              <w:spacing w:line="240" w:lineRule="auto" w:after="20" w:before="20"/>
              <w:jc w:val="center"/>
            </w:pPr>
            <w:r/>
            <w:r>
              <w:rPr>
                <w:rFonts w:ascii="宋体" w:hAnsi="宋体" w:eastAsia="宋体"/>
                <w:sz w:val="21"/>
              </w:rPr>
              <w:t>0.373</w:t>
            </w:r>
          </w:p>
        </w:tc>
        <w:tc>
          <w:tcPr>
            <w:tcW w:type="dxa" w:w="1215"/>
            <w:vAlign w:val="center"/>
          </w:tcPr>
          <w:p>
            <w:pPr>
              <w:spacing w:line="240" w:lineRule="auto" w:after="20" w:before="20"/>
              <w:jc w:val="center"/>
            </w:pPr>
            <w:r/>
            <w:r>
              <w:rPr>
                <w:rFonts w:ascii="宋体" w:hAnsi="宋体" w:eastAsia="宋体"/>
                <w:sz w:val="21"/>
              </w:rPr>
              <w:t>0.431</w:t>
            </w:r>
          </w:p>
        </w:tc>
        <w:tc>
          <w:tcPr>
            <w:tcW w:type="dxa" w:w="1215"/>
            <w:vAlign w:val="center"/>
          </w:tcPr>
          <w:p>
            <w:pPr>
              <w:spacing w:line="240" w:lineRule="auto" w:after="20" w:before="20"/>
              <w:jc w:val="center"/>
            </w:pPr>
            <w:r/>
            <w:r>
              <w:rPr>
                <w:rFonts w:ascii="宋体" w:hAnsi="宋体" w:eastAsia="宋体"/>
                <w:sz w:val="21"/>
              </w:rPr>
              <w:t>0.517</w:t>
            </w:r>
          </w:p>
        </w:tc>
        <w:tc>
          <w:tcPr>
            <w:tcW w:type="dxa" w:w="1215"/>
            <w:vAlign w:val="center"/>
          </w:tcPr>
          <w:p>
            <w:pPr>
              <w:spacing w:line="240" w:lineRule="auto" w:after="20" w:before="20"/>
              <w:jc w:val="center"/>
            </w:pPr>
            <w:r/>
            <w:r>
              <w:rPr>
                <w:rFonts w:ascii="宋体" w:hAnsi="宋体" w:eastAsia="宋体"/>
                <w:sz w:val="21"/>
              </w:rPr>
              <w:t>0.634</w:t>
            </w:r>
          </w:p>
        </w:tc>
        <w:tc>
          <w:tcPr>
            <w:tcW w:type="dxa" w:w="1215"/>
            <w:vAlign w:val="center"/>
          </w:tcPr>
          <w:p>
            <w:pPr>
              <w:spacing w:line="240" w:lineRule="auto" w:after="20" w:before="20"/>
              <w:jc w:val="center"/>
            </w:pPr>
            <w:r/>
            <w:r>
              <w:rPr>
                <w:rFonts w:ascii="宋体" w:hAnsi="宋体" w:eastAsia="宋体"/>
                <w:sz w:val="21"/>
              </w:rPr>
              <w:t>0.745</w:t>
            </w:r>
          </w:p>
        </w:tc>
        <w:tc>
          <w:tcPr>
            <w:tcW w:type="dxa" w:w="1215"/>
            <w:vAlign w:val="center"/>
          </w:tcPr>
          <w:p>
            <w:pPr>
              <w:spacing w:line="240" w:lineRule="auto" w:after="20" w:before="20"/>
              <w:jc w:val="center"/>
            </w:pPr>
            <w:r/>
            <w:r>
              <w:rPr>
                <w:rFonts w:ascii="宋体" w:hAnsi="宋体" w:eastAsia="宋体"/>
                <w:sz w:val="21"/>
              </w:rPr>
              <w:t>4.16</w:t>
            </w:r>
          </w:p>
        </w:tc>
      </w:tr>
    </w:tbl>
    <w:p>
      <w:pPr>
        <w:spacing w:after="200" w:line="240" w:lineRule="auto"/>
      </w:pPr>
      <w:r>
        <w:rPr>
          <w:rFonts w:ascii="宋体" w:hAnsi="宋体" w:eastAsia="宋体"/>
          <w:sz w:val="18"/>
        </w:rPr>
        <w:t>注：数值为各区域 NUMI 均值；年均增长为2006—2023年的几何平均增长率。资料来源：作者测算。</w:t>
      </w:r>
    </w:p>
    <w:p>
      <w:pPr>
        <w:spacing w:before="120" w:after="40"/>
        <w:jc w:val="center"/>
      </w:pPr>
      <w:r>
        <w:drawing>
          <wp:inline xmlns:a="http://schemas.openxmlformats.org/drawingml/2006/main" xmlns:pic="http://schemas.openxmlformats.org/drawingml/2006/picture">
            <wp:extent cx="4500000" cy="2707627"/>
            <wp:docPr id="13" name="Picture 13"/>
            <wp:cNvGraphicFramePr>
              <a:graphicFrameLocks noChangeAspect="1"/>
            </wp:cNvGraphicFramePr>
            <a:graphic>
              <a:graphicData uri="http://schemas.openxmlformats.org/drawingml/2006/picture">
                <pic:pic>
                  <pic:nvPicPr>
                    <pic:cNvPr id="0" name="fig5_3.png"/>
                    <pic:cNvPicPr/>
                  </pic:nvPicPr>
                  <pic:blipFill>
                    <a:blip r:embed="rId21"/>
                    <a:stretch>
                      <a:fillRect/>
                    </a:stretch>
                  </pic:blipFill>
                  <pic:spPr>
                    <a:xfrm>
                      <a:off x="0" y="0"/>
                      <a:ext cx="4500000" cy="2707627"/>
                    </a:xfrm>
                    <a:prstGeom prst="rect"/>
                  </pic:spPr>
                </pic:pic>
              </a:graphicData>
            </a:graphic>
          </wp:inline>
        </w:drawing>
      </w:r>
    </w:p>
    <w:p>
      <w:pPr>
        <w:keepNext w:val="0"/>
        <w:spacing w:after="200"/>
        <w:jc w:val="center"/>
      </w:pPr>
      <w:r>
        <w:rPr>
          <w:rFonts w:ascii="黑体" w:hAnsi="黑体" w:eastAsia="黑体"/>
          <w:sz w:val="21"/>
        </w:rPr>
        <w:t>图5.3  四大区域统一大市场建设指数的演变（2006—2023）</w:t>
      </w:r>
    </w:p>
    <w:p>
      <w:pPr>
        <w:spacing w:line="360" w:lineRule="auto" w:after="0"/>
        <w:ind w:firstLineChars="200" w:firstLine="480"/>
        <w:jc w:val="both"/>
      </w:pPr>
      <w:r>
        <w:rPr>
          <w:rFonts w:ascii="宋体" w:hAnsi="宋体" w:eastAsia="宋体"/>
          <w:sz w:val="24"/>
        </w:rPr>
        <w:t>值得注意的是，尽管东部始终领先，但区域间的相对差距趋于收窄：中西部地区 NUMI 的年均增速快于东部，呈现一定的"追赶"态势。这与近年来国家推动区域协调发展、加大中西部基础设施投入和承接产业转移的政策导向相吻合，也为命题3所预示的"欠发达地区红利更大"提供了初步的描述性证据。图5.7以核密度估计进一步刻画了 NUMI 分布的动态演变：分布中心持续右移，且离散程度有所收窄，表明各地区统一大市场建设水平在整体提升的同时趋于收敛，未出现明显的两极分化。</w:t>
      </w:r>
    </w:p>
    <w:p>
      <w:pPr>
        <w:spacing w:before="120" w:after="40"/>
        <w:jc w:val="center"/>
      </w:pPr>
      <w:r>
        <w:drawing>
          <wp:inline xmlns:a="http://schemas.openxmlformats.org/drawingml/2006/main" xmlns:pic="http://schemas.openxmlformats.org/drawingml/2006/picture">
            <wp:extent cx="4500000" cy="2823529"/>
            <wp:docPr id="14" name="Picture 14"/>
            <wp:cNvGraphicFramePr>
              <a:graphicFrameLocks noChangeAspect="1"/>
            </wp:cNvGraphicFramePr>
            <a:graphic>
              <a:graphicData uri="http://schemas.openxmlformats.org/drawingml/2006/picture">
                <pic:pic>
                  <pic:nvPicPr>
                    <pic:cNvPr id="0" name="fig5_7.png"/>
                    <pic:cNvPicPr/>
                  </pic:nvPicPr>
                  <pic:blipFill>
                    <a:blip r:embed="rId22"/>
                    <a:stretch>
                      <a:fillRect/>
                    </a:stretch>
                  </pic:blipFill>
                  <pic:spPr>
                    <a:xfrm>
                      <a:off x="0" y="0"/>
                      <a:ext cx="4500000" cy="2823529"/>
                    </a:xfrm>
                    <a:prstGeom prst="rect"/>
                  </pic:spPr>
                </pic:pic>
              </a:graphicData>
            </a:graphic>
          </wp:inline>
        </w:drawing>
      </w:r>
    </w:p>
    <w:p>
      <w:pPr>
        <w:keepNext w:val="0"/>
        <w:spacing w:after="200"/>
        <w:jc w:val="center"/>
      </w:pPr>
      <w:r>
        <w:rPr>
          <w:rFonts w:ascii="黑体" w:hAnsi="黑体" w:eastAsia="黑体"/>
          <w:sz w:val="21"/>
        </w:rPr>
        <w:t>图5.7  统一大市场建设指数的分布动态（核密度估计）</w:t>
      </w:r>
    </w:p>
    <w:p>
      <w:pPr>
        <w:keepNext/>
        <w:spacing w:before="160" w:after="120" w:line="360" w:lineRule="auto"/>
      </w:pPr>
      <w:r>
        <w:rPr>
          <w:rFonts w:ascii="黑体" w:hAnsi="黑体" w:eastAsia="黑体"/>
          <w:sz w:val="24"/>
        </w:rPr>
        <w:t>5.4.1  区域收敛的量化刻画</w:t>
      </w:r>
    </w:p>
    <w:p>
      <w:pPr>
        <w:spacing w:line="360" w:lineRule="auto" w:after="0"/>
        <w:ind w:firstLineChars="200" w:firstLine="480"/>
        <w:jc w:val="both"/>
      </w:pPr>
      <w:r>
        <w:rPr>
          <w:rFonts w:ascii="宋体" w:hAnsi="宋体" w:eastAsia="宋体"/>
          <w:sz w:val="24"/>
        </w:rPr>
        <w:t>区域差距的收窄可以得到量化印证。就四大区域均值而言，东部与西部之比由2006年的1.28倍降至2023年的约1.00倍，东西部之间的绝对差距由约9.3个百分点收窄至几近持平；反映区域相对离散的变异系数（CV）由2006年的10.0%大幅下降至2023年的2.8%，呈现出典型的σ收敛特征。这表明各地区统一大市场建设水平不仅整体抬升，而且相互靠拢，未出现"强者恒强"的两极分化。尤为值得关注的是，东北地区凭借较高的建设起点与近年的稳步推进，2023年 NUMI 均值升至约0.784，在四大板块中位居前列，显示出老工业基地在市场基础制度和要素配置规则统一方面的相对优势；中西部则以快于东部的增速持续追赶，成为区域收敛的主要动力。</w:t>
      </w:r>
    </w:p>
    <w:p>
      <w:pPr>
        <w:spacing w:line="360" w:lineRule="auto" w:after="0"/>
        <w:ind w:firstLineChars="200" w:firstLine="480"/>
        <w:jc w:val="both"/>
      </w:pPr>
      <w:r>
        <w:rPr>
          <w:rFonts w:ascii="宋体" w:hAnsi="宋体" w:eastAsia="宋体"/>
          <w:sz w:val="24"/>
        </w:rPr>
        <w:t>这一收敛格局具有重要的理论与政策含义。从理论上看，它为第4章命题3所预示的"统一大市场建设的配置效率红利随初始分割程度递增"提供了描述性证据：初始一体化水平较低的中西部地区，在同等改革力度下获得了更快的边际改善，这与（蔡昉，2021；余泳泽等，2022）关于欠发达地区资源重配置空间更大的判断相呼应。从政策上看，它说明近年来区域协调发展战略、中西部基础设施补短板和产业有序转移等举措，正在切实缩小区域间融入统一大市场的机会差距；但也提示，区域均值的趋同并不意味着省级差异的消失，结构性短板仍需在更细的空间尺度上精准识别。</w:t>
      </w:r>
    </w:p>
    <w:p>
      <w:pPr>
        <w:keepNext/>
        <w:spacing w:before="160" w:after="120" w:line="360" w:lineRule="auto"/>
      </w:pPr>
      <w:r>
        <w:rPr>
          <w:rFonts w:ascii="宋体" w:hAnsi="宋体" w:eastAsia="宋体"/>
          <w:b/>
          <w:sz w:val="24"/>
        </w:rPr>
        <w:t>（一）  东西部差距的测度</w:t>
      </w:r>
    </w:p>
    <w:p>
      <w:pPr>
        <w:spacing w:line="360" w:lineRule="auto" w:after="0"/>
        <w:ind w:firstLineChars="200" w:firstLine="480"/>
        <w:jc w:val="both"/>
      </w:pPr>
      <w:r>
        <w:rPr>
          <w:rFonts w:ascii="宋体" w:hAnsi="宋体" w:eastAsia="宋体"/>
          <w:sz w:val="24"/>
        </w:rPr>
        <w:t>东西部之间的相对差距是观察区域格局演变最直接的窗口。以东部与西部 NUMI 均值之比衡量，该比值由2006年的1.277逐步下降至2010年的1.210、2015年的1.157、2020年的1.115，至2023年进一步收敛至0.997，东西部建设水平已基本持平乃至略有反超。这一比值的单调下降清晰地刻画出"东部先行、西部追赶、渐次趋同"的动态过程。差距收窄的背后，既有西部大开发、"一带一路"建设带动下中西部交通与信息基础设施的跨越式改善，也有东部产业向中西部有序转移、带动要素跨区流动与制度规则统一的推动（蔡昉，2021；范欣等，2017）。需要指出的是，东西部均值趋同并不等于所有省份齐头并进，它更多反映的是区域板块层面的机会均等化，省际之间的结构性差异仍需在更细尺度上审视。</w:t>
      </w:r>
    </w:p>
    <w:p>
      <w:pPr>
        <w:keepNext/>
        <w:spacing w:before="160" w:after="120" w:line="360" w:lineRule="auto"/>
      </w:pPr>
      <w:r>
        <w:rPr>
          <w:rFonts w:ascii="宋体" w:hAnsi="宋体" w:eastAsia="宋体"/>
          <w:b/>
          <w:sz w:val="24"/>
        </w:rPr>
        <w:t>（二）  σ收敛的统计检验</w:t>
      </w:r>
    </w:p>
    <w:p>
      <w:pPr>
        <w:spacing w:line="360" w:lineRule="auto" w:after="0"/>
        <w:ind w:firstLineChars="200" w:firstLine="480"/>
        <w:jc w:val="both"/>
      </w:pPr>
      <w:r>
        <w:rPr>
          <w:rFonts w:ascii="宋体" w:hAnsi="宋体" w:eastAsia="宋体"/>
          <w:sz w:val="24"/>
        </w:rPr>
        <w:t>区域收敛可借助σ收敛概念作更严格的刻画。σ收敛指不同地区某一变量的离散程度随时间下降，通常以变异系数（标准差与均值之比）度量。测算表明，四大区域 NUMI 的变异系数由2006年的10.0%持续下降至2012年的8.1%、2019年的5.6%，并进一步降至2023年的2.8%，呈现出典型且稳健的σ收敛特征。这意味着各区域统一大市场建设水平不仅整体抬升，而且相互靠拢，离散程度逐年收窄，未出现"强者恒强"的两极分化。σ收敛与图5.7核密度估计所揭示的分布"中心右移、峰型收窄"的动态相互印证，共同表明中国统一大市场建设正沿着"整体提升、区域协调"的路径演进，这也为第4章命题3所预示的"欠发达地区一体化红利更大"提供了区域层面的经验支持（余泳泽等，2022）。</w:t>
      </w:r>
    </w:p>
    <w:p>
      <w:pPr>
        <w:spacing w:line="360" w:lineRule="auto" w:after="0"/>
        <w:ind w:firstLineChars="200" w:firstLine="480"/>
        <w:jc w:val="both"/>
      </w:pPr>
      <w:r>
        <w:rPr>
          <w:rFonts w:ascii="宋体" w:hAnsi="宋体" w:eastAsia="宋体"/>
          <w:sz w:val="24"/>
        </w:rPr>
        <w:t>从省级层面看，表5.2和图5.5报告了2023年各省 NUMI 的排名。上海、北京、江苏、浙江、广东等东部沿海省份位居前列，这些地区市场发育成熟、制度环境优良、要素流动顺畅；而西藏、青海、甘肃等西部省份相对靠后，市场分割和要素配置的行政性壁垒仍较突出，是统一大市场建设的重点和难点地区。</w:t>
      </w:r>
    </w:p>
    <w:p>
      <w:pPr>
        <w:keepNext/>
        <w:spacing w:before="160" w:after="40"/>
        <w:jc w:val="center"/>
      </w:pPr>
      <w:r>
        <w:rPr>
          <w:rFonts w:ascii="黑体" w:hAnsi="黑体" w:eastAsia="黑体"/>
          <w:sz w:val="21"/>
        </w:rPr>
        <w:t>表5.2  2023年各省统一大市场建设指数排名（前八与后八）</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1417"/>
        <w:gridCol w:w="1417"/>
        <w:gridCol w:w="1417"/>
        <w:gridCol w:w="1417"/>
        <w:gridCol w:w="1417"/>
        <w:gridCol w:w="1417"/>
      </w:tblGrid>
      <w:tr>
        <w:tc>
          <w:tcPr>
            <w:tcW w:type="dxa" w:w="1417"/>
            <w:vAlign w:val="center"/>
            <w:tcBorders>
              <w:bottom w:val="single" w:sz="6" w:color="000000"/>
            </w:tcBorders>
          </w:tcPr>
          <w:p>
            <w:pPr>
              <w:spacing w:line="240" w:lineRule="auto" w:after="20" w:before="20"/>
              <w:jc w:val="center"/>
            </w:pPr>
            <w:r/>
            <w:r>
              <w:rPr>
                <w:rFonts w:ascii="宋体" w:hAnsi="宋体" w:eastAsia="宋体"/>
                <w:b/>
                <w:sz w:val="21"/>
              </w:rPr>
              <w:t>排名</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省份</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NUMI</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排名</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省份</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NUMI</w:t>
            </w:r>
          </w:p>
        </w:tc>
      </w:tr>
      <w:tr>
        <w:tc>
          <w:tcPr>
            <w:tcW w:type="dxa" w:w="1417"/>
            <w:vAlign w:val="center"/>
          </w:tcPr>
          <w:p>
            <w:pPr>
              <w:spacing w:line="240" w:lineRule="auto" w:after="20" w:before="20"/>
              <w:jc w:val="center"/>
            </w:pPr>
            <w:r/>
            <w:r>
              <w:rPr>
                <w:rFonts w:ascii="宋体" w:hAnsi="宋体" w:eastAsia="宋体"/>
                <w:sz w:val="21"/>
              </w:rPr>
              <w:t>1</w:t>
            </w:r>
          </w:p>
        </w:tc>
        <w:tc>
          <w:tcPr>
            <w:tcW w:type="dxa" w:w="1417"/>
            <w:vAlign w:val="center"/>
          </w:tcPr>
          <w:p>
            <w:pPr>
              <w:spacing w:line="240" w:lineRule="auto" w:after="20" w:before="20"/>
              <w:jc w:val="left"/>
            </w:pPr>
            <w:r/>
            <w:r>
              <w:rPr>
                <w:rFonts w:ascii="宋体" w:hAnsi="宋体" w:eastAsia="宋体"/>
                <w:sz w:val="21"/>
              </w:rPr>
              <w:t>山东</w:t>
            </w:r>
          </w:p>
        </w:tc>
        <w:tc>
          <w:tcPr>
            <w:tcW w:type="dxa" w:w="1417"/>
            <w:vAlign w:val="center"/>
          </w:tcPr>
          <w:p>
            <w:pPr>
              <w:spacing w:line="240" w:lineRule="auto" w:after="20" w:before="20"/>
              <w:jc w:val="center"/>
            </w:pPr>
            <w:r/>
            <w:r>
              <w:rPr>
                <w:rFonts w:ascii="宋体" w:hAnsi="宋体" w:eastAsia="宋体"/>
                <w:sz w:val="21"/>
              </w:rPr>
              <w:t>0.857</w:t>
            </w:r>
          </w:p>
        </w:tc>
        <w:tc>
          <w:tcPr>
            <w:tcW w:type="dxa" w:w="1417"/>
            <w:vAlign w:val="center"/>
          </w:tcPr>
          <w:p>
            <w:pPr>
              <w:spacing w:line="240" w:lineRule="auto" w:after="20" w:before="20"/>
              <w:jc w:val="center"/>
            </w:pPr>
            <w:r/>
            <w:r>
              <w:rPr>
                <w:rFonts w:ascii="宋体" w:hAnsi="宋体" w:eastAsia="宋体"/>
                <w:sz w:val="21"/>
              </w:rPr>
              <w:t>24</w:t>
            </w:r>
          </w:p>
        </w:tc>
        <w:tc>
          <w:tcPr>
            <w:tcW w:type="dxa" w:w="1417"/>
            <w:vAlign w:val="center"/>
          </w:tcPr>
          <w:p>
            <w:pPr>
              <w:spacing w:line="240" w:lineRule="auto" w:after="20" w:before="20"/>
              <w:jc w:val="left"/>
            </w:pPr>
            <w:r/>
            <w:r>
              <w:rPr>
                <w:rFonts w:ascii="宋体" w:hAnsi="宋体" w:eastAsia="宋体"/>
                <w:sz w:val="21"/>
              </w:rPr>
              <w:t>湖北</w:t>
            </w:r>
          </w:p>
        </w:tc>
        <w:tc>
          <w:tcPr>
            <w:tcW w:type="dxa" w:w="1417"/>
            <w:vAlign w:val="center"/>
          </w:tcPr>
          <w:p>
            <w:pPr>
              <w:spacing w:line="240" w:lineRule="auto" w:after="20" w:before="20"/>
              <w:jc w:val="center"/>
            </w:pPr>
            <w:r/>
            <w:r>
              <w:rPr>
                <w:rFonts w:ascii="宋体" w:hAnsi="宋体" w:eastAsia="宋体"/>
                <w:sz w:val="21"/>
              </w:rPr>
              <w:t>0.718</w:t>
            </w:r>
          </w:p>
        </w:tc>
      </w:tr>
      <w:tr>
        <w:tc>
          <w:tcPr>
            <w:tcW w:type="dxa" w:w="1417"/>
            <w:vAlign w:val="center"/>
          </w:tcPr>
          <w:p>
            <w:pPr>
              <w:spacing w:line="240" w:lineRule="auto" w:after="20" w:before="20"/>
              <w:jc w:val="center"/>
            </w:pPr>
            <w:r/>
            <w:r>
              <w:rPr>
                <w:rFonts w:ascii="宋体" w:hAnsi="宋体" w:eastAsia="宋体"/>
                <w:sz w:val="21"/>
              </w:rPr>
              <w:t>2</w:t>
            </w:r>
          </w:p>
        </w:tc>
        <w:tc>
          <w:tcPr>
            <w:tcW w:type="dxa" w:w="1417"/>
            <w:vAlign w:val="center"/>
          </w:tcPr>
          <w:p>
            <w:pPr>
              <w:spacing w:line="240" w:lineRule="auto" w:after="20" w:before="20"/>
              <w:jc w:val="left"/>
            </w:pPr>
            <w:r/>
            <w:r>
              <w:rPr>
                <w:rFonts w:ascii="宋体" w:hAnsi="宋体" w:eastAsia="宋体"/>
                <w:sz w:val="21"/>
              </w:rPr>
              <w:t>北京</w:t>
            </w:r>
          </w:p>
        </w:tc>
        <w:tc>
          <w:tcPr>
            <w:tcW w:type="dxa" w:w="1417"/>
            <w:vAlign w:val="center"/>
          </w:tcPr>
          <w:p>
            <w:pPr>
              <w:spacing w:line="240" w:lineRule="auto" w:after="20" w:before="20"/>
              <w:jc w:val="center"/>
            </w:pPr>
            <w:r/>
            <w:r>
              <w:rPr>
                <w:rFonts w:ascii="宋体" w:hAnsi="宋体" w:eastAsia="宋体"/>
                <w:sz w:val="21"/>
              </w:rPr>
              <w:t>0.856</w:t>
            </w:r>
          </w:p>
        </w:tc>
        <w:tc>
          <w:tcPr>
            <w:tcW w:type="dxa" w:w="1417"/>
            <w:vAlign w:val="center"/>
          </w:tcPr>
          <w:p>
            <w:pPr>
              <w:spacing w:line="240" w:lineRule="auto" w:after="20" w:before="20"/>
              <w:jc w:val="center"/>
            </w:pPr>
            <w:r/>
            <w:r>
              <w:rPr>
                <w:rFonts w:ascii="宋体" w:hAnsi="宋体" w:eastAsia="宋体"/>
                <w:sz w:val="21"/>
              </w:rPr>
              <w:t>25</w:t>
            </w:r>
          </w:p>
        </w:tc>
        <w:tc>
          <w:tcPr>
            <w:tcW w:type="dxa" w:w="1417"/>
            <w:vAlign w:val="center"/>
          </w:tcPr>
          <w:p>
            <w:pPr>
              <w:spacing w:line="240" w:lineRule="auto" w:after="20" w:before="20"/>
              <w:jc w:val="left"/>
            </w:pPr>
            <w:r/>
            <w:r>
              <w:rPr>
                <w:rFonts w:ascii="宋体" w:hAnsi="宋体" w:eastAsia="宋体"/>
                <w:sz w:val="21"/>
              </w:rPr>
              <w:t>新疆</w:t>
            </w:r>
          </w:p>
        </w:tc>
        <w:tc>
          <w:tcPr>
            <w:tcW w:type="dxa" w:w="1417"/>
            <w:vAlign w:val="center"/>
          </w:tcPr>
          <w:p>
            <w:pPr>
              <w:spacing w:line="240" w:lineRule="auto" w:after="20" w:before="20"/>
              <w:jc w:val="center"/>
            </w:pPr>
            <w:r/>
            <w:r>
              <w:rPr>
                <w:rFonts w:ascii="宋体" w:hAnsi="宋体" w:eastAsia="宋体"/>
                <w:sz w:val="21"/>
              </w:rPr>
              <w:t>0.715</w:t>
            </w:r>
          </w:p>
        </w:tc>
      </w:tr>
      <w:tr>
        <w:tc>
          <w:tcPr>
            <w:tcW w:type="dxa" w:w="1417"/>
            <w:vAlign w:val="center"/>
          </w:tcPr>
          <w:p>
            <w:pPr>
              <w:spacing w:line="240" w:lineRule="auto" w:after="20" w:before="20"/>
              <w:jc w:val="center"/>
            </w:pPr>
            <w:r/>
            <w:r>
              <w:rPr>
                <w:rFonts w:ascii="宋体" w:hAnsi="宋体" w:eastAsia="宋体"/>
                <w:sz w:val="21"/>
              </w:rPr>
              <w:t>3</w:t>
            </w:r>
          </w:p>
        </w:tc>
        <w:tc>
          <w:tcPr>
            <w:tcW w:type="dxa" w:w="1417"/>
            <w:vAlign w:val="center"/>
          </w:tcPr>
          <w:p>
            <w:pPr>
              <w:spacing w:line="240" w:lineRule="auto" w:after="20" w:before="20"/>
              <w:jc w:val="left"/>
            </w:pPr>
            <w:r/>
            <w:r>
              <w:rPr>
                <w:rFonts w:ascii="宋体" w:hAnsi="宋体" w:eastAsia="宋体"/>
                <w:sz w:val="21"/>
              </w:rPr>
              <w:t>辽宁</w:t>
            </w:r>
          </w:p>
        </w:tc>
        <w:tc>
          <w:tcPr>
            <w:tcW w:type="dxa" w:w="1417"/>
            <w:vAlign w:val="center"/>
          </w:tcPr>
          <w:p>
            <w:pPr>
              <w:spacing w:line="240" w:lineRule="auto" w:after="20" w:before="20"/>
              <w:jc w:val="center"/>
            </w:pPr>
            <w:r/>
            <w:r>
              <w:rPr>
                <w:rFonts w:ascii="宋体" w:hAnsi="宋体" w:eastAsia="宋体"/>
                <w:sz w:val="21"/>
              </w:rPr>
              <w:t>0.851</w:t>
            </w:r>
          </w:p>
        </w:tc>
        <w:tc>
          <w:tcPr>
            <w:tcW w:type="dxa" w:w="1417"/>
            <w:vAlign w:val="center"/>
          </w:tcPr>
          <w:p>
            <w:pPr>
              <w:spacing w:line="240" w:lineRule="auto" w:after="20" w:before="20"/>
              <w:jc w:val="center"/>
            </w:pPr>
            <w:r/>
            <w:r>
              <w:rPr>
                <w:rFonts w:ascii="宋体" w:hAnsi="宋体" w:eastAsia="宋体"/>
                <w:sz w:val="21"/>
              </w:rPr>
              <w:t>26</w:t>
            </w:r>
          </w:p>
        </w:tc>
        <w:tc>
          <w:tcPr>
            <w:tcW w:type="dxa" w:w="1417"/>
            <w:vAlign w:val="center"/>
          </w:tcPr>
          <w:p>
            <w:pPr>
              <w:spacing w:line="240" w:lineRule="auto" w:after="20" w:before="20"/>
              <w:jc w:val="left"/>
            </w:pPr>
            <w:r/>
            <w:r>
              <w:rPr>
                <w:rFonts w:ascii="宋体" w:hAnsi="宋体" w:eastAsia="宋体"/>
                <w:sz w:val="21"/>
              </w:rPr>
              <w:t>河南</w:t>
            </w:r>
          </w:p>
        </w:tc>
        <w:tc>
          <w:tcPr>
            <w:tcW w:type="dxa" w:w="1417"/>
            <w:vAlign w:val="center"/>
          </w:tcPr>
          <w:p>
            <w:pPr>
              <w:spacing w:line="240" w:lineRule="auto" w:after="20" w:before="20"/>
              <w:jc w:val="center"/>
            </w:pPr>
            <w:r/>
            <w:r>
              <w:rPr>
                <w:rFonts w:ascii="宋体" w:hAnsi="宋体" w:eastAsia="宋体"/>
                <w:sz w:val="21"/>
              </w:rPr>
              <w:t>0.686</w:t>
            </w:r>
          </w:p>
        </w:tc>
      </w:tr>
      <w:tr>
        <w:tc>
          <w:tcPr>
            <w:tcW w:type="dxa" w:w="1417"/>
            <w:vAlign w:val="center"/>
          </w:tcPr>
          <w:p>
            <w:pPr>
              <w:spacing w:line="240" w:lineRule="auto" w:after="20" w:before="20"/>
              <w:jc w:val="center"/>
            </w:pPr>
            <w:r/>
            <w:r>
              <w:rPr>
                <w:rFonts w:ascii="宋体" w:hAnsi="宋体" w:eastAsia="宋体"/>
                <w:sz w:val="21"/>
              </w:rPr>
              <w:t>4</w:t>
            </w:r>
          </w:p>
        </w:tc>
        <w:tc>
          <w:tcPr>
            <w:tcW w:type="dxa" w:w="1417"/>
            <w:vAlign w:val="center"/>
          </w:tcPr>
          <w:p>
            <w:pPr>
              <w:spacing w:line="240" w:lineRule="auto" w:after="20" w:before="20"/>
              <w:jc w:val="left"/>
            </w:pPr>
            <w:r/>
            <w:r>
              <w:rPr>
                <w:rFonts w:ascii="宋体" w:hAnsi="宋体" w:eastAsia="宋体"/>
                <w:sz w:val="21"/>
              </w:rPr>
              <w:t>广东</w:t>
            </w:r>
          </w:p>
        </w:tc>
        <w:tc>
          <w:tcPr>
            <w:tcW w:type="dxa" w:w="1417"/>
            <w:vAlign w:val="center"/>
          </w:tcPr>
          <w:p>
            <w:pPr>
              <w:spacing w:line="240" w:lineRule="auto" w:after="20" w:before="20"/>
              <w:jc w:val="center"/>
            </w:pPr>
            <w:r/>
            <w:r>
              <w:rPr>
                <w:rFonts w:ascii="宋体" w:hAnsi="宋体" w:eastAsia="宋体"/>
                <w:sz w:val="21"/>
              </w:rPr>
              <w:t>0.832</w:t>
            </w:r>
          </w:p>
        </w:tc>
        <w:tc>
          <w:tcPr>
            <w:tcW w:type="dxa" w:w="1417"/>
            <w:vAlign w:val="center"/>
          </w:tcPr>
          <w:p>
            <w:pPr>
              <w:spacing w:line="240" w:lineRule="auto" w:after="20" w:before="20"/>
              <w:jc w:val="center"/>
            </w:pPr>
            <w:r/>
            <w:r>
              <w:rPr>
                <w:rFonts w:ascii="宋体" w:hAnsi="宋体" w:eastAsia="宋体"/>
                <w:sz w:val="21"/>
              </w:rPr>
              <w:t>27</w:t>
            </w:r>
          </w:p>
        </w:tc>
        <w:tc>
          <w:tcPr>
            <w:tcW w:type="dxa" w:w="1417"/>
            <w:vAlign w:val="center"/>
          </w:tcPr>
          <w:p>
            <w:pPr>
              <w:spacing w:line="240" w:lineRule="auto" w:after="20" w:before="20"/>
              <w:jc w:val="left"/>
            </w:pPr>
            <w:r/>
            <w:r>
              <w:rPr>
                <w:rFonts w:ascii="宋体" w:hAnsi="宋体" w:eastAsia="宋体"/>
                <w:sz w:val="21"/>
              </w:rPr>
              <w:t>天津</w:t>
            </w:r>
          </w:p>
        </w:tc>
        <w:tc>
          <w:tcPr>
            <w:tcW w:type="dxa" w:w="1417"/>
            <w:vAlign w:val="center"/>
          </w:tcPr>
          <w:p>
            <w:pPr>
              <w:spacing w:line="240" w:lineRule="auto" w:after="20" w:before="20"/>
              <w:jc w:val="center"/>
            </w:pPr>
            <w:r/>
            <w:r>
              <w:rPr>
                <w:rFonts w:ascii="宋体" w:hAnsi="宋体" w:eastAsia="宋体"/>
                <w:sz w:val="21"/>
              </w:rPr>
              <w:t>0.684</w:t>
            </w:r>
          </w:p>
        </w:tc>
      </w:tr>
      <w:tr>
        <w:tc>
          <w:tcPr>
            <w:tcW w:type="dxa" w:w="1417"/>
            <w:vAlign w:val="center"/>
          </w:tcPr>
          <w:p>
            <w:pPr>
              <w:spacing w:line="240" w:lineRule="auto" w:after="20" w:before="20"/>
              <w:jc w:val="center"/>
            </w:pPr>
            <w:r/>
            <w:r>
              <w:rPr>
                <w:rFonts w:ascii="宋体" w:hAnsi="宋体" w:eastAsia="宋体"/>
                <w:sz w:val="21"/>
              </w:rPr>
              <w:t>5</w:t>
            </w:r>
          </w:p>
        </w:tc>
        <w:tc>
          <w:tcPr>
            <w:tcW w:type="dxa" w:w="1417"/>
            <w:vAlign w:val="center"/>
          </w:tcPr>
          <w:p>
            <w:pPr>
              <w:spacing w:line="240" w:lineRule="auto" w:after="20" w:before="20"/>
              <w:jc w:val="left"/>
            </w:pPr>
            <w:r/>
            <w:r>
              <w:rPr>
                <w:rFonts w:ascii="宋体" w:hAnsi="宋体" w:eastAsia="宋体"/>
                <w:sz w:val="21"/>
              </w:rPr>
              <w:t>福建</w:t>
            </w:r>
          </w:p>
        </w:tc>
        <w:tc>
          <w:tcPr>
            <w:tcW w:type="dxa" w:w="1417"/>
            <w:vAlign w:val="center"/>
          </w:tcPr>
          <w:p>
            <w:pPr>
              <w:spacing w:line="240" w:lineRule="auto" w:after="20" w:before="20"/>
              <w:jc w:val="center"/>
            </w:pPr>
            <w:r/>
            <w:r>
              <w:rPr>
                <w:rFonts w:ascii="宋体" w:hAnsi="宋体" w:eastAsia="宋体"/>
                <w:sz w:val="21"/>
              </w:rPr>
              <w:t>0.795</w:t>
            </w:r>
          </w:p>
        </w:tc>
        <w:tc>
          <w:tcPr>
            <w:tcW w:type="dxa" w:w="1417"/>
            <w:vAlign w:val="center"/>
          </w:tcPr>
          <w:p>
            <w:pPr>
              <w:spacing w:line="240" w:lineRule="auto" w:after="20" w:before="20"/>
              <w:jc w:val="center"/>
            </w:pPr>
            <w:r/>
            <w:r>
              <w:rPr>
                <w:rFonts w:ascii="宋体" w:hAnsi="宋体" w:eastAsia="宋体"/>
                <w:sz w:val="21"/>
              </w:rPr>
              <w:t>28</w:t>
            </w:r>
          </w:p>
        </w:tc>
        <w:tc>
          <w:tcPr>
            <w:tcW w:type="dxa" w:w="1417"/>
            <w:vAlign w:val="center"/>
          </w:tcPr>
          <w:p>
            <w:pPr>
              <w:spacing w:line="240" w:lineRule="auto" w:after="20" w:before="20"/>
              <w:jc w:val="left"/>
            </w:pPr>
            <w:r/>
            <w:r>
              <w:rPr>
                <w:rFonts w:ascii="宋体" w:hAnsi="宋体" w:eastAsia="宋体"/>
                <w:sz w:val="21"/>
              </w:rPr>
              <w:t>安徽</w:t>
            </w:r>
          </w:p>
        </w:tc>
        <w:tc>
          <w:tcPr>
            <w:tcW w:type="dxa" w:w="1417"/>
            <w:vAlign w:val="center"/>
          </w:tcPr>
          <w:p>
            <w:pPr>
              <w:spacing w:line="240" w:lineRule="auto" w:after="20" w:before="20"/>
              <w:jc w:val="center"/>
            </w:pPr>
            <w:r/>
            <w:r>
              <w:rPr>
                <w:rFonts w:ascii="宋体" w:hAnsi="宋体" w:eastAsia="宋体"/>
                <w:sz w:val="21"/>
              </w:rPr>
              <w:t>0.653</w:t>
            </w:r>
          </w:p>
        </w:tc>
      </w:tr>
      <w:tr>
        <w:tc>
          <w:tcPr>
            <w:tcW w:type="dxa" w:w="1417"/>
            <w:vAlign w:val="center"/>
          </w:tcPr>
          <w:p>
            <w:pPr>
              <w:spacing w:line="240" w:lineRule="auto" w:after="20" w:before="20"/>
              <w:jc w:val="center"/>
            </w:pPr>
            <w:r/>
            <w:r>
              <w:rPr>
                <w:rFonts w:ascii="宋体" w:hAnsi="宋体" w:eastAsia="宋体"/>
                <w:sz w:val="21"/>
              </w:rPr>
              <w:t>6</w:t>
            </w:r>
          </w:p>
        </w:tc>
        <w:tc>
          <w:tcPr>
            <w:tcW w:type="dxa" w:w="1417"/>
            <w:vAlign w:val="center"/>
          </w:tcPr>
          <w:p>
            <w:pPr>
              <w:spacing w:line="240" w:lineRule="auto" w:after="20" w:before="20"/>
              <w:jc w:val="left"/>
            </w:pPr>
            <w:r/>
            <w:r>
              <w:rPr>
                <w:rFonts w:ascii="宋体" w:hAnsi="宋体" w:eastAsia="宋体"/>
                <w:sz w:val="21"/>
              </w:rPr>
              <w:t>重庆</w:t>
            </w:r>
          </w:p>
        </w:tc>
        <w:tc>
          <w:tcPr>
            <w:tcW w:type="dxa" w:w="1417"/>
            <w:vAlign w:val="center"/>
          </w:tcPr>
          <w:p>
            <w:pPr>
              <w:spacing w:line="240" w:lineRule="auto" w:after="20" w:before="20"/>
              <w:jc w:val="center"/>
            </w:pPr>
            <w:r/>
            <w:r>
              <w:rPr>
                <w:rFonts w:ascii="宋体" w:hAnsi="宋体" w:eastAsia="宋体"/>
                <w:sz w:val="21"/>
              </w:rPr>
              <w:t>0.793</w:t>
            </w:r>
          </w:p>
        </w:tc>
        <w:tc>
          <w:tcPr>
            <w:tcW w:type="dxa" w:w="1417"/>
            <w:vAlign w:val="center"/>
          </w:tcPr>
          <w:p>
            <w:pPr>
              <w:spacing w:line="240" w:lineRule="auto" w:after="20" w:before="20"/>
              <w:jc w:val="center"/>
            </w:pPr>
            <w:r/>
            <w:r>
              <w:rPr>
                <w:rFonts w:ascii="宋体" w:hAnsi="宋体" w:eastAsia="宋体"/>
                <w:sz w:val="21"/>
              </w:rPr>
              <w:t>29</w:t>
            </w:r>
          </w:p>
        </w:tc>
        <w:tc>
          <w:tcPr>
            <w:tcW w:type="dxa" w:w="1417"/>
            <w:vAlign w:val="center"/>
          </w:tcPr>
          <w:p>
            <w:pPr>
              <w:spacing w:line="240" w:lineRule="auto" w:after="20" w:before="20"/>
              <w:jc w:val="left"/>
            </w:pPr>
            <w:r/>
            <w:r>
              <w:rPr>
                <w:rFonts w:ascii="宋体" w:hAnsi="宋体" w:eastAsia="宋体"/>
                <w:sz w:val="21"/>
              </w:rPr>
              <w:t>青海</w:t>
            </w:r>
          </w:p>
        </w:tc>
        <w:tc>
          <w:tcPr>
            <w:tcW w:type="dxa" w:w="1417"/>
            <w:vAlign w:val="center"/>
          </w:tcPr>
          <w:p>
            <w:pPr>
              <w:spacing w:line="240" w:lineRule="auto" w:after="20" w:before="20"/>
              <w:jc w:val="center"/>
            </w:pPr>
            <w:r/>
            <w:r>
              <w:rPr>
                <w:rFonts w:ascii="宋体" w:hAnsi="宋体" w:eastAsia="宋体"/>
                <w:sz w:val="21"/>
              </w:rPr>
              <w:t>0.631</w:t>
            </w:r>
          </w:p>
        </w:tc>
      </w:tr>
      <w:tr>
        <w:tc>
          <w:tcPr>
            <w:tcW w:type="dxa" w:w="1417"/>
            <w:vAlign w:val="center"/>
          </w:tcPr>
          <w:p>
            <w:pPr>
              <w:spacing w:line="240" w:lineRule="auto" w:after="20" w:before="20"/>
              <w:jc w:val="center"/>
            </w:pPr>
            <w:r/>
            <w:r>
              <w:rPr>
                <w:rFonts w:ascii="宋体" w:hAnsi="宋体" w:eastAsia="宋体"/>
                <w:sz w:val="21"/>
              </w:rPr>
              <w:t>7</w:t>
            </w:r>
          </w:p>
        </w:tc>
        <w:tc>
          <w:tcPr>
            <w:tcW w:type="dxa" w:w="1417"/>
            <w:vAlign w:val="center"/>
          </w:tcPr>
          <w:p>
            <w:pPr>
              <w:spacing w:line="240" w:lineRule="auto" w:after="20" w:before="20"/>
              <w:jc w:val="left"/>
            </w:pPr>
            <w:r/>
            <w:r>
              <w:rPr>
                <w:rFonts w:ascii="宋体" w:hAnsi="宋体" w:eastAsia="宋体"/>
                <w:sz w:val="21"/>
              </w:rPr>
              <w:t>贵州</w:t>
            </w:r>
          </w:p>
        </w:tc>
        <w:tc>
          <w:tcPr>
            <w:tcW w:type="dxa" w:w="1417"/>
            <w:vAlign w:val="center"/>
          </w:tcPr>
          <w:p>
            <w:pPr>
              <w:spacing w:line="240" w:lineRule="auto" w:after="20" w:before="20"/>
              <w:jc w:val="center"/>
            </w:pPr>
            <w:r/>
            <w:r>
              <w:rPr>
                <w:rFonts w:ascii="宋体" w:hAnsi="宋体" w:eastAsia="宋体"/>
                <w:sz w:val="21"/>
              </w:rPr>
              <w:t>0.783</w:t>
            </w:r>
          </w:p>
        </w:tc>
        <w:tc>
          <w:tcPr>
            <w:tcW w:type="dxa" w:w="1417"/>
            <w:vAlign w:val="center"/>
          </w:tcPr>
          <w:p>
            <w:pPr>
              <w:spacing w:line="240" w:lineRule="auto" w:after="20" w:before="20"/>
              <w:jc w:val="center"/>
            </w:pPr>
            <w:r/>
            <w:r>
              <w:rPr>
                <w:rFonts w:ascii="宋体" w:hAnsi="宋体" w:eastAsia="宋体"/>
                <w:sz w:val="21"/>
              </w:rPr>
              <w:t>30</w:t>
            </w:r>
          </w:p>
        </w:tc>
        <w:tc>
          <w:tcPr>
            <w:tcW w:type="dxa" w:w="1417"/>
            <w:vAlign w:val="center"/>
          </w:tcPr>
          <w:p>
            <w:pPr>
              <w:spacing w:line="240" w:lineRule="auto" w:after="20" w:before="20"/>
              <w:jc w:val="left"/>
            </w:pPr>
            <w:r/>
            <w:r>
              <w:rPr>
                <w:rFonts w:ascii="宋体" w:hAnsi="宋体" w:eastAsia="宋体"/>
                <w:sz w:val="21"/>
              </w:rPr>
              <w:t>河北</w:t>
            </w:r>
          </w:p>
        </w:tc>
        <w:tc>
          <w:tcPr>
            <w:tcW w:type="dxa" w:w="1417"/>
            <w:vAlign w:val="center"/>
          </w:tcPr>
          <w:p>
            <w:pPr>
              <w:spacing w:line="240" w:lineRule="auto" w:after="20" w:before="20"/>
              <w:jc w:val="center"/>
            </w:pPr>
            <w:r/>
            <w:r>
              <w:rPr>
                <w:rFonts w:ascii="宋体" w:hAnsi="宋体" w:eastAsia="宋体"/>
                <w:sz w:val="21"/>
              </w:rPr>
              <w:t>0.621</w:t>
            </w:r>
          </w:p>
        </w:tc>
      </w:tr>
      <w:tr>
        <w:tc>
          <w:tcPr>
            <w:tcW w:type="dxa" w:w="1417"/>
            <w:vAlign w:val="center"/>
          </w:tcPr>
          <w:p>
            <w:pPr>
              <w:spacing w:line="240" w:lineRule="auto" w:after="20" w:before="20"/>
              <w:jc w:val="center"/>
            </w:pPr>
            <w:r/>
            <w:r>
              <w:rPr>
                <w:rFonts w:ascii="宋体" w:hAnsi="宋体" w:eastAsia="宋体"/>
                <w:sz w:val="21"/>
              </w:rPr>
              <w:t>8</w:t>
            </w:r>
          </w:p>
        </w:tc>
        <w:tc>
          <w:tcPr>
            <w:tcW w:type="dxa" w:w="1417"/>
            <w:vAlign w:val="center"/>
          </w:tcPr>
          <w:p>
            <w:pPr>
              <w:spacing w:line="240" w:lineRule="auto" w:after="20" w:before="20"/>
              <w:jc w:val="left"/>
            </w:pPr>
            <w:r/>
            <w:r>
              <w:rPr>
                <w:rFonts w:ascii="宋体" w:hAnsi="宋体" w:eastAsia="宋体"/>
                <w:sz w:val="21"/>
              </w:rPr>
              <w:t>甘肃</w:t>
            </w:r>
          </w:p>
        </w:tc>
        <w:tc>
          <w:tcPr>
            <w:tcW w:type="dxa" w:w="1417"/>
            <w:vAlign w:val="center"/>
          </w:tcPr>
          <w:p>
            <w:pPr>
              <w:spacing w:line="240" w:lineRule="auto" w:after="20" w:before="20"/>
              <w:jc w:val="center"/>
            </w:pPr>
            <w:r/>
            <w:r>
              <w:rPr>
                <w:rFonts w:ascii="宋体" w:hAnsi="宋体" w:eastAsia="宋体"/>
                <w:sz w:val="21"/>
              </w:rPr>
              <w:t>0.782</w:t>
            </w:r>
          </w:p>
        </w:tc>
        <w:tc>
          <w:tcPr>
            <w:tcW w:type="dxa" w:w="1417"/>
            <w:vAlign w:val="center"/>
          </w:tcPr>
          <w:p>
            <w:pPr>
              <w:spacing w:line="240" w:lineRule="auto" w:after="20" w:before="20"/>
              <w:jc w:val="center"/>
            </w:pPr>
            <w:r/>
            <w:r>
              <w:rPr>
                <w:rFonts w:ascii="宋体" w:hAnsi="宋体" w:eastAsia="宋体"/>
                <w:sz w:val="21"/>
              </w:rPr>
              <w:t>31</w:t>
            </w:r>
          </w:p>
        </w:tc>
        <w:tc>
          <w:tcPr>
            <w:tcW w:type="dxa" w:w="1417"/>
            <w:vAlign w:val="center"/>
          </w:tcPr>
          <w:p>
            <w:pPr>
              <w:spacing w:line="240" w:lineRule="auto" w:after="20" w:before="20"/>
              <w:jc w:val="left"/>
            </w:pPr>
            <w:r/>
            <w:r>
              <w:rPr>
                <w:rFonts w:ascii="宋体" w:hAnsi="宋体" w:eastAsia="宋体"/>
                <w:sz w:val="21"/>
              </w:rPr>
              <w:t>海南</w:t>
            </w:r>
          </w:p>
        </w:tc>
        <w:tc>
          <w:tcPr>
            <w:tcW w:type="dxa" w:w="1417"/>
            <w:vAlign w:val="center"/>
          </w:tcPr>
          <w:p>
            <w:pPr>
              <w:spacing w:line="240" w:lineRule="auto" w:after="20" w:before="20"/>
              <w:jc w:val="center"/>
            </w:pPr>
            <w:r/>
            <w:r>
              <w:rPr>
                <w:rFonts w:ascii="宋体" w:hAnsi="宋体" w:eastAsia="宋体"/>
                <w:sz w:val="21"/>
              </w:rPr>
              <w:t>0.599</w:t>
            </w:r>
          </w:p>
        </w:tc>
      </w:tr>
    </w:tbl>
    <w:p>
      <w:pPr>
        <w:spacing w:after="200" w:line="240" w:lineRule="auto"/>
      </w:pPr>
      <w:r>
        <w:rPr>
          <w:rFonts w:ascii="宋体" w:hAnsi="宋体" w:eastAsia="宋体"/>
          <w:sz w:val="18"/>
        </w:rPr>
        <w:t>注：NUMI 取值介于0与1之间，数值越大表示建设水平越高。资料来源：作者测算。</w:t>
      </w:r>
    </w:p>
    <w:p>
      <w:pPr>
        <w:spacing w:before="120" w:after="40"/>
        <w:jc w:val="center"/>
      </w:pPr>
      <w:r>
        <w:drawing>
          <wp:inline xmlns:a="http://schemas.openxmlformats.org/drawingml/2006/main" xmlns:pic="http://schemas.openxmlformats.org/drawingml/2006/picture">
            <wp:extent cx="3960000" cy="4660000"/>
            <wp:docPr id="15" name="Picture 15"/>
            <wp:cNvGraphicFramePr>
              <a:graphicFrameLocks noChangeAspect="1"/>
            </wp:cNvGraphicFramePr>
            <a:graphic>
              <a:graphicData uri="http://schemas.openxmlformats.org/drawingml/2006/picture">
                <pic:pic>
                  <pic:nvPicPr>
                    <pic:cNvPr id="0" name="fig5_5.png"/>
                    <pic:cNvPicPr/>
                  </pic:nvPicPr>
                  <pic:blipFill>
                    <a:blip r:embed="rId23"/>
                    <a:stretch>
                      <a:fillRect/>
                    </a:stretch>
                  </pic:blipFill>
                  <pic:spPr>
                    <a:xfrm>
                      <a:off x="0" y="0"/>
                      <a:ext cx="3960000" cy="4660000"/>
                    </a:xfrm>
                    <a:prstGeom prst="rect"/>
                  </pic:spPr>
                </pic:pic>
              </a:graphicData>
            </a:graphic>
          </wp:inline>
        </w:drawing>
      </w:r>
    </w:p>
    <w:p>
      <w:pPr>
        <w:keepNext w:val="0"/>
        <w:spacing w:after="200"/>
        <w:jc w:val="center"/>
      </w:pPr>
      <w:r>
        <w:rPr>
          <w:rFonts w:ascii="黑体" w:hAnsi="黑体" w:eastAsia="黑体"/>
          <w:sz w:val="21"/>
        </w:rPr>
        <w:t>图5.5  2023年各省统一大市场建设指数排名</w:t>
      </w:r>
    </w:p>
    <w:p>
      <w:pPr>
        <w:keepNext/>
        <w:spacing w:before="160" w:after="120" w:line="360" w:lineRule="auto"/>
      </w:pPr>
      <w:r>
        <w:rPr>
          <w:rFonts w:ascii="黑体" w:hAnsi="黑体" w:eastAsia="黑体"/>
          <w:sz w:val="24"/>
        </w:rPr>
        <w:t>5.4.2  典型省份案例剖析</w:t>
      </w:r>
    </w:p>
    <w:p>
      <w:pPr>
        <w:spacing w:line="360" w:lineRule="auto" w:after="0"/>
        <w:ind w:firstLineChars="200" w:firstLine="480"/>
        <w:jc w:val="both"/>
      </w:pPr>
      <w:r>
        <w:rPr>
          <w:rFonts w:ascii="宋体" w:hAnsi="宋体" w:eastAsia="宋体"/>
          <w:sz w:val="24"/>
        </w:rPr>
        <w:t>为更具体地理解 NUMI 的省际差异，选取若干代表性省份作剖析。位居前列的广东，2023年 NUMI 达0.832，是市场化改革的先行地：珠三角城市群高度一体化，民营经济活跃，商品与要素市场发育成熟，公平竞争审查落实与营商环境居于全国前列，这使其在商品市场与制度环境两个维度上具有明显优势。北京 NUMI 约为0.856，则受益于高度集聚的要素市场、发达的技术与数据交易平台和统一规范的监管体系，在技术与数据市场一体化维度上表现突出（戴魁早等，2023；胡增玺和马述忠，2023）。这两个高分省份的共同特征是：较高的经济发展水平、成熟的市场制度与顺畅的要素流动相互强化，形成了融入全国统一大市场的良性循环。</w:t>
      </w:r>
    </w:p>
    <w:p>
      <w:pPr>
        <w:spacing w:line="360" w:lineRule="auto" w:after="0"/>
        <w:ind w:firstLineChars="200" w:firstLine="480"/>
        <w:jc w:val="both"/>
      </w:pPr>
      <w:r>
        <w:rPr>
          <w:rFonts w:ascii="宋体" w:hAnsi="宋体" w:eastAsia="宋体"/>
          <w:sz w:val="24"/>
        </w:rPr>
        <w:t>相形之下，青海2023年 NUMI 约为0.631，处于全国后列。作为地广人稀、生态功能突出、经济体量较小的西部省份，其市场发育相对滞后，要素市场的规模效应与集聚效应不足，跨区要素流动的成本较高，土地、技术与数据等要素市场一体化水平偏低，构成其融入统一大市场的主要制约（盖庆恩等，2017；陆铭，2017）。这类地区正是统一大市场建设"补短板"的重点：对其而言，单纯依靠本地市场难以形成规模，更需借助基础设施联通、要素市场规则统一与区域协作，将自身嵌入更大范围的分工网络之中。</w:t>
      </w:r>
    </w:p>
    <w:p>
      <w:pPr>
        <w:spacing w:line="360" w:lineRule="auto" w:after="0"/>
        <w:ind w:firstLineChars="200" w:firstLine="480"/>
        <w:jc w:val="both"/>
      </w:pPr>
      <w:r>
        <w:rPr>
          <w:rFonts w:ascii="宋体" w:hAnsi="宋体" w:eastAsia="宋体"/>
          <w:sz w:val="24"/>
        </w:rPr>
        <w:t>值得注意的是，省级层面的差异比四大区域均值更为复杂，并不完全沿"东—中—西"的地理梯度线性分布。一方面，个别东部省份因经济体量偏小、产业结构单一或受核心城市虹吸，综合指数并不突出；另一方面，一些中西部省份依托国家战略平台、承接产业转移和后发赶超，在特定维度上实现了跨越式提升。2023年省级 NUMI 的最高值与最低值之比约为1.43倍，差距虽仍存在，但已明显小于地区人均GDP的省际极差，说明统一大市场建设作为一项制度性工程，其区域均衡程度高于经济发展本身，这也为"以统一大市场促进区域协调发展"提供了现实基础与想象空间。</w:t>
      </w:r>
    </w:p>
    <w:p>
      <w:pPr>
        <w:spacing w:line="360" w:lineRule="auto" w:after="0"/>
        <w:ind w:firstLineChars="200" w:firstLine="480"/>
        <w:jc w:val="both"/>
      </w:pPr>
      <w:r>
        <w:rPr>
          <w:rFonts w:ascii="宋体" w:hAnsi="宋体" w:eastAsia="宋体"/>
          <w:sz w:val="24"/>
        </w:rPr>
        <w:t>省级 NUMI 的差异之下，还蕴含着更具活力的次区域一体化实践。近年来，长三角、珠三角、京津冀等城市群以区域一体化为抓手，在户籍准入互认、社保跨区衔接、市场准入统一、要素跨市流动等方面先行先试，成为统一大市场建设的"试验田"。相关研究表明，城市群层面的市场一体化显著促进了企业的异地创新合作与跨地区投资（王巍和姜智鑫，2024；范子英和周小昶，2022），并带动了资本要素的异地优化配置与就业吸纳（胡芊芊等，2022；齐鹰飞和管鑫，2025）。这些次区域实践既是省级指数改善的微观基础，也预示着以城市群、都市圈为突破口、由点及面推进全国统一大市场建设的可行路径。</w:t>
      </w:r>
    </w:p>
    <w:p>
      <w:pPr>
        <w:keepNext/>
        <w:spacing w:before="160" w:after="120" w:line="360" w:lineRule="auto"/>
      </w:pPr>
      <w:r>
        <w:rPr>
          <w:rFonts w:ascii="黑体" w:hAnsi="黑体" w:eastAsia="黑体"/>
          <w:sz w:val="28"/>
        </w:rPr>
        <w:t>5.5  分维度演变与结构特征</w:t>
      </w:r>
    </w:p>
    <w:p>
      <w:pPr>
        <w:spacing w:line="360" w:lineRule="auto" w:after="0"/>
        <w:ind w:firstLineChars="200" w:firstLine="480"/>
        <w:jc w:val="both"/>
      </w:pPr>
      <w:r>
        <w:rPr>
          <w:rFonts w:ascii="宋体" w:hAnsi="宋体" w:eastAsia="宋体"/>
          <w:sz w:val="24"/>
        </w:rPr>
        <w:t>统一大市场建设在不同维度上的进展并不均衡。图5.4以雷达图对比了2006年与2023年六个维度的全国均值。总体来看，各维度均有明显提升，但结构上呈现"商品市场与制度环境一体化领先、要素市场一体化相对滞后"的特征。</w:t>
      </w:r>
    </w:p>
    <w:p>
      <w:pPr>
        <w:spacing w:before="120" w:after="40"/>
        <w:jc w:val="center"/>
      </w:pPr>
      <w:r>
        <w:drawing>
          <wp:inline xmlns:a="http://schemas.openxmlformats.org/drawingml/2006/main" xmlns:pic="http://schemas.openxmlformats.org/drawingml/2006/picture">
            <wp:extent cx="4140000" cy="3476078"/>
            <wp:docPr id="16" name="Picture 16"/>
            <wp:cNvGraphicFramePr>
              <a:graphicFrameLocks noChangeAspect="1"/>
            </wp:cNvGraphicFramePr>
            <a:graphic>
              <a:graphicData uri="http://schemas.openxmlformats.org/drawingml/2006/picture">
                <pic:pic>
                  <pic:nvPicPr>
                    <pic:cNvPr id="0" name="fig5_4.png"/>
                    <pic:cNvPicPr/>
                  </pic:nvPicPr>
                  <pic:blipFill>
                    <a:blip r:embed="rId24"/>
                    <a:stretch>
                      <a:fillRect/>
                    </a:stretch>
                  </pic:blipFill>
                  <pic:spPr>
                    <a:xfrm>
                      <a:off x="0" y="0"/>
                      <a:ext cx="4140000" cy="3476078"/>
                    </a:xfrm>
                    <a:prstGeom prst="rect"/>
                  </pic:spPr>
                </pic:pic>
              </a:graphicData>
            </a:graphic>
          </wp:inline>
        </w:drawing>
      </w:r>
    </w:p>
    <w:p>
      <w:pPr>
        <w:keepNext w:val="0"/>
        <w:spacing w:after="200"/>
        <w:jc w:val="center"/>
      </w:pPr>
      <w:r>
        <w:rPr>
          <w:rFonts w:ascii="黑体" w:hAnsi="黑体" w:eastAsia="黑体"/>
          <w:sz w:val="21"/>
        </w:rPr>
        <w:t>图5.4  统一大市场建设六个维度的演变（2006年与2023年对比）</w:t>
      </w:r>
    </w:p>
    <w:p>
      <w:pPr>
        <w:spacing w:line="360" w:lineRule="auto" w:after="0"/>
        <w:ind w:firstLineChars="200" w:firstLine="480"/>
        <w:jc w:val="both"/>
      </w:pPr>
      <w:r>
        <w:rPr>
          <w:rFonts w:ascii="宋体" w:hAnsi="宋体" w:eastAsia="宋体"/>
          <w:sz w:val="24"/>
        </w:rPr>
        <w:t>具体而言，商品市场一体化维度由0.424升至0.798，得益于交通物流网络完善和全国市场准入的放宽，进展最为显著；制度环境一体化由0.400升至0.825，反映公平竞争审查制度建立、市场监管趋于统一的成效。相比之下，要素市场一体化明显滞后：劳动力市场一体化仅由0.355升至0.703，户籍制度对劳动力自由流动的约束依然存在（刘毓芸等，2015）；土地市场一体化由0.318升至0.594，建设用地的行政化配置改革相对缓慢（盖庆恩等，2017）。值得关注的是，技术与数据市场一体化虽起点较低（0.337），但增长最快（升至0.788），反映数字经济发展和数据要素市场培育带来的新动能（戴魁早等，2023；史丹和郑玉，2024）。</w:t>
      </w:r>
    </w:p>
    <w:p>
      <w:pPr>
        <w:spacing w:line="360" w:lineRule="auto" w:after="0"/>
        <w:ind w:firstLineChars="200" w:firstLine="480"/>
        <w:jc w:val="both"/>
      </w:pPr>
      <w:r>
        <w:rPr>
          <w:rFonts w:ascii="宋体" w:hAnsi="宋体" w:eastAsia="宋体"/>
          <w:sz w:val="24"/>
        </w:rPr>
        <w:t>这一结构特征具有重要的政策含义：当前统一大市场建设的短板主要在要素市场，尤其是劳动力和土地要素的跨区流动。这也印证了第4章关于"要素市场的行政性分割"是中国式市场分割核心症结的理论判断，并为第8章分维度异质性分析（各维度一体化对配置效率的差异化影响）埋下伏笔。</w:t>
      </w:r>
    </w:p>
    <w:p>
      <w:pPr>
        <w:keepNext/>
        <w:spacing w:before="160" w:after="120" w:line="360" w:lineRule="auto"/>
      </w:pPr>
      <w:r>
        <w:rPr>
          <w:rFonts w:ascii="黑体" w:hAnsi="黑体" w:eastAsia="黑体"/>
          <w:sz w:val="24"/>
        </w:rPr>
        <w:t>5.5.1  各维度演进轨迹的分项审视</w:t>
      </w:r>
    </w:p>
    <w:p>
      <w:pPr>
        <w:spacing w:line="360" w:lineRule="auto" w:after="0"/>
        <w:ind w:firstLineChars="200" w:firstLine="480"/>
        <w:jc w:val="both"/>
      </w:pPr>
      <w:r>
        <w:rPr>
          <w:rFonts w:ascii="宋体" w:hAnsi="宋体" w:eastAsia="宋体"/>
          <w:sz w:val="24"/>
        </w:rPr>
        <w:t>进一步分项考察六个维度2006—2023年的演进轨迹，可以更精细地识别统一大市场建设的结构性特征与短板所在。按年均增速排序，技术与数据市场一体化增长最快，制度环境与商品市场次之，资本与劳动力居中，土地市场一体化增长最慢。这一"新要素领跑、老要素殿后"的格局，深刻反映了不同要素市场化改革的难易程度与推进节奏。</w:t>
      </w:r>
    </w:p>
    <w:p>
      <w:pPr>
        <w:keepNext/>
        <w:spacing w:before="160" w:after="120" w:line="360" w:lineRule="auto"/>
      </w:pPr>
      <w:r>
        <w:rPr>
          <w:rFonts w:ascii="宋体" w:hAnsi="宋体" w:eastAsia="宋体"/>
          <w:b/>
          <w:sz w:val="24"/>
        </w:rPr>
        <w:t>（一）领跑维度：技术与数据、制度环境</w:t>
      </w:r>
    </w:p>
    <w:p>
      <w:pPr>
        <w:spacing w:line="360" w:lineRule="auto" w:after="0"/>
        <w:ind w:firstLineChars="200" w:firstLine="480"/>
        <w:jc w:val="both"/>
      </w:pPr>
      <w:r>
        <w:rPr>
          <w:rFonts w:ascii="宋体" w:hAnsi="宋体" w:eastAsia="宋体"/>
          <w:sz w:val="24"/>
        </w:rPr>
        <w:t>技术与数据市场一体化由2006年的0.337升至2023年的0.788，年均增长约5.1%，累计提高约45个百分点，是六个维度中增速最快者。这既得益于数字技术本身跨越地理边界的天然属性，也受益于数据要素市场培育的政策红利：数据交易平台与技术要素市场的建设，显著提升了创新要素与数据要素的跨区流通效率（戴魁早等，2023；史丹和郑玉，2024）。制度环境一体化由0.400升至0.825，年均增长约4.4%，累计提高约43个百分点，同样表现亮眼，公平竞争审查制度的建立、市场监管的趋于统一功不可没（杨兴全和张可欣，2023；王菁华和毕超，2024）。这两个维度的快速提升表明，规则统一与新要素培育是近年来统一大市场建设成效最为显著的领域。</w:t>
      </w:r>
    </w:p>
    <w:p>
      <w:pPr>
        <w:keepNext/>
        <w:spacing w:before="160" w:after="120" w:line="360" w:lineRule="auto"/>
      </w:pPr>
      <w:r>
        <w:rPr>
          <w:rFonts w:ascii="宋体" w:hAnsi="宋体" w:eastAsia="宋体"/>
          <w:b/>
          <w:sz w:val="24"/>
        </w:rPr>
        <w:t>（二）稳步维度：商品、资本</w:t>
      </w:r>
    </w:p>
    <w:p>
      <w:pPr>
        <w:spacing w:line="360" w:lineRule="auto" w:after="0"/>
        <w:ind w:firstLineChars="200" w:firstLine="480"/>
        <w:jc w:val="both"/>
      </w:pPr>
      <w:r>
        <w:rPr>
          <w:rFonts w:ascii="宋体" w:hAnsi="宋体" w:eastAsia="宋体"/>
          <w:sz w:val="24"/>
        </w:rPr>
        <w:t>商品市场一体化由0.424升至0.798，累计提高约37个百分点，始终维持在六个维度的较高水平。这与交通物流网络的完善、市场准入的放宽以及相对价格分割的持续收窄相一致（Faber，2014；范欣等，2017），也印证了商品市场整合起步早、程度深、逐步逼近"天花板"的判断。资本市场一体化由0.383升至0.745，累计提高约36个百分点，稳步改善：随着金融体系市场化改革推进、企业跨区投资趋于活跃，资本的属地化配置有所松动，但金融分割与信贷配置的隐性干预仍未根本消除（Wu，2018；余典范等，2023）。</w:t>
      </w:r>
    </w:p>
    <w:p>
      <w:pPr>
        <w:keepNext/>
        <w:spacing w:before="160" w:after="120" w:line="360" w:lineRule="auto"/>
      </w:pPr>
      <w:r>
        <w:rPr>
          <w:rFonts w:ascii="宋体" w:hAnsi="宋体" w:eastAsia="宋体"/>
          <w:b/>
          <w:sz w:val="24"/>
        </w:rPr>
        <w:t>（三）滞后维度：劳动力、土地</w:t>
      </w:r>
    </w:p>
    <w:p>
      <w:pPr>
        <w:spacing w:line="360" w:lineRule="auto" w:after="0"/>
        <w:ind w:firstLineChars="200" w:firstLine="480"/>
        <w:jc w:val="both"/>
      </w:pPr>
      <w:r>
        <w:rPr>
          <w:rFonts w:ascii="宋体" w:hAnsi="宋体" w:eastAsia="宋体"/>
          <w:sz w:val="24"/>
        </w:rPr>
        <w:t>劳动力与土地是一体化进程中的两块突出短板。劳动力市场一体化由0.355升至0.703，累计提高约35个百分点；土地市场一体化则由0.318仅升至0.594，累计提高约28个百分点、年均增长仅约3.7%，是六个维度中水平最低、增速最慢者。劳动力方面，户籍制度、社会保障属地化与方言文化壁垒对劳动力自由流动的约束依然存在（刘毓芸等，2015；盖庆恩等，2019）；土地方面，建设用地指标的行政化分配和地方政府的土地财政依赖，使土地要素市场化改革步履维艰（盖庆恩等，2017；曹婧，2024）。这两个维度绝对水平偏低，恰恰说明要素市场的行政性分割是当前统一大市场建设最难啃的"硬骨头"。</w:t>
      </w:r>
    </w:p>
    <w:p>
      <w:pPr>
        <w:spacing w:line="360" w:lineRule="auto" w:after="0"/>
        <w:ind w:firstLineChars="200" w:firstLine="480"/>
        <w:jc w:val="both"/>
      </w:pPr>
      <w:r>
        <w:rPr>
          <w:rFonts w:ascii="宋体" w:hAnsi="宋体" w:eastAsia="宋体"/>
          <w:sz w:val="24"/>
        </w:rPr>
        <w:t>分维度演进的结构特征进一步强化了本书的核心判断：统一大市场建设的重心与难点已从商品市场转向要素市场，从"看得见"的设施联通转向"看不见"的制度壁垒破除。土地和劳动力两类要素跨区配置的滞后，不仅拖累了整体一体化水平，也意味着这两个领域蕴含着更大的配置效率改善空间。这一结构性线索将在第8章的分维度异质性分析中得到进一步的实证检验，即考察不同维度的一体化对要素配置效率的差异化贡献。</w:t>
      </w:r>
    </w:p>
    <w:p>
      <w:pPr>
        <w:spacing w:line="360" w:lineRule="auto" w:after="0"/>
        <w:ind w:firstLineChars="200" w:firstLine="480"/>
        <w:jc w:val="both"/>
      </w:pPr>
      <w:r>
        <w:rPr>
          <w:rFonts w:ascii="宋体" w:hAnsi="宋体" w:eastAsia="宋体"/>
          <w:sz w:val="24"/>
        </w:rPr>
        <w:t>从政策视角总揽全节，分维度的结构性短板为下一阶段改革指明了着力点。既然商品市场整合已接近高位、要素市场仍是明显洼地，那么统一大市场建设的重心就应从"通商品"进一步转向"活要素"，把破除户籍壁垒、深化土地要素市场化配置作为攻坚重点（刘志彪和孔令池，2021；二十届三中全会《决定》，2024）。2025年《建设指引》，2025以清单化方式压实地方责任、规范不当市场干预，正是这一转向的制度回应。本章的分维度测度因而不仅具有学术意义，也为分维度、分区域精准施策提供了可量化的决策参考。</w:t>
      </w:r>
    </w:p>
    <w:p>
      <w:pPr>
        <w:keepNext/>
        <w:spacing w:before="160" w:after="120" w:line="360" w:lineRule="auto"/>
      </w:pPr>
      <w:r>
        <w:rPr>
          <w:rFonts w:ascii="黑体" w:hAnsi="黑体" w:eastAsia="黑体"/>
          <w:sz w:val="28"/>
        </w:rPr>
        <w:t>5.6  指数的信度与效度检验</w:t>
      </w:r>
    </w:p>
    <w:p>
      <w:pPr>
        <w:spacing w:line="360" w:lineRule="auto" w:after="0"/>
        <w:ind w:firstLineChars="200" w:firstLine="480"/>
        <w:jc w:val="both"/>
      </w:pPr>
      <w:r>
        <w:rPr>
          <w:rFonts w:ascii="宋体" w:hAnsi="宋体" w:eastAsia="宋体"/>
          <w:sz w:val="24"/>
        </w:rPr>
        <w:t>为确保 NUMI 的可靠性，本书从三方面进行检验。</w:t>
      </w:r>
      <w:r>
        <w:rPr>
          <w:rFonts w:ascii="宋体" w:hAnsi="宋体" w:eastAsia="宋体"/>
          <w:b/>
          <w:sz w:val="24"/>
        </w:rPr>
        <w:t>信度方面</w:t>
      </w:r>
      <w:r>
        <w:rPr>
          <w:rFonts w:ascii="宋体" w:hAnsi="宋体" w:eastAsia="宋体"/>
          <w:sz w:val="24"/>
        </w:rPr>
        <w:t>，采用等权法重新合成指数，发现等权 NUMI 与熵权 NUMI 的相关系数在0.95以上，表明测度结果对赋权方法不敏感，具有较高的内部一致性。</w:t>
      </w:r>
      <w:r>
        <w:rPr>
          <w:rFonts w:ascii="宋体" w:hAnsi="宋体" w:eastAsia="宋体"/>
          <w:b/>
          <w:sz w:val="24"/>
        </w:rPr>
        <w:t>效度方面</w:t>
      </w:r>
      <w:r>
        <w:rPr>
          <w:rFonts w:ascii="宋体" w:hAnsi="宋体" w:eastAsia="宋体"/>
          <w:sz w:val="24"/>
        </w:rPr>
        <w:t>，一是收敛效度，NUMI 与相对价格法市场分割指数显著负相关（如图5.2与图5.6所示的镜像关系），与《中国分省份市场化指数报告》（王小鲁等，2021）中的市场化总指数显著正相关，表明 NUMI 能够有效捕捉市场一体化与市场化的核心内涵；二是效标效度，NUMI 与地区人均GDP、对外开放度、数字经济发展水平等正相关，符合理论预期。</w:t>
      </w:r>
      <w:r>
        <w:rPr>
          <w:rFonts w:ascii="宋体" w:hAnsi="宋体" w:eastAsia="宋体"/>
          <w:b/>
          <w:sz w:val="24"/>
        </w:rPr>
        <w:t>稳健性方面</w:t>
      </w:r>
      <w:r>
        <w:rPr>
          <w:rFonts w:ascii="宋体" w:hAnsi="宋体" w:eastAsia="宋体"/>
          <w:sz w:val="24"/>
        </w:rPr>
        <w:t>，剔除任一维度重新合成，指数的时序趋势和区域格局保持稳定，说明结论不依赖于特定维度。</w:t>
      </w:r>
    </w:p>
    <w:p>
      <w:pPr>
        <w:spacing w:line="360" w:lineRule="auto" w:after="0"/>
        <w:ind w:firstLineChars="200" w:firstLine="480"/>
        <w:jc w:val="both"/>
      </w:pPr>
      <w:r>
        <w:rPr>
          <w:rFonts w:ascii="宋体" w:hAnsi="宋体" w:eastAsia="宋体"/>
          <w:sz w:val="24"/>
        </w:rPr>
        <w:t>综合来看，NUMI 是一个信度和效度均较为理想的综合测度，为后续实证研究提供了可靠的核心解释变量。与既有仅刻画单一维度的指标相比，NUMI 的优势在于系统整合了商品市场与要素市场、结果性与制度性信息，能够更全面地反映一个地区融入全国统一大市场的真实程度。</w:t>
      </w:r>
    </w:p>
    <w:p>
      <w:pPr>
        <w:keepNext/>
        <w:spacing w:before="160" w:after="120" w:line="360" w:lineRule="auto"/>
      </w:pPr>
      <w:r>
        <w:rPr>
          <w:rFonts w:ascii="黑体" w:hAnsi="黑体" w:eastAsia="黑体"/>
          <w:sz w:val="24"/>
        </w:rPr>
        <w:t>5.6.1  与既有指标的交叉验证</w:t>
      </w:r>
    </w:p>
    <w:p>
      <w:pPr>
        <w:spacing w:line="360" w:lineRule="auto" w:after="0"/>
        <w:ind w:firstLineChars="200" w:firstLine="480"/>
        <w:jc w:val="both"/>
      </w:pPr>
      <w:r>
        <w:rPr>
          <w:rFonts w:ascii="宋体" w:hAnsi="宋体" w:eastAsia="宋体"/>
          <w:sz w:val="24"/>
        </w:rPr>
        <w:t>从收敛效度看，NUMI 与刻画同类概念的既有指标高度一致。一是与相对价格法市场分割指数的镜像关系（对照图5.2与图5.6），样本期内二者呈强负相关，说明 NUMI 的上升确实对应着商品市场分割的收窄；二是与《中国分省份市场化指数报告》（王小鲁等，2021）中市场化总指数的显著正相关，表明 NUMI 与更宽泛的市场机制发育程度同向而行，但因其聚焦"跨区域统一"而信息并不冗余。从效标效度看，NUMI 与地区人均GDP、对外开放度、数字经济发展水平、交通基础设施密度等理论上应与市场一体化正相关的变量均呈正相关，符合先验预期（赵涛等，2020；刘冲等，2020）；同时，NUMI 与本书第6章测度的要素错配指数呈负相关，为"一体化改善配置效率"的核心命题提供了初步的相关性证据。上述多重外部参照共同支持 NUMI 具有良好的构念效度。</w:t>
      </w:r>
    </w:p>
    <w:p>
      <w:pPr>
        <w:keepNext/>
        <w:spacing w:before="160" w:after="120" w:line="360" w:lineRule="auto"/>
      </w:pPr>
      <w:r>
        <w:rPr>
          <w:rFonts w:ascii="黑体" w:hAnsi="黑体" w:eastAsia="黑体"/>
          <w:sz w:val="24"/>
        </w:rPr>
        <w:t>5.6.2  敏感性与稳健性检验</w:t>
      </w:r>
    </w:p>
    <w:p>
      <w:pPr>
        <w:spacing w:line="360" w:lineRule="auto" w:after="0"/>
        <w:ind w:firstLineChars="200" w:firstLine="480"/>
        <w:jc w:val="both"/>
      </w:pPr>
      <w:r>
        <w:rPr>
          <w:rFonts w:ascii="宋体" w:hAnsi="宋体" w:eastAsia="宋体"/>
          <w:sz w:val="24"/>
        </w:rPr>
        <w:t>为确认结论不依赖于特定的技术选择，本书进行了多重敏感性检验。第一，替换赋权方法：以等权法重新合成，等权 NUMI 与熵权 NUMI 的相关系数在0.95以上，时序趋势与区域格局几乎不变，说明结果对赋权方案不敏感。第二，替换标准化方法：将极差法改为均值化或 Z-score 标准化，各地区的相对位次与演进趋势保持稳定。第三，逐一剔除维度：每次剔除一个维度后重新合成，指数的总体走势和"东部领先、中西部追赶"的区域格局均未发生实质改变，表明结论不由某一维度单独驱动。第四，改变区域划分与样本区间：分时段、分区域的稳健性检验均未推翻主要结论。上述检验共同支持 NUMI 具有较高的内部一致性与结论稳健性。</w:t>
      </w:r>
    </w:p>
    <w:p>
      <w:pPr>
        <w:keepNext/>
        <w:spacing w:before="160" w:after="120" w:line="360" w:lineRule="auto"/>
      </w:pPr>
      <w:r>
        <w:rPr>
          <w:rFonts w:ascii="黑体" w:hAnsi="黑体" w:eastAsia="黑体"/>
          <w:sz w:val="24"/>
        </w:rPr>
        <w:t>5.6.3  测度的局限与改进方向</w:t>
      </w:r>
    </w:p>
    <w:p>
      <w:pPr>
        <w:spacing w:line="360" w:lineRule="auto" w:after="0"/>
        <w:ind w:firstLineChars="200" w:firstLine="480"/>
        <w:jc w:val="both"/>
      </w:pPr>
      <w:r>
        <w:rPr>
          <w:rFonts w:ascii="宋体" w:hAnsi="宋体" w:eastAsia="宋体"/>
          <w:sz w:val="24"/>
        </w:rPr>
        <w:t>需要客观指出 NUMI 测度的若干局限，以待后续改进。其一，数据口径。受限于公开统计的可得性，部分二级指标（尤其是要素市场与数据市场）存在校准和插值，未来若能获得授权的企业级微观数据（如工业企业数据库、税务与社保匹配数据），可显著提升测度精度（聂辉华等，2012）。其二，权重的时变性。本书采用全样本池化的固定权重以保证跨期可比，但要素相对重要性可能随发展阶段演变，动态赋权是值得探索的方向。其三，维度的可拓展性。随着数据要素市场制度的完善，数据维度的二级指标有望进一步细化和丰富。尽管存在这些局限，本章的测度已能够稳健地刻画统一大市场建设的总体格局、区域差异与结构特征，足以支撑后续的因果识别与机制分析。</w:t>
      </w:r>
    </w:p>
    <w:p>
      <w:pPr>
        <w:keepNext/>
        <w:spacing w:before="160" w:after="120" w:line="360" w:lineRule="auto"/>
      </w:pPr>
      <w:r>
        <w:rPr>
          <w:rFonts w:ascii="黑体" w:hAnsi="黑体" w:eastAsia="黑体"/>
          <w:sz w:val="28"/>
        </w:rPr>
        <w:t>5.7  本章小结</w:t>
      </w:r>
    </w:p>
    <w:p>
      <w:pPr>
        <w:spacing w:line="360" w:lineRule="auto" w:after="0"/>
        <w:ind w:firstLineChars="200" w:firstLine="480"/>
        <w:jc w:val="both"/>
      </w:pPr>
      <w:r>
        <w:rPr>
          <w:rFonts w:ascii="宋体" w:hAnsi="宋体" w:eastAsia="宋体"/>
          <w:sz w:val="24"/>
        </w:rPr>
        <w:t>本章构建了涵盖六个维度的全国统一大市场建设指数（NUMI），并刻画了其2006—2023年的时空演变。主要发现包括：第一，中国统一大市场建设水平持续提升，NUMI 均值由0.373升至0.745，且与市场分割指数的下降形成镜像，演进节奏与政策脉络高度吻合；第二，建设水平呈"东部领先、中西部追赶"的区域格局，区域差距趋于收窄，分布未见两极分化；第三，分维度上"商品市场与制度环境领先、要素市场滞后"，劳动力和土地要素的跨区配置是主要短板，技术与数据市场一体化增长最快。这些发现既刻画了统一大市场建设的现实进程，也为后续检验其对要素配置效率的影响提供了核心解释变量与丰富的异质性线索。</w:t>
      </w:r>
    </w:p>
    <w:p>
      <w:pPr>
        <w:spacing w:line="360" w:lineRule="auto" w:after="0"/>
        <w:ind w:firstLineChars="200" w:firstLine="480"/>
        <w:jc w:val="both"/>
      </w:pPr>
      <w:r>
        <w:rPr>
          <w:rFonts w:ascii="宋体" w:hAnsi="宋体" w:eastAsia="宋体"/>
          <w:sz w:val="24"/>
        </w:rPr>
        <w:t>需要说明的是，本章的测度并非终点，而是全书实证研究的起点。作为核心解释变量，NUMI 及其六个分维将贯穿第6章至第9章：第6章将从要素错配的另一面估计配置效率损失，与本章的一体化测度形成"程度—后果"的对照；第7章将以 NUMI 为核心解释变量、以要素配置效率为被解释变量，通过双向固定效应与工具变量估计识别其因果效应；第8章将利用本章揭示的分维度结构差异，检验不同维度一体化对配置效率的异质性影响与作用机制；第9章则进一步拓展至全要素生产率、创新与区域协调发展等经济效应。由此，本章不仅回答了"统一大市场建设水平如何测度、如何演变"的问题，也为回答"它如何影响要素配置效率"这一全书核心问题奠定了变量基础与经验起点。</w:t>
      </w:r>
    </w:p>
    <w:p>
      <w:r>
        <w:br w:type="page"/>
      </w:r>
    </w:p>
    <w:p>
      <w:pPr>
        <w:keepNext/>
        <w:spacing w:before="240" w:after="160" w:line="360" w:lineRule="auto"/>
        <w:jc w:val="center"/>
      </w:pPr>
      <w:r>
        <w:rPr>
          <w:rFonts w:ascii="黑体" w:hAnsi="黑体" w:eastAsia="黑体"/>
          <w:b/>
          <w:sz w:val="30"/>
        </w:rPr>
        <w:t>第6章  要素错配的测度与配置效率损失估计</w:t>
      </w:r>
    </w:p>
    <w:p>
      <w:pPr>
        <w:spacing w:line="360" w:lineRule="auto" w:after="0"/>
        <w:ind w:firstLineChars="200" w:firstLine="480"/>
        <w:jc w:val="both"/>
      </w:pPr>
      <w:r>
        <w:rPr>
          <w:rFonts w:ascii="宋体" w:hAnsi="宋体" w:eastAsia="宋体"/>
          <w:sz w:val="24"/>
        </w:rPr>
        <w:t>第5章从统一大市场建设的"投入端"出发，构建了刻画商品与要素市场一体化水平的全国统一大市场建设指数（NUMI），并揭示了2006—2023年间中国市场一体化程度稳步提升、但区域间仍存在明显落差的时空格局。然而，衡量统一大市场建设成效的最终尺度，并不在于市场分割指数本身下降了多少，而在于要素能否在地区、部门与企业之间实现更有效率的配置，进而转化为全要素生产率（TFP）的实质性改进。正因如此，本章将研究视角从统一大市场建设的"投入端"转向要素配置的"结果端"，聚焦于一个更为根本的问题：中国的要素错配究竟有多严重？它随时间和空间如何演变？又给全要素生产率造成了多大的效率损失？回答这些问题，既是对第4章理论命题——"总量TFP是要素楔子对数方差的减函数"——的经验刻画，也为第7章及以后各章识别统一大市场建设影响要素配置效率的因果效应奠定被解释变量的测度基础。</w:t>
      </w:r>
    </w:p>
    <w:p>
      <w:pPr>
        <w:spacing w:line="360" w:lineRule="auto" w:after="0"/>
        <w:ind w:firstLineChars="200" w:firstLine="480"/>
        <w:jc w:val="both"/>
      </w:pPr>
      <w:r>
        <w:rPr>
          <w:rFonts w:ascii="宋体" w:hAnsi="宋体" w:eastAsia="宋体"/>
          <w:sz w:val="24"/>
        </w:rPr>
        <w:t>本章的分析建立在资源错配与生产率核算的现代文献之上。自Hsieh和Klenow，2009提出以企业间收益生产率（TFPR）离散度刻画资源错配、并据以估算错配对制造业全要素生产率影响的开创性框架以来，"错配—生产率"研究已成为增长与发展经济学的重要分支（Restuccia和Rogerson，2008；Restuccia和Rogerson，2017）。国内学者随后将这一框架系统引入中国情境，从价格扭曲、要素市场扭曲、行政垄断、土地与劳动力配置等多个角度，对中国的资源错配及其效率后果进行了丰富的经验测度（陈永伟和胡伟民，2011；龚关和胡关亮，2013）。本章在方法上以Hsieh和Klenow，2009—Brandt等，2013的核算传统为基础，结合省级面板数据，构造资本错配、劳动力错配与综合错配指标，估计消除错配的反事实TFP提升，进一步测度要素配置效率（ACE）的演变，并对统一大市场建设与要素错配的关联作初步的经验刻画。</w:t>
      </w:r>
    </w:p>
    <w:p>
      <w:pPr>
        <w:spacing w:line="360" w:lineRule="auto" w:after="0"/>
        <w:ind w:firstLineChars="200" w:firstLine="480"/>
        <w:jc w:val="both"/>
      </w:pPr>
      <w:r>
        <w:rPr>
          <w:rFonts w:ascii="宋体" w:hAnsi="宋体" w:eastAsia="宋体"/>
          <w:sz w:val="24"/>
        </w:rPr>
        <w:t>全章分为七节展开。6.1节给出要素错配的分析框架与测度公式，说明从企业楔子到省级测度的实现路径；6.2节交代数据来源、变量构造与测算口径；6.3节报告要素错配的测算结果，刻画其时序演变与区域差异；6.4节估计错配造成的全要素生产率损失，并作分要素分解；6.5节测度要素配置效率的演变；6.6节对统一大市场建设与要素错配的关联作初步的经验刻画；6.7节为本章小结。通过这一从"框架—测度"到"损失—关联"的递进安排，本章力求为全书搭建一座连接"统一大市场建设"与"要素配置效率"的坚实的测度桥梁。</w:t>
      </w:r>
    </w:p>
    <w:p>
      <w:pPr>
        <w:keepNext/>
        <w:spacing w:before="160" w:after="120" w:line="360" w:lineRule="auto"/>
      </w:pPr>
      <w:r>
        <w:rPr>
          <w:rFonts w:ascii="黑体" w:hAnsi="黑体" w:eastAsia="黑体"/>
          <w:sz w:val="28"/>
        </w:rPr>
        <w:t>6.1  要素错配的分析框架与测度方法</w:t>
      </w:r>
    </w:p>
    <w:p>
      <w:pPr>
        <w:spacing w:line="360" w:lineRule="auto" w:after="0"/>
        <w:ind w:firstLineChars="200" w:firstLine="480"/>
        <w:jc w:val="both"/>
      </w:pPr>
      <w:r>
        <w:rPr>
          <w:rFonts w:ascii="宋体" w:hAnsi="宋体" w:eastAsia="宋体"/>
          <w:sz w:val="24"/>
        </w:rPr>
        <w:t>要素错配的核心思想可以用一句话概括：在一个不存在扭曲的经济中，同质要素在不同使用者之间的边际收益产品应当处处相等；任何持续存在的边际收益产品离散，都意味着要素被"错配"了——将要素从边际收益低的使用者重新配置到边际收益高的使用者，就能在不增加任何投入的情况下提高总产出。正是在这一意义上，错配构成了一种可以通过制度改革加以释放的"生产率红利"。本节先在企业异质性框架下给出要素错配的严格刻画与测度公式，再说明其在省级层面的实现方式。</w:t>
      </w:r>
    </w:p>
    <w:p>
      <w:pPr>
        <w:keepNext/>
        <w:spacing w:before="160" w:after="120" w:line="360" w:lineRule="auto"/>
      </w:pPr>
      <w:r>
        <w:rPr>
          <w:rFonts w:ascii="黑体" w:hAnsi="黑体" w:eastAsia="黑体"/>
          <w:sz w:val="24"/>
        </w:rPr>
        <w:t>6.1.1  企业楔子、边际收益产品与收益生产率离散度</w:t>
      </w:r>
    </w:p>
    <w:p>
      <w:pPr>
        <w:spacing w:line="360" w:lineRule="auto" w:after="0"/>
        <w:ind w:firstLineChars="200" w:firstLine="480"/>
        <w:jc w:val="both"/>
      </w:pPr>
      <w:r>
        <w:rPr>
          <w:rFonts w:ascii="宋体" w:hAnsi="宋体" w:eastAsia="宋体"/>
          <w:sz w:val="24"/>
        </w:rPr>
        <w:t xml:space="preserve">沿用Hsieh-Klenow框架，设经济由多个地区、多个部门构成。地区 </w:t>
      </w:r>
      <m:oMath>
        <m:r>
          <m:t>r</m:t>
        </m:r>
      </m:oMath>
      <w:r>
        <w:rPr>
          <w:rFonts w:ascii="宋体" w:hAnsi="宋体" w:eastAsia="宋体"/>
          <w:sz w:val="24"/>
        </w:rPr>
        <w:t xml:space="preserve">、部门 </w:t>
      </w:r>
      <m:oMath>
        <m:r>
          <m:t>s</m:t>
        </m:r>
      </m:oMath>
      <w:r>
        <w:rPr>
          <w:rFonts w:ascii="宋体" w:hAnsi="宋体" w:eastAsia="宋体"/>
          <w:sz w:val="24"/>
        </w:rPr>
        <w:t xml:space="preserve"> 内企业 </w:t>
      </w:r>
      <m:oMath>
        <m:r>
          <m:t>i</m:t>
        </m:r>
      </m:oMath>
      <w:r>
        <w:rPr>
          <w:rFonts w:ascii="宋体" w:hAnsi="宋体" w:eastAsia="宋体"/>
          <w:sz w:val="24"/>
        </w:rPr>
        <w:t xml:space="preserve"> 采用规模报酬不变的柯布-道格拉斯技术进行生产：</w:t>
      </w:r>
    </w:p>
    <w:p>
      <w:pPr>
        <w:tabs>
          <w:tab w:pos="4252" w:val="center"/>
          <w:tab w:pos="8504" w:val="right"/>
        </w:tabs>
        <w:spacing w:line="360" w:lineRule="auto" w:before="80" w:after="80"/>
      </w:pPr>
      <w:r>
        <w:tab/>
      </w:r>
      <m:oMath>
        <m:sSub>
          <m:e>
            <m:r>
              <m:t>Y</m:t>
            </m:r>
          </m:e>
          <m:sub>
            <m:r>
              <m:t>r</m:t>
            </m:r>
            <m:r>
              <m:t>s</m:t>
            </m:r>
            <m:r>
              <m:t>i</m:t>
            </m:r>
          </m:sub>
        </m:sSub>
        <m:r>
          <m:rPr>
            <m:sty m:val="p"/>
          </m:rPr>
          <m:t>=</m:t>
        </m:r>
        <m:sSub>
          <m:e>
            <m:r>
              <m:t>A</m:t>
            </m:r>
          </m:e>
          <m:sub>
            <m:r>
              <m:t>r</m:t>
            </m:r>
            <m:r>
              <m:t>s</m:t>
            </m:r>
            <m:r>
              <m:t>i</m:t>
            </m:r>
          </m:sub>
        </m:sSub>
        <m:r>
          <m:t> </m:t>
        </m:r>
        <m:sSubSup>
          <m:e>
            <m:r>
              <m:t>K</m:t>
            </m:r>
          </m:e>
          <m:sub>
            <m:r>
              <m:t>r</m:t>
            </m:r>
            <m:r>
              <m:t>s</m:t>
            </m:r>
            <m:r>
              <m:t>i</m:t>
            </m:r>
          </m:sub>
          <m:sup>
            <m:sSub>
              <m:e>
                <m:r>
                  <m:t>α</m:t>
                </m:r>
              </m:e>
              <m:sub>
                <m:r>
                  <m:t>s</m:t>
                </m:r>
              </m:sub>
            </m:sSub>
          </m:sup>
        </m:sSubSup>
        <m:r>
          <m:t> </m:t>
        </m:r>
        <m:sSubSup>
          <m:e>
            <m:r>
              <m:t>L</m:t>
            </m:r>
          </m:e>
          <m:sub>
            <m:r>
              <m:t>r</m:t>
            </m:r>
            <m:r>
              <m:t>s</m:t>
            </m:r>
            <m:r>
              <m:t>i</m:t>
            </m:r>
          </m:sub>
          <m:sup>
            <m:r>
              <m:t>1</m:t>
            </m:r>
            <m:r>
              <m:rPr>
                <m:sty m:val="p"/>
              </m:rPr>
              <m:t>−</m:t>
            </m:r>
            <m:sSub>
              <m:e>
                <m:r>
                  <m:t>α</m:t>
                </m:r>
              </m:e>
              <m:sub>
                <m:r>
                  <m:t>s</m:t>
                </m:r>
              </m:sub>
            </m:sSub>
          </m:sup>
        </m:sSubSup>
      </m:oMath>
      <w:r>
        <w:tab/>
      </w:r>
      <w:r>
        <w:rPr>
          <w:rFonts w:ascii="Times New Roman" w:hAnsi="Times New Roman" w:eastAsia="宋体"/>
          <w:sz w:val="24"/>
        </w:rPr>
        <w:t>(6-1)</w:t>
      </w:r>
    </w:p>
    <w:p>
      <w:pPr>
        <w:spacing w:line="360" w:lineRule="auto" w:after="0"/>
        <w:jc w:val="both"/>
      </w:pPr>
      <w:r>
        <w:rPr>
          <w:rFonts w:ascii="宋体" w:hAnsi="宋体" w:eastAsia="宋体"/>
          <w:sz w:val="24"/>
        </w:rPr>
        <w:t>其中，</w:t>
      </w:r>
      <m:oMath>
        <m:sSub>
          <m:e>
            <m:r>
              <m:t>Y</m:t>
            </m:r>
          </m:e>
          <m:sub>
            <m:r>
              <m:t>r</m:t>
            </m:r>
            <m:r>
              <m:t>s</m:t>
            </m:r>
            <m:r>
              <m:t>i</m:t>
            </m:r>
          </m:sub>
        </m:sSub>
      </m:oMath>
      <w:r>
        <w:rPr>
          <w:rFonts w:ascii="宋体" w:hAnsi="宋体" w:eastAsia="宋体"/>
          <w:sz w:val="24"/>
        </w:rPr>
        <w:t>、</w:t>
      </w:r>
      <m:oMath>
        <m:sSub>
          <m:e>
            <m:r>
              <m:t>K</m:t>
            </m:r>
          </m:e>
          <m:sub>
            <m:r>
              <m:t>r</m:t>
            </m:r>
            <m:r>
              <m:t>s</m:t>
            </m:r>
            <m:r>
              <m:t>i</m:t>
            </m:r>
          </m:sub>
        </m:sSub>
      </m:oMath>
      <w:r>
        <w:rPr>
          <w:rFonts w:ascii="宋体" w:hAnsi="宋体" w:eastAsia="宋体"/>
          <w:sz w:val="24"/>
        </w:rPr>
        <w:t>、</w:t>
      </w:r>
      <m:oMath>
        <m:sSub>
          <m:e>
            <m:r>
              <m:t>L</m:t>
            </m:r>
          </m:e>
          <m:sub>
            <m:r>
              <m:t>r</m:t>
            </m:r>
            <m:r>
              <m:t>s</m:t>
            </m:r>
            <m:r>
              <m:t>i</m:t>
            </m:r>
          </m:sub>
        </m:sSub>
      </m:oMath>
      <w:r>
        <w:rPr>
          <w:rFonts w:ascii="宋体" w:hAnsi="宋体" w:eastAsia="宋体"/>
          <w:sz w:val="24"/>
        </w:rPr>
        <w:t xml:space="preserve"> 分别为企业的增加值、资本与劳动投入，</w:t>
      </w:r>
      <m:oMath>
        <m:sSub>
          <m:e>
            <m:r>
              <m:t>A</m:t>
            </m:r>
          </m:e>
          <m:sub>
            <m:r>
              <m:t>r</m:t>
            </m:r>
            <m:r>
              <m:t>s</m:t>
            </m:r>
            <m:r>
              <m:t>i</m:t>
            </m:r>
          </m:sub>
        </m:sSub>
      </m:oMath>
      <w:r>
        <w:rPr>
          <w:rFonts w:ascii="宋体" w:hAnsi="宋体" w:eastAsia="宋体"/>
          <w:sz w:val="24"/>
        </w:rPr>
        <w:t xml:space="preserve"> 为企业的物量全要素生产率（TFPQ），</w:t>
      </w:r>
      <m:oMath>
        <m:sSub>
          <m:e>
            <m:r>
              <m:t>α</m:t>
            </m:r>
          </m:e>
          <m:sub>
            <m:r>
              <m:t>s</m:t>
            </m:r>
          </m:sub>
        </m:sSub>
      </m:oMath>
      <w:r>
        <w:rPr>
          <w:rFonts w:ascii="宋体" w:hAnsi="宋体" w:eastAsia="宋体"/>
          <w:sz w:val="24"/>
        </w:rPr>
        <w:t xml:space="preserve"> 为部门 </w:t>
      </w:r>
      <m:oMath>
        <m:r>
          <m:t>s</m:t>
        </m:r>
      </m:oMath>
      <w:r>
        <w:rPr>
          <w:rFonts w:ascii="宋体" w:hAnsi="宋体" w:eastAsia="宋体"/>
          <w:sz w:val="24"/>
        </w:rPr>
        <w:t xml:space="preserve"> 的资本产出弹性。各部门产品在垄断竞争市场上以替代弹性 </w:t>
      </w:r>
      <m:oMath>
        <m:r>
          <m:t>σ</m:t>
        </m:r>
      </m:oMath>
      <w:r>
        <w:rPr>
          <w:rFonts w:ascii="宋体" w:hAnsi="宋体" w:eastAsia="宋体"/>
          <w:sz w:val="24"/>
        </w:rPr>
        <w:t xml:space="preserve"> 相互替代，构成部门与最终产品。</w:t>
      </w:r>
    </w:p>
    <w:p>
      <w:pPr>
        <w:spacing w:line="360" w:lineRule="auto" w:after="0"/>
        <w:ind w:firstLineChars="200" w:firstLine="480"/>
        <w:jc w:val="both"/>
      </w:pPr>
      <w:r>
        <w:rPr>
          <w:rFonts w:ascii="宋体" w:hAnsi="宋体" w:eastAsia="宋体"/>
          <w:sz w:val="24"/>
        </w:rPr>
        <w:t xml:space="preserve">错配的来源在于企业面临各不相同的"楔子"（wedge）。本书区分两类制度性配置楔子：一是同时作用于资本与劳动、等价于对企业全部收入征税或补贴的产出楔子 </w:t>
      </w:r>
      <m:oMath>
        <m:sSubSup>
          <m:e>
            <m:r>
              <m:t>τ</m:t>
            </m:r>
          </m:e>
          <m:sub>
            <m:r>
              <m:t>r</m:t>
            </m:r>
            <m:r>
              <m:t>s</m:t>
            </m:r>
            <m:r>
              <m:t>i</m:t>
            </m:r>
          </m:sub>
          <m:sup>
            <m:r>
              <m:t>Y</m:t>
            </m:r>
          </m:sup>
        </m:sSubSup>
      </m:oMath>
      <w:r>
        <w:rPr>
          <w:rFonts w:ascii="宋体" w:hAnsi="宋体" w:eastAsia="宋体"/>
          <w:sz w:val="24"/>
        </w:rPr>
        <w:t xml:space="preserve">；二是仅作用于资本、抬高或压低企业资本使用成本的资本楔子 </w:t>
      </w:r>
      <m:oMath>
        <m:sSubSup>
          <m:e>
            <m:r>
              <m:t>τ</m:t>
            </m:r>
          </m:e>
          <m:sub>
            <m:r>
              <m:t>r</m:t>
            </m:r>
            <m:r>
              <m:t>s</m:t>
            </m:r>
            <m:r>
              <m:t>i</m:t>
            </m:r>
          </m:sub>
          <m:sup>
            <m:r>
              <m:t>K</m:t>
            </m:r>
          </m:sup>
        </m:sSubSup>
      </m:oMath>
      <w:r>
        <w:rPr>
          <w:rFonts w:ascii="宋体" w:hAnsi="宋体" w:eastAsia="宋体"/>
          <w:sz w:val="24"/>
        </w:rPr>
        <w:t>。在户籍管制、金融资源属地化配置、用地指标行政化分配、地方保护与补贴等制度安排下，不同地区、不同所有制、不同规模的企业所面临的楔子系统性地不同，这正是中国式要素市场分割在企业层面的微观投影（Brandt等，2013；罗德明等，2012）。企业的利润函数可写为：</w:t>
      </w:r>
    </w:p>
    <w:p>
      <w:pPr>
        <w:tabs>
          <w:tab w:pos="4252" w:val="center"/>
          <w:tab w:pos="8504" w:val="right"/>
        </w:tabs>
        <w:spacing w:line="360" w:lineRule="auto" w:before="80" w:after="80"/>
      </w:pPr>
      <w:r>
        <w:tab/>
      </w:r>
      <m:oMath>
        <m:sSub>
          <m:e>
            <m:r>
              <m:t>π</m:t>
            </m:r>
          </m:e>
          <m:sub>
            <m:r>
              <m:t>r</m:t>
            </m:r>
            <m:r>
              <m:t>s</m:t>
            </m:r>
            <m:r>
              <m:t>i</m:t>
            </m:r>
          </m:sub>
        </m:sSub>
        <m:r>
          <m:rPr>
            <m:sty m:val="p"/>
          </m:rPr>
          <m:t>=</m:t>
        </m:r>
        <m:d>
          <m:dPr>
            <m:begChr m:val="("/>
            <m:endChr m:val=")"/>
            <m:sepChr m:val=""/>
            <m:grow/>
          </m:dPr>
          <m:e>
            <m:r>
              <m:t>1</m:t>
            </m:r>
            <m:r>
              <m:rPr>
                <m:sty m:val="p"/>
              </m:rPr>
              <m:t>−</m:t>
            </m:r>
            <m:sSubSup>
              <m:e>
                <m:r>
                  <m:t>τ</m:t>
                </m:r>
              </m:e>
              <m:sub>
                <m:r>
                  <m:t>r</m:t>
                </m:r>
                <m:r>
                  <m:t>s</m:t>
                </m:r>
                <m:r>
                  <m:t>i</m:t>
                </m:r>
              </m:sub>
              <m:sup>
                <m:r>
                  <m:t>Y</m:t>
                </m:r>
              </m:sup>
            </m:sSubSup>
          </m:e>
        </m:d>
        <m:r>
          <m:t> </m:t>
        </m:r>
        <m:sSub>
          <m:e>
            <m:r>
              <m:t>P</m:t>
            </m:r>
          </m:e>
          <m:sub>
            <m:r>
              <m:t>r</m:t>
            </m:r>
            <m:r>
              <m:t>s</m:t>
            </m:r>
            <m:r>
              <m:t>i</m:t>
            </m:r>
          </m:sub>
        </m:sSub>
        <m:sSub>
          <m:e>
            <m:r>
              <m:t>Y</m:t>
            </m:r>
          </m:e>
          <m:sub>
            <m:r>
              <m:t>r</m:t>
            </m:r>
            <m:r>
              <m:t>s</m:t>
            </m:r>
            <m:r>
              <m:t>i</m:t>
            </m:r>
          </m:sub>
        </m:sSub>
        <m:r>
          <m:rPr>
            <m:sty m:val="p"/>
          </m:rPr>
          <m:t>−</m:t>
        </m:r>
        <m:sSub>
          <m:e>
            <m:r>
              <m:t>w</m:t>
            </m:r>
          </m:e>
          <m:sub>
            <m:r>
              <m:t>r</m:t>
            </m:r>
          </m:sub>
        </m:sSub>
        <m:sSub>
          <m:e>
            <m:r>
              <m:t>L</m:t>
            </m:r>
          </m:e>
          <m:sub>
            <m:r>
              <m:t>r</m:t>
            </m:r>
            <m:r>
              <m:t>s</m:t>
            </m:r>
            <m:r>
              <m:t>i</m:t>
            </m:r>
          </m:sub>
        </m:sSub>
        <m:r>
          <m:rPr>
            <m:sty m:val="p"/>
          </m:rPr>
          <m:t>−</m:t>
        </m:r>
        <m:d>
          <m:dPr>
            <m:begChr m:val="("/>
            <m:endChr m:val=")"/>
            <m:sepChr m:val=""/>
            <m:grow/>
          </m:dPr>
          <m:e>
            <m:r>
              <m:t>1</m:t>
            </m:r>
            <m:r>
              <m:rPr>
                <m:sty m:val="p"/>
              </m:rPr>
              <m:t>+</m:t>
            </m:r>
            <m:sSubSup>
              <m:e>
                <m:r>
                  <m:t>τ</m:t>
                </m:r>
              </m:e>
              <m:sub>
                <m:r>
                  <m:t>r</m:t>
                </m:r>
                <m:r>
                  <m:t>s</m:t>
                </m:r>
                <m:r>
                  <m:t>i</m:t>
                </m:r>
              </m:sub>
              <m:sup>
                <m:r>
                  <m:t>K</m:t>
                </m:r>
              </m:sup>
            </m:sSubSup>
          </m:e>
        </m:d>
        <m:r>
          <m:t> </m:t>
        </m:r>
        <m:r>
          <m:t>R</m:t>
        </m:r>
        <m:r>
          <m:t> </m:t>
        </m:r>
        <m:sSub>
          <m:e>
            <m:r>
              <m:t>K</m:t>
            </m:r>
          </m:e>
          <m:sub>
            <m:r>
              <m:t>r</m:t>
            </m:r>
            <m:r>
              <m:t>s</m:t>
            </m:r>
            <m:r>
              <m:t>i</m:t>
            </m:r>
          </m:sub>
        </m:sSub>
      </m:oMath>
      <w:r>
        <w:tab/>
      </w:r>
      <w:r>
        <w:rPr>
          <w:rFonts w:ascii="Times New Roman" w:hAnsi="Times New Roman" w:eastAsia="宋体"/>
          <w:sz w:val="24"/>
        </w:rPr>
        <w:t>(6-2)</w:t>
      </w:r>
    </w:p>
    <w:p>
      <w:pPr>
        <w:spacing w:line="360" w:lineRule="auto" w:after="0"/>
        <w:jc w:val="both"/>
      </w:pPr>
      <w:r>
        <w:rPr>
          <w:rFonts w:ascii="宋体" w:hAnsi="宋体" w:eastAsia="宋体"/>
          <w:sz w:val="24"/>
        </w:rPr>
        <w:t>其中，</w:t>
      </w:r>
      <m:oMath>
        <m:sSub>
          <m:e>
            <m:r>
              <m:t>P</m:t>
            </m:r>
          </m:e>
          <m:sub>
            <m:r>
              <m:t>r</m:t>
            </m:r>
            <m:r>
              <m:t>s</m:t>
            </m:r>
            <m:r>
              <m:t>i</m:t>
            </m:r>
          </m:sub>
        </m:sSub>
      </m:oMath>
      <w:r>
        <w:rPr>
          <w:rFonts w:ascii="宋体" w:hAnsi="宋体" w:eastAsia="宋体"/>
          <w:sz w:val="24"/>
        </w:rPr>
        <w:t xml:space="preserve"> 为企业产品价格，</w:t>
      </w:r>
      <m:oMath>
        <m:sSub>
          <m:e>
            <m:r>
              <m:t>w</m:t>
            </m:r>
          </m:e>
          <m:sub>
            <m:r>
              <m:t>r</m:t>
            </m:r>
          </m:sub>
        </m:sSub>
      </m:oMath>
      <w:r>
        <w:rPr>
          <w:rFonts w:ascii="宋体" w:hAnsi="宋体" w:eastAsia="宋体"/>
          <w:sz w:val="24"/>
        </w:rPr>
        <w:t xml:space="preserve"> 为地区工资，</w:t>
      </w:r>
      <m:oMath>
        <m:r>
          <m:t>R</m:t>
        </m:r>
      </m:oMath>
      <w:r>
        <w:rPr>
          <w:rFonts w:ascii="宋体" w:hAnsi="宋体" w:eastAsia="宋体"/>
          <w:sz w:val="24"/>
        </w:rPr>
        <w:t xml:space="preserve"> 为无扭曲状态下的资本租金。企业在给定楔子下选择要素投入最大化利润，其一阶条件给出资本与劳动的边际收益产品（MRPK、MRPL）：</w:t>
      </w:r>
    </w:p>
    <w:p>
      <w:pPr>
        <w:tabs>
          <w:tab w:pos="4252" w:val="center"/>
          <w:tab w:pos="8504" w:val="right"/>
        </w:tabs>
        <w:spacing w:line="360" w:lineRule="auto" w:before="80" w:after="80"/>
      </w:pPr>
      <w:r>
        <w:tab/>
      </w:r>
      <m:oMath>
        <m:sSub>
          <m:e>
            <m:r>
              <m:rPr>
                <m:sty m:val="p"/>
              </m:rPr>
              <m:t>M</m:t>
            </m:r>
            <m:r>
              <m:rPr>
                <m:sty m:val="p"/>
              </m:rPr>
              <m:t>R</m:t>
            </m:r>
            <m:r>
              <m:rPr>
                <m:sty m:val="p"/>
              </m:rPr>
              <m:t>P</m:t>
            </m:r>
            <m:r>
              <m:rPr>
                <m:sty m:val="p"/>
              </m:rPr>
              <m:t>K</m:t>
            </m:r>
          </m:e>
          <m:sub>
            <m:r>
              <m:t>r</m:t>
            </m:r>
            <m:r>
              <m:t>s</m:t>
            </m:r>
            <m:r>
              <m:t>i</m:t>
            </m:r>
          </m:sub>
        </m:sSub>
        <m:r>
          <m:rPr>
            <m:sty m:val="p"/>
          </m:rPr>
          <m:t>=</m:t>
        </m:r>
        <m:sSub>
          <m:e>
            <m:r>
              <m:t>α</m:t>
            </m:r>
          </m:e>
          <m:sub>
            <m:r>
              <m:t>s</m:t>
            </m:r>
          </m:sub>
        </m:sSub>
        <m:f>
          <m:fPr>
            <m:type m:val="bar"/>
          </m:fPr>
          <m:num>
            <m:sSub>
              <m:e>
                <m:r>
                  <m:t>P</m:t>
                </m:r>
              </m:e>
              <m:sub>
                <m:r>
                  <m:t>r</m:t>
                </m:r>
                <m:r>
                  <m:t>s</m:t>
                </m:r>
                <m:r>
                  <m:t>i</m:t>
                </m:r>
              </m:sub>
            </m:sSub>
            <m:sSub>
              <m:e>
                <m:r>
                  <m:t>Y</m:t>
                </m:r>
              </m:e>
              <m:sub>
                <m:r>
                  <m:t>r</m:t>
                </m:r>
                <m:r>
                  <m:t>s</m:t>
                </m:r>
                <m:r>
                  <m:t>i</m:t>
                </m:r>
              </m:sub>
            </m:sSub>
          </m:num>
          <m:den>
            <m:sSub>
              <m:e>
                <m:r>
                  <m:t>K</m:t>
                </m:r>
              </m:e>
              <m:sub>
                <m:r>
                  <m:t>r</m:t>
                </m:r>
                <m:r>
                  <m:t>s</m:t>
                </m:r>
                <m:r>
                  <m:t>i</m:t>
                </m:r>
              </m:sub>
            </m:sSub>
          </m:den>
        </m:f>
        <m:r>
          <m:rPr>
            <m:sty m:val="p"/>
          </m:rPr>
          <m:t>=</m:t>
        </m:r>
        <m:r>
          <m:t>R</m:t>
        </m:r>
        <m:r>
          <m:t> </m:t>
        </m:r>
        <m:f>
          <m:fPr>
            <m:type m:val="bar"/>
          </m:fPr>
          <m:num>
            <m:r>
              <m:t>1</m:t>
            </m:r>
            <m:r>
              <m:rPr>
                <m:sty m:val="p"/>
              </m:rPr>
              <m:t>+</m:t>
            </m:r>
            <m:sSubSup>
              <m:e>
                <m:r>
                  <m:t>τ</m:t>
                </m:r>
              </m:e>
              <m:sub>
                <m:r>
                  <m:t>r</m:t>
                </m:r>
                <m:r>
                  <m:t>s</m:t>
                </m:r>
                <m:r>
                  <m:t>i</m:t>
                </m:r>
              </m:sub>
              <m:sup>
                <m:r>
                  <m:t>K</m:t>
                </m:r>
              </m:sup>
            </m:sSubSup>
          </m:num>
          <m:den>
            <m:r>
              <m:t>1</m:t>
            </m:r>
            <m:r>
              <m:rPr>
                <m:sty m:val="p"/>
              </m:rPr>
              <m:t>−</m:t>
            </m:r>
            <m:sSubSup>
              <m:e>
                <m:r>
                  <m:t>τ</m:t>
                </m:r>
              </m:e>
              <m:sub>
                <m:r>
                  <m:t>r</m:t>
                </m:r>
                <m:r>
                  <m:t>s</m:t>
                </m:r>
                <m:r>
                  <m:t>i</m:t>
                </m:r>
              </m:sub>
              <m:sup>
                <m:r>
                  <m:t>Y</m:t>
                </m:r>
              </m:sup>
            </m:sSubSup>
          </m:den>
        </m:f>
        <m:r>
          <m:rPr>
            <m:sty m:val="p"/>
          </m:rPr>
          <m:t>,</m:t>
        </m:r>
        <m:r>
          <m:t>  </m:t>
        </m:r>
        <m:sSub>
          <m:e>
            <m:r>
              <m:rPr>
                <m:sty m:val="p"/>
              </m:rPr>
              <m:t>M</m:t>
            </m:r>
            <m:r>
              <m:rPr>
                <m:sty m:val="p"/>
              </m:rPr>
              <m:t>R</m:t>
            </m:r>
            <m:r>
              <m:rPr>
                <m:sty m:val="p"/>
              </m:rPr>
              <m:t>P</m:t>
            </m:r>
            <m:r>
              <m:rPr>
                <m:sty m:val="p"/>
              </m:rPr>
              <m:t>L</m:t>
            </m:r>
          </m:e>
          <m:sub>
            <m:r>
              <m:t>r</m:t>
            </m:r>
            <m:r>
              <m:t>s</m:t>
            </m:r>
            <m:r>
              <m:t>i</m:t>
            </m:r>
          </m:sub>
        </m:sSub>
        <m:r>
          <m:rPr>
            <m:sty m:val="p"/>
          </m:rPr>
          <m:t>=</m:t>
        </m:r>
        <m:d>
          <m:dPr>
            <m:begChr m:val="("/>
            <m:endChr m:val=")"/>
            <m:sepChr m:val=""/>
            <m:grow/>
          </m:dPr>
          <m:e>
            <m:r>
              <m:t>1</m:t>
            </m:r>
            <m:r>
              <m:rPr>
                <m:sty m:val="p"/>
              </m:rPr>
              <m:t>−</m:t>
            </m:r>
            <m:sSub>
              <m:e>
                <m:r>
                  <m:t>α</m:t>
                </m:r>
              </m:e>
              <m:sub>
                <m:r>
                  <m:t>s</m:t>
                </m:r>
              </m:sub>
            </m:sSub>
          </m:e>
        </m:d>
        <m:f>
          <m:fPr>
            <m:type m:val="bar"/>
          </m:fPr>
          <m:num>
            <m:sSub>
              <m:e>
                <m:r>
                  <m:t>P</m:t>
                </m:r>
              </m:e>
              <m:sub>
                <m:r>
                  <m:t>r</m:t>
                </m:r>
                <m:r>
                  <m:t>s</m:t>
                </m:r>
                <m:r>
                  <m:t>i</m:t>
                </m:r>
              </m:sub>
            </m:sSub>
            <m:sSub>
              <m:e>
                <m:r>
                  <m:t>Y</m:t>
                </m:r>
              </m:e>
              <m:sub>
                <m:r>
                  <m:t>r</m:t>
                </m:r>
                <m:r>
                  <m:t>s</m:t>
                </m:r>
                <m:r>
                  <m:t>i</m:t>
                </m:r>
              </m:sub>
            </m:sSub>
          </m:num>
          <m:den>
            <m:sSub>
              <m:e>
                <m:r>
                  <m:t>L</m:t>
                </m:r>
              </m:e>
              <m:sub>
                <m:r>
                  <m:t>r</m:t>
                </m:r>
                <m:r>
                  <m:t>s</m:t>
                </m:r>
                <m:r>
                  <m:t>i</m:t>
                </m:r>
              </m:sub>
            </m:sSub>
          </m:den>
        </m:f>
        <m:r>
          <m:rPr>
            <m:sty m:val="p"/>
          </m:rPr>
          <m:t>=</m:t>
        </m:r>
        <m:f>
          <m:fPr>
            <m:type m:val="bar"/>
          </m:fPr>
          <m:num>
            <m:sSub>
              <m:e>
                <m:r>
                  <m:t>w</m:t>
                </m:r>
              </m:e>
              <m:sub>
                <m:r>
                  <m:t>r</m:t>
                </m:r>
              </m:sub>
            </m:sSub>
          </m:num>
          <m:den>
            <m:r>
              <m:t>1</m:t>
            </m:r>
            <m:r>
              <m:rPr>
                <m:sty m:val="p"/>
              </m:rPr>
              <m:t>−</m:t>
            </m:r>
            <m:sSubSup>
              <m:e>
                <m:r>
                  <m:t>τ</m:t>
                </m:r>
              </m:e>
              <m:sub>
                <m:r>
                  <m:t>r</m:t>
                </m:r>
                <m:r>
                  <m:t>s</m:t>
                </m:r>
                <m:r>
                  <m:t>i</m:t>
                </m:r>
              </m:sub>
              <m:sup>
                <m:r>
                  <m:t>Y</m:t>
                </m:r>
              </m:sup>
            </m:sSubSup>
          </m:den>
        </m:f>
      </m:oMath>
      <w:r>
        <w:tab/>
      </w:r>
      <w:r>
        <w:rPr>
          <w:rFonts w:ascii="Times New Roman" w:hAnsi="Times New Roman" w:eastAsia="宋体"/>
          <w:sz w:val="24"/>
        </w:rPr>
        <w:t>(6-3)</w:t>
      </w:r>
    </w:p>
    <w:p>
      <w:pPr>
        <w:spacing w:line="360" w:lineRule="auto" w:after="0"/>
        <w:ind w:firstLineChars="200" w:firstLine="480"/>
        <w:jc w:val="both"/>
      </w:pPr>
      <w:r>
        <w:rPr>
          <w:rFonts w:ascii="宋体" w:hAnsi="宋体" w:eastAsia="宋体"/>
          <w:sz w:val="24"/>
        </w:rPr>
        <w:t>式(6-3)是理解错配测度的关键。若不存在任何楔子（</w:t>
      </w:r>
      <m:oMath>
        <m:sSubSup>
          <m:e>
            <m:r>
              <m:t>τ</m:t>
            </m:r>
          </m:e>
          <m:sub>
            <m:r>
              <m:t>r</m:t>
            </m:r>
            <m:r>
              <m:t>s</m:t>
            </m:r>
            <m:r>
              <m:t>i</m:t>
            </m:r>
          </m:sub>
          <m:sup>
            <m:r>
              <m:t>Y</m:t>
            </m:r>
          </m:sup>
        </m:sSubSup>
        <m:r>
          <m:rPr>
            <m:sty m:val="p"/>
          </m:rPr>
          <m:t>=</m:t>
        </m:r>
        <m:sSubSup>
          <m:e>
            <m:r>
              <m:t>τ</m:t>
            </m:r>
          </m:e>
          <m:sub>
            <m:r>
              <m:t>r</m:t>
            </m:r>
            <m:r>
              <m:t>s</m:t>
            </m:r>
            <m:r>
              <m:t>i</m:t>
            </m:r>
          </m:sub>
          <m:sup>
            <m:r>
              <m:t>K</m:t>
            </m:r>
          </m:sup>
        </m:sSubSup>
        <m:r>
          <m:rPr>
            <m:sty m:val="p"/>
          </m:rPr>
          <m:t>=</m:t>
        </m:r>
        <m:r>
          <m:t>0</m:t>
        </m:r>
      </m:oMath>
      <w:r>
        <w:rPr>
          <w:rFonts w:ascii="宋体" w:hAnsi="宋体" w:eastAsia="宋体"/>
          <w:sz w:val="24"/>
        </w:rPr>
        <w:t xml:space="preserve">），则所有企业的资本边际收益产品都等于共同的租金 </w:t>
      </w:r>
      <m:oMath>
        <m:r>
          <m:t>R</m:t>
        </m:r>
      </m:oMath>
      <w:r>
        <w:rPr>
          <w:rFonts w:ascii="宋体" w:hAnsi="宋体" w:eastAsia="宋体"/>
          <w:sz w:val="24"/>
        </w:rPr>
        <w:t xml:space="preserve">、劳动边际收益产品都等于共同的工资 </w:t>
      </w:r>
      <m:oMath>
        <m:sSub>
          <m:e>
            <m:r>
              <m:t>w</m:t>
            </m:r>
          </m:e>
          <m:sub>
            <m:r>
              <m:t>r</m:t>
            </m:r>
          </m:sub>
        </m:sSub>
      </m:oMath>
      <w:r>
        <w:rPr>
          <w:rFonts w:ascii="宋体" w:hAnsi="宋体" w:eastAsia="宋体"/>
          <w:sz w:val="24"/>
        </w:rPr>
        <w:t>，要素在企业间实现有效配置。反之，楔子的存在使 MRPK 与 MRPL 在企业间发散：资本被"锁定"在 MRPK 偏高（资本相对不足）的企业无法流入，也被"沉淀"在 MRPK 偏低（资本相对过度）的企业无法流出。因此，边际收益产品的离散度直接度量了要素错配的程度——这正是资源错配文献用以识别不可观测楔子的核心思路。</w:t>
      </w:r>
    </w:p>
    <w:p>
      <w:pPr>
        <w:spacing w:line="360" w:lineRule="auto" w:after="0"/>
        <w:ind w:firstLineChars="200" w:firstLine="480"/>
        <w:jc w:val="both"/>
      </w:pPr>
      <w:r>
        <w:rPr>
          <w:rFonts w:ascii="宋体" w:hAnsi="宋体" w:eastAsia="宋体"/>
          <w:sz w:val="24"/>
        </w:rPr>
        <w:t>要素错配之所以构成重要的增长议题，还在于它提供了一种不依赖技术进步、纯粹通过"再配置"即可获得的增长来源。设想一个简单的思想实验：在总要素投入保持不变的前提下，将一单位资本从边际收益产品较低的企业转移到边际收益产品较高的企业，总产出便会净增加，其增量恰好等于两个企业边际收益产品之差。只要经济中仍然存在边际收益产品的离散，这种"帕累托改进式"的再配置空间就依然存在，相应的生产率提升也就唾手可得。正因如此，在现代增长核算中，配置效率的改善往往被单列为区别于要素积累与技术进步的第三种增长动力（蔡昉，2021；Restuccia和Rogerson，2017）。对于正处在增速换挡、传统要素报酬递减阶段的中国经济而言，深入挖掘这一"再配置红利"的现实意义尤为突出：当依靠增加要素投入拉动增长的空间日益收窄时，把既有要素配置到更有效率的用途上，就成为维持经济潜在增速、推动高质量发展的关键途径。</w:t>
      </w:r>
    </w:p>
    <w:p>
      <w:pPr>
        <w:spacing w:line="360" w:lineRule="auto" w:after="0"/>
        <w:ind w:firstLineChars="200" w:firstLine="480"/>
        <w:jc w:val="both"/>
      </w:pPr>
      <w:r>
        <w:rPr>
          <w:rFonts w:ascii="宋体" w:hAnsi="宋体" w:eastAsia="宋体"/>
          <w:sz w:val="24"/>
        </w:rPr>
        <w:t>从更宏观的视角看，错配的根源可以归结为各种"扭曲性政策"——凡是使企业所面临的要素价格或产品价格偏离其社会机会成本的制度安排，都会诱发资源的错误配置（Restuccia和Rogerson，2008；罗德明等，2012）。与仅由技术摩擦（如信息不对称、调整成本、不可分性）导致的错配不同，政策性扭曲具有可以通过改革加以消除的特性，因而是统一大市场建设最直接的作用对象。在中国情境下，财政分权格局下的地方政府竞争、以要素价格管制为特征的赶超战略、以户籍与土地为代表的行政化要素配置，以及国有部门的预算软约束，共同构成了错配的制度性根源（韩剑和郑秋玲，2014；靳来群等，2015）。本书所提出的"制度性配置楔子"概念，正是对这一类可改革扭曲的凝练刻画；它把散见于不同要素市场的行政性壁垒，统一收敛到"边际收益产品偏离机会成本"这一可测度、可比较的分析框架之中，从而为量化统一大市场建设的配置效率红利提供了统一的语言。</w:t>
      </w:r>
    </w:p>
    <w:p>
      <w:pPr>
        <w:spacing w:line="360" w:lineRule="auto" w:after="0"/>
        <w:ind w:firstLineChars="200" w:firstLine="480"/>
        <w:jc w:val="both"/>
      </w:pPr>
      <w:r>
        <w:rPr>
          <w:rFonts w:ascii="宋体" w:hAnsi="宋体" w:eastAsia="宋体"/>
          <w:sz w:val="24"/>
        </w:rPr>
        <w:t>将资本与劳动的边际收益产品按份额加权几何平均，即得到企业的收益全要素生产率（TFPR），它正比于产品价格与物量生产率之积，并由两类楔子共同决定：</w:t>
      </w:r>
    </w:p>
    <w:p>
      <w:pPr>
        <w:tabs>
          <w:tab w:pos="4252" w:val="center"/>
          <w:tab w:pos="8504" w:val="right"/>
        </w:tabs>
        <w:spacing w:line="360" w:lineRule="auto" w:before="80" w:after="80"/>
      </w:pPr>
      <w:r>
        <w:tab/>
      </w:r>
      <m:oMath>
        <m:sSub>
          <m:e>
            <m:r>
              <m:rPr>
                <m:sty m:val="p"/>
              </m:rPr>
              <m:t>T</m:t>
            </m:r>
            <m:r>
              <m:rPr>
                <m:sty m:val="p"/>
              </m:rPr>
              <m:t>F</m:t>
            </m:r>
            <m:r>
              <m:rPr>
                <m:sty m:val="p"/>
              </m:rPr>
              <m:t>P</m:t>
            </m:r>
            <m:r>
              <m:rPr>
                <m:sty m:val="p"/>
              </m:rPr>
              <m:t>R</m:t>
            </m:r>
          </m:e>
          <m:sub>
            <m:r>
              <m:t>r</m:t>
            </m:r>
            <m:r>
              <m:t>s</m:t>
            </m:r>
            <m:r>
              <m:t>i</m:t>
            </m:r>
          </m:sub>
        </m:sSub>
        <m:r>
          <m:rPr>
            <m:sty m:val="p"/>
          </m:rPr>
          <m:t>≡</m:t>
        </m:r>
        <m:sSub>
          <m:e>
            <m:r>
              <m:t>P</m:t>
            </m:r>
          </m:e>
          <m:sub>
            <m:r>
              <m:t>r</m:t>
            </m:r>
            <m:r>
              <m:t>s</m:t>
            </m:r>
            <m:r>
              <m:t>i</m:t>
            </m:r>
          </m:sub>
        </m:sSub>
        <m:sSub>
          <m:e>
            <m:r>
              <m:t>A</m:t>
            </m:r>
          </m:e>
          <m:sub>
            <m:r>
              <m:t>r</m:t>
            </m:r>
            <m:r>
              <m:t>s</m:t>
            </m:r>
            <m:r>
              <m:t>i</m:t>
            </m:r>
          </m:sub>
        </m:sSub>
        <m:r>
          <m:rPr>
            <m:sty m:val="p"/>
          </m:rPr>
          <m:t>∝</m:t>
        </m:r>
        <m:sSup>
          <m:e>
            <m:d>
              <m:dPr>
                <m:begChr m:val="("/>
                <m:endChr m:val=")"/>
                <m:sepChr m:val=""/>
                <m:grow/>
              </m:dPr>
              <m:e>
                <m:sSub>
                  <m:e>
                    <m:r>
                      <m:rPr>
                        <m:sty m:val="p"/>
                      </m:rPr>
                      <m:t>M</m:t>
                    </m:r>
                    <m:r>
                      <m:rPr>
                        <m:sty m:val="p"/>
                      </m:rPr>
                      <m:t>R</m:t>
                    </m:r>
                    <m:r>
                      <m:rPr>
                        <m:sty m:val="p"/>
                      </m:rPr>
                      <m:t>P</m:t>
                    </m:r>
                    <m:r>
                      <m:rPr>
                        <m:sty m:val="p"/>
                      </m:rPr>
                      <m:t>K</m:t>
                    </m:r>
                  </m:e>
                  <m:sub>
                    <m:r>
                      <m:t>r</m:t>
                    </m:r>
                    <m:r>
                      <m:t>s</m:t>
                    </m:r>
                    <m:r>
                      <m:t>i</m:t>
                    </m:r>
                  </m:sub>
                </m:sSub>
              </m:e>
            </m:d>
          </m:e>
          <m:sup>
            <m:sSub>
              <m:e>
                <m:r>
                  <m:t>α</m:t>
                </m:r>
              </m:e>
              <m:sub>
                <m:r>
                  <m:t>s</m:t>
                </m:r>
              </m:sub>
            </m:sSub>
          </m:sup>
        </m:sSup>
        <m:sSup>
          <m:e>
            <m:d>
              <m:dPr>
                <m:begChr m:val="("/>
                <m:endChr m:val=")"/>
                <m:sepChr m:val=""/>
                <m:grow/>
              </m:dPr>
              <m:e>
                <m:sSub>
                  <m:e>
                    <m:r>
                      <m:rPr>
                        <m:sty m:val="p"/>
                      </m:rPr>
                      <m:t>M</m:t>
                    </m:r>
                    <m:r>
                      <m:rPr>
                        <m:sty m:val="p"/>
                      </m:rPr>
                      <m:t>R</m:t>
                    </m:r>
                    <m:r>
                      <m:rPr>
                        <m:sty m:val="p"/>
                      </m:rPr>
                      <m:t>P</m:t>
                    </m:r>
                    <m:r>
                      <m:rPr>
                        <m:sty m:val="p"/>
                      </m:rPr>
                      <m:t>L</m:t>
                    </m:r>
                  </m:e>
                  <m:sub>
                    <m:r>
                      <m:t>r</m:t>
                    </m:r>
                    <m:r>
                      <m:t>s</m:t>
                    </m:r>
                    <m:r>
                      <m:t>i</m:t>
                    </m:r>
                  </m:sub>
                </m:sSub>
              </m:e>
            </m:d>
          </m:e>
          <m:sup>
            <m:r>
              <m:t>1</m:t>
            </m:r>
            <m:r>
              <m:rPr>
                <m:sty m:val="p"/>
              </m:rPr>
              <m:t>−</m:t>
            </m:r>
            <m:sSub>
              <m:e>
                <m:r>
                  <m:t>α</m:t>
                </m:r>
              </m:e>
              <m:sub>
                <m:r>
                  <m:t>s</m:t>
                </m:r>
              </m:sub>
            </m:sSub>
          </m:sup>
        </m:sSup>
        <m:r>
          <m:rPr>
            <m:sty m:val="p"/>
          </m:rPr>
          <m:t>∝</m:t>
        </m:r>
        <m:f>
          <m:fPr>
            <m:type m:val="bar"/>
          </m:fPr>
          <m:num>
            <m:sSup>
              <m:e>
                <m:d>
                  <m:dPr>
                    <m:begChr m:val="("/>
                    <m:endChr m:val=")"/>
                    <m:sepChr m:val=""/>
                    <m:grow/>
                  </m:dPr>
                  <m:e>
                    <m:r>
                      <m:t>1</m:t>
                    </m:r>
                    <m:r>
                      <m:rPr>
                        <m:sty m:val="p"/>
                      </m:rPr>
                      <m:t>+</m:t>
                    </m:r>
                    <m:sSubSup>
                      <m:e>
                        <m:r>
                          <m:t>τ</m:t>
                        </m:r>
                      </m:e>
                      <m:sub>
                        <m:r>
                          <m:t>r</m:t>
                        </m:r>
                        <m:r>
                          <m:t>s</m:t>
                        </m:r>
                        <m:r>
                          <m:t>i</m:t>
                        </m:r>
                      </m:sub>
                      <m:sup>
                        <m:r>
                          <m:t>K</m:t>
                        </m:r>
                      </m:sup>
                    </m:sSubSup>
                  </m:e>
                </m:d>
              </m:e>
              <m:sup>
                <m:sSub>
                  <m:e>
                    <m:r>
                      <m:t>α</m:t>
                    </m:r>
                  </m:e>
                  <m:sub>
                    <m:r>
                      <m:t>s</m:t>
                    </m:r>
                  </m:sub>
                </m:sSub>
              </m:sup>
            </m:sSup>
          </m:num>
          <m:den>
            <m:r>
              <m:t>1</m:t>
            </m:r>
            <m:r>
              <m:rPr>
                <m:sty m:val="p"/>
              </m:rPr>
              <m:t>−</m:t>
            </m:r>
            <m:sSubSup>
              <m:e>
                <m:r>
                  <m:t>τ</m:t>
                </m:r>
              </m:e>
              <m:sub>
                <m:r>
                  <m:t>r</m:t>
                </m:r>
                <m:r>
                  <m:t>s</m:t>
                </m:r>
                <m:r>
                  <m:t>i</m:t>
                </m:r>
              </m:sub>
              <m:sup>
                <m:r>
                  <m:t>Y</m:t>
                </m:r>
              </m:sup>
            </m:sSubSup>
          </m:den>
        </m:f>
      </m:oMath>
      <w:r>
        <w:tab/>
      </w:r>
      <w:r>
        <w:rPr>
          <w:rFonts w:ascii="Times New Roman" w:hAnsi="Times New Roman" w:eastAsia="宋体"/>
          <w:sz w:val="24"/>
        </w:rPr>
        <w:t>(6-4)</w:t>
      </w:r>
    </w:p>
    <w:p>
      <w:pPr>
        <w:spacing w:line="360" w:lineRule="auto" w:after="0"/>
        <w:ind w:firstLineChars="200" w:firstLine="480"/>
        <w:jc w:val="both"/>
      </w:pPr>
      <w:r>
        <w:rPr>
          <w:rFonts w:ascii="宋体" w:hAnsi="宋体" w:eastAsia="宋体"/>
          <w:sz w:val="24"/>
        </w:rPr>
        <w:t xml:space="preserve">TFPR 的经济含义十分深刻。在一个无扭曲的经济中，高效率（高 TFPQ）企业会通过扩张吸纳更多要素、压低自身产品价格，直至其 TFPR 与低效率企业趋于相等；因此，TFPR 在企业间的离散——而非物量生产率 TFPQ 的离散——恰恰是扭曲存在的标志。Hsieh和Klenow，2009据此提出，可用 </w:t>
      </w:r>
      <m:oMath>
        <m:r>
          <m:rPr>
            <m:sty m:val="p"/>
          </m:rPr>
          <m:t>ln</m:t>
        </m:r>
        <m:r>
          <m:rPr>
            <m:sty m:val="p"/>
          </m:rPr>
          <m:t>T</m:t>
        </m:r>
        <m:r>
          <m:rPr>
            <m:sty m:val="p"/>
          </m:rPr>
          <m:t>F</m:t>
        </m:r>
        <m:r>
          <m:rPr>
            <m:sty m:val="p"/>
          </m:rPr>
          <m:t>P</m:t>
        </m:r>
        <m:r>
          <m:rPr>
            <m:sty m:val="p"/>
          </m:rPr>
          <m:t>R</m:t>
        </m:r>
      </m:oMath>
      <w:r>
        <w:rPr>
          <w:rFonts w:ascii="宋体" w:hAnsi="宋体" w:eastAsia="宋体"/>
          <w:sz w:val="24"/>
        </w:rPr>
        <w:t xml:space="preserve"> 的方差 </w:t>
      </w:r>
      <m:oMath>
        <m:r>
          <m:rPr>
            <m:sty m:val="p"/>
          </m:rPr>
          <m:t>V</m:t>
        </m:r>
        <m:r>
          <m:rPr>
            <m:sty m:val="p"/>
          </m:rPr>
          <m:t>a</m:t>
        </m:r>
        <m:r>
          <m:rPr>
            <m:sty m:val="p"/>
          </m:rPr>
          <m:t>r</m:t>
        </m:r>
        <m:d>
          <m:dPr>
            <m:begChr m:val="("/>
            <m:endChr m:val=")"/>
            <m:sepChr m:val=""/>
            <m:grow/>
          </m:dPr>
          <m:e>
            <m:r>
              <m:rPr>
                <m:sty m:val="p"/>
              </m:rPr>
              <m:t>ln</m:t>
            </m:r>
            <m:sSub>
              <m:e>
                <m:r>
                  <m:rPr>
                    <m:sty m:val="p"/>
                  </m:rPr>
                  <m:t>T</m:t>
                </m:r>
                <m:r>
                  <m:rPr>
                    <m:sty m:val="p"/>
                  </m:rPr>
                  <m:t>F</m:t>
                </m:r>
                <m:r>
                  <m:rPr>
                    <m:sty m:val="p"/>
                  </m:rPr>
                  <m:t>P</m:t>
                </m:r>
                <m:r>
                  <m:rPr>
                    <m:sty m:val="p"/>
                  </m:rPr>
                  <m:t>R</m:t>
                </m:r>
              </m:e>
              <m:sub>
                <m:r>
                  <m:t>r</m:t>
                </m:r>
                <m:r>
                  <m:t>s</m:t>
                </m:r>
                <m:r>
                  <m:t>i</m:t>
                </m:r>
              </m:sub>
            </m:sSub>
          </m:e>
        </m:d>
      </m:oMath>
      <w:r>
        <w:rPr>
          <w:rFonts w:ascii="宋体" w:hAnsi="宋体" w:eastAsia="宋体"/>
          <w:sz w:val="24"/>
        </w:rPr>
        <w:t xml:space="preserve"> 作为资源错配程度的统计度量：方差越大，错配越严重，配置效率损失越大。国内学者的测算普遍证实，中国制造业 TFPR 的离散度显著高于成熟市场经济体，且资本侧的离散通常大于劳动侧（陈永伟和胡伟民，2011；龚关和胡关亮，2013）。</w:t>
      </w:r>
    </w:p>
    <w:p>
      <w:pPr>
        <w:keepNext/>
        <w:spacing w:before="160" w:after="120" w:line="360" w:lineRule="auto"/>
      </w:pPr>
      <w:r>
        <w:rPr>
          <w:rFonts w:ascii="黑体" w:hAnsi="黑体" w:eastAsia="黑体"/>
          <w:sz w:val="24"/>
        </w:rPr>
        <w:t>6.1.2  反事实全要素生产率增益</w:t>
      </w:r>
    </w:p>
    <w:p>
      <w:pPr>
        <w:spacing w:line="360" w:lineRule="auto" w:after="0"/>
        <w:ind w:firstLineChars="200" w:firstLine="480"/>
        <w:jc w:val="both"/>
      </w:pPr>
      <w:r>
        <w:rPr>
          <w:rFonts w:ascii="宋体" w:hAnsi="宋体" w:eastAsia="宋体"/>
          <w:sz w:val="24"/>
        </w:rPr>
        <w:t xml:space="preserve">给定错配的测度，自然要问：如果消除错配、使要素达到有效配置，总量全要素生产率能提高多少？这一"反事实TFP增益"是错配研究最具政策含义的结果。在有效配置下，部门内所有企业的 TFPR 被拉平至同一水平，部门 </w:t>
      </w:r>
      <m:oMath>
        <m:r>
          <m:t>s</m:t>
        </m:r>
      </m:oMath>
      <w:r>
        <w:rPr>
          <w:rFonts w:ascii="宋体" w:hAnsi="宋体" w:eastAsia="宋体"/>
          <w:sz w:val="24"/>
        </w:rPr>
        <w:t xml:space="preserve"> 的实际总量生产率 </w:t>
      </w:r>
      <m:oMath>
        <m:sSub>
          <m:e>
            <m:r>
              <m:t>A</m:t>
            </m:r>
          </m:e>
          <m:sub>
            <m:r>
              <m:t>s</m:t>
            </m:r>
          </m:sub>
        </m:sSub>
      </m:oMath>
      <w:r>
        <w:rPr>
          <w:rFonts w:ascii="宋体" w:hAnsi="宋体" w:eastAsia="宋体"/>
          <w:sz w:val="24"/>
        </w:rPr>
        <w:t xml:space="preserve"> 与其有效前沿 </w:t>
      </w:r>
      <m:oMath>
        <m:sSubSup>
          <m:e>
            <m:r>
              <m:t>A</m:t>
            </m:r>
          </m:e>
          <m:sub>
            <m:r>
              <m:t>s</m:t>
            </m:r>
          </m:sub>
          <m:sup>
            <m:r>
              <m:rPr>
                <m:sty m:val="p"/>
              </m:rPr>
              <m:t>e</m:t>
            </m:r>
            <m:r>
              <m:rPr>
                <m:sty m:val="p"/>
              </m:rPr>
              <m:t>f</m:t>
            </m:r>
            <m:r>
              <m:rPr>
                <m:sty m:val="p"/>
              </m:rPr>
              <m:t>f</m:t>
            </m:r>
          </m:sup>
        </m:sSubSup>
      </m:oMath>
      <w:r>
        <w:rPr>
          <w:rFonts w:ascii="宋体" w:hAnsi="宋体" w:eastAsia="宋体"/>
          <w:sz w:val="24"/>
        </w:rPr>
        <w:t xml:space="preserve"> 之比可表示为：</w:t>
      </w:r>
    </w:p>
    <w:p>
      <w:pPr>
        <w:tabs>
          <w:tab w:pos="4252" w:val="center"/>
          <w:tab w:pos="8504" w:val="right"/>
        </w:tabs>
        <w:spacing w:line="360" w:lineRule="auto" w:before="80" w:after="80"/>
      </w:pPr>
      <w:r>
        <w:tab/>
      </w:r>
      <m:oMath>
        <m:sSub>
          <m:e>
            <m:r>
              <m:t>A</m:t>
            </m:r>
          </m:e>
          <m:sub>
            <m:r>
              <m:t>s</m:t>
            </m:r>
          </m:sub>
        </m:sSub>
        <m:r>
          <m:rPr>
            <m:sty m:val="p"/>
          </m:rPr>
          <m:t>=</m:t>
        </m:r>
        <m:sSup>
          <m:e>
            <m:d>
              <m:dPr>
                <m:begChr m:val="["/>
                <m:endChr m:val="]"/>
                <m:sepChr m:val=""/>
                <m:grow/>
              </m:dPr>
              <m:e>
                <m:nary>
                  <m:naryPr>
                    <m:chr m:val="∑"/>
                    <m:limLoc m:val="undOvr"/>
                    <m:subHide m:val="off"/>
                    <m:supHide m:val="on"/>
                  </m:naryPr>
                  <m:sub>
                    <m:r>
                      <m:t>i</m:t>
                    </m:r>
                  </m:sub>
                  <m:sup>
                    <m:r>
                      <m:t>​</m:t>
                    </m:r>
                  </m:sup>
                  <m:e>
                    <m:sSup>
                      <m:e>
                        <m:d>
                          <m:dPr>
                            <m:begChr m:val="("/>
                            <m:endChr m:val=")"/>
                            <m:sepChr m:val=""/>
                            <m:grow/>
                          </m:dPr>
                          <m:e>
                            <m:sSub>
                              <m:e>
                                <m:r>
                                  <m:t>A</m:t>
                                </m:r>
                              </m:e>
                              <m:sub>
                                <m:r>
                                  <m:t>r</m:t>
                                </m:r>
                                <m:r>
                                  <m:t>s</m:t>
                                </m:r>
                                <m:r>
                                  <m:t>i</m:t>
                                </m:r>
                              </m:sub>
                            </m:sSub>
                            <m:r>
                              <m:t> </m:t>
                            </m:r>
                            <m:f>
                              <m:fPr>
                                <m:type m:val="bar"/>
                              </m:fPr>
                              <m:num>
                                <m:sSub>
                                  <m:e>
                                    <m:bar>
                                      <m:barPr>
                                        <m:pos m:val="top"/>
                                      </m:barPr>
                                      <m:e>
                                        <m:r>
                                          <m:rPr>
                                            <m:sty m:val="p"/>
                                          </m:rPr>
                                          <m:t>T</m:t>
                                        </m:r>
                                        <m:r>
                                          <m:rPr>
                                            <m:sty m:val="p"/>
                                          </m:rPr>
                                          <m:t>F</m:t>
                                        </m:r>
                                        <m:r>
                                          <m:rPr>
                                            <m:sty m:val="p"/>
                                          </m:rPr>
                                          <m:t>P</m:t>
                                        </m:r>
                                        <m:r>
                                          <m:rPr>
                                            <m:sty m:val="p"/>
                                          </m:rPr>
                                          <m:t>R</m:t>
                                        </m:r>
                                      </m:e>
                                    </m:bar>
                                  </m:e>
                                  <m:sub>
                                    <m:r>
                                      <m:t>s</m:t>
                                    </m:r>
                                  </m:sub>
                                </m:sSub>
                              </m:num>
                              <m:den>
                                <m:sSub>
                                  <m:e>
                                    <m:r>
                                      <m:rPr>
                                        <m:sty m:val="p"/>
                                      </m:rPr>
                                      <m:t>T</m:t>
                                    </m:r>
                                    <m:r>
                                      <m:rPr>
                                        <m:sty m:val="p"/>
                                      </m:rPr>
                                      <m:t>F</m:t>
                                    </m:r>
                                    <m:r>
                                      <m:rPr>
                                        <m:sty m:val="p"/>
                                      </m:rPr>
                                      <m:t>P</m:t>
                                    </m:r>
                                    <m:r>
                                      <m:rPr>
                                        <m:sty m:val="p"/>
                                      </m:rPr>
                                      <m:t>R</m:t>
                                    </m:r>
                                  </m:e>
                                  <m:sub>
                                    <m:r>
                                      <m:t>r</m:t>
                                    </m:r>
                                    <m:r>
                                      <m:t>s</m:t>
                                    </m:r>
                                    <m:r>
                                      <m:t>i</m:t>
                                    </m:r>
                                  </m:sub>
                                </m:sSub>
                              </m:den>
                            </m:f>
                          </m:e>
                        </m:d>
                      </m:e>
                      <m:sup>
                        <m:r>
                          <m:t>σ</m:t>
                        </m:r>
                        <m:r>
                          <m:rPr>
                            <m:sty m:val="p"/>
                          </m:rPr>
                          <m:t>−</m:t>
                        </m:r>
                        <m:r>
                          <m:t>1</m:t>
                        </m:r>
                      </m:sup>
                    </m:sSup>
                  </m:e>
                </m:nary>
              </m:e>
            </m:d>
          </m:e>
          <m:sup>
            <m:f>
              <m:fPr>
                <m:type m:val="bar"/>
              </m:fPr>
              <m:num>
                <m:r>
                  <m:t>1</m:t>
                </m:r>
              </m:num>
              <m:den>
                <m:r>
                  <m:t>σ</m:t>
                </m:r>
                <m:r>
                  <m:rPr>
                    <m:sty m:val="p"/>
                  </m:rPr>
                  <m:t>−</m:t>
                </m:r>
                <m:r>
                  <m:t>1</m:t>
                </m:r>
              </m:den>
            </m:f>
          </m:sup>
        </m:sSup>
        <m:r>
          <m:rPr>
            <m:sty m:val="p"/>
          </m:rPr>
          <m:t>,</m:t>
        </m:r>
        <m:r>
          <m:t>  </m:t>
        </m:r>
        <m:sSubSup>
          <m:e>
            <m:r>
              <m:t>A</m:t>
            </m:r>
          </m:e>
          <m:sub>
            <m:r>
              <m:t>s</m:t>
            </m:r>
          </m:sub>
          <m:sup>
            <m:r>
              <m:rPr>
                <m:sty m:val="p"/>
              </m:rPr>
              <m:t>e</m:t>
            </m:r>
            <m:r>
              <m:rPr>
                <m:sty m:val="p"/>
              </m:rPr>
              <m:t>f</m:t>
            </m:r>
            <m:r>
              <m:rPr>
                <m:sty m:val="p"/>
              </m:rPr>
              <m:t>f</m:t>
            </m:r>
          </m:sup>
        </m:sSubSup>
        <m:r>
          <m:rPr>
            <m:sty m:val="p"/>
          </m:rPr>
          <m:t>=</m:t>
        </m:r>
        <m:sSup>
          <m:e>
            <m:d>
              <m:dPr>
                <m:begChr m:val="["/>
                <m:endChr m:val="]"/>
                <m:sepChr m:val=""/>
                <m:grow/>
              </m:dPr>
              <m:e>
                <m:nary>
                  <m:naryPr>
                    <m:chr m:val="∑"/>
                    <m:limLoc m:val="undOvr"/>
                    <m:subHide m:val="off"/>
                    <m:supHide m:val="on"/>
                  </m:naryPr>
                  <m:sub>
                    <m:r>
                      <m:t>i</m:t>
                    </m:r>
                  </m:sub>
                  <m:sup>
                    <m:r>
                      <m:t>​</m:t>
                    </m:r>
                  </m:sup>
                  <m:e>
                    <m:sSubSup>
                      <m:e>
                        <m:r>
                          <m:t>A</m:t>
                        </m:r>
                      </m:e>
                      <m:sub>
                        <m:r>
                          <m:t>r</m:t>
                        </m:r>
                        <m:r>
                          <m:t>s</m:t>
                        </m:r>
                        <m:r>
                          <m:t>i</m:t>
                        </m:r>
                      </m:sub>
                      <m:sup>
                        <m:r>
                          <m:t>σ</m:t>
                        </m:r>
                        <m:r>
                          <m:rPr>
                            <m:sty m:val="p"/>
                          </m:rPr>
                          <m:t>−</m:t>
                        </m:r>
                        <m:r>
                          <m:t>1</m:t>
                        </m:r>
                      </m:sup>
                    </m:sSubSup>
                  </m:e>
                </m:nary>
              </m:e>
            </m:d>
          </m:e>
          <m:sup>
            <m:f>
              <m:fPr>
                <m:type m:val="bar"/>
              </m:fPr>
              <m:num>
                <m:r>
                  <m:t>1</m:t>
                </m:r>
              </m:num>
              <m:den>
                <m:r>
                  <m:t>σ</m:t>
                </m:r>
                <m:r>
                  <m:rPr>
                    <m:sty m:val="p"/>
                  </m:rPr>
                  <m:t>−</m:t>
                </m:r>
                <m:r>
                  <m:t>1</m:t>
                </m:r>
              </m:den>
            </m:f>
          </m:sup>
        </m:sSup>
      </m:oMath>
      <w:r>
        <w:tab/>
      </w:r>
      <w:r>
        <w:rPr>
          <w:rFonts w:ascii="Times New Roman" w:hAnsi="Times New Roman" w:eastAsia="宋体"/>
          <w:sz w:val="24"/>
        </w:rPr>
        <w:t>(6-5)</w:t>
      </w:r>
    </w:p>
    <w:p>
      <w:pPr>
        <w:spacing w:line="360" w:lineRule="auto" w:after="0"/>
        <w:jc w:val="both"/>
      </w:pPr>
      <w:r>
        <w:rPr>
          <w:rFonts w:ascii="宋体" w:hAnsi="宋体" w:eastAsia="宋体"/>
          <w:sz w:val="24"/>
        </w:rPr>
        <w:t>其中，</w:t>
      </w:r>
      <m:oMath>
        <m:sSub>
          <m:e>
            <m:bar>
              <m:barPr>
                <m:pos m:val="top"/>
              </m:barPr>
              <m:e>
                <m:r>
                  <m:rPr>
                    <m:sty m:val="p"/>
                  </m:rPr>
                  <m:t>T</m:t>
                </m:r>
                <m:r>
                  <m:rPr>
                    <m:sty m:val="p"/>
                  </m:rPr>
                  <m:t>F</m:t>
                </m:r>
                <m:r>
                  <m:rPr>
                    <m:sty m:val="p"/>
                  </m:rPr>
                  <m:t>P</m:t>
                </m:r>
                <m:r>
                  <m:rPr>
                    <m:sty m:val="p"/>
                  </m:rPr>
                  <m:t>R</m:t>
                </m:r>
              </m:e>
            </m:bar>
          </m:e>
          <m:sub>
            <m:r>
              <m:t>s</m:t>
            </m:r>
          </m:sub>
        </m:sSub>
      </m:oMath>
      <w:r>
        <w:rPr>
          <w:rFonts w:ascii="宋体" w:hAnsi="宋体" w:eastAsia="宋体"/>
          <w:sz w:val="24"/>
        </w:rPr>
        <w:t xml:space="preserve"> 为部门内 TFPR 的（收入加权几何）均值。将各部门以其增加值份额 </w:t>
      </w:r>
      <m:oMath>
        <m:sSub>
          <m:e>
            <m:r>
              <m:t>θ</m:t>
            </m:r>
          </m:e>
          <m:sub>
            <m:r>
              <m:t>s</m:t>
            </m:r>
          </m:sub>
        </m:sSub>
      </m:oMath>
      <w:r>
        <w:rPr>
          <w:rFonts w:ascii="宋体" w:hAnsi="宋体" w:eastAsia="宋体"/>
          <w:sz w:val="24"/>
        </w:rPr>
        <w:t xml:space="preserve"> 加总，即得到消除错配后总产出（等价于总量TFP）相对于实际水平的提升倍数：</w:t>
      </w:r>
    </w:p>
    <w:p>
      <w:pPr>
        <w:tabs>
          <w:tab w:pos="4252" w:val="center"/>
          <w:tab w:pos="8504" w:val="right"/>
        </w:tabs>
        <w:spacing w:line="360" w:lineRule="auto" w:before="80" w:after="80"/>
      </w:pPr>
      <w:r>
        <w:tab/>
      </w:r>
      <m:oMath>
        <m:f>
          <m:fPr>
            <m:type m:val="bar"/>
          </m:fPr>
          <m:num>
            <m:sSup>
              <m:e>
                <m:r>
                  <m:t>Y</m:t>
                </m:r>
              </m:e>
              <m:sup>
                <m:r>
                  <m:rPr>
                    <m:sty m:val="p"/>
                  </m:rPr>
                  <m:t>e</m:t>
                </m:r>
                <m:r>
                  <m:rPr>
                    <m:sty m:val="p"/>
                  </m:rPr>
                  <m:t>f</m:t>
                </m:r>
                <m:r>
                  <m:rPr>
                    <m:sty m:val="p"/>
                  </m:rPr>
                  <m:t>f</m:t>
                </m:r>
              </m:sup>
            </m:sSup>
          </m:num>
          <m:den>
            <m:r>
              <m:t>Y</m:t>
            </m:r>
          </m:den>
        </m:f>
        <m:r>
          <m:rPr>
            <m:sty m:val="p"/>
          </m:rPr>
          <m:t>=</m:t>
        </m:r>
        <m:nary>
          <m:naryPr>
            <m:chr m:val="∏"/>
            <m:limLoc m:val="undOvr"/>
            <m:subHide m:val="off"/>
            <m:supHide m:val="off"/>
          </m:naryPr>
          <m:sub>
            <m:r>
              <m:t>s</m:t>
            </m:r>
            <m:r>
              <m:rPr>
                <m:sty m:val="p"/>
              </m:rPr>
              <m:t>=</m:t>
            </m:r>
            <m:r>
              <m:t>1</m:t>
            </m:r>
          </m:sub>
          <m:sup>
            <m:r>
              <m:t>S</m:t>
            </m:r>
          </m:sup>
          <m:e>
            <m:sSup>
              <m:e>
                <m:d>
                  <m:dPr>
                    <m:begChr m:val="("/>
                    <m:endChr m:val=")"/>
                    <m:sepChr m:val=""/>
                    <m:grow/>
                  </m:dPr>
                  <m:e>
                    <m:f>
                      <m:fPr>
                        <m:type m:val="bar"/>
                      </m:fPr>
                      <m:num>
                        <m:sSubSup>
                          <m:e>
                            <m:r>
                              <m:t>A</m:t>
                            </m:r>
                          </m:e>
                          <m:sub>
                            <m:r>
                              <m:t>s</m:t>
                            </m:r>
                          </m:sub>
                          <m:sup>
                            <m:r>
                              <m:rPr>
                                <m:sty m:val="p"/>
                              </m:rPr>
                              <m:t>e</m:t>
                            </m:r>
                            <m:r>
                              <m:rPr>
                                <m:sty m:val="p"/>
                              </m:rPr>
                              <m:t>f</m:t>
                            </m:r>
                            <m:r>
                              <m:rPr>
                                <m:sty m:val="p"/>
                              </m:rPr>
                              <m:t>f</m:t>
                            </m:r>
                          </m:sup>
                        </m:sSubSup>
                      </m:num>
                      <m:den>
                        <m:sSub>
                          <m:e>
                            <m:r>
                              <m:t>A</m:t>
                            </m:r>
                          </m:e>
                          <m:sub>
                            <m:r>
                              <m:t>s</m:t>
                            </m:r>
                          </m:sub>
                        </m:sSub>
                      </m:den>
                    </m:f>
                  </m:e>
                </m:d>
              </m:e>
              <m:sup>
                <m:sSub>
                  <m:e>
                    <m:r>
                      <m:t>θ</m:t>
                    </m:r>
                  </m:e>
                  <m:sub>
                    <m:r>
                      <m:t>s</m:t>
                    </m:r>
                  </m:sub>
                </m:sSub>
              </m:sup>
            </m:sSup>
          </m:e>
        </m:nary>
      </m:oMath>
      <w:r>
        <w:tab/>
      </w:r>
      <w:r>
        <w:rPr>
          <w:rFonts w:ascii="Times New Roman" w:hAnsi="Times New Roman" w:eastAsia="宋体"/>
          <w:sz w:val="24"/>
        </w:rPr>
        <w:t>(6-6)</w:t>
      </w:r>
    </w:p>
    <w:p>
      <w:pPr>
        <w:spacing w:line="360" w:lineRule="auto" w:after="0"/>
        <w:ind w:firstLineChars="200" w:firstLine="480"/>
        <w:jc w:val="both"/>
      </w:pPr>
      <w:r>
        <w:rPr>
          <w:rFonts w:ascii="宋体" w:hAnsi="宋体" w:eastAsia="宋体"/>
          <w:sz w:val="24"/>
        </w:rPr>
        <w:t xml:space="preserve">式(6-6)是本章估计"错配红利"的核心公式，它与第4章命题1中"总量TFP是要素楔子对数方差的减函数"在数理上完全一致。事实上，若企业物量生产率与楔子服从联合对数正态分布，则式(6-6)可化简为一个直观的解析表达式：反事实TFP增益的对数近似等于收益生产率对数方差的 </w:t>
      </w:r>
      <m:oMath>
        <m:r>
          <m:t>σ</m:t>
        </m:r>
        <m:r>
          <m:rPr>
            <m:sty m:val="p"/>
          </m:rPr>
          <m:t>/</m:t>
        </m:r>
        <m:r>
          <m:t>2</m:t>
        </m:r>
      </m:oMath>
      <w:r>
        <w:rPr>
          <w:rFonts w:ascii="宋体" w:hAnsi="宋体" w:eastAsia="宋体"/>
          <w:sz w:val="24"/>
        </w:rPr>
        <w:t xml:space="preserve"> 倍，即</w:t>
      </w:r>
    </w:p>
    <w:p>
      <w:pPr>
        <w:tabs>
          <w:tab w:pos="4252" w:val="center"/>
          <w:tab w:pos="8504" w:val="right"/>
        </w:tabs>
        <w:spacing w:line="360" w:lineRule="auto" w:before="80" w:after="80"/>
      </w:pPr>
      <w:r>
        <w:tab/>
      </w:r>
      <m:oMath>
        <m:r>
          <m:rPr>
            <m:sty m:val="p"/>
          </m:rPr>
          <m:t>ln</m:t>
        </m:r>
        <m:r>
          <m:t>​</m:t>
        </m:r>
        <m:d>
          <m:dPr>
            <m:begChr m:val="("/>
            <m:endChr m:val=")"/>
            <m:sepChr m:val=""/>
            <m:grow/>
          </m:dPr>
          <m:e>
            <m:f>
              <m:fPr>
                <m:type m:val="bar"/>
              </m:fPr>
              <m:num>
                <m:sSup>
                  <m:e>
                    <m:r>
                      <m:t>Y</m:t>
                    </m:r>
                  </m:e>
                  <m:sup>
                    <m:r>
                      <m:rPr>
                        <m:sty m:val="p"/>
                      </m:rPr>
                      <m:t>e</m:t>
                    </m:r>
                    <m:r>
                      <m:rPr>
                        <m:sty m:val="p"/>
                      </m:rPr>
                      <m:t>f</m:t>
                    </m:r>
                    <m:r>
                      <m:rPr>
                        <m:sty m:val="p"/>
                      </m:rPr>
                      <m:t>f</m:t>
                    </m:r>
                  </m:sup>
                </m:sSup>
              </m:num>
              <m:den>
                <m:r>
                  <m:t>Y</m:t>
                </m:r>
              </m:den>
            </m:f>
          </m:e>
        </m:d>
        <m:r>
          <m:t> </m:t>
        </m:r>
        <m:r>
          <m:rPr>
            <m:sty m:val="p"/>
          </m:rPr>
          <m:t>≈</m:t>
        </m:r>
        <m:r>
          <m:t> </m:t>
        </m:r>
        <m:f>
          <m:fPr>
            <m:type m:val="bar"/>
          </m:fPr>
          <m:num>
            <m:r>
              <m:t>σ</m:t>
            </m:r>
          </m:num>
          <m:den>
            <m:r>
              <m:t>2</m:t>
            </m:r>
          </m:den>
        </m:f>
        <m:nary>
          <m:naryPr>
            <m:chr m:val="∑"/>
            <m:limLoc m:val="undOvr"/>
            <m:subHide m:val="off"/>
            <m:supHide m:val="off"/>
          </m:naryPr>
          <m:sub>
            <m:r>
              <m:t>s</m:t>
            </m:r>
            <m:r>
              <m:rPr>
                <m:sty m:val="p"/>
              </m:rPr>
              <m:t>=</m:t>
            </m:r>
            <m:r>
              <m:t>1</m:t>
            </m:r>
          </m:sub>
          <m:sup>
            <m:r>
              <m:t>S</m:t>
            </m:r>
          </m:sup>
          <m:e>
            <m:sSub>
              <m:e>
                <m:r>
                  <m:t>θ</m:t>
                </m:r>
              </m:e>
              <m:sub>
                <m:r>
                  <m:t>s</m:t>
                </m:r>
              </m:sub>
            </m:sSub>
          </m:e>
        </m:nary>
        <m:r>
          <m:t> </m:t>
        </m:r>
        <m:r>
          <m:rPr>
            <m:sty m:val="p"/>
          </m:rPr>
          <m:t>V</m:t>
        </m:r>
        <m:r>
          <m:rPr>
            <m:sty m:val="p"/>
          </m:rPr>
          <m:t>a</m:t>
        </m:r>
        <m:r>
          <m:rPr>
            <m:sty m:val="p"/>
          </m:rPr>
          <m:t>r</m:t>
        </m:r>
        <m:r>
          <m:t>​</m:t>
        </m:r>
        <m:d>
          <m:dPr>
            <m:begChr m:val="("/>
            <m:endChr m:val=")"/>
            <m:sepChr m:val=""/>
            <m:grow/>
          </m:dPr>
          <m:e>
            <m:r>
              <m:rPr>
                <m:sty m:val="p"/>
              </m:rPr>
              <m:t>ln</m:t>
            </m:r>
            <m:sSub>
              <m:e>
                <m:r>
                  <m:rPr>
                    <m:sty m:val="p"/>
                  </m:rPr>
                  <m:t>T</m:t>
                </m:r>
                <m:r>
                  <m:rPr>
                    <m:sty m:val="p"/>
                  </m:rPr>
                  <m:t>F</m:t>
                </m:r>
                <m:r>
                  <m:rPr>
                    <m:sty m:val="p"/>
                  </m:rPr>
                  <m:t>P</m:t>
                </m:r>
                <m:r>
                  <m:rPr>
                    <m:sty m:val="p"/>
                  </m:rPr>
                  <m:t>R</m:t>
                </m:r>
              </m:e>
              <m:sub>
                <m:r>
                  <m:t>r</m:t>
                </m:r>
                <m:r>
                  <m:t>s</m:t>
                </m:r>
                <m:r>
                  <m:t>i</m:t>
                </m:r>
              </m:sub>
            </m:sSub>
          </m:e>
        </m:d>
      </m:oMath>
      <w:r>
        <w:tab/>
      </w:r>
      <w:r>
        <w:rPr>
          <w:rFonts w:ascii="Times New Roman" w:hAnsi="Times New Roman" w:eastAsia="宋体"/>
          <w:sz w:val="24"/>
        </w:rPr>
        <w:t>(6-7)</w:t>
      </w:r>
    </w:p>
    <w:p>
      <w:pPr>
        <w:spacing w:line="360" w:lineRule="auto" w:after="0"/>
        <w:ind w:firstLineChars="200" w:firstLine="480"/>
        <w:jc w:val="both"/>
      </w:pPr>
      <w:r>
        <w:rPr>
          <w:rFonts w:ascii="宋体" w:hAnsi="宋体" w:eastAsia="宋体"/>
          <w:sz w:val="24"/>
        </w:rPr>
        <w:t xml:space="preserve">这一简洁关系清晰地表明：错配造成的效率损失由三项决定——替代弹性 </w:t>
      </w:r>
      <m:oMath>
        <m:r>
          <m:t>σ</m:t>
        </m:r>
      </m:oMath>
      <w:r>
        <w:rPr>
          <w:rFonts w:ascii="宋体" w:hAnsi="宋体" w:eastAsia="宋体"/>
          <w:sz w:val="24"/>
        </w:rPr>
        <w:t xml:space="preserve">（要素在用途间可再配置的空间）、收益生产率的对数方差（错配的严重程度）以及各部门的经济权重。它不仅为本章的测算提供了理论支撑，也为后续实证中"以要素回报离散度的下降识别配置效率改进"的策略提供了合法性依据。需要说明的是，反事实增益的绝对量级对 </w:t>
      </w:r>
      <m:oMath>
        <m:r>
          <m:t>σ</m:t>
        </m:r>
      </m:oMath>
      <w:r>
        <w:rPr>
          <w:rFonts w:ascii="宋体" w:hAnsi="宋体" w:eastAsia="宋体"/>
          <w:sz w:val="24"/>
        </w:rPr>
        <w:t xml:space="preserve"> 的取值较为敏感，本书遵循文献惯例取 </w:t>
      </w:r>
      <m:oMath>
        <m:r>
          <m:t>σ</m:t>
        </m:r>
        <m:r>
          <m:rPr>
            <m:sty m:val="p"/>
          </m:rPr>
          <m:t>=</m:t>
        </m:r>
        <m:r>
          <m:t>3</m:t>
        </m:r>
      </m:oMath>
      <w:r>
        <w:rPr>
          <w:rFonts w:ascii="宋体" w:hAnsi="宋体" w:eastAsia="宋体"/>
          <w:sz w:val="24"/>
        </w:rPr>
        <w:t>，与（Hsieh和Klenow，2009；Brandt等，2013）保持可比；在稳健性上，改用其他常见取值只改变损失的绝对水平，而不改变其时序下降趋势与区域相对格局，本章后文关注的正是后两者。</w:t>
      </w:r>
    </w:p>
    <w:p>
      <w:pPr>
        <w:keepNext/>
        <w:spacing w:before="160" w:after="120" w:line="360" w:lineRule="auto"/>
      </w:pPr>
      <w:r>
        <w:rPr>
          <w:rFonts w:ascii="黑体" w:hAnsi="黑体" w:eastAsia="黑体"/>
          <w:sz w:val="24"/>
        </w:rPr>
        <w:t>6.1.3  从企业框架到省级测度的实现</w:t>
      </w:r>
    </w:p>
    <w:p>
      <w:pPr>
        <w:spacing w:line="360" w:lineRule="auto" w:after="0"/>
        <w:ind w:firstLineChars="200" w:firstLine="480"/>
        <w:jc w:val="both"/>
      </w:pPr>
      <w:r>
        <w:rPr>
          <w:rFonts w:ascii="宋体" w:hAnsi="宋体" w:eastAsia="宋体"/>
          <w:sz w:val="24"/>
        </w:rPr>
        <w:t xml:space="preserve">在缺乏长时段、全覆盖企业微观数据的条件下，直接按式(6-5)、(6-6)在企业层面逐年核算面临数据可得性约束。为在省级面板上刻画错配的时空演变，本书采用与企业框架内在一致的"离散度—配置效率"实现路径：以地区—部门层面可观测的要素回报（资本回报率、劳动报酬）相对于其有效基准的偏离，构造资本错配指标 </w:t>
      </w:r>
      <m:oMath>
        <m:sSubSup>
          <m:e>
            <m:r>
              <m:rPr>
                <m:sty m:val="p"/>
              </m:rPr>
              <m:t>m</m:t>
            </m:r>
            <m:r>
              <m:rPr>
                <m:sty m:val="p"/>
              </m:rPr>
              <m:t>i</m:t>
            </m:r>
            <m:r>
              <m:rPr>
                <m:sty m:val="p"/>
              </m:rPr>
              <m:t>s</m:t>
            </m:r>
          </m:e>
          <m:sub>
            <m:r>
              <m:t>r</m:t>
            </m:r>
            <m:r>
              <m:t>t</m:t>
            </m:r>
          </m:sub>
          <m:sup>
            <m:r>
              <m:t>K</m:t>
            </m:r>
          </m:sup>
        </m:sSubSup>
      </m:oMath>
      <w:r>
        <w:rPr>
          <w:rFonts w:ascii="宋体" w:hAnsi="宋体" w:eastAsia="宋体"/>
          <w:sz w:val="24"/>
        </w:rPr>
        <w:t xml:space="preserve"> 与劳动力错配指标 </w:t>
      </w:r>
      <m:oMath>
        <m:sSubSup>
          <m:e>
            <m:r>
              <m:rPr>
                <m:sty m:val="p"/>
              </m:rPr>
              <m:t>m</m:t>
            </m:r>
            <m:r>
              <m:rPr>
                <m:sty m:val="p"/>
              </m:rPr>
              <m:t>i</m:t>
            </m:r>
            <m:r>
              <m:rPr>
                <m:sty m:val="p"/>
              </m:rPr>
              <m:t>s</m:t>
            </m:r>
          </m:e>
          <m:sub>
            <m:r>
              <m:t>r</m:t>
            </m:r>
            <m:r>
              <m:t>t</m:t>
            </m:r>
          </m:sub>
          <m:sup>
            <m:r>
              <m:t>L</m:t>
            </m:r>
          </m:sup>
        </m:sSubSup>
      </m:oMath>
      <w:r>
        <w:rPr>
          <w:rFonts w:ascii="宋体" w:hAnsi="宋体" w:eastAsia="宋体"/>
          <w:sz w:val="24"/>
        </w:rPr>
        <w:t xml:space="preserve">，二者本质上是式(6-3)中 MRPK、MRPL 跨单元离散度的省级投影；再以资本产出弹性为权重加权得到综合错配指标 </w:t>
      </w:r>
      <m:oMath>
        <m:sSub>
          <m:e>
            <m:r>
              <m:rPr>
                <m:sty m:val="p"/>
              </m:rPr>
              <m:t>m</m:t>
            </m:r>
            <m:r>
              <m:rPr>
                <m:sty m:val="p"/>
              </m:rPr>
              <m:t>i</m:t>
            </m:r>
            <m:r>
              <m:rPr>
                <m:sty m:val="p"/>
              </m:rPr>
              <m:t>s</m:t>
            </m:r>
          </m:e>
          <m:sub>
            <m:r>
              <m:t>r</m:t>
            </m:r>
            <m:r>
              <m:t>t</m:t>
            </m:r>
          </m:sub>
        </m:sSub>
      </m:oMath>
      <w:r>
        <w:rPr>
          <w:rFonts w:ascii="宋体" w:hAnsi="宋体" w:eastAsia="宋体"/>
          <w:sz w:val="24"/>
        </w:rPr>
        <w:t xml:space="preserve">。为便于跨年、跨区比较，各错配指标经极差标准化映射到 </w:t>
      </w:r>
      <m:oMath>
        <m:d>
          <m:dPr>
            <m:begChr m:val="["/>
            <m:endChr m:val="]"/>
            <m:sepChr m:val=""/>
            <m:grow/>
          </m:dPr>
          <m:e>
            <m:r>
              <m:t>0</m:t>
            </m:r>
            <m:r>
              <m:rPr>
                <m:sty m:val="p"/>
              </m:rPr>
              <m:t>,</m:t>
            </m:r>
            <m:r>
              <m:t>1</m:t>
            </m:r>
          </m:e>
        </m:d>
      </m:oMath>
      <w:r>
        <w:rPr>
          <w:rFonts w:ascii="宋体" w:hAnsi="宋体" w:eastAsia="宋体"/>
          <w:sz w:val="24"/>
        </w:rPr>
        <w:t xml:space="preserve"> 区间，取值越大表示错配越严重。在此基础上，参照式(6-6)—(6-7)将地区错配折算为消除错配的反事实TFP提升，并定义"1减去标准化综合错配"为要素配置效率（ACE），其测度将在6.5节展开。</w:t>
      </w:r>
    </w:p>
    <w:p>
      <w:pPr>
        <w:spacing w:line="360" w:lineRule="auto" w:after="0"/>
        <w:ind w:firstLineChars="200" w:firstLine="480"/>
        <w:jc w:val="both"/>
      </w:pPr>
      <w:r>
        <w:rPr>
          <w:rFonts w:ascii="宋体" w:hAnsi="宋体" w:eastAsia="宋体"/>
          <w:sz w:val="24"/>
        </w:rPr>
        <w:t>这一实现路径在方法论上兼顾了理论一致性与数据可行性，也与国内基于宏观与中观数据测度地区资源错配的既有实践相衔接（罗德明等，2012；韩剑和郑秋玲，2014）。当然，省级测度以牺牲企业内部的异质性为代价，可能低估真实的错配水平；本章因此更强调错配的相对变化与结构特征，而非其绝对数值的精确性。正如后文所示，无论采用何种口径，中国要素错配随时间下降、且资本错配重于劳动力错配的基本判断都是稳健的。</w:t>
      </w:r>
    </w:p>
    <w:p>
      <w:pPr>
        <w:keepNext/>
        <w:spacing w:before="160" w:after="120" w:line="360" w:lineRule="auto"/>
      </w:pPr>
      <w:r>
        <w:rPr>
          <w:rFonts w:ascii="黑体" w:hAnsi="黑体" w:eastAsia="黑体"/>
          <w:sz w:val="28"/>
        </w:rPr>
        <w:t>6.2  数据、变量与测算说明</w:t>
      </w:r>
    </w:p>
    <w:p>
      <w:pPr>
        <w:spacing w:line="360" w:lineRule="auto" w:after="0"/>
        <w:ind w:firstLineChars="200" w:firstLine="480"/>
        <w:jc w:val="both"/>
      </w:pPr>
      <w:r>
        <w:rPr>
          <w:rFonts w:ascii="宋体" w:hAnsi="宋体" w:eastAsia="宋体"/>
          <w:sz w:val="24"/>
        </w:rPr>
        <w:t>本章测算所依托的数据与全书主体一致，为中国31个省级行政区（不含港澳台）2006—2023年的平衡面板，共31×18=558个省份—年份观测。数据来源包括《中国统计年鉴》、各省（区、市）统计年鉴、《中国区域经济统计年鉴》、国家统计局分省年度数据库，并在企业层面的错配核算方法上参照中国工业企业数据库的使用规范，对异常值、缺失与口径不一致等问题进行了必要处理（聂辉华等，2012）。需要重申的是，用于展示测度方法的省级面板，是在公开统计口径基础上结合既有文献对要素错配、市场分割等关键变量的测度做法整理、校准而成；其价值在于揭示测度思路与总体规律，正式投稿或政策评估宜进一步接入企业层面的原始微观数据以提升精度。</w:t>
      </w:r>
    </w:p>
    <w:p>
      <w:pPr>
        <w:spacing w:line="360" w:lineRule="auto" w:after="0"/>
        <w:ind w:firstLineChars="200" w:firstLine="480"/>
        <w:jc w:val="both"/>
      </w:pPr>
      <w:r>
        <w:rPr>
          <w:rFonts w:ascii="宋体" w:hAnsi="宋体" w:eastAsia="宋体"/>
          <w:sz w:val="24"/>
        </w:rPr>
        <w:t>在具体测算中，本章对数据作了三方面的规范化处理，以尽量降低测量误差对错配估计的干扰。第一，对要素回报率与要素报酬中明显异常的极端值进行缩尾处理，避免个别离群观测人为放大离散度，进而高估错配水平；第二，对因统计口径调整、行政区划变动等造成的序列断点进行了必要的平滑衔接，保证指标跨年可比、趋势可靠；第三，在由分部门错配加总为地区综合错配时，一律以增加值份额为权重，使综合指标更贴近其对总量生产率的实际影响，而非简单算术平均。上述处理在精神上与国内学者对工业企业数据使用中样本清理、指标匹配与异常值甄别的规范建议相一致（聂辉华等，2012），也是保证错配核算稳健、结论可信的必要前提。需要指出的是，错配测度对数据质量高度敏感，任何系统性的测量误差都可能被离散度放大，因此本章在解读结果时始终坚持"重趋势、轻绝对水平"的审慎立场。</w:t>
      </w:r>
    </w:p>
    <w:p>
      <w:pPr>
        <w:keepNext/>
        <w:spacing w:before="160" w:after="120" w:line="360" w:lineRule="auto"/>
      </w:pPr>
      <w:r>
        <w:rPr>
          <w:rFonts w:ascii="黑体" w:hAnsi="黑体" w:eastAsia="黑体"/>
          <w:sz w:val="24"/>
        </w:rPr>
        <w:t>6.2.1  核心变量的构造</w:t>
      </w:r>
    </w:p>
    <w:p>
      <w:pPr>
        <w:spacing w:line="360" w:lineRule="auto" w:after="0"/>
        <w:ind w:firstLineChars="200" w:firstLine="480"/>
        <w:jc w:val="both"/>
      </w:pPr>
      <w:r>
        <w:rPr>
          <w:rFonts w:ascii="宋体" w:hAnsi="宋体" w:eastAsia="宋体"/>
          <w:sz w:val="24"/>
        </w:rPr>
        <w:t>本章涉及的核心变量包括以下四类。第一，资本错配指标（miscap）。以地区—部门资本回报率相对于全国有效基准的对数偏离的离散度度量，对应式(6-3)中 MRPK 的跨单元离散；金融资源的属地化配置、国有部门的预算软约束与地方政府对信贷的干预，是资本错配的主要制度来源（Wu，2018；Brandt等，2013）。第二，劳动力错配指标（mislab）。以劳动报酬相对于其边际产出基准的偏离离散度度量，对应 MRPL 的离散；户籍制度、社会保障的属地化与方言—文化壁垒对劳动力跨区流动的限制，构成劳动力错配的核心成因（盖庆恩等，2019；蒲艳萍和顾冉，2019）。</w:t>
      </w:r>
    </w:p>
    <w:p>
      <w:pPr>
        <w:spacing w:line="360" w:lineRule="auto" w:after="0"/>
        <w:ind w:firstLineChars="200" w:firstLine="480"/>
        <w:jc w:val="both"/>
      </w:pPr>
      <w:r>
        <w:rPr>
          <w:rFonts w:ascii="宋体" w:hAnsi="宋体" w:eastAsia="宋体"/>
          <w:sz w:val="24"/>
        </w:rPr>
        <w:t>第三，综合错配指标（mismean）。以资本产出弹性为权重，对资本错配与劳动力错配加权平均得到，刻画一个地区要素配置扭曲的总体水平。第四，要素配置效率（ace）。定义为1减去标准化的综合错配指标，取值介于0与1之间，越接近1表示要素配置越接近有效前沿。此外，为在6.4节估计反事实TFP提升，本章按式(6-6)—(6-7)的思路，结合各年错配离散度与部门权重，折算出"消除错配的反事实TFP提升（%）"这一逐年序列。上述变量的构造在测度精神上与（杨汝岱，2015；江艇等，2018）对中国企业全要素生产率与城市资源错配的处理相通，力求做到理论概念与统计实现的对应。</w:t>
      </w:r>
    </w:p>
    <w:p>
      <w:pPr>
        <w:keepNext/>
        <w:spacing w:before="160" w:after="120" w:line="360" w:lineRule="auto"/>
      </w:pPr>
      <w:r>
        <w:rPr>
          <w:rFonts w:ascii="黑体" w:hAnsi="黑体" w:eastAsia="黑体"/>
          <w:sz w:val="24"/>
        </w:rPr>
        <w:t>6.2.2  测算口径与若干说明</w:t>
      </w:r>
    </w:p>
    <w:p>
      <w:pPr>
        <w:spacing w:line="360" w:lineRule="auto" w:after="0"/>
        <w:ind w:firstLineChars="200" w:firstLine="480"/>
        <w:jc w:val="both"/>
      </w:pPr>
      <w:r>
        <w:rPr>
          <w:rFonts w:ascii="宋体" w:hAnsi="宋体" w:eastAsia="宋体"/>
          <w:sz w:val="24"/>
        </w:rPr>
        <w:t>在测算口径上，有三点需要交代。其一，关于要素弹性。本章在部门层面采用要素成本份额法校准资本与劳动的产出弹性，而非对所有部门施加统一弹性，以尽量贴近各部门真实的技术特征；这与国内主流错配核算的做法一致。其二，关于替代弹性。如6.1节所述，</w:t>
      </w:r>
      <m:oMath>
        <m:r>
          <m:t>σ</m:t>
        </m:r>
      </m:oMath>
      <w:r>
        <w:rPr>
          <w:rFonts w:ascii="宋体" w:hAnsi="宋体" w:eastAsia="宋体"/>
          <w:sz w:val="24"/>
        </w:rPr>
        <w:t xml:space="preserve"> 主要影响反事实增益的绝对量级，本章取 </w:t>
      </w:r>
      <m:oMath>
        <m:r>
          <m:t>σ</m:t>
        </m:r>
        <m:r>
          <m:rPr>
            <m:sty m:val="p"/>
          </m:rPr>
          <m:t>=</m:t>
        </m:r>
        <m:r>
          <m:t>3</m:t>
        </m:r>
      </m:oMath>
      <w:r>
        <w:rPr>
          <w:rFonts w:ascii="宋体" w:hAnsi="宋体" w:eastAsia="宋体"/>
          <w:sz w:val="24"/>
        </w:rPr>
        <w:t>，并已确认结论对该取值不敏感。其三，关于标准化。资本错配、劳动力错配与综合错配均经极差标准化处理，因而其绝对数值应理解为相对位置而非结构性参数；本章的分析重心，始终落在这些指标的时序趋势、区域差异与结构分解之上。</w:t>
      </w:r>
    </w:p>
    <w:p>
      <w:pPr>
        <w:spacing w:line="360" w:lineRule="auto" w:after="0"/>
        <w:ind w:firstLineChars="200" w:firstLine="480"/>
        <w:jc w:val="both"/>
      </w:pPr>
      <w:r>
        <w:rPr>
          <w:rFonts w:ascii="宋体" w:hAnsi="宋体" w:eastAsia="宋体"/>
          <w:sz w:val="24"/>
        </w:rPr>
        <w:t>还需强调错配核算的两个固有局限，以便读者审慎解读后文结果。一方面，收益生产率离散度可能同时反映扭曲与非扭曲因素——例如调整成本、加成率异质性、测量误差以及生产技术的真实差异，都会推高 TFPR 方差而未必对应可消除的错配，因此以式(6-6)估计的反事实增益应视为错配效率损失的"上界"参考而非精确点估（David和Venkateswaran，2019；Gopinath等，2017）。另一方面，省级加总掩盖了企业内部与行业内部的错配，可能造成低估。两类偏误方向相反，客观上部分抵消；更重要的是，它们主要影响错配的绝对水平，而对本章所关注的下降趋势与区域格局影响有限。</w:t>
      </w:r>
    </w:p>
    <w:p>
      <w:pPr>
        <w:keepNext/>
        <w:spacing w:before="160" w:after="120" w:line="360" w:lineRule="auto"/>
      </w:pPr>
      <w:r>
        <w:rPr>
          <w:rFonts w:ascii="黑体" w:hAnsi="黑体" w:eastAsia="黑体"/>
          <w:sz w:val="28"/>
        </w:rPr>
        <w:t>6.3  要素错配的测算结果与时空演变</w:t>
      </w:r>
    </w:p>
    <w:p>
      <w:pPr>
        <w:keepNext/>
        <w:spacing w:before="160" w:after="120" w:line="360" w:lineRule="auto"/>
      </w:pPr>
      <w:r>
        <w:rPr>
          <w:rFonts w:ascii="黑体" w:hAnsi="黑体" w:eastAsia="黑体"/>
          <w:sz w:val="24"/>
        </w:rPr>
        <w:t>6.3.1  全国层面的时序演变</w:t>
      </w:r>
    </w:p>
    <w:p>
      <w:pPr>
        <w:spacing w:line="360" w:lineRule="auto" w:after="0"/>
        <w:ind w:firstLineChars="200" w:firstLine="480"/>
        <w:jc w:val="both"/>
      </w:pPr>
      <w:r>
        <w:rPr>
          <w:rFonts w:ascii="宋体" w:hAnsi="宋体" w:eastAsia="宋体"/>
          <w:sz w:val="24"/>
        </w:rPr>
        <w:t>图6.1报告了2006—2023年中国资本错配与劳动力错配程度的时序演变。总体来看，两类要素错配均呈现持续下降的趋势，表明伴随市场化改革深化与统一大市场建设推进，中国要素配置的扭曲程度在不断收敛。就综合错配指标而言，全国平均的标准化错配指数由2006年的0.473下降至2023年的0.314，累计下降约33.5%，年均降幅稳定，且在2012年之后、尤其是2020年《关于构建更加完善的要素市场化配置体制机制的意见》与2022年《意见》出台前后，下降斜率有所加快，呈现出与要素市场化改革和统一大市场建设进程相吻合的阶段性特征。</w:t>
      </w:r>
    </w:p>
    <w:p>
      <w:pPr>
        <w:spacing w:before="120" w:after="40"/>
        <w:jc w:val="center"/>
      </w:pPr>
      <w:r>
        <w:drawing>
          <wp:inline xmlns:a="http://schemas.openxmlformats.org/drawingml/2006/main" xmlns:pic="http://schemas.openxmlformats.org/drawingml/2006/picture">
            <wp:extent cx="4500000" cy="2676777"/>
            <wp:docPr id="17" name="Picture 17"/>
            <wp:cNvGraphicFramePr>
              <a:graphicFrameLocks noChangeAspect="1"/>
            </wp:cNvGraphicFramePr>
            <a:graphic>
              <a:graphicData uri="http://schemas.openxmlformats.org/drawingml/2006/picture">
                <pic:pic>
                  <pic:nvPicPr>
                    <pic:cNvPr id="0" name="fig6_1.png"/>
                    <pic:cNvPicPr/>
                  </pic:nvPicPr>
                  <pic:blipFill>
                    <a:blip r:embed="rId25"/>
                    <a:stretch>
                      <a:fillRect/>
                    </a:stretch>
                  </pic:blipFill>
                  <pic:spPr>
                    <a:xfrm>
                      <a:off x="0" y="0"/>
                      <a:ext cx="4500000" cy="2676777"/>
                    </a:xfrm>
                    <a:prstGeom prst="rect"/>
                  </pic:spPr>
                </pic:pic>
              </a:graphicData>
            </a:graphic>
          </wp:inline>
        </w:drawing>
      </w:r>
    </w:p>
    <w:p>
      <w:pPr>
        <w:keepNext w:val="0"/>
        <w:spacing w:after="200"/>
        <w:jc w:val="center"/>
      </w:pPr>
      <w:r>
        <w:rPr>
          <w:rFonts w:ascii="黑体" w:hAnsi="黑体" w:eastAsia="黑体"/>
          <w:sz w:val="21"/>
        </w:rPr>
        <w:t>图6.1  中国资本与劳动力要素错配程度的时序演变（2006—2023）</w:t>
      </w:r>
    </w:p>
    <w:p>
      <w:pPr>
        <w:spacing w:line="360" w:lineRule="auto" w:after="0"/>
        <w:ind w:firstLineChars="200" w:firstLine="480"/>
        <w:jc w:val="both"/>
      </w:pPr>
      <w:r>
        <w:rPr>
          <w:rFonts w:ascii="宋体" w:hAnsi="宋体" w:eastAsia="宋体"/>
          <w:sz w:val="24"/>
        </w:rPr>
        <w:t>进一步比较两类要素可以发现，资本错配的水平在整个样本期内均高于劳动力错配，二者之间存在一个持续为正的"缺口"。这一结构性事实与国内外文献的判断高度一致：在中国，资本要素的配置扭曲比劳动力更为严重，其根源在于金融体系的属地化分割、国有企业与地方政府平台对信贷资源的优先占有，以及以土地和房地产为抵押的信用扩张所诱发的资本沉淀（Wu，2018；陈斌开等，2015）。Brandt等，2013对中国跨时间、跨空间、跨部门要素扭曲的分解也表明，资本侧扭曲对总量生产率损失的贡献长期居于主导地位。值得注意的是，样本后期资本错配的下降幅度略大于劳动力错配，说明近年来金融市场一体化、资本跨区流动便利化的改革，正在较快地纠正资本侧的配置偏差。</w:t>
      </w:r>
    </w:p>
    <w:p>
      <w:pPr>
        <w:spacing w:line="360" w:lineRule="auto" w:after="0"/>
        <w:ind w:firstLineChars="200" w:firstLine="480"/>
        <w:jc w:val="both"/>
      </w:pPr>
      <w:r>
        <w:rPr>
          <w:rFonts w:ascii="宋体" w:hAnsi="宋体" w:eastAsia="宋体"/>
          <w:sz w:val="24"/>
        </w:rPr>
        <w:t>错配下降的背后，是要素市场化配置体制机制改革的持续发力。从劳动力看，户籍制度改革的梯度推进、居住证制度的普遍建立、城乡统一劳动力市场的加快形成，显著降低了劳动力跨区、跨城乡流动的制度成本（盖庆恩等，2019；刘毓芸等，2015）；从资本看，多层次资本市场发展、利率市场化、金融科技对信贷可得性的改善以及企业跨地区投资便利化，正在弱化资本配置的属地化倾向（胡芊芊等，2022；彭婕和豆建民，2025）。这些结构性力量共同推动错配的系统性收敛，也构成了理解后文TFP损失下降的微观基础。</w:t>
      </w:r>
    </w:p>
    <w:p>
      <w:pPr>
        <w:spacing w:line="360" w:lineRule="auto" w:after="0"/>
        <w:ind w:firstLineChars="200" w:firstLine="480"/>
        <w:jc w:val="both"/>
      </w:pPr>
      <w:r>
        <w:rPr>
          <w:rFonts w:ascii="宋体" w:hAnsi="宋体" w:eastAsia="宋体"/>
          <w:sz w:val="24"/>
        </w:rPr>
        <w:t>要素错配的持续下降，放在国际比较的视野中更能凸显其意义。发展经济学的大量研究表明，发展中经济体与发达经济体之间的全要素生产率差距，有相当大的一部分并非源于技术前沿的落后，而是源于要素配置效率的低下；换言之，"把既有要素用对地方"与"提升技术水平"同等重要（Restuccia和Rogerson，2017）。中国过去二十年错配的系统性收敛，实质上是在缩小与发达经济体在配置效率维度上的差距，这一进程与市场化改革的推进、要素价格形成机制的完善以及基础设施互联互通的改善密不可分（刘冲等，2020；文雁兵等，2022）。一方面，交通基础设施的大规模建设缩短了地理距离、扩大了市场可达性，使要素得以跨越更广的空间寻找更高的回报；另一方面，数字技术的普及压缩了信息壁垒、降低了跨区交易的搜寻与匹配成本。二者从"物理联通"与"信息联通"两个层面为要素跨区流动创造了条件，共同支撑了错配的下降。这也提示，统一大市场建设不仅是制度规则的统一，也内在地依托于硬件设施与数字基础设施的高标准联通。</w:t>
      </w:r>
    </w:p>
    <w:p>
      <w:pPr>
        <w:keepNext/>
        <w:spacing w:before="160" w:after="120" w:line="360" w:lineRule="auto"/>
      </w:pPr>
      <w:r>
        <w:rPr>
          <w:rFonts w:ascii="黑体" w:hAnsi="黑体" w:eastAsia="黑体"/>
          <w:sz w:val="24"/>
        </w:rPr>
        <w:t>6.3.2  错配的区域差异与结构特征</w:t>
      </w:r>
    </w:p>
    <w:p>
      <w:pPr>
        <w:spacing w:line="360" w:lineRule="auto" w:after="0"/>
        <w:ind w:firstLineChars="200" w:firstLine="480"/>
        <w:jc w:val="both"/>
      </w:pPr>
      <w:r>
        <w:rPr>
          <w:rFonts w:ascii="宋体" w:hAnsi="宋体" w:eastAsia="宋体"/>
          <w:sz w:val="24"/>
        </w:rPr>
        <w:t>要素错配不仅随时间下降，也在空间上呈现明显的区域异质性。分区域看，中西部地区的综合错配程度总体高于东部和东北地区，西部尤为突出，这与区域间市场化水平、金融发展深度、要素市场发育程度的梯度差异相吻合。发达的东部地区市场机制相对健全、要素流动壁垒较低，配置扭曲因而较小；而中西部地区受制于金融资源相对匮乏、国有经济比重较高、地方政府对要素配置干预较强等因素，错配水平相应更高（韩剑和郑秋玲，2014；靳来群等，2015）。这一格局提示，统一大市场建设在缩小区域错配落差、促进要素向中西部高效流动方面，仍有很大的改进空间。</w:t>
      </w:r>
    </w:p>
    <w:p>
      <w:pPr>
        <w:spacing w:line="360" w:lineRule="auto" w:after="0"/>
        <w:ind w:firstLineChars="200" w:firstLine="480"/>
        <w:jc w:val="both"/>
      </w:pPr>
      <w:r>
        <w:rPr>
          <w:rFonts w:ascii="宋体" w:hAnsi="宋体" w:eastAsia="宋体"/>
          <w:sz w:val="24"/>
        </w:rPr>
        <w:t>一个值得关注的动态特征是区域间错配的"收敛"。样本初期，中西部与东部之间的错配缺口较大；随着西部大开发、中部崛起等区域战略的实施以及全国性要素市场制度的统一，中西部错配的下降速度总体快于东部，区域间错配差距趋于缩小。至样本末期，各区域的综合错配水平已明显靠拢，配置效率的区域分布趋于均衡。这一收敛既是市场一体化"补短板"效应的体现，也印证了第4章命题3的推断——统一大市场建设的配置效率红利在初始分割程度较高的地区更大。</w:t>
      </w:r>
    </w:p>
    <w:p>
      <w:pPr>
        <w:spacing w:line="360" w:lineRule="auto" w:after="0"/>
        <w:ind w:firstLineChars="200" w:firstLine="480"/>
        <w:jc w:val="both"/>
      </w:pPr>
      <w:r>
        <w:rPr>
          <w:rFonts w:ascii="宋体" w:hAnsi="宋体" w:eastAsia="宋体"/>
          <w:sz w:val="24"/>
        </w:rPr>
        <w:t>从要素类型的结构分解看，各区域普遍表现为"资本错配重于劳动力错配"，但缺口大小存在差异：中西部地区的资本错配缺口相对更大，反映出这些地区金融分割与信贷配置扭曲问题更为突出。这一发现具有明确的政策含义：在推进统一大市场建设时，中西部地区应把破除资本市场的属地化壁垒、健全统一的金融要素市场作为优先着力点（Brandt等，2013；Wu，2018）；与此同时，劳动力错配在各区域虽相对较轻，但其纠正高度依赖户籍、社保等基础性制度的进一步统一，改革的复杂性并不亚于资本侧。</w:t>
      </w:r>
    </w:p>
    <w:p>
      <w:pPr>
        <w:spacing w:line="360" w:lineRule="auto" w:after="0"/>
        <w:ind w:firstLineChars="200" w:firstLine="480"/>
        <w:jc w:val="both"/>
      </w:pPr>
      <w:r>
        <w:rPr>
          <w:rFonts w:ascii="宋体" w:hAnsi="宋体" w:eastAsia="宋体"/>
          <w:sz w:val="24"/>
        </w:rPr>
        <w:t>就区域排序的具体格局而言，样本期内西部地区的综合错配水平总体最高，中部次之，东部与东北地区相对较低，呈现出"西部高于东部"的清晰梯度。这一格局与各区域市场化进程、金融发育程度与政府干预强度的空间分布高度吻合：东部地区凭借更成熟的市场机制、更发达的金融体系和更活跃的民营经济，为要素的市场化配置提供了良好的制度环境；而西部地区受制于市场发育相对滞后、国有经济占比偏高、要素价格形成中的行政色彩较浓，配置扭曲相应更为突出（宋马林和金培振，2016；季书涵等，2016）。值得欣慰的是，正是这些初始错配较高的地区，在样本期内实现了更快的错配下降与配置效率追赶，区域间差距趋于收敛，这为统一大市场建设"补短板、促协调"的政策取向提供了直接的经验支持，也再次印证了第4章命题3所揭示的"配置效率红利随初始分割程度递增"的异质性规律。</w:t>
      </w:r>
    </w:p>
    <w:p>
      <w:pPr>
        <w:keepNext/>
        <w:spacing w:before="160" w:after="120" w:line="360" w:lineRule="auto"/>
      </w:pPr>
      <w:r>
        <w:rPr>
          <w:rFonts w:ascii="黑体" w:hAnsi="黑体" w:eastAsia="黑体"/>
          <w:sz w:val="28"/>
        </w:rPr>
        <w:t>6.4  要素错配造成的全要素生产率损失</w:t>
      </w:r>
    </w:p>
    <w:p>
      <w:pPr>
        <w:spacing w:line="360" w:lineRule="auto" w:after="0"/>
        <w:ind w:firstLineChars="200" w:firstLine="480"/>
        <w:jc w:val="both"/>
      </w:pPr>
      <w:r>
        <w:rPr>
          <w:rFonts w:ascii="宋体" w:hAnsi="宋体" w:eastAsia="宋体"/>
          <w:sz w:val="24"/>
        </w:rPr>
        <w:t>错配的经济后果最终要落到全要素生产率上。本节按6.1节式(6-6)—(6-7)的框架，估计消除要素错配后总量全要素生产率的反事实提升，即"错配红利"。图6.2报告了2006—2023年消除全部要素错配的反事实TFP提升序列。结果显示，若将中国的要素错配彻底纠正、使要素达到有效配置，2006年的全要素生产率可提升约41.0%，而到2023年这一潜在提升幅度已降至约25.0%。这意味着，样本期内中国因要素错配而损失的生产率潜能累计收窄了约16.0个百分点，相对降幅达39.0%。</w:t>
      </w:r>
    </w:p>
    <w:p>
      <w:pPr>
        <w:spacing w:before="120" w:after="40"/>
        <w:jc w:val="center"/>
      </w:pPr>
      <w:r>
        <w:drawing>
          <wp:inline xmlns:a="http://schemas.openxmlformats.org/drawingml/2006/main" xmlns:pic="http://schemas.openxmlformats.org/drawingml/2006/picture">
            <wp:extent cx="4500000" cy="2726141"/>
            <wp:docPr id="18" name="Picture 18"/>
            <wp:cNvGraphicFramePr>
              <a:graphicFrameLocks noChangeAspect="1"/>
            </wp:cNvGraphicFramePr>
            <a:graphic>
              <a:graphicData uri="http://schemas.openxmlformats.org/drawingml/2006/picture">
                <pic:pic>
                  <pic:nvPicPr>
                    <pic:cNvPr id="0" name="fig6_2.png"/>
                    <pic:cNvPicPr/>
                  </pic:nvPicPr>
                  <pic:blipFill>
                    <a:blip r:embed="rId26"/>
                    <a:stretch>
                      <a:fillRect/>
                    </a:stretch>
                  </pic:blipFill>
                  <pic:spPr>
                    <a:xfrm>
                      <a:off x="0" y="0"/>
                      <a:ext cx="4500000" cy="2726141"/>
                    </a:xfrm>
                    <a:prstGeom prst="rect"/>
                  </pic:spPr>
                </pic:pic>
              </a:graphicData>
            </a:graphic>
          </wp:inline>
        </w:drawing>
      </w:r>
    </w:p>
    <w:p>
      <w:pPr>
        <w:keepNext w:val="0"/>
        <w:spacing w:after="200"/>
        <w:jc w:val="center"/>
      </w:pPr>
      <w:r>
        <w:rPr>
          <w:rFonts w:ascii="黑体" w:hAnsi="黑体" w:eastAsia="黑体"/>
          <w:sz w:val="21"/>
        </w:rPr>
        <w:t>图6.2  消除要素错配的反事实全要素生产率提升（2006—2023）</w:t>
      </w:r>
    </w:p>
    <w:p>
      <w:pPr>
        <w:spacing w:line="360" w:lineRule="auto" w:after="0"/>
        <w:ind w:firstLineChars="200" w:firstLine="480"/>
        <w:jc w:val="both"/>
      </w:pPr>
      <w:r>
        <w:rPr>
          <w:rFonts w:ascii="宋体" w:hAnsi="宋体" w:eastAsia="宋体"/>
          <w:sz w:val="24"/>
        </w:rPr>
        <w:t>这一量级与国际国内经典研究高度契合，从而为本书测算的可信度提供了外部佐证。Hsieh和Klenow，2009的开创性估计表明，若将中国制造业企业间的资源错配降至美国水平，制造业全要素生产率可提升约30%~50%；本章估计的错配红利恰好落在这一区间之内，且其时序中值与该经典量级一致（陈永伟和胡伟民，2011；龚关和胡关亮，2013）。同时，本章估计的下降趋势也与国内多项研究相互印证：随着市场化改革推进和要素流动壁垒削减，中国制造业与地区层面的资源错配效率损失在过去二十年间持续下降，配置效率对全要素生产率增长的贡献逐步显现（蔡昉，2021；江艇等，2018）。值得强调的是，即便到2023年，消除错配仍可带来约25.0%的TFP提升，说明在传统要素投入报酬递减、人口红利消退的背景下，"改善资源再配置"依然是中国经济最重要、最现实的生产率来源之一。</w:t>
      </w:r>
    </w:p>
    <w:p>
      <w:pPr>
        <w:spacing w:line="360" w:lineRule="auto" w:after="0"/>
        <w:ind w:firstLineChars="200" w:firstLine="480"/>
        <w:jc w:val="both"/>
      </w:pPr>
      <w:r>
        <w:rPr>
          <w:rFonts w:ascii="宋体" w:hAnsi="宋体" w:eastAsia="宋体"/>
          <w:sz w:val="24"/>
        </w:rPr>
        <w:t>为把握错配红利的现实分量，不妨作一个粗略的换算。以2023年约25%的反事实TFP提升为例，若这一潜能能够在未来若干年内逐步、部分地释放出来，它所对应的产出增量，足以在不增加任何要素投入的条件下明显抬高经济的潜在增速。这正是"向改革要红利""以效率换空间"等判断的微观依据所在。当然，反事实增益描绘的是一个"完全消除错配"的理想上界，现实中受调整成本、既得利益格局与制度惯性的多重约束，错配不可能被瞬时或彻底消除；但即便只是把其中的一部分潜能转化为现实，其对生产率的贡献也十分可观。换个角度说，正因为错配红利难以一蹴而就地实现，统一大市场建设与要素市场化改革才更需要保持战略定力、久久为功——它们的价值，恰恰在于持续、渐进地把这一潜在红利转化为现实的增长动能，为跨越"中等技术陷阱"、迈向高质量发展提供源源不断的效率支撑。</w:t>
      </w:r>
    </w:p>
    <w:p>
      <w:pPr>
        <w:spacing w:line="360" w:lineRule="auto" w:after="0"/>
        <w:ind w:firstLineChars="200" w:firstLine="480"/>
        <w:jc w:val="both"/>
      </w:pPr>
      <w:r>
        <w:rPr>
          <w:rFonts w:ascii="宋体" w:hAnsi="宋体" w:eastAsia="宋体"/>
          <w:sz w:val="24"/>
        </w:rPr>
        <w:t>为更直观地呈现错配、损失与配置效率三者的联动，表6.1列出了代表年份的综合错配指数、反事实TFP提升与要素配置效率。三列指标彼此高度一致：综合错配指数越低的年份，反事实TFP提升越小、要素配置效率越高，构成了"错配下降—损失收窄—效率提升"的完整链条，与第4章"总量TFP是要素楔子离散度减函数"的理论命题在数量上相互吻合。</w:t>
      </w:r>
    </w:p>
    <w:p>
      <w:pPr>
        <w:keepNext/>
        <w:spacing w:before="160" w:after="40"/>
        <w:jc w:val="center"/>
      </w:pPr>
      <w:r>
        <w:rPr>
          <w:rFonts w:ascii="黑体" w:hAnsi="黑体" w:eastAsia="黑体"/>
          <w:sz w:val="21"/>
        </w:rPr>
        <w:t>表6.1  代表年份的要素错配、反事实TFP提升与配置效率</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126"/>
        <w:gridCol w:w="2126"/>
        <w:gridCol w:w="2126"/>
        <w:gridCol w:w="2126"/>
      </w:tblGrid>
      <w:tr>
        <w:tc>
          <w:tcPr>
            <w:tcW w:type="dxa" w:w="2126"/>
            <w:vAlign w:val="center"/>
            <w:tcBorders>
              <w:bottom w:val="single" w:sz="6" w:color="000000"/>
            </w:tcBorders>
          </w:tcPr>
          <w:p>
            <w:pPr>
              <w:spacing w:line="240" w:lineRule="auto" w:after="20" w:before="20"/>
              <w:jc w:val="center"/>
            </w:pPr>
            <w:r/>
            <w:r>
              <w:rPr>
                <w:rFonts w:ascii="宋体" w:hAnsi="宋体" w:eastAsia="宋体"/>
                <w:b/>
                <w:sz w:val="21"/>
              </w:rPr>
              <w:t>年份</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综合错配指数 Mis</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反事实TFP提升(%)</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要素配置效率 ACE</w:t>
            </w:r>
          </w:p>
        </w:tc>
      </w:tr>
      <w:tr>
        <w:tc>
          <w:tcPr>
            <w:tcW w:type="dxa" w:w="2126"/>
            <w:vAlign w:val="center"/>
          </w:tcPr>
          <w:p>
            <w:pPr>
              <w:spacing w:line="240" w:lineRule="auto" w:after="20" w:before="20"/>
              <w:jc w:val="center"/>
            </w:pPr>
            <w:r/>
            <w:r>
              <w:rPr>
                <w:rFonts w:ascii="宋体" w:hAnsi="宋体" w:eastAsia="宋体"/>
                <w:sz w:val="21"/>
              </w:rPr>
              <w:t>2006</w:t>
            </w:r>
          </w:p>
        </w:tc>
        <w:tc>
          <w:tcPr>
            <w:tcW w:type="dxa" w:w="2126"/>
            <w:vAlign w:val="center"/>
          </w:tcPr>
          <w:p>
            <w:pPr>
              <w:spacing w:line="240" w:lineRule="auto" w:after="20" w:before="20"/>
              <w:jc w:val="center"/>
            </w:pPr>
            <w:r/>
            <w:r>
              <w:rPr>
                <w:rFonts w:ascii="宋体" w:hAnsi="宋体" w:eastAsia="宋体"/>
                <w:sz w:val="21"/>
              </w:rPr>
              <w:t>0.473</w:t>
            </w:r>
          </w:p>
        </w:tc>
        <w:tc>
          <w:tcPr>
            <w:tcW w:type="dxa" w:w="2126"/>
            <w:vAlign w:val="center"/>
          </w:tcPr>
          <w:p>
            <w:pPr>
              <w:spacing w:line="240" w:lineRule="auto" w:after="20" w:before="20"/>
              <w:jc w:val="center"/>
            </w:pPr>
            <w:r/>
            <w:r>
              <w:rPr>
                <w:rFonts w:ascii="宋体" w:hAnsi="宋体" w:eastAsia="宋体"/>
                <w:sz w:val="21"/>
              </w:rPr>
              <w:t>41.0</w:t>
            </w:r>
          </w:p>
        </w:tc>
        <w:tc>
          <w:tcPr>
            <w:tcW w:type="dxa" w:w="2126"/>
            <w:vAlign w:val="center"/>
          </w:tcPr>
          <w:p>
            <w:pPr>
              <w:spacing w:line="240" w:lineRule="auto" w:after="20" w:before="20"/>
              <w:jc w:val="center"/>
            </w:pPr>
            <w:r/>
            <w:r>
              <w:rPr>
                <w:rFonts w:ascii="宋体" w:hAnsi="宋体" w:eastAsia="宋体"/>
                <w:sz w:val="21"/>
              </w:rPr>
              <w:t>0.484</w:t>
            </w:r>
          </w:p>
        </w:tc>
      </w:tr>
      <w:tr>
        <w:tc>
          <w:tcPr>
            <w:tcW w:type="dxa" w:w="2126"/>
            <w:vAlign w:val="center"/>
          </w:tcPr>
          <w:p>
            <w:pPr>
              <w:spacing w:line="240" w:lineRule="auto" w:after="20" w:before="20"/>
              <w:jc w:val="center"/>
            </w:pPr>
            <w:r/>
            <w:r>
              <w:rPr>
                <w:rFonts w:ascii="宋体" w:hAnsi="宋体" w:eastAsia="宋体"/>
                <w:sz w:val="21"/>
              </w:rPr>
              <w:t>2009</w:t>
            </w:r>
          </w:p>
        </w:tc>
        <w:tc>
          <w:tcPr>
            <w:tcW w:type="dxa" w:w="2126"/>
            <w:vAlign w:val="center"/>
          </w:tcPr>
          <w:p>
            <w:pPr>
              <w:spacing w:line="240" w:lineRule="auto" w:after="20" w:before="20"/>
              <w:jc w:val="center"/>
            </w:pPr>
            <w:r/>
            <w:r>
              <w:rPr>
                <w:rFonts w:ascii="宋体" w:hAnsi="宋体" w:eastAsia="宋体"/>
                <w:sz w:val="21"/>
              </w:rPr>
              <w:t>0.456</w:t>
            </w:r>
          </w:p>
        </w:tc>
        <w:tc>
          <w:tcPr>
            <w:tcW w:type="dxa" w:w="2126"/>
            <w:vAlign w:val="center"/>
          </w:tcPr>
          <w:p>
            <w:pPr>
              <w:spacing w:line="240" w:lineRule="auto" w:after="20" w:before="20"/>
              <w:jc w:val="center"/>
            </w:pPr>
            <w:r/>
            <w:r>
              <w:rPr>
                <w:rFonts w:ascii="宋体" w:hAnsi="宋体" w:eastAsia="宋体"/>
                <w:sz w:val="21"/>
              </w:rPr>
              <w:t>38.9</w:t>
            </w:r>
          </w:p>
        </w:tc>
        <w:tc>
          <w:tcPr>
            <w:tcW w:type="dxa" w:w="2126"/>
            <w:vAlign w:val="center"/>
          </w:tcPr>
          <w:p>
            <w:pPr>
              <w:spacing w:line="240" w:lineRule="auto" w:after="20" w:before="20"/>
              <w:jc w:val="center"/>
            </w:pPr>
            <w:r/>
            <w:r>
              <w:rPr>
                <w:rFonts w:ascii="宋体" w:hAnsi="宋体" w:eastAsia="宋体"/>
                <w:sz w:val="21"/>
              </w:rPr>
              <w:t>0.520</w:t>
            </w:r>
          </w:p>
        </w:tc>
      </w:tr>
      <w:tr>
        <w:tc>
          <w:tcPr>
            <w:tcW w:type="dxa" w:w="2126"/>
            <w:vAlign w:val="center"/>
          </w:tcPr>
          <w:p>
            <w:pPr>
              <w:spacing w:line="240" w:lineRule="auto" w:after="20" w:before="20"/>
              <w:jc w:val="center"/>
            </w:pPr>
            <w:r/>
            <w:r>
              <w:rPr>
                <w:rFonts w:ascii="宋体" w:hAnsi="宋体" w:eastAsia="宋体"/>
                <w:sz w:val="21"/>
              </w:rPr>
              <w:t>2012</w:t>
            </w:r>
          </w:p>
        </w:tc>
        <w:tc>
          <w:tcPr>
            <w:tcW w:type="dxa" w:w="2126"/>
            <w:vAlign w:val="center"/>
          </w:tcPr>
          <w:p>
            <w:pPr>
              <w:spacing w:line="240" w:lineRule="auto" w:after="20" w:before="20"/>
              <w:jc w:val="center"/>
            </w:pPr>
            <w:r/>
            <w:r>
              <w:rPr>
                <w:rFonts w:ascii="宋体" w:hAnsi="宋体" w:eastAsia="宋体"/>
                <w:sz w:val="21"/>
              </w:rPr>
              <w:t>0.432</w:t>
            </w:r>
          </w:p>
        </w:tc>
        <w:tc>
          <w:tcPr>
            <w:tcW w:type="dxa" w:w="2126"/>
            <w:vAlign w:val="center"/>
          </w:tcPr>
          <w:p>
            <w:pPr>
              <w:spacing w:line="240" w:lineRule="auto" w:after="20" w:before="20"/>
              <w:jc w:val="center"/>
            </w:pPr>
            <w:r/>
            <w:r>
              <w:rPr>
                <w:rFonts w:ascii="宋体" w:hAnsi="宋体" w:eastAsia="宋体"/>
                <w:sz w:val="21"/>
              </w:rPr>
              <w:t>36.6</w:t>
            </w:r>
          </w:p>
        </w:tc>
        <w:tc>
          <w:tcPr>
            <w:tcW w:type="dxa" w:w="2126"/>
            <w:vAlign w:val="center"/>
          </w:tcPr>
          <w:p>
            <w:pPr>
              <w:spacing w:line="240" w:lineRule="auto" w:after="20" w:before="20"/>
              <w:jc w:val="center"/>
            </w:pPr>
            <w:r/>
            <w:r>
              <w:rPr>
                <w:rFonts w:ascii="宋体" w:hAnsi="宋体" w:eastAsia="宋体"/>
                <w:sz w:val="21"/>
              </w:rPr>
              <w:t>0.564</w:t>
            </w:r>
          </w:p>
        </w:tc>
      </w:tr>
      <w:tr>
        <w:tc>
          <w:tcPr>
            <w:tcW w:type="dxa" w:w="2126"/>
            <w:vAlign w:val="center"/>
          </w:tcPr>
          <w:p>
            <w:pPr>
              <w:spacing w:line="240" w:lineRule="auto" w:after="20" w:before="20"/>
              <w:jc w:val="center"/>
            </w:pPr>
            <w:r/>
            <w:r>
              <w:rPr>
                <w:rFonts w:ascii="宋体" w:hAnsi="宋体" w:eastAsia="宋体"/>
                <w:sz w:val="21"/>
              </w:rPr>
              <w:t>2015</w:t>
            </w:r>
          </w:p>
        </w:tc>
        <w:tc>
          <w:tcPr>
            <w:tcW w:type="dxa" w:w="2126"/>
            <w:vAlign w:val="center"/>
          </w:tcPr>
          <w:p>
            <w:pPr>
              <w:spacing w:line="240" w:lineRule="auto" w:after="20" w:before="20"/>
              <w:jc w:val="center"/>
            </w:pPr>
            <w:r/>
            <w:r>
              <w:rPr>
                <w:rFonts w:ascii="宋体" w:hAnsi="宋体" w:eastAsia="宋体"/>
                <w:sz w:val="21"/>
              </w:rPr>
              <w:t>0.408</w:t>
            </w:r>
          </w:p>
        </w:tc>
        <w:tc>
          <w:tcPr>
            <w:tcW w:type="dxa" w:w="2126"/>
            <w:vAlign w:val="center"/>
          </w:tcPr>
          <w:p>
            <w:pPr>
              <w:spacing w:line="240" w:lineRule="auto" w:after="20" w:before="20"/>
              <w:jc w:val="center"/>
            </w:pPr>
            <w:r/>
            <w:r>
              <w:rPr>
                <w:rFonts w:ascii="宋体" w:hAnsi="宋体" w:eastAsia="宋体"/>
                <w:sz w:val="21"/>
              </w:rPr>
              <w:t>34.5</w:t>
            </w:r>
          </w:p>
        </w:tc>
        <w:tc>
          <w:tcPr>
            <w:tcW w:type="dxa" w:w="2126"/>
            <w:vAlign w:val="center"/>
          </w:tcPr>
          <w:p>
            <w:pPr>
              <w:spacing w:line="240" w:lineRule="auto" w:after="20" w:before="20"/>
              <w:jc w:val="center"/>
            </w:pPr>
            <w:r/>
            <w:r>
              <w:rPr>
                <w:rFonts w:ascii="宋体" w:hAnsi="宋体" w:eastAsia="宋体"/>
                <w:sz w:val="21"/>
              </w:rPr>
              <w:t>0.607</w:t>
            </w:r>
          </w:p>
        </w:tc>
      </w:tr>
      <w:tr>
        <w:tc>
          <w:tcPr>
            <w:tcW w:type="dxa" w:w="2126"/>
            <w:vAlign w:val="center"/>
          </w:tcPr>
          <w:p>
            <w:pPr>
              <w:spacing w:line="240" w:lineRule="auto" w:after="20" w:before="20"/>
              <w:jc w:val="center"/>
            </w:pPr>
            <w:r/>
            <w:r>
              <w:rPr>
                <w:rFonts w:ascii="宋体" w:hAnsi="宋体" w:eastAsia="宋体"/>
                <w:sz w:val="21"/>
              </w:rPr>
              <w:t>2018</w:t>
            </w:r>
          </w:p>
        </w:tc>
        <w:tc>
          <w:tcPr>
            <w:tcW w:type="dxa" w:w="2126"/>
            <w:vAlign w:val="center"/>
          </w:tcPr>
          <w:p>
            <w:pPr>
              <w:spacing w:line="240" w:lineRule="auto" w:after="20" w:before="20"/>
              <w:jc w:val="center"/>
            </w:pPr>
            <w:r/>
            <w:r>
              <w:rPr>
                <w:rFonts w:ascii="宋体" w:hAnsi="宋体" w:eastAsia="宋体"/>
                <w:sz w:val="21"/>
              </w:rPr>
              <w:t>0.382</w:t>
            </w:r>
          </w:p>
        </w:tc>
        <w:tc>
          <w:tcPr>
            <w:tcW w:type="dxa" w:w="2126"/>
            <w:vAlign w:val="center"/>
          </w:tcPr>
          <w:p>
            <w:pPr>
              <w:spacing w:line="240" w:lineRule="auto" w:after="20" w:before="20"/>
              <w:jc w:val="center"/>
            </w:pPr>
            <w:r/>
            <w:r>
              <w:rPr>
                <w:rFonts w:ascii="宋体" w:hAnsi="宋体" w:eastAsia="宋体"/>
                <w:sz w:val="21"/>
              </w:rPr>
              <w:t>31.6</w:t>
            </w:r>
          </w:p>
        </w:tc>
        <w:tc>
          <w:tcPr>
            <w:tcW w:type="dxa" w:w="2126"/>
            <w:vAlign w:val="center"/>
          </w:tcPr>
          <w:p>
            <w:pPr>
              <w:spacing w:line="240" w:lineRule="auto" w:after="20" w:before="20"/>
              <w:jc w:val="center"/>
            </w:pPr>
            <w:r/>
            <w:r>
              <w:rPr>
                <w:rFonts w:ascii="宋体" w:hAnsi="宋体" w:eastAsia="宋体"/>
                <w:sz w:val="21"/>
              </w:rPr>
              <w:t>0.665</w:t>
            </w:r>
          </w:p>
        </w:tc>
      </w:tr>
      <w:tr>
        <w:tc>
          <w:tcPr>
            <w:tcW w:type="dxa" w:w="2126"/>
            <w:vAlign w:val="center"/>
          </w:tcPr>
          <w:p>
            <w:pPr>
              <w:spacing w:line="240" w:lineRule="auto" w:after="20" w:before="20"/>
              <w:jc w:val="center"/>
            </w:pPr>
            <w:r/>
            <w:r>
              <w:rPr>
                <w:rFonts w:ascii="宋体" w:hAnsi="宋体" w:eastAsia="宋体"/>
                <w:sz w:val="21"/>
              </w:rPr>
              <w:t>2021</w:t>
            </w:r>
          </w:p>
        </w:tc>
        <w:tc>
          <w:tcPr>
            <w:tcW w:type="dxa" w:w="2126"/>
            <w:vAlign w:val="center"/>
          </w:tcPr>
          <w:p>
            <w:pPr>
              <w:spacing w:line="240" w:lineRule="auto" w:after="20" w:before="20"/>
              <w:jc w:val="center"/>
            </w:pPr>
            <w:r/>
            <w:r>
              <w:rPr>
                <w:rFonts w:ascii="宋体" w:hAnsi="宋体" w:eastAsia="宋体"/>
                <w:sz w:val="21"/>
              </w:rPr>
              <w:t>0.353</w:t>
            </w:r>
          </w:p>
        </w:tc>
        <w:tc>
          <w:tcPr>
            <w:tcW w:type="dxa" w:w="2126"/>
            <w:vAlign w:val="center"/>
          </w:tcPr>
          <w:p>
            <w:pPr>
              <w:spacing w:line="240" w:lineRule="auto" w:after="20" w:before="20"/>
              <w:jc w:val="center"/>
            </w:pPr>
            <w:r/>
            <w:r>
              <w:rPr>
                <w:rFonts w:ascii="宋体" w:hAnsi="宋体" w:eastAsia="宋体"/>
                <w:sz w:val="21"/>
              </w:rPr>
              <w:t>28.9</w:t>
            </w:r>
          </w:p>
        </w:tc>
        <w:tc>
          <w:tcPr>
            <w:tcW w:type="dxa" w:w="2126"/>
            <w:vAlign w:val="center"/>
          </w:tcPr>
          <w:p>
            <w:pPr>
              <w:spacing w:line="240" w:lineRule="auto" w:after="20" w:before="20"/>
              <w:jc w:val="center"/>
            </w:pPr>
            <w:r/>
            <w:r>
              <w:rPr>
                <w:rFonts w:ascii="宋体" w:hAnsi="宋体" w:eastAsia="宋体"/>
                <w:sz w:val="21"/>
              </w:rPr>
              <w:t>0.720</w:t>
            </w:r>
          </w:p>
        </w:tc>
      </w:tr>
      <w:tr>
        <w:tc>
          <w:tcPr>
            <w:tcW w:type="dxa" w:w="2126"/>
            <w:vAlign w:val="center"/>
          </w:tcPr>
          <w:p>
            <w:pPr>
              <w:spacing w:line="240" w:lineRule="auto" w:after="20" w:before="20"/>
              <w:jc w:val="center"/>
            </w:pPr>
            <w:r/>
            <w:r>
              <w:rPr>
                <w:rFonts w:ascii="宋体" w:hAnsi="宋体" w:eastAsia="宋体"/>
                <w:sz w:val="21"/>
              </w:rPr>
              <w:t>2023</w:t>
            </w:r>
          </w:p>
        </w:tc>
        <w:tc>
          <w:tcPr>
            <w:tcW w:type="dxa" w:w="2126"/>
            <w:vAlign w:val="center"/>
          </w:tcPr>
          <w:p>
            <w:pPr>
              <w:spacing w:line="240" w:lineRule="auto" w:after="20" w:before="20"/>
              <w:jc w:val="center"/>
            </w:pPr>
            <w:r/>
            <w:r>
              <w:rPr>
                <w:rFonts w:ascii="宋体" w:hAnsi="宋体" w:eastAsia="宋体"/>
                <w:sz w:val="21"/>
              </w:rPr>
              <w:t>0.314</w:t>
            </w:r>
          </w:p>
        </w:tc>
        <w:tc>
          <w:tcPr>
            <w:tcW w:type="dxa" w:w="2126"/>
            <w:vAlign w:val="center"/>
          </w:tcPr>
          <w:p>
            <w:pPr>
              <w:spacing w:line="240" w:lineRule="auto" w:after="20" w:before="20"/>
              <w:jc w:val="center"/>
            </w:pPr>
            <w:r/>
            <w:r>
              <w:rPr>
                <w:rFonts w:ascii="宋体" w:hAnsi="宋体" w:eastAsia="宋体"/>
                <w:sz w:val="21"/>
              </w:rPr>
              <w:t>25.0</w:t>
            </w:r>
          </w:p>
        </w:tc>
        <w:tc>
          <w:tcPr>
            <w:tcW w:type="dxa" w:w="2126"/>
            <w:vAlign w:val="center"/>
          </w:tcPr>
          <w:p>
            <w:pPr>
              <w:spacing w:line="240" w:lineRule="auto" w:after="20" w:before="20"/>
              <w:jc w:val="center"/>
            </w:pPr>
            <w:r/>
            <w:r>
              <w:rPr>
                <w:rFonts w:ascii="宋体" w:hAnsi="宋体" w:eastAsia="宋体"/>
                <w:sz w:val="21"/>
              </w:rPr>
              <w:t>0.795</w:t>
            </w:r>
          </w:p>
        </w:tc>
      </w:tr>
    </w:tbl>
    <w:p>
      <w:pPr>
        <w:spacing w:after="200" w:line="240" w:lineRule="auto"/>
      </w:pPr>
      <w:r>
        <w:rPr>
          <w:rFonts w:ascii="宋体" w:hAnsi="宋体" w:eastAsia="宋体"/>
          <w:sz w:val="18"/>
        </w:rPr>
        <w:t>注：综合错配指数为极差标准化后的全国均值，取值越大表示错配越严重；反事实TFP提升为按式(6-6)—(6-7)估计的消除错配后总量TFP的潜在提升幅度；要素配置效率ACE=1−标准化综合错配。</w:t>
      </w:r>
    </w:p>
    <w:p>
      <w:pPr>
        <w:keepNext/>
        <w:spacing w:before="160" w:after="120" w:line="360" w:lineRule="auto"/>
      </w:pPr>
      <w:r>
        <w:rPr>
          <w:rFonts w:ascii="黑体" w:hAnsi="黑体" w:eastAsia="黑体"/>
          <w:sz w:val="24"/>
        </w:rPr>
        <w:t>6.4.1  分要素的损失分解</w:t>
      </w:r>
    </w:p>
    <w:p>
      <w:pPr>
        <w:spacing w:line="360" w:lineRule="auto" w:after="0"/>
        <w:ind w:firstLineChars="200" w:firstLine="480"/>
        <w:jc w:val="both"/>
      </w:pPr>
      <w:r>
        <w:rPr>
          <w:rFonts w:ascii="宋体" w:hAnsi="宋体" w:eastAsia="宋体"/>
          <w:sz w:val="24"/>
        </w:rPr>
        <w:t>总量损失可以进一步分解到单一要素，以判别哪一类要素的错配对生产率损失贡献更大。本章的分要素测算表明，仅消除资本错配即可使全要素生产率提升约25.0%，而仅消除劳动力错配可使全要素生产率提升约22.3%；前者高于后者，意味着资本错配对总量生产率损失的贡献大于劳动力错配。这一结构性结论与6.3节"资本错配水平高于劳动力错配"的事实彼此呼应，也与国内外文献的主流判断相符：金融摩擦与资本市场分割是中国资源错配的首要来源（Wu，2018；Midrigan和Xu，2014）。表6.2报告了分要素的反事实TFP提升。</w:t>
      </w:r>
    </w:p>
    <w:p>
      <w:pPr>
        <w:keepNext/>
        <w:spacing w:before="160" w:after="40"/>
        <w:jc w:val="center"/>
      </w:pPr>
      <w:r>
        <w:rPr>
          <w:rFonts w:ascii="黑体" w:hAnsi="黑体" w:eastAsia="黑体"/>
          <w:sz w:val="21"/>
        </w:rPr>
        <w:t>表6.2  分要素的反事实全要素生产率提升</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835"/>
        <w:gridCol w:w="2835"/>
        <w:gridCol w:w="2835"/>
      </w:tblGrid>
      <w:tr>
        <w:tc>
          <w:tcPr>
            <w:tcW w:type="dxa" w:w="2835"/>
            <w:vAlign w:val="center"/>
            <w:tcBorders>
              <w:bottom w:val="single" w:sz="6" w:color="000000"/>
            </w:tcBorders>
          </w:tcPr>
          <w:p>
            <w:pPr>
              <w:spacing w:line="240" w:lineRule="auto" w:after="20" w:before="20"/>
              <w:jc w:val="center"/>
            </w:pPr>
            <w:r/>
            <w:r>
              <w:rPr>
                <w:rFonts w:ascii="宋体" w:hAnsi="宋体" w:eastAsia="宋体"/>
                <w:b/>
                <w:sz w:val="21"/>
              </w:rPr>
              <w:t>错配来源</w:t>
            </w:r>
          </w:p>
        </w:tc>
        <w:tc>
          <w:tcPr>
            <w:tcW w:type="dxa" w:w="2835"/>
            <w:vAlign w:val="center"/>
            <w:tcBorders>
              <w:bottom w:val="single" w:sz="6" w:color="000000"/>
            </w:tcBorders>
          </w:tcPr>
          <w:p>
            <w:pPr>
              <w:spacing w:line="240" w:lineRule="auto" w:after="20" w:before="20"/>
              <w:jc w:val="center"/>
            </w:pPr>
            <w:r/>
            <w:r>
              <w:rPr>
                <w:rFonts w:ascii="宋体" w:hAnsi="宋体" w:eastAsia="宋体"/>
                <w:b/>
                <w:sz w:val="21"/>
              </w:rPr>
              <w:t>反事实TFP提升(%)</w:t>
            </w:r>
          </w:p>
        </w:tc>
        <w:tc>
          <w:tcPr>
            <w:tcW w:type="dxa" w:w="2835"/>
            <w:vAlign w:val="center"/>
            <w:tcBorders>
              <w:bottom w:val="single" w:sz="6" w:color="000000"/>
            </w:tcBorders>
          </w:tcPr>
          <w:p>
            <w:pPr>
              <w:spacing w:line="240" w:lineRule="auto" w:after="20" w:before="20"/>
              <w:jc w:val="center"/>
            </w:pPr>
            <w:r/>
            <w:r>
              <w:rPr>
                <w:rFonts w:ascii="宋体" w:hAnsi="宋体" w:eastAsia="宋体"/>
                <w:b/>
                <w:sz w:val="21"/>
              </w:rPr>
              <w:t>主要制度成因</w:t>
            </w:r>
          </w:p>
        </w:tc>
      </w:tr>
      <w:tr>
        <w:tc>
          <w:tcPr>
            <w:tcW w:type="dxa" w:w="2835"/>
            <w:vAlign w:val="center"/>
          </w:tcPr>
          <w:p>
            <w:pPr>
              <w:spacing w:line="240" w:lineRule="auto" w:after="20" w:before="20"/>
              <w:jc w:val="center"/>
            </w:pPr>
            <w:r/>
            <w:r>
              <w:rPr>
                <w:rFonts w:ascii="宋体" w:hAnsi="宋体" w:eastAsia="宋体"/>
                <w:sz w:val="21"/>
              </w:rPr>
              <w:t>资本错配</w:t>
            </w:r>
          </w:p>
        </w:tc>
        <w:tc>
          <w:tcPr>
            <w:tcW w:type="dxa" w:w="2835"/>
            <w:vAlign w:val="center"/>
          </w:tcPr>
          <w:p>
            <w:pPr>
              <w:spacing w:line="240" w:lineRule="auto" w:after="20" w:before="20"/>
              <w:jc w:val="center"/>
            </w:pPr>
            <w:r/>
            <w:r>
              <w:rPr>
                <w:rFonts w:ascii="宋体" w:hAnsi="宋体" w:eastAsia="宋体"/>
                <w:sz w:val="21"/>
              </w:rPr>
              <w:t>25.0</w:t>
            </w:r>
          </w:p>
        </w:tc>
        <w:tc>
          <w:tcPr>
            <w:tcW w:type="dxa" w:w="2835"/>
            <w:vAlign w:val="center"/>
          </w:tcPr>
          <w:p>
            <w:pPr>
              <w:spacing w:line="240" w:lineRule="auto" w:after="20" w:before="20"/>
              <w:jc w:val="left"/>
            </w:pPr>
            <w:r/>
            <w:r>
              <w:rPr>
                <w:rFonts w:ascii="宋体" w:hAnsi="宋体" w:eastAsia="宋体"/>
                <w:sz w:val="21"/>
              </w:rPr>
              <w:t>金融属地化、信贷软约束、以土地房产为抵押的资本沉淀</w:t>
            </w:r>
          </w:p>
        </w:tc>
      </w:tr>
      <w:tr>
        <w:tc>
          <w:tcPr>
            <w:tcW w:type="dxa" w:w="2835"/>
            <w:vAlign w:val="center"/>
          </w:tcPr>
          <w:p>
            <w:pPr>
              <w:spacing w:line="240" w:lineRule="auto" w:after="20" w:before="20"/>
              <w:jc w:val="center"/>
            </w:pPr>
            <w:r/>
            <w:r>
              <w:rPr>
                <w:rFonts w:ascii="宋体" w:hAnsi="宋体" w:eastAsia="宋体"/>
                <w:sz w:val="21"/>
              </w:rPr>
              <w:t>劳动力错配</w:t>
            </w:r>
          </w:p>
        </w:tc>
        <w:tc>
          <w:tcPr>
            <w:tcW w:type="dxa" w:w="2835"/>
            <w:vAlign w:val="center"/>
          </w:tcPr>
          <w:p>
            <w:pPr>
              <w:spacing w:line="240" w:lineRule="auto" w:after="20" w:before="20"/>
              <w:jc w:val="center"/>
            </w:pPr>
            <w:r/>
            <w:r>
              <w:rPr>
                <w:rFonts w:ascii="宋体" w:hAnsi="宋体" w:eastAsia="宋体"/>
                <w:sz w:val="21"/>
              </w:rPr>
              <w:t>22.3</w:t>
            </w:r>
          </w:p>
        </w:tc>
        <w:tc>
          <w:tcPr>
            <w:tcW w:type="dxa" w:w="2835"/>
            <w:vAlign w:val="center"/>
          </w:tcPr>
          <w:p>
            <w:pPr>
              <w:spacing w:line="240" w:lineRule="auto" w:after="20" w:before="20"/>
              <w:jc w:val="left"/>
            </w:pPr>
            <w:r/>
            <w:r>
              <w:rPr>
                <w:rFonts w:ascii="宋体" w:hAnsi="宋体" w:eastAsia="宋体"/>
                <w:sz w:val="21"/>
              </w:rPr>
              <w:t>户籍管制、社保属地化、方言—文化与迁移壁垒</w:t>
            </w:r>
          </w:p>
        </w:tc>
      </w:tr>
    </w:tbl>
    <w:p>
      <w:pPr>
        <w:spacing w:after="200" w:line="240" w:lineRule="auto"/>
      </w:pPr>
      <w:r>
        <w:rPr>
          <w:rFonts w:ascii="宋体" w:hAnsi="宋体" w:eastAsia="宋体"/>
          <w:sz w:val="18"/>
        </w:rPr>
        <w:t>注：数值为仅消除相应单一要素错配、其余要素配置不变时总量TFP的潜在提升幅度；量级与Hsieh-Klenow(2009)一致。</w:t>
      </w:r>
    </w:p>
    <w:p>
      <w:pPr>
        <w:spacing w:line="360" w:lineRule="auto" w:after="0"/>
        <w:ind w:firstLineChars="200" w:firstLine="480"/>
        <w:jc w:val="both"/>
      </w:pPr>
      <w:r>
        <w:rPr>
          <w:rFonts w:ascii="宋体" w:hAnsi="宋体" w:eastAsia="宋体"/>
          <w:sz w:val="24"/>
        </w:rPr>
        <w:t>分要素损失的政策含义是清晰的。资本侧损失居于主导，说明打破金融资源的属地化配置、推进资本要素跨区域自由流动、健全统一的资本市场，是释放错配红利最直接的抓手；近年来企业集团资本的异地配置、资本跨区流动对企业全要素生产率的提升效应，已经从微观层面提供了佐证（胡芊芊等，2022；彭婕和豆建民，2025）。劳动力侧损失虽相对较小，但其纠正对区域协调发展、共同富裕具有更深远的意义，且高度依赖户籍与公共服务体制的深层改革；土地要素方面，用地指标的行政化配置同样造成了不容忽视的效率损失，构成统一大市场建设需要协同推进的又一维度（李勇刚和罗海艳，2017；张少辉和余泳泽，2019）。三类要素的错配互相交织，唯有以统一大市场建设为统领协同推进要素市场化改革，方能系统性地释放其中蕴含的生产率潜能。</w:t>
      </w:r>
    </w:p>
    <w:p>
      <w:pPr>
        <w:spacing w:line="360" w:lineRule="auto" w:after="0"/>
        <w:ind w:firstLineChars="200" w:firstLine="480"/>
        <w:jc w:val="both"/>
      </w:pPr>
      <w:r>
        <w:rPr>
          <w:rFonts w:ascii="宋体" w:hAnsi="宋体" w:eastAsia="宋体"/>
          <w:sz w:val="24"/>
        </w:rPr>
        <w:t>分要素损失的时序变化同样值得关注。伴随资本市场一体化的推进与资本跨区流动的便利化，资本错配对总量损失的贡献虽然仍居首位，但其相对重要性趋于缓慢下降，表明近年来金融改革与统一资本市场建设正在见效；相比之下，劳动力错配的纠正则更为迟缓，反映出户籍、社会保障等基础性制度改革的长期性与复杂性——这些制度不仅涉及要素价格，更牵动公共服务供给、财政事权划分与城乡利益格局，其改革难度远非单纯的市场准入放开可比。这一此消彼长的结构变化提示，未来释放错配红利的重点，应当从相对易于推进的资本要素，逐步、有序地拓展到改革难度更大、但对区域协调与共同富裕意义更深远的劳动力与土地要素（李勇刚和罗海艳，2017；盖庆恩等，2019）。就土地而言，用地指标的行政化配置、地方政府对土地出让的策略性运用，长期造成了不容忽视的配置扭曲，亟需通过建设统一的土地要素市场加以矫正（张少辉和余泳泽，2019；曹婧，2024）；就劳动力而言，则需在户籍、社保与公共服务均等化上持续深化改革，真正打通劳动力跨区、跨城乡自由流动的制度梗阻。</w:t>
      </w:r>
    </w:p>
    <w:p>
      <w:pPr>
        <w:keepNext/>
        <w:spacing w:before="160" w:after="120" w:line="360" w:lineRule="auto"/>
      </w:pPr>
      <w:r>
        <w:rPr>
          <w:rFonts w:ascii="黑体" w:hAnsi="黑体" w:eastAsia="黑体"/>
          <w:sz w:val="28"/>
        </w:rPr>
        <w:t>6.5  要素配置效率的测度与演变</w:t>
      </w:r>
    </w:p>
    <w:p>
      <w:pPr>
        <w:spacing w:line="360" w:lineRule="auto" w:after="0"/>
        <w:ind w:firstLineChars="200" w:firstLine="480"/>
        <w:jc w:val="both"/>
      </w:pPr>
      <w:r>
        <w:rPr>
          <w:rFonts w:ascii="宋体" w:hAnsi="宋体" w:eastAsia="宋体"/>
          <w:sz w:val="24"/>
        </w:rPr>
        <w:t>错配指标从"扭曲"的角度刻画配置状态，而要素配置效率（ACE）则从"效率"的正向角度提供了一个更便于横向比较与纵向追踪的综合尺度。如6.2节所定义，ACE等于1减去标准化的综合错配指数，取值介于0与1之间，越接近1表示地区要素配置越接近有效前沿。作为错配的镜像，ACE不仅便于直观解读，也将在第7章及以后各章中作为统一大市场建设影响要素配置效率的核心被解释变量，因而其测度与演变具有承上启下的意义。</w:t>
      </w:r>
    </w:p>
    <w:p>
      <w:pPr>
        <w:spacing w:line="360" w:lineRule="auto" w:after="0"/>
        <w:ind w:firstLineChars="200" w:firstLine="480"/>
        <w:jc w:val="both"/>
      </w:pPr>
      <w:r>
        <w:rPr>
          <w:rFonts w:ascii="宋体" w:hAnsi="宋体" w:eastAsia="宋体"/>
          <w:sz w:val="24"/>
        </w:rPr>
        <w:t>图6.4刻画了2006—2023年中国要素配置效率的演变轨迹。总体而言，ACE呈现出稳健而持续的上升态势，全国平均的要素配置效率由2006年的0.484提升至2023年的0.795，累计提高约0.311，相对增幅达64.3%。从阶段特征看，2006—2011年ACE稳步爬升，反映市场化改革红利的持续释放；2012年后上升斜率有所加快；而在2020年要素市场化配置改革与2022年全国统一大市场建设全面推进之后，ACE的提升尤为显著，2022—2023年连续跨上新台阶，显示统一大市场建设正在加速改善要素配置效率。</w:t>
      </w:r>
    </w:p>
    <w:p>
      <w:pPr>
        <w:spacing w:before="120" w:after="40"/>
        <w:jc w:val="center"/>
      </w:pPr>
      <w:r>
        <w:drawing>
          <wp:inline xmlns:a="http://schemas.openxmlformats.org/drawingml/2006/main" xmlns:pic="http://schemas.openxmlformats.org/drawingml/2006/picture">
            <wp:extent cx="4320000" cy="2509081"/>
            <wp:docPr id="19" name="Picture 19"/>
            <wp:cNvGraphicFramePr>
              <a:graphicFrameLocks noChangeAspect="1"/>
            </wp:cNvGraphicFramePr>
            <a:graphic>
              <a:graphicData uri="http://schemas.openxmlformats.org/drawingml/2006/picture">
                <pic:pic>
                  <pic:nvPicPr>
                    <pic:cNvPr id="0" name="fig6_4.png"/>
                    <pic:cNvPicPr/>
                  </pic:nvPicPr>
                  <pic:blipFill>
                    <a:blip r:embed="rId27"/>
                    <a:stretch>
                      <a:fillRect/>
                    </a:stretch>
                  </pic:blipFill>
                  <pic:spPr>
                    <a:xfrm>
                      <a:off x="0" y="0"/>
                      <a:ext cx="4320000" cy="2509081"/>
                    </a:xfrm>
                    <a:prstGeom prst="rect"/>
                  </pic:spPr>
                </pic:pic>
              </a:graphicData>
            </a:graphic>
          </wp:inline>
        </w:drawing>
      </w:r>
    </w:p>
    <w:p>
      <w:pPr>
        <w:keepNext w:val="0"/>
        <w:spacing w:after="200"/>
        <w:jc w:val="center"/>
      </w:pPr>
      <w:r>
        <w:rPr>
          <w:rFonts w:ascii="黑体" w:hAnsi="黑体" w:eastAsia="黑体"/>
          <w:sz w:val="21"/>
        </w:rPr>
        <w:t>图6.4  中国要素配置效率的演变（2006—2023）</w:t>
      </w:r>
    </w:p>
    <w:p>
      <w:pPr>
        <w:spacing w:line="360" w:lineRule="auto" w:after="0"/>
        <w:ind w:firstLineChars="200" w:firstLine="480"/>
        <w:jc w:val="both"/>
      </w:pPr>
      <w:r>
        <w:rPr>
          <w:rFonts w:ascii="宋体" w:hAnsi="宋体" w:eastAsia="宋体"/>
          <w:sz w:val="24"/>
        </w:rPr>
        <w:t>ACE的上升与前文错配的下降、TFP损失的收窄构成一枚硬币的两面，三者在数量上严丝合缝：ACE由0.48升至0.80的同时，综合错配指数由0.473降至0.314，反事实TFP提升由41.0%降至25.0%。这种内在一致性并非偶然，而是由测度框架的逻辑所决定——它们都源于同一套要素回报离散度的核算，只是从不同角度加以呈现。这一结果与国内学界关于中国资源再配置效率不断改善、配置效率成为全要素生产率增长重要引擎的判断相互印证（蔡昉，2021；Restuccia和Rogerson，2017）。</w:t>
      </w:r>
    </w:p>
    <w:p>
      <w:pPr>
        <w:spacing w:line="360" w:lineRule="auto" w:after="0"/>
        <w:ind w:firstLineChars="200" w:firstLine="480"/>
        <w:jc w:val="both"/>
      </w:pPr>
      <w:r>
        <w:rPr>
          <w:rFonts w:ascii="宋体" w:hAnsi="宋体" w:eastAsia="宋体"/>
          <w:sz w:val="24"/>
        </w:rPr>
        <w:t>不过，ACE的持续改善并不意味着配置效率已臻理想。首先，2023年约0.80的水平表明，中国要素配置距离"无扭曲"的有效前沿仍有相当距离，消除剩余错配仍可带来可观的生产率提升。其次，ACE的上升在区域间并不均衡，样本期内中西部地区虽实现较快追赶，但配置效率的绝对水平与东部仍有差距，区域协调发展的配置效率维度尚需持续着力。最后，配置效率的进一步提升越来越依赖要素市场基础性制度的深层改革，边际改进的难度趋于上升，这要求统一大市场建设从"降低显性壁垒"转向"统一隐性规则"的更高层次（林毅夫等，2025；刘志彪和孔令池，2021）。</w:t>
      </w:r>
    </w:p>
    <w:p>
      <w:pPr>
        <w:spacing w:line="360" w:lineRule="auto" w:after="0"/>
        <w:ind w:firstLineChars="200" w:firstLine="480"/>
        <w:jc w:val="both"/>
      </w:pPr>
      <w:r>
        <w:rPr>
          <w:rFonts w:ascii="宋体" w:hAnsi="宋体" w:eastAsia="宋体"/>
          <w:sz w:val="24"/>
        </w:rPr>
        <w:t>要素配置效率的改善，其经济含义还可以从"增长质量"的角度进一步阐发。在要素积累驱动的增长模式下，产出的提升主要依赖资本与劳动的持续扩张投入；而当要素报酬递减、投入扩张的空间日益收窄时，增长的可持续性便越来越取决于既有要素能否被更有效地组织与配置。ACE的持续上升，意味着中国经济正逐步从"铺摊子"式的外延扩张，转向"调结构、提效率"的内涵式发展——同样多的资本与劳动，能够被配置到边际回报更高的地区、部门与企业，从而产出更多的增加值。这一转变与高质量发展的内在要求高度契合，也从配置效率的可度量维度，为"新旧动能转换""提高全要素生产率"等宏观判断提供了坚实的微观证据（蔡昉，2021；戴小勇，2021）。可以说，配置效率的改善既是统一大市场建设的直接成果，也是中国经济增长动力转换的一面镜子。</w:t>
      </w:r>
    </w:p>
    <w:p>
      <w:pPr>
        <w:spacing w:line="360" w:lineRule="auto" w:after="0"/>
        <w:ind w:firstLineChars="200" w:firstLine="480"/>
        <w:jc w:val="both"/>
      </w:pPr>
      <w:r>
        <w:rPr>
          <w:rFonts w:ascii="宋体" w:hAnsi="宋体" w:eastAsia="宋体"/>
          <w:sz w:val="24"/>
        </w:rPr>
        <w:t>为检验上述配置效率演变结果的可靠性，本章还从多个角度进行了稳健性核验。其一，改变替代弹性的取值，ACE的绝对水平虽有小幅变动，但其持续上升的趋势与区域相对格局始终保持不变；其二，替换要素弹性的校准方法，由成本份额法改用其他常见设定，结论依然稳健；其三，在剔除个别年份统计口径调整的影响之后，ACE的阶段性加速特征依旧清晰可辨。这些核验一致表明，本章所刻画的"错配下降、效率提升"的基本规律，并不依赖于特定的参数设定或样本处理方式，具有较强的稳健性。这一结论既为把要素配置效率作为后续实证的核心被解释变量提供了信心，也从侧面说明：无论采用何种合理口径，中国要素配置效率在样本期内稳步改善、并与统一大市场建设进程同频共振的判断都是成立的。</w:t>
      </w:r>
    </w:p>
    <w:p>
      <w:pPr>
        <w:keepNext/>
        <w:spacing w:before="160" w:after="120" w:line="360" w:lineRule="auto"/>
      </w:pPr>
      <w:r>
        <w:rPr>
          <w:rFonts w:ascii="黑体" w:hAnsi="黑体" w:eastAsia="黑体"/>
          <w:sz w:val="28"/>
        </w:rPr>
        <w:t>6.6  统一大市场建设与要素错配的初步关联</w:t>
      </w:r>
    </w:p>
    <w:p>
      <w:pPr>
        <w:spacing w:line="360" w:lineRule="auto" w:after="0"/>
        <w:ind w:firstLineChars="200" w:firstLine="480"/>
        <w:jc w:val="both"/>
      </w:pPr>
      <w:r>
        <w:rPr>
          <w:rFonts w:ascii="宋体" w:hAnsi="宋体" w:eastAsia="宋体"/>
          <w:sz w:val="24"/>
        </w:rPr>
        <w:t>本章前几节分别刻画了要素错配、TFP损失与配置效率的时空演变，一个自然的问题随之浮现：这些配置效率的改善，是否与统一大市场建设的推进存在系统性关联？本节利用第5章构建的全国统一大市场建设指数（NUMI），对二者关系作一初步的经验刻画，为第7章的因果识别提供先导性证据。需要说明的是，本节呈现的是相关关系而非因果效应，严格的识别、内生性处理与机制检验将留待后续各章展开。</w:t>
      </w:r>
    </w:p>
    <w:p>
      <w:pPr>
        <w:spacing w:line="360" w:lineRule="auto" w:after="0"/>
        <w:ind w:firstLineChars="200" w:firstLine="480"/>
        <w:jc w:val="both"/>
      </w:pPr>
      <w:r>
        <w:rPr>
          <w:rFonts w:ascii="宋体" w:hAnsi="宋体" w:eastAsia="宋体"/>
          <w:sz w:val="24"/>
        </w:rPr>
        <w:t>图6.3以2023年为截面，将各省份的统一大市场建设水平（NUMI）与其要素错配程度进行匹配。散点清晰地呈现出一条向下倾斜的关系带：NUMI水平越高的省份，其要素错配程度越低。二者之间的简单相关系数约为−0.66，负相关关系在统计上相当显著。这一图景与理论预期高度一致——统一大市场建设通过打破商品与要素市场的行政性分割，畅通要素跨区域流动，压缩了制度性配置楔子及其离散度，从而降低了要素错配、提升了配置效率。</w:t>
      </w:r>
    </w:p>
    <w:p>
      <w:pPr>
        <w:spacing w:before="120" w:after="40"/>
        <w:jc w:val="center"/>
      </w:pPr>
      <w:r>
        <w:drawing>
          <wp:inline xmlns:a="http://schemas.openxmlformats.org/drawingml/2006/main" xmlns:pic="http://schemas.openxmlformats.org/drawingml/2006/picture">
            <wp:extent cx="4140000" cy="3004212"/>
            <wp:docPr id="20" name="Picture 20"/>
            <wp:cNvGraphicFramePr>
              <a:graphicFrameLocks noChangeAspect="1"/>
            </wp:cNvGraphicFramePr>
            <a:graphic>
              <a:graphicData uri="http://schemas.openxmlformats.org/drawingml/2006/picture">
                <pic:pic>
                  <pic:nvPicPr>
                    <pic:cNvPr id="0" name="fig6_3.png"/>
                    <pic:cNvPicPr/>
                  </pic:nvPicPr>
                  <pic:blipFill>
                    <a:blip r:embed="rId28"/>
                    <a:stretch>
                      <a:fillRect/>
                    </a:stretch>
                  </pic:blipFill>
                  <pic:spPr>
                    <a:xfrm>
                      <a:off x="0" y="0"/>
                      <a:ext cx="4140000" cy="3004212"/>
                    </a:xfrm>
                    <a:prstGeom prst="rect"/>
                  </pic:spPr>
                </pic:pic>
              </a:graphicData>
            </a:graphic>
          </wp:inline>
        </w:drawing>
      </w:r>
    </w:p>
    <w:p>
      <w:pPr>
        <w:keepNext w:val="0"/>
        <w:spacing w:after="200"/>
        <w:jc w:val="center"/>
      </w:pPr>
      <w:r>
        <w:rPr>
          <w:rFonts w:ascii="黑体" w:hAnsi="黑体" w:eastAsia="黑体"/>
          <w:sz w:val="21"/>
        </w:rPr>
        <w:t>图6.3  统一大市场建设水平与要素错配程度的关系（2023年）</w:t>
      </w:r>
    </w:p>
    <w:p>
      <w:pPr>
        <w:spacing w:line="360" w:lineRule="auto" w:after="0"/>
        <w:ind w:firstLineChars="200" w:firstLine="480"/>
        <w:jc w:val="both"/>
      </w:pPr>
      <w:r>
        <w:rPr>
          <w:rFonts w:ascii="宋体" w:hAnsi="宋体" w:eastAsia="宋体"/>
          <w:sz w:val="24"/>
        </w:rPr>
        <w:t>从要素类型上进一步观察，NUMI与劳动力错配、资本错配均呈负相关，且与劳动力错配的负相关更强，这与统一大市场建设在劳动力市场一体化（如户籍与社保跨区衔接）方面的直接作用相吻合；而资本市场一体化对资本错配的纠正，则更多通过金融资源跨区配置与企业异地投资等渠道间接实现（倪婷婷和王跃堂，2022；胡芊芊等，2022）。不仅横截面如此，从时序上看，NUMI由2006年的0.373上升至2023年的0.745的过程，恰与同期综合错配指数由0.473降至0.314、ACE持续攀升的过程高度同步，"一升一降"的镜像关系在时间维度上同样成立。</w:t>
      </w:r>
    </w:p>
    <w:p>
      <w:pPr>
        <w:spacing w:line="360" w:lineRule="auto" w:after="0"/>
        <w:ind w:firstLineChars="200" w:firstLine="480"/>
        <w:jc w:val="both"/>
      </w:pPr>
      <w:r>
        <w:rPr>
          <w:rFonts w:ascii="宋体" w:hAnsi="宋体" w:eastAsia="宋体"/>
          <w:sz w:val="24"/>
        </w:rPr>
        <w:t>当然，简单相关可能受到共同趋势、反向因果与遗漏变量的干扰：经济发展水平、数字经济、交通基础设施等因素既可能提升NUMI，也可能独立地改善要素配置。为剥离这些干扰、识别统一大市场建设对要素配置效率的净效应，第7章将以双向固定效应模型为基础展开系统的基准回归，并辅以工具变量与多期双重差分进行因果识别。作为前瞻，本书基准回归（控制全部协变量与双向固定效应）显示，统一大市场建设指数对要素配置效率具有显著为正的影响，其估计系数达到0.831（***，t=14.32），与本节展示的负相关关系在方向上完全一致（刘志彪和孔令池，2021；余泳泽等，2022）。这一先导性证据，为全书核心命题的经验检验奠定了坚实基础。</w:t>
      </w:r>
    </w:p>
    <w:p>
      <w:pPr>
        <w:spacing w:line="360" w:lineRule="auto" w:after="0"/>
        <w:ind w:firstLineChars="200" w:firstLine="480"/>
        <w:jc w:val="both"/>
      </w:pPr>
      <w:r>
        <w:rPr>
          <w:rFonts w:ascii="宋体" w:hAnsi="宋体" w:eastAsia="宋体"/>
          <w:sz w:val="24"/>
        </w:rPr>
        <w:t>统一大市场建设与要素错配的负相关，还可以从其作用渠道上获得进一步的理解。一方面，市场一体化直接畅通了要素的跨区域流动，使资本、劳动等要素得以从边际收益较低的地区流向边际收益较高的地区，从而压缩要素回报的跨区离散、降低错配水平；另一方面，统一的市场制度规则与公平竞争环境，通过强化竞争淘汰机制，促使低效企业退出、高效企业扩张，从企业维度改善了要素的配置结构。这两条渠道——要素流动与竞争淘汰——正是第4章理论框架所刻画的核心传导机制，也将在第8章的机制检验中得到系统的经验考察（倪婷婷和王跃堂，2022；卞元超和白俊红，2021）。除此之外，市场一体化还可能通过激励创新、深化专业化分工等渠道间接改善配置效率，这些更为丰富的机制同样有待后续章节逐一检验。需要再次强调的是，本节的分析止于相关关系的描述；正是这种描述性证据所揭示的稳健规律，构成了推动全书从"测度—关联"迈向"识别—机制"的经验起点。</w:t>
      </w:r>
    </w:p>
    <w:p>
      <w:pPr>
        <w:keepNext/>
        <w:spacing w:before="160" w:after="120" w:line="360" w:lineRule="auto"/>
      </w:pPr>
      <w:r>
        <w:rPr>
          <w:rFonts w:ascii="黑体" w:hAnsi="黑体" w:eastAsia="黑体"/>
          <w:sz w:val="28"/>
        </w:rPr>
        <w:t>6.7  本章小结</w:t>
      </w:r>
    </w:p>
    <w:p>
      <w:pPr>
        <w:spacing w:line="360" w:lineRule="auto" w:after="0"/>
        <w:ind w:firstLineChars="200" w:firstLine="480"/>
        <w:jc w:val="both"/>
      </w:pPr>
      <w:r>
        <w:rPr>
          <w:rFonts w:ascii="宋体" w:hAnsi="宋体" w:eastAsia="宋体"/>
          <w:sz w:val="24"/>
        </w:rPr>
        <w:t>本章在Hsieh-Klenow框架下，系统测度了中国要素错配的程度、时空演变及其造成的全要素生产率损失，并刻画了要素配置效率的演进与其同统一大市场建设的初步关联。主要发现可归纳为四点。</w:t>
      </w:r>
    </w:p>
    <w:p>
      <w:pPr>
        <w:spacing w:line="360" w:lineRule="auto"/>
        <w:ind w:firstLineChars="200" w:firstLine="480"/>
      </w:pPr>
      <w:r>
        <w:rPr>
          <w:rFonts w:ascii="宋体" w:hAnsi="宋体" w:eastAsia="宋体"/>
          <w:sz w:val="24"/>
        </w:rPr>
        <w:t>第一，要素错配持续下降且资本重于劳动。全国综合错配指数由2006年的0.473降至2023年的0.314，累计下降约33.5%；在整个样本期内，资本错配水平始终高于劳动力错配，金融属地化与资本市场分割是中国要素错配的首要来源。</w:t>
      </w:r>
    </w:p>
    <w:p>
      <w:pPr>
        <w:spacing w:line="360" w:lineRule="auto"/>
        <w:ind w:firstLineChars="200" w:firstLine="480"/>
      </w:pPr>
      <w:r>
        <w:rPr>
          <w:rFonts w:ascii="宋体" w:hAnsi="宋体" w:eastAsia="宋体"/>
          <w:sz w:val="24"/>
        </w:rPr>
        <w:t>第二，错配造成的TFP损失量级可观但趋于收窄。消除全部错配的反事实TFP提升由2006年的约41.0%降至2023年的约25.0%，与Hsieh和Klenow（2009）估计的30%~50%量级一致；分要素看，消除资本错配可使TFP提升约25.0%，高于劳动力错配的约22.3%。</w:t>
      </w:r>
    </w:p>
    <w:p>
      <w:pPr>
        <w:spacing w:line="360" w:lineRule="auto"/>
        <w:ind w:firstLineChars="200" w:firstLine="480"/>
      </w:pPr>
      <w:r>
        <w:rPr>
          <w:rFonts w:ascii="宋体" w:hAnsi="宋体" w:eastAsia="宋体"/>
          <w:sz w:val="24"/>
        </w:rPr>
        <w:t>第三，要素配置效率稳步提升但仍有空间。ACE由2006年的0.484升至2023年的0.795，且在2020年、2022年改革节点后加速改善；但2023年约0.80的水平表明，配置效率距有效前沿仍有距离，区域间也不均衡。</w:t>
      </w:r>
    </w:p>
    <w:p>
      <w:pPr>
        <w:spacing w:line="360" w:lineRule="auto"/>
        <w:ind w:firstLineChars="200" w:firstLine="480"/>
      </w:pPr>
      <w:r>
        <w:rPr>
          <w:rFonts w:ascii="宋体" w:hAnsi="宋体" w:eastAsia="宋体"/>
          <w:sz w:val="24"/>
        </w:rPr>
        <w:t>第四，统一大市场建设与要素错配显著负相关。2023年截面上NUMI与错配的相关系数约为−0.66，时序上"NUMI升、错配降"的镜像关系稳健，基准回归进一步显示统一大市场建设对配置效率具有显著正向影响，为后续因果识别提供了先导证据。</w:t>
      </w:r>
    </w:p>
    <w:p>
      <w:pPr>
        <w:spacing w:line="360" w:lineRule="auto" w:after="0"/>
        <w:ind w:firstLineChars="200" w:firstLine="480"/>
        <w:jc w:val="both"/>
      </w:pPr>
      <w:r>
        <w:rPr>
          <w:rFonts w:ascii="宋体" w:hAnsi="宋体" w:eastAsia="宋体"/>
          <w:sz w:val="24"/>
        </w:rPr>
        <w:t>综合而言，本章为全书搭建了从"统一大市场建设"到"要素配置效率"的测度桥梁：它一方面提供了要素错配、反事实TFP损失与要素配置效率三套彼此一致的被解释变量指标，刻画了其"错配下降—损失收窄—效率提升"的总体规律与"资本重于劳动、西部高于东部、区域趋于收敛"的结构特征；另一方面，通过统一大市场建设与要素错配的初步关联分析，为第4章理论命题提供了描述性经验支持，也为第7章的因果识别铺平了道路。需要指出的是，本章基于省级面板的测度以牺牲企业内部异质性为代价，可能低估真实错配水平，其绝对量级应审慎解读；但错配随时间下降、且与统一大市场建设负相关的基本结论是稳健的。在此基础上，第7章将正式检验统一大市场建设影响要素配置效率的因果效应，并在第8、9章深入考察其作用机制、异质性与更广泛的经济效应，从而将本章的"测度—关联"推进为严谨的"识别—机制"分析。</w:t>
      </w:r>
    </w:p>
    <w:p>
      <w:r>
        <w:br w:type="page"/>
      </w:r>
    </w:p>
    <w:p>
      <w:pPr>
        <w:keepNext/>
        <w:spacing w:before="240" w:after="160" w:line="360" w:lineRule="auto"/>
        <w:jc w:val="center"/>
      </w:pPr>
      <w:r>
        <w:rPr>
          <w:rFonts w:ascii="黑体" w:hAnsi="黑体" w:eastAsia="黑体"/>
          <w:b/>
          <w:sz w:val="30"/>
        </w:rPr>
        <w:t>第7章  全国统一大市场建设影响要素配置效率的基准实证</w:t>
      </w:r>
    </w:p>
    <w:p>
      <w:pPr>
        <w:spacing w:line="360" w:lineRule="auto" w:after="0"/>
        <w:ind w:firstLineChars="200" w:firstLine="480"/>
        <w:jc w:val="both"/>
      </w:pPr>
      <w:r>
        <w:rPr>
          <w:rFonts w:ascii="宋体" w:hAnsi="宋体" w:eastAsia="宋体"/>
          <w:sz w:val="24"/>
        </w:rPr>
        <w:t>第5章构建了全国统一大市场建设指数（NUMI）并刻画了其时空演变格局，第6章测度了劳动力、资本、土地等要素的错配程度并估计了要素错配造成的全要素生产率损失。这两章分别从"制度"与"效率"两端提供了核心变量：一端是可观测的统一大市场建设水平，另一端是可核算的要素配置效率。在完成变量测度之后，本书研究的重心便由"是什么、有多少"转向"有没有关系、关系有多大"这一实证命题。本章的任务，正是以省级面板数据为基础，运用双向固定效应模型对第4章理论框架提出的核心命题——统一大市场建设水平提升会显著改善要素配置效率——进行基准检验，刻画二者关系的方向、大小与统计可靠性，并通过分维度分解与多重稳健性检验，勾勒出一幅可信的经验图景，为后续第8章的机制与异质性分析、第9章的因果识别与经济效应拓展奠定基础。</w:t>
      </w:r>
    </w:p>
    <w:p>
      <w:pPr>
        <w:spacing w:line="360" w:lineRule="auto" w:after="0"/>
        <w:ind w:firstLineChars="200" w:firstLine="480"/>
        <w:jc w:val="both"/>
      </w:pPr>
      <w:r>
        <w:rPr>
          <w:rFonts w:ascii="宋体" w:hAnsi="宋体" w:eastAsia="宋体"/>
          <w:sz w:val="24"/>
        </w:rPr>
        <w:t>需要事先说明本章在全书识别策略中的定位。基准回归以双向固定效应模型为主力，其核心贡献在于剥离不随时间变化的地区固有异质性与影响全部地区的共同时间冲击，从而在"省份内、逐年度"的变异上识别统一大市场建设与要素配置效率的条件相关关系。这一策略能够排除大量潜在混淆因素，但尚不足以完全消除双向因果与随时间变化的遗漏变量所带来的内生性隐患。因此，本章的定位是"基准与稳健"，重在给出稳健、可复现的条件相关证据；而真正诉诸外生冲击的因果识别——包括基于历史地理与Bartik思路的工具变量法、以2022年《意见》，2022为准自然实验的多期双重差分法——将在第9章系统展开。二者层层递进、相互印证，共同支撑本书的核心结论。</w:t>
      </w:r>
    </w:p>
    <w:p>
      <w:pPr>
        <w:keepNext/>
        <w:spacing w:before="160" w:after="120" w:line="360" w:lineRule="auto"/>
      </w:pPr>
      <w:r>
        <w:rPr>
          <w:rFonts w:ascii="黑体" w:hAnsi="黑体" w:eastAsia="黑体"/>
          <w:sz w:val="28"/>
        </w:rPr>
        <w:t>7.1  计量模型设定</w:t>
      </w:r>
    </w:p>
    <w:p>
      <w:pPr>
        <w:keepNext/>
        <w:spacing w:before="160" w:after="120" w:line="360" w:lineRule="auto"/>
      </w:pPr>
      <w:r>
        <w:rPr>
          <w:rFonts w:ascii="黑体" w:hAnsi="黑体" w:eastAsia="黑体"/>
          <w:sz w:val="24"/>
        </w:rPr>
        <w:t>7.1.1  基准回归方程</w:t>
      </w:r>
    </w:p>
    <w:p>
      <w:pPr>
        <w:spacing w:line="360" w:lineRule="auto" w:after="0"/>
        <w:ind w:firstLineChars="200" w:firstLine="480"/>
        <w:jc w:val="both"/>
      </w:pPr>
      <w:r>
        <w:rPr>
          <w:rFonts w:ascii="宋体" w:hAnsi="宋体" w:eastAsia="宋体"/>
          <w:sz w:val="24"/>
        </w:rPr>
        <w:t>为识别全国统一大市场建设对要素配置效率的影响，本章设定如下双向固定效应（two-way fixed effects）面板回归模型作为基准：</w:t>
      </w:r>
    </w:p>
    <w:p>
      <w:pPr>
        <w:tabs>
          <w:tab w:pos="4252" w:val="center"/>
          <w:tab w:pos="8504" w:val="right"/>
        </w:tabs>
        <w:spacing w:line="360" w:lineRule="auto" w:before="80" w:after="80"/>
      </w:pPr>
      <w:r>
        <w:tab/>
      </w:r>
      <m:oMath>
        <m:r>
          <m:t>A</m:t>
        </m:r>
        <m:r>
          <m:t>C</m:t>
        </m:r>
        <m:sSub>
          <m:e>
            <m:r>
              <m:t>E</m:t>
            </m:r>
          </m:e>
          <m:sub>
            <m:r>
              <m:t>i</m:t>
            </m:r>
            <m:r>
              <m:t>t</m:t>
            </m:r>
          </m:sub>
        </m:sSub>
        <m:r>
          <m:rPr>
            <m:sty m:val="p"/>
          </m:rPr>
          <m:t>=</m:t>
        </m:r>
        <m:r>
          <m:t>α</m:t>
        </m:r>
        <m:r>
          <m:rPr>
            <m:sty m:val="p"/>
          </m:rPr>
          <m:t>+</m:t>
        </m:r>
        <m:r>
          <m:t>β</m:t>
        </m:r>
        <m:r>
          <m:t> </m:t>
        </m:r>
        <m:r>
          <m:t>N</m:t>
        </m:r>
        <m:r>
          <m:t>U</m:t>
        </m:r>
        <m:r>
          <m:t>M</m:t>
        </m:r>
        <m:sSub>
          <m:e>
            <m:r>
              <m:t>I</m:t>
            </m:r>
          </m:e>
          <m:sub>
            <m:r>
              <m:t>i</m:t>
            </m:r>
            <m:r>
              <m:t>t</m:t>
            </m:r>
          </m:sub>
        </m:sSub>
        <m:r>
          <m:rPr>
            <m:sty m:val="p"/>
          </m:rPr>
          <m:t>+</m:t>
        </m:r>
        <m:r>
          <m:t>γ</m:t>
        </m:r>
        <m:sSub>
          <m:e>
            <m: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w:r>
        <w:tab/>
      </w:r>
      <w:r>
        <w:rPr>
          <w:rFonts w:ascii="Times New Roman" w:hAnsi="Times New Roman" w:eastAsia="宋体"/>
          <w:sz w:val="24"/>
        </w:rPr>
        <w:t>(7-1)</w:t>
      </w:r>
    </w:p>
    <w:p>
      <w:pPr>
        <w:spacing w:line="360" w:lineRule="auto" w:after="0"/>
        <w:jc w:val="both"/>
      </w:pPr>
      <w:r>
        <w:rPr>
          <w:rFonts w:ascii="宋体" w:hAnsi="宋体" w:eastAsia="宋体"/>
          <w:sz w:val="24"/>
        </w:rPr>
        <w:t xml:space="preserve">其中，下标 </w:t>
      </w:r>
      <m:oMath>
        <m:r>
          <m:t>i</m:t>
        </m:r>
      </m:oMath>
      <w:r>
        <w:rPr>
          <w:rFonts w:ascii="宋体" w:hAnsi="宋体" w:eastAsia="宋体"/>
          <w:sz w:val="24"/>
        </w:rPr>
        <w:t xml:space="preserve"> 表示省级行政区（</w:t>
      </w:r>
      <m:oMath>
        <m:r>
          <m:t>i</m:t>
        </m:r>
        <m:r>
          <m:rPr>
            <m:sty m:val="p"/>
          </m:rPr>
          <m:t>=</m:t>
        </m:r>
        <m:r>
          <m:t>1</m:t>
        </m:r>
        <m:r>
          <m:rPr>
            <m:sty m:val="p"/>
          </m:rPr>
          <m:t>,</m:t>
        </m:r>
        <m:r>
          <m:rPr>
            <m:sty m:val="p"/>
          </m:rPr>
          <m:t>…</m:t>
        </m:r>
        <m:r>
          <m:rPr>
            <m:sty m:val="p"/>
          </m:rPr>
          <m:t>,</m:t>
        </m:r>
        <m:r>
          <m:t>31</m:t>
        </m:r>
      </m:oMath>
      <w:r>
        <w:rPr>
          <w:rFonts w:ascii="宋体" w:hAnsi="宋体" w:eastAsia="宋体"/>
          <w:sz w:val="24"/>
        </w:rPr>
        <w:t>），</w:t>
      </w:r>
      <m:oMath>
        <m:r>
          <m:t>t</m:t>
        </m:r>
      </m:oMath>
      <w:r>
        <w:rPr>
          <w:rFonts w:ascii="宋体" w:hAnsi="宋体" w:eastAsia="宋体"/>
          <w:sz w:val="24"/>
        </w:rPr>
        <w:t xml:space="preserve"> 表示年份（</w:t>
      </w:r>
      <m:oMath>
        <m:r>
          <m:t>t</m:t>
        </m:r>
        <m:r>
          <m:rPr>
            <m:sty m:val="p"/>
          </m:rPr>
          <m:t>=</m:t>
        </m:r>
        <m:r>
          <m:t>2006</m:t>
        </m:r>
        <m:r>
          <m:rPr>
            <m:sty m:val="p"/>
          </m:rPr>
          <m:t>,</m:t>
        </m:r>
        <m:r>
          <m:rPr>
            <m:sty m:val="p"/>
          </m:rPr>
          <m:t>…</m:t>
        </m:r>
        <m:r>
          <m:rPr>
            <m:sty m:val="p"/>
          </m:rPr>
          <m:t>,</m:t>
        </m:r>
        <m:r>
          <m:t>2023</m:t>
        </m:r>
      </m:oMath>
      <w:r>
        <w:rPr>
          <w:rFonts w:ascii="宋体" w:hAnsi="宋体" w:eastAsia="宋体"/>
          <w:sz w:val="24"/>
        </w:rPr>
        <w:t>）；</w:t>
      </w:r>
      <m:oMath>
        <m:r>
          <m:t>A</m:t>
        </m:r>
        <m:r>
          <m:t>C</m:t>
        </m:r>
        <m:sSub>
          <m:e>
            <m:r>
              <m:t>E</m:t>
            </m:r>
          </m:e>
          <m:sub>
            <m:r>
              <m:t>i</m:t>
            </m:r>
            <m:r>
              <m:t>t</m:t>
            </m:r>
          </m:sub>
        </m:sSub>
      </m:oMath>
      <w:r>
        <w:rPr>
          <w:rFonts w:ascii="宋体" w:hAnsi="宋体" w:eastAsia="宋体"/>
          <w:sz w:val="24"/>
        </w:rPr>
        <w:t xml:space="preserve"> 为被解释变量，即 </w:t>
      </w:r>
      <m:oMath>
        <m:r>
          <m:t>i</m:t>
        </m:r>
      </m:oMath>
      <w:r>
        <w:rPr>
          <w:rFonts w:ascii="宋体" w:hAnsi="宋体" w:eastAsia="宋体"/>
          <w:sz w:val="24"/>
        </w:rPr>
        <w:t xml:space="preserve"> 省 </w:t>
      </w:r>
      <m:oMath>
        <m:r>
          <m:t>t</m:t>
        </m:r>
      </m:oMath>
      <w:r>
        <w:rPr>
          <w:rFonts w:ascii="宋体" w:hAnsi="宋体" w:eastAsia="宋体"/>
          <w:sz w:val="24"/>
        </w:rPr>
        <w:t xml:space="preserve"> 年的要素配置效率；</w:t>
      </w:r>
      <m:oMath>
        <m:r>
          <m:t>N</m:t>
        </m:r>
        <m:r>
          <m:t>U</m:t>
        </m:r>
        <m:r>
          <m:t>M</m:t>
        </m:r>
        <m:sSub>
          <m:e>
            <m:r>
              <m:t>I</m:t>
            </m:r>
          </m:e>
          <m:sub>
            <m:r>
              <m:t>i</m:t>
            </m:r>
            <m:r>
              <m:t>t</m:t>
            </m:r>
          </m:sub>
        </m:sSub>
      </m:oMath>
      <w:r>
        <w:rPr>
          <w:rFonts w:ascii="宋体" w:hAnsi="宋体" w:eastAsia="宋体"/>
          <w:sz w:val="24"/>
        </w:rPr>
        <w:t xml:space="preserve"> 为核心解释变量，即统一大市场建设指数；</w:t>
      </w:r>
      <m:oMath>
        <m:sSub>
          <m:e>
            <m:r>
              <m:t>X</m:t>
            </m:r>
          </m:e>
          <m:sub>
            <m:r>
              <m:t>i</m:t>
            </m:r>
            <m:r>
              <m:t>t</m:t>
            </m:r>
          </m:sub>
        </m:sSub>
      </m:oMath>
      <w:r>
        <w:rPr>
          <w:rFonts w:ascii="宋体" w:hAnsi="宋体" w:eastAsia="宋体"/>
          <w:sz w:val="24"/>
        </w:rPr>
        <w:t xml:space="preserve"> 为一组随时间变化的省级控制变量向量；</w:t>
      </w:r>
      <m:oMath>
        <m:sSub>
          <m:e>
            <m:r>
              <m:t>μ</m:t>
            </m:r>
          </m:e>
          <m:sub>
            <m:r>
              <m:t>i</m:t>
            </m:r>
          </m:sub>
        </m:sSub>
      </m:oMath>
      <w:r>
        <w:rPr>
          <w:rFonts w:ascii="宋体" w:hAnsi="宋体" w:eastAsia="宋体"/>
          <w:sz w:val="24"/>
        </w:rPr>
        <w:t xml:space="preserve"> 为省份固定效应，</w:t>
      </w:r>
      <m:oMath>
        <m:sSub>
          <m:e>
            <m:r>
              <m:t>λ</m:t>
            </m:r>
          </m:e>
          <m:sub>
            <m:r>
              <m:t>t</m:t>
            </m:r>
          </m:sub>
        </m:sSub>
      </m:oMath>
      <w:r>
        <w:rPr>
          <w:rFonts w:ascii="宋体" w:hAnsi="宋体" w:eastAsia="宋体"/>
          <w:sz w:val="24"/>
        </w:rPr>
        <w:t xml:space="preserve"> 为年份固定效应，</w:t>
      </w:r>
      <m:oMath>
        <m:sSub>
          <m:e>
            <m:r>
              <m:t>ε</m:t>
            </m:r>
          </m:e>
          <m:sub>
            <m:r>
              <m:t>i</m:t>
            </m:r>
            <m:r>
              <m:t>t</m:t>
            </m:r>
          </m:sub>
        </m:sSub>
      </m:oMath>
      <w:r>
        <w:rPr>
          <w:rFonts w:ascii="宋体" w:hAnsi="宋体" w:eastAsia="宋体"/>
          <w:sz w:val="24"/>
        </w:rPr>
        <w:t xml:space="preserve"> 为随机扰动项；</w:t>
      </w:r>
      <m:oMath>
        <m:r>
          <m:t>α</m:t>
        </m:r>
      </m:oMath>
      <w:r>
        <w:rPr>
          <w:rFonts w:ascii="宋体" w:hAnsi="宋体" w:eastAsia="宋体"/>
          <w:sz w:val="24"/>
        </w:rPr>
        <w:t xml:space="preserve"> 为常数项，</w:t>
      </w:r>
      <m:oMath>
        <m:r>
          <m:t>γ</m:t>
        </m:r>
      </m:oMath>
      <w:r>
        <w:rPr>
          <w:rFonts w:ascii="宋体" w:hAnsi="宋体" w:eastAsia="宋体"/>
          <w:sz w:val="24"/>
        </w:rPr>
        <w:t xml:space="preserve"> 为控制变量系数向量。</w:t>
      </w:r>
    </w:p>
    <w:p>
      <w:pPr>
        <w:spacing w:line="360" w:lineRule="auto" w:after="0"/>
        <w:ind w:firstLineChars="200" w:firstLine="480"/>
        <w:jc w:val="both"/>
      </w:pPr>
      <w:r>
        <w:rPr>
          <w:rFonts w:ascii="宋体" w:hAnsi="宋体" w:eastAsia="宋体"/>
          <w:sz w:val="24"/>
        </w:rPr>
        <w:t>方程(7-1)中，</w:t>
      </w:r>
      <m:oMath>
        <m:r>
          <m:t>β</m:t>
        </m:r>
      </m:oMath>
      <w:r>
        <w:rPr>
          <w:rFonts w:ascii="宋体" w:hAnsi="宋体" w:eastAsia="宋体"/>
          <w:sz w:val="24"/>
        </w:rPr>
        <w:t xml:space="preserve"> 是全书最为关注的核心参数，度量在控制其他因素后，统一大市场建设水平每提高一个单位所引致的要素配置效率的平均变动。依据第4章命题1与命题3的理论预期，统一大市场建设通过削减商品市场冰山成本与要素市场流动壁垒、压缩制度性配置楔子的跨地区离散度，进而降低要素错配、提升配置效率，因此本章的基本假说是 </w:t>
      </w:r>
      <m:oMath>
        <m:r>
          <m:t>β</m:t>
        </m:r>
        <m:r>
          <m:rPr>
            <m:sty m:val="p"/>
          </m:rPr>
          <m:t>&gt;</m:t>
        </m:r>
        <m:r>
          <m:t>0</m:t>
        </m:r>
      </m:oMath>
      <w:r>
        <w:rPr>
          <w:rFonts w:ascii="宋体" w:hAnsi="宋体" w:eastAsia="宋体"/>
          <w:sz w:val="24"/>
        </w:rPr>
        <w:t xml:space="preserve"> 且在统计上显著。若数据能够稳健地拒绝"</w:t>
      </w:r>
      <m:oMath>
        <m:r>
          <m:t>β</m:t>
        </m:r>
        <m:r>
          <m:rPr>
            <m:sty m:val="p"/>
          </m:rPr>
          <m:t>=</m:t>
        </m:r>
        <m:r>
          <m:t>0</m:t>
        </m:r>
      </m:oMath>
      <w:r>
        <w:rPr>
          <w:rFonts w:ascii="宋体" w:hAnsi="宋体" w:eastAsia="宋体"/>
          <w:sz w:val="24"/>
        </w:rPr>
        <w:t>"的原假设并给出正的点估计，则构成对本书理论主线的第一重经验支持。</w:t>
      </w:r>
    </w:p>
    <w:p>
      <w:pPr>
        <w:spacing w:line="360" w:lineRule="auto" w:after="0"/>
        <w:ind w:firstLineChars="200" w:firstLine="480"/>
        <w:jc w:val="both"/>
      </w:pPr>
      <w:r>
        <w:rPr>
          <w:rFonts w:ascii="宋体" w:hAnsi="宋体" w:eastAsia="宋体"/>
          <w:sz w:val="24"/>
        </w:rPr>
        <w:t>将(7-1)采用水平值而非增长率或差分形式设定，主要有两点考虑。其一，本书的被解释变量与核心解释变量均为经标准化处理、取值介于0与1之间的构造性指数，其水平值本身即具有明确的经济含义（配置效率的高低、统一市场建设程度的深浅），水平回归的系数便于进行经济显著性的直观解读；其二，双向固定效应设定通过对省份与年份两个维度同时去均值，已在很大程度上吸收了变量的趋势性成分与地区固定水平差异，其识别信息实质上来自"去趋势、去地区均值"之后的组内偏差，这与差分设定在剥离固定异质性上的功能异曲同工，同时避免了差分放大测量误差的弊端。</w:t>
      </w:r>
    </w:p>
    <w:p>
      <w:pPr>
        <w:keepNext/>
        <w:spacing w:before="160" w:after="120" w:line="360" w:lineRule="auto"/>
      </w:pPr>
      <w:r>
        <w:rPr>
          <w:rFonts w:ascii="黑体" w:hAnsi="黑体" w:eastAsia="黑体"/>
          <w:sz w:val="24"/>
        </w:rPr>
        <w:t>7.1.2  固定效应与识别策略</w:t>
      </w:r>
    </w:p>
    <w:p>
      <w:pPr>
        <w:spacing w:line="360" w:lineRule="auto" w:after="0"/>
        <w:ind w:firstLineChars="200" w:firstLine="480"/>
        <w:jc w:val="both"/>
      </w:pPr>
      <w:r>
        <w:rPr>
          <w:rFonts w:ascii="宋体" w:hAnsi="宋体" w:eastAsia="宋体"/>
          <w:sz w:val="24"/>
        </w:rPr>
        <w:t xml:space="preserve">双向固定效应设定是本章识别策略的核心。加入省份固定效应 </w:t>
      </w:r>
      <m:oMath>
        <m:sSub>
          <m:e>
            <m:r>
              <m:t>μ</m:t>
            </m:r>
          </m:e>
          <m:sub>
            <m:r>
              <m:t>i</m:t>
            </m:r>
          </m:sub>
        </m:sSub>
      </m:oMath>
      <w:r>
        <w:rPr>
          <w:rFonts w:ascii="宋体" w:hAnsi="宋体" w:eastAsia="宋体"/>
          <w:sz w:val="24"/>
        </w:rPr>
        <w:t>，可以控制一切不随时间变化的省际差异——例如地理区位、资源禀赋、历史文化传统、行政层级乃至根深蒂固的营商文化等。既有研究表明，这类难以观测的地区固有特征既可能塑造一地的市场分割格局，也可能直接影响其要素配置状况，若不加控制极易造成遗漏变量偏误（高翔和龙小宁，2016；陆铭和陈钊，2009）。省份固定效应的引入，意味着识别不再依赖"广东与甘肃为何不同"这类跨地区横向比较，而是转而利用"同一个省在不同年份之间"的纵向变异，从根本上缓解了截面异质性的干扰。</w:t>
      </w:r>
    </w:p>
    <w:p>
      <w:pPr>
        <w:spacing w:line="360" w:lineRule="auto" w:after="0"/>
        <w:ind w:firstLineChars="200" w:firstLine="480"/>
        <w:jc w:val="both"/>
      </w:pPr>
      <w:r>
        <w:rPr>
          <w:rFonts w:ascii="宋体" w:hAnsi="宋体" w:eastAsia="宋体"/>
          <w:sz w:val="24"/>
        </w:rPr>
        <w:t xml:space="preserve">加入年份固定效应 </w:t>
      </w:r>
      <m:oMath>
        <m:sSub>
          <m:e>
            <m:r>
              <m:t>λ</m:t>
            </m:r>
          </m:e>
          <m:sub>
            <m:r>
              <m:t>t</m:t>
            </m:r>
          </m:sub>
        </m:sSub>
      </m:oMath>
      <w:r>
        <w:rPr>
          <w:rFonts w:ascii="宋体" w:hAnsi="宋体" w:eastAsia="宋体"/>
          <w:sz w:val="24"/>
        </w:rPr>
        <w:t xml:space="preserve">，则可以吸收所有在特定年份冲击全国、对各省具有共同影响的宏观因素——例如全国性的宏观经济周期、统一部署的重大改革（如营改增、要素市场化配置改革）、货币与财政政策的总体取向以及新冠疫情等外生冲击。倘若不控制共同时间趋势，统一大市场建设水平的普遍上升与要素配置效率的同步改善很可能同时被某种全国性趋势所驱动，从而产生"伪相关"。年份固定效应通过在每一年内部对各省去均值，剔除了这种共同趋势成分，使得 </w:t>
      </w:r>
      <m:oMath>
        <m:r>
          <m:t>β</m:t>
        </m:r>
      </m:oMath>
      <w:r>
        <w:rPr>
          <w:rFonts w:ascii="宋体" w:hAnsi="宋体" w:eastAsia="宋体"/>
          <w:sz w:val="24"/>
        </w:rPr>
        <w:t xml:space="preserve"> 的识别真正落在"某省相对于全国平均水平的统一大市场建设进度，是否伴随其相对配置效率的改善"这一更为干净的变异之上。</w:t>
      </w:r>
    </w:p>
    <w:p>
      <w:pPr>
        <w:spacing w:line="360" w:lineRule="auto" w:after="0"/>
        <w:ind w:firstLineChars="200" w:firstLine="480"/>
        <w:jc w:val="both"/>
      </w:pPr>
      <w:r>
        <w:rPr>
          <w:rFonts w:ascii="宋体" w:hAnsi="宋体" w:eastAsia="宋体"/>
          <w:sz w:val="24"/>
        </w:rPr>
        <w:t>进一步看，双向固定效应设定与本书"要素市场行政性分割"的核心命题在逻辑上高度契合。行政性分割的要害在于制度而非地理，其强度随各省改革进程的推进而逐年变化；省份固定效应吸收了地理区位、资源禀赋等"自然分割"因素之后，残留在NUMI组内变异中的，正是可通过改革加以消除的制度性壁垒的松动。因此，</w:t>
      </w:r>
      <m:oMath>
        <m:r>
          <m:t>β</m:t>
        </m:r>
      </m:oMath>
      <w:r>
        <w:rPr>
          <w:rFonts w:ascii="宋体" w:hAnsi="宋体" w:eastAsia="宋体"/>
          <w:sz w:val="24"/>
        </w:rPr>
        <w:t xml:space="preserve"> 所捕捉的，在很大程度上是"制度性分割缓解→要素错配下降→配置效率提升"这一本书关注的核心链条，而非自然禀赋差异所引致的配置格局。这种设定与识别目标之间的一致性，使得基准回归的经济含义更为清晰，也为后续机制检验界定了恰当的分析边界。</w:t>
      </w:r>
    </w:p>
    <w:p>
      <w:pPr>
        <w:spacing w:line="360" w:lineRule="auto" w:after="0"/>
        <w:ind w:firstLineChars="200" w:firstLine="480"/>
        <w:jc w:val="both"/>
      </w:pPr>
      <w:r>
        <w:rPr>
          <w:rFonts w:ascii="宋体" w:hAnsi="宋体" w:eastAsia="宋体"/>
          <w:sz w:val="24"/>
        </w:rPr>
        <w:t xml:space="preserve">在控制变量的选取上，本章遵循"既要控制关键混淆因素、又要避免纳入"坏控制"（bad control）"的原则。所谓坏控制，是指那些本身处在"统一大市场建设→要素配置效率"因果链条中间、属于机制变量而非前定混淆变量的指标（江艇等，2018）。例如要素跨区域流动率、企业进入退出率、创新产出等，很可能是统一大市场建设改善配置效率的中间渠道，若在基准回归中直接控制，反而会"吸收"掉核心变量的部分真实效应，造成对 </w:t>
      </w:r>
      <m:oMath>
        <m:r>
          <m:t>β</m:t>
        </m:r>
      </m:oMath>
      <w:r>
        <w:rPr>
          <w:rFonts w:ascii="宋体" w:hAnsi="宋体" w:eastAsia="宋体"/>
          <w:sz w:val="24"/>
        </w:rPr>
        <w:t xml:space="preserve"> 的低估。因此，本章将这些变量保留至第8章作为机制变量单独检验，而在基准模型中仅纳入那些既可能影响市场分割、又可能独立影响配置效率的前定经济结构特征作为 </w:t>
      </w:r>
      <m:oMath>
        <m:sSub>
          <m:e>
            <m:r>
              <m:t>X</m:t>
            </m:r>
          </m:e>
          <m:sub>
            <m:r>
              <m:t>i</m:t>
            </m:r>
            <m:r>
              <m:t>t</m:t>
            </m:r>
          </m:sub>
        </m:sSub>
      </m:oMath>
      <w:r>
        <w:rPr>
          <w:rFonts w:ascii="宋体" w:hAnsi="宋体" w:eastAsia="宋体"/>
          <w:sz w:val="24"/>
        </w:rPr>
        <w:t>，具体口径见7.2节。</w:t>
      </w:r>
    </w:p>
    <w:p>
      <w:pPr>
        <w:keepNext/>
        <w:spacing w:before="160" w:after="120" w:line="360" w:lineRule="auto"/>
      </w:pPr>
      <w:r>
        <w:rPr>
          <w:rFonts w:ascii="宋体" w:hAnsi="宋体" w:eastAsia="宋体"/>
          <w:b/>
          <w:sz w:val="24"/>
        </w:rPr>
        <w:t>双向固定效应的识别假设</w:t>
      </w:r>
    </w:p>
    <w:p>
      <w:pPr>
        <w:spacing w:line="360" w:lineRule="auto" w:after="0"/>
        <w:ind w:firstLineChars="200" w:firstLine="480"/>
        <w:jc w:val="both"/>
      </w:pPr>
      <w:r>
        <w:rPr>
          <w:rFonts w:ascii="宋体" w:hAnsi="宋体" w:eastAsia="宋体"/>
          <w:sz w:val="24"/>
        </w:rPr>
        <w:t>双向固定效应估计量的一致性建立在一组可以明确表述的识别假设之上，厘清这些假设有助于界定基准结果的解释边界。其核心是（条件）严格外生性假设，即在给定省份固定效应、年份固定效应与控制变量之后，核心解释变量与所有时期的扰动项均不相关：</w:t>
      </w:r>
      <m:oMath>
        <m:r>
          <m:t>E</m:t>
        </m:r>
        <m:d>
          <m:dPr>
            <m:begChr m:val="["/>
            <m:endChr m:val="]"/>
            <m:sepChr m:val=""/>
            <m:grow/>
          </m:dPr>
          <m:e>
            <m:sSub>
              <m:e>
                <m:r>
                  <m:t>ε</m:t>
                </m:r>
              </m:e>
              <m:sub>
                <m:r>
                  <m:t>i</m:t>
                </m:r>
                <m:r>
                  <m:t>t</m:t>
                </m:r>
              </m:sub>
            </m:sSub>
            <m:r>
              <m:rPr>
                <m:sty m:val="p"/>
              </m:rPr>
              <m:t>∣</m:t>
            </m:r>
            <m:r>
              <m:t>N</m:t>
            </m:r>
            <m:r>
              <m:t>U</m:t>
            </m:r>
            <m:r>
              <m:t>M</m:t>
            </m:r>
            <m:sSub>
              <m:e>
                <m:r>
                  <m:t>I</m:t>
                </m:r>
              </m:e>
              <m:sub>
                <m:r>
                  <m:t>i</m:t>
                </m:r>
                <m:r>
                  <m:t>1</m:t>
                </m:r>
              </m:sub>
            </m:sSub>
            <m:r>
              <m:rPr>
                <m:sty m:val="p"/>
              </m:rPr>
              <m:t>,</m:t>
            </m:r>
            <m:r>
              <m:rPr>
                <m:sty m:val="p"/>
              </m:rPr>
              <m:t>…</m:t>
            </m:r>
            <m:r>
              <m:rPr>
                <m:sty m:val="p"/>
              </m:rPr>
              <m:t>,</m:t>
            </m:r>
            <m:r>
              <m:t>N</m:t>
            </m:r>
            <m:r>
              <m:t>U</m:t>
            </m:r>
            <m:r>
              <m:t>M</m:t>
            </m:r>
            <m:sSub>
              <m:e>
                <m:r>
                  <m:t>I</m:t>
                </m:r>
              </m:e>
              <m:sub>
                <m:r>
                  <m:t>i</m:t>
                </m:r>
                <m:r>
                  <m:t>T</m:t>
                </m:r>
              </m:sub>
            </m:sSub>
            <m:r>
              <m:rPr>
                <m:sty m:val="p"/>
              </m:rPr>
              <m:t>,</m:t>
            </m:r>
            <m:sSub>
              <m:e>
                <m:r>
                  <m:t>X</m:t>
                </m:r>
              </m:e>
              <m:sub>
                <m:r>
                  <m:t>i</m:t>
                </m:r>
                <m:r>
                  <m:t>t</m:t>
                </m:r>
              </m:sub>
            </m:sSub>
            <m:r>
              <m:rPr>
                <m:sty m:val="p"/>
              </m:rPr>
              <m:t>,</m:t>
            </m:r>
            <m:sSub>
              <m:e>
                <m:r>
                  <m:t>μ</m:t>
                </m:r>
              </m:e>
              <m:sub>
                <m:r>
                  <m:t>i</m:t>
                </m:r>
              </m:sub>
            </m:sSub>
            <m:r>
              <m:rPr>
                <m:sty m:val="p"/>
              </m:rPr>
              <m:t>,</m:t>
            </m:r>
            <m:sSub>
              <m:e>
                <m:r>
                  <m:t>λ</m:t>
                </m:r>
              </m:e>
              <m:sub>
                <m:r>
                  <m:t>t</m:t>
                </m:r>
              </m:sub>
            </m:sSub>
          </m:e>
        </m:d>
        <m:r>
          <m:rPr>
            <m:sty m:val="p"/>
          </m:rPr>
          <m:t>=</m:t>
        </m:r>
        <m:r>
          <m:t>0</m:t>
        </m:r>
      </m:oMath>
      <w:r>
        <w:rPr>
          <w:rFonts w:ascii="宋体" w:hAnsi="宋体" w:eastAsia="宋体"/>
          <w:sz w:val="24"/>
        </w:rPr>
        <w:t>。这一条件不仅要求当期NUMI与当期扰动无关（同期外生性），还要求其与过去、未来各期的扰动均无关，因而同时排除了两类典型威胁：一是随时间变化的遗漏变量同时驱动NUMI与ACE，二是配置效率的当期变动反过来影响未来的建设进度（反馈效应）。省份与年份双向固定效应已滤除不随时间变化的遗漏因素与共同时间冲击，使严格外生性在"去趋势、去地区均值"之后更可能近似成立；但对随时间变化的省别遗漏趋势与双向因果，固定效应本身无能为力，这正是本章将结论审慎定位于条件相关、而把严格因果识别留待第9章的根本原因。</w:t>
      </w:r>
    </w:p>
    <w:p>
      <w:pPr>
        <w:spacing w:line="360" w:lineRule="auto" w:after="0"/>
        <w:ind w:firstLineChars="200" w:firstLine="480"/>
        <w:jc w:val="both"/>
      </w:pPr>
      <w:r>
        <w:rPr>
          <w:rFonts w:ascii="宋体" w:hAnsi="宋体" w:eastAsia="宋体"/>
          <w:sz w:val="24"/>
        </w:rPr>
        <w:t xml:space="preserve">与严格外生性密切相关、且更为直观可检验的一个表述，是平行趋势思想。本章基准模型虽非严格意义上的双重差分，但双向固定效应识别隐含着一个类平行趋势的前提：若不存在统一大市场建设的持续推进，各省要素配置效率本应沿着仅由共同时间效应决定、相互平行的路径演化，各省相对于全国均值的偏离不应系统性地先于建设进度而发生变化。倘若配置效率改善较快的省份在建设加速之前便已呈现出不同的效率趋势（即存在"预期效应"或"选择性推进"），则 </w:t>
      </w:r>
      <m:oMath>
        <m:r>
          <m:t>β</m:t>
        </m:r>
      </m:oMath>
      <w:r>
        <w:rPr>
          <w:rFonts w:ascii="宋体" w:hAnsi="宋体" w:eastAsia="宋体"/>
          <w:sz w:val="24"/>
        </w:rPr>
        <w:t xml:space="preserve"> 将混入趋势差异而非纯粹的建设效应（江艇等，2018）。为此，本章一方面在7.6节通过控制省份特定线性趋势的设定，初步考察结论对差异化趋势的敏感性；另一方面在第9章借助以2022年《意见》，2022为冲击的多期双重差分及事件研究，正式检验处理前的平行趋势，从而为基准估计的因果解释提供更直接的支撑。</w:t>
      </w:r>
    </w:p>
    <w:p>
      <w:pPr>
        <w:keepNext/>
        <w:spacing w:before="160" w:after="120" w:line="360" w:lineRule="auto"/>
      </w:pPr>
      <w:r>
        <w:rPr>
          <w:rFonts w:ascii="黑体" w:hAnsi="黑体" w:eastAsia="黑体"/>
          <w:sz w:val="24"/>
        </w:rPr>
        <w:t>7.1.3  标准误与统计推断</w:t>
      </w:r>
    </w:p>
    <w:p>
      <w:pPr>
        <w:spacing w:line="360" w:lineRule="auto" w:after="0"/>
        <w:ind w:firstLineChars="200" w:firstLine="480"/>
        <w:jc w:val="both"/>
      </w:pPr>
      <w:r>
        <w:rPr>
          <w:rFonts w:ascii="宋体" w:hAnsi="宋体" w:eastAsia="宋体"/>
          <w:sz w:val="24"/>
        </w:rPr>
        <w:t xml:space="preserve">省级面板数据的一个突出特征是组内序列相关：同一省份相邻年份的扰动项高度相关，且方差在省际之间并不相同。若沿用传统的普通标准误，将严重低估系数估计的抽样波动，导致 </w:t>
      </w:r>
      <m:oMath>
        <m:r>
          <m:t>t</m:t>
        </m:r>
      </m:oMath>
      <w:r>
        <w:rPr>
          <w:rFonts w:ascii="宋体" w:hAnsi="宋体" w:eastAsia="宋体"/>
          <w:sz w:val="24"/>
        </w:rPr>
        <w:t xml:space="preserve"> 统计量虚高、置信区间过窄，从而夸大统计显著性。为此，本章在全部回归中一律采用按省份聚类（cluster by province）的稳健标准误，允许扰动项在同一省份内部存在任意形式的异方差与自相关，仅要求其在省份之间相互独立。这一处理是当前面板计量实证研究识别显著性的通行做法，也是对本章统计推断稳健性的基本保障。</w:t>
      </w:r>
    </w:p>
    <w:p>
      <w:pPr>
        <w:spacing w:line="360" w:lineRule="auto" w:after="0"/>
        <w:ind w:firstLineChars="200" w:firstLine="480"/>
        <w:jc w:val="both"/>
      </w:pPr>
      <w:r>
        <w:rPr>
          <w:rFonts w:ascii="宋体" w:hAnsi="宋体" w:eastAsia="宋体"/>
          <w:sz w:val="24"/>
        </w:rPr>
        <w:t xml:space="preserve">需要指出的是，本章样本的聚类单元为31个省份，属于"聚类数目有限"的情形。在聚类数较少时，聚类稳健标准误可能存在向下偏误、使检验偏于激进。对此，一方面，本章在报告点估计与标准误的同时给出 </w:t>
      </w:r>
      <m:oMath>
        <m:r>
          <m:t>t</m:t>
        </m:r>
      </m:oMath>
      <w:r>
        <w:rPr>
          <w:rFonts w:ascii="宋体" w:hAnsi="宋体" w:eastAsia="宋体"/>
          <w:sz w:val="24"/>
        </w:rPr>
        <w:t xml:space="preserve"> 值，便于读者审慎判断；另一方面，后续稳健性检验中还将通过替换被解释变量、改变样本构成等方式交叉验证核心结论的可靠性。从后文结果看，核心变量的 </w:t>
      </w:r>
      <m:oMath>
        <m:r>
          <m:t>t</m:t>
        </m:r>
      </m:oMath>
      <w:r>
        <w:rPr>
          <w:rFonts w:ascii="宋体" w:hAnsi="宋体" w:eastAsia="宋体"/>
          <w:sz w:val="24"/>
        </w:rPr>
        <w:t xml:space="preserve"> 值普遍远高于常规临界值，即便对有限聚类的偏误保持谨慎，结论的统计显著性依然稳固，因而聚类数目有限并不构成对本章主要发现的实质性威胁。</w:t>
      </w:r>
    </w:p>
    <w:p>
      <w:pPr>
        <w:spacing w:line="360" w:lineRule="auto" w:after="0"/>
        <w:ind w:firstLineChars="200" w:firstLine="480"/>
        <w:jc w:val="both"/>
      </w:pPr>
      <w:r>
        <w:rPr>
          <w:rFonts w:ascii="宋体" w:hAnsi="宋体" w:eastAsia="宋体"/>
          <w:sz w:val="24"/>
        </w:rPr>
        <w:t xml:space="preserve">进一步地，为提高有限聚类情形下统计推断的可靠性，一种被方法论文献广泛推荐的做法，是采用野生聚类自助法（wild cluster bootstrap）重新计算核心系数的 </w:t>
      </w:r>
      <m:oMath>
        <m:r>
          <m:t>p</m:t>
        </m:r>
      </m:oMath>
      <w:r>
        <w:rPr>
          <w:rFonts w:ascii="宋体" w:hAnsi="宋体" w:eastAsia="宋体"/>
          <w:sz w:val="24"/>
        </w:rPr>
        <w:t xml:space="preserve"> 值与置信区间。其基本思路是：在原模型残差的基础上，以省份为聚类单元反复施加Rademacher型随机权重进行重抽样，由自助分布逼近有限样本下检验统计量的真实分布，而不依赖"聚类数目趋于无穷"的渐近近似，从而在聚类数较少时给出比常规聚类稳健标准误更为保守、更少过度拒绝的推断。既有模拟证据表明，当聚类数处于数十量级时，这一方法能够有效纠正常规聚类标准误偏于激进的倾向。本章样本恰落在这一区间（31个聚类），因此野生自助法所对应的更宽置信区间，构成解读核心系数显著性时的一道审慎"安全边际"。所幸的是，核心变量NUMI的常规 </w:t>
      </w:r>
      <m:oMath>
        <m:r>
          <m:t>t</m:t>
        </m:r>
      </m:oMath>
      <w:r>
        <w:rPr>
          <w:rFonts w:ascii="宋体" w:hAnsi="宋体" w:eastAsia="宋体"/>
          <w:sz w:val="24"/>
        </w:rPr>
        <w:t xml:space="preserve"> 值高达14.32，远超各类常见临界值，即便在野生自助法给出的更为保守的推断之下，其在1%水平上的显著性亦无被推翻之虞，这为本章的统计结论再添一重保障。</w:t>
      </w:r>
    </w:p>
    <w:p>
      <w:pPr>
        <w:keepNext/>
        <w:spacing w:before="160" w:after="120" w:line="360" w:lineRule="auto"/>
      </w:pPr>
      <w:r>
        <w:rPr>
          <w:rFonts w:ascii="黑体" w:hAnsi="黑体" w:eastAsia="黑体"/>
          <w:sz w:val="28"/>
        </w:rPr>
        <w:t>7.2  变量测度与数据说明</w:t>
      </w:r>
    </w:p>
    <w:p>
      <w:pPr>
        <w:spacing w:line="360" w:lineRule="auto" w:after="0"/>
        <w:ind w:firstLineChars="200" w:firstLine="480"/>
        <w:jc w:val="both"/>
      </w:pPr>
      <w:r>
        <w:rPr>
          <w:rFonts w:ascii="宋体" w:hAnsi="宋体" w:eastAsia="宋体"/>
          <w:sz w:val="24"/>
        </w:rPr>
        <w:t>本节逐一说明基准回归中被解释变量、核心解释变量与控制变量的测度口径与数据来源。为保持全书一致，各变量的构造均延续第5章与第6章的定义，本节仅作实证层面的扼要复述与补充，重在交代其在计量模型中的角色与可比性。</w:t>
      </w:r>
    </w:p>
    <w:p>
      <w:pPr>
        <w:keepNext/>
        <w:spacing w:before="160" w:after="120" w:line="360" w:lineRule="auto"/>
      </w:pPr>
      <w:r>
        <w:rPr>
          <w:rFonts w:ascii="黑体" w:hAnsi="黑体" w:eastAsia="黑体"/>
          <w:sz w:val="24"/>
        </w:rPr>
        <w:t>7.2.1  被解释变量：要素配置效率（ACE）</w:t>
      </w:r>
    </w:p>
    <w:p>
      <w:pPr>
        <w:spacing w:line="360" w:lineRule="auto" w:after="0"/>
        <w:ind w:firstLineChars="200" w:firstLine="480"/>
        <w:jc w:val="both"/>
      </w:pPr>
      <w:r>
        <w:rPr>
          <w:rFonts w:ascii="宋体" w:hAnsi="宋体" w:eastAsia="宋体"/>
          <w:sz w:val="24"/>
        </w:rPr>
        <w:t xml:space="preserve">被解释变量为省级要素配置效率 </w:t>
      </w:r>
      <m:oMath>
        <m:r>
          <m:t>A</m:t>
        </m:r>
        <m:r>
          <m:t>C</m:t>
        </m:r>
        <m:sSub>
          <m:e>
            <m:r>
              <m:t>E</m:t>
            </m:r>
          </m:e>
          <m:sub>
            <m:r>
              <m:t>i</m:t>
            </m:r>
            <m:r>
              <m:t>t</m:t>
            </m:r>
          </m:sub>
        </m:sSub>
      </m:oMath>
      <w:r>
        <w:rPr>
          <w:rFonts w:ascii="宋体" w:hAnsi="宋体" w:eastAsia="宋体"/>
          <w:sz w:val="24"/>
        </w:rPr>
        <w:t>。如第6章所述，本书借鉴资源错配核算的经典框架，先以生产要素边际收益产品的跨部门（跨企业、跨地区）离散度刻画错配程度，再将其标准化并取反，构造"1减去标准化错配指数"的配置效率指标（Hsieh和Klenow，2009；Brandt等，2013）。</w:t>
      </w:r>
      <m:oMath>
        <m:r>
          <m:t>A</m:t>
        </m:r>
        <m:r>
          <m:t>C</m:t>
        </m:r>
        <m:r>
          <m:t>E</m:t>
        </m:r>
      </m:oMath>
      <w:r>
        <w:rPr>
          <w:rFonts w:ascii="宋体" w:hAnsi="宋体" w:eastAsia="宋体"/>
          <w:sz w:val="24"/>
        </w:rPr>
        <w:t xml:space="preserve"> 取值介于0与1之间，数值越大表示要素在部门与地区间的配置越接近有效前沿、错配程度越低。这一构造的优点在于：其一，方向直观，便于与统一大市场建设指数进行同向对照；其二，量纲统一、无单位，跨地区跨年度可比；其三，标准化处理压缩了极端值影响，使回归结果不至于被个别异常观测所主导。</w:t>
      </w:r>
    </w:p>
    <w:p>
      <w:pPr>
        <w:spacing w:line="360" w:lineRule="auto" w:after="0"/>
        <w:ind w:firstLineChars="200" w:firstLine="480"/>
        <w:jc w:val="both"/>
      </w:pPr>
      <w:r>
        <w:rPr>
          <w:rFonts w:ascii="宋体" w:hAnsi="宋体" w:eastAsia="宋体"/>
          <w:sz w:val="24"/>
        </w:rPr>
        <w:t>为检验结论对被解释变量测度方式的敏感性，本章在稳健性部分还将采用一个替代的配置效率测度作为被解释变量重新估计。需要强调的是，无论采用何种口径，配置效率指标的核心思想都是一致的——以要素边际回报的离散程度反映错配、以其反向标准化值反映效率——这保证了不同测度之间在经济含义上的可比性，也使稳健性检验具有实质意义而非简单的数值重复。</w:t>
      </w:r>
    </w:p>
    <w:p>
      <w:pPr>
        <w:spacing w:line="360" w:lineRule="auto" w:after="0"/>
        <w:ind w:firstLineChars="200" w:firstLine="480"/>
        <w:jc w:val="both"/>
      </w:pPr>
      <w:r>
        <w:rPr>
          <w:rFonts w:ascii="宋体" w:hAnsi="宋体" w:eastAsia="宋体"/>
          <w:sz w:val="24"/>
        </w:rPr>
        <w:t>就构造逻辑而言，以要素边际收益产品的离散度刻画错配，其经济学依据在于：在配置有效的均衡中，同质要素在不同用途间的边际回报应当趋于相等，任何持续存在的边际回报离散，都意味着要素未能从低回报部门顺畅流向高回报部门，从而存在改善配置、提高总产出的空间（Hsieh和Klenow，2009；Restuccia和Rogerson，2008）。据此，本书先在给定生产函数与要素份额的假定下估计各地区资本与劳动的边际收益产品，继而以其跨地区（跨部门）的离散度构造错配指数，最后经反向标准化得到取值于0与1之间的配置效率ACE。这一"离散度—错配—效率"的递进构造，既承接了资源错配核算的主流范式，也使ACE与第6章测算的要素错配指数、TFP损失在口径上相互衔接、彼此印证，保证了被解释变量在全书内部的一致性与可追溯性。需要提示的是，边际回报离散度所捕捉的是"配置无效"而非"技术无效"，它衡量的是既定要素总量在部门与地区间的分配是否合意，而非前沿技术水平的高低，这与本书聚焦"配置效率"而非"技术效率"的研究定位恰相契合。</w:t>
      </w:r>
    </w:p>
    <w:p>
      <w:pPr>
        <w:keepNext/>
        <w:spacing w:before="160" w:after="120" w:line="360" w:lineRule="auto"/>
      </w:pPr>
      <w:r>
        <w:rPr>
          <w:rFonts w:ascii="黑体" w:hAnsi="黑体" w:eastAsia="黑体"/>
          <w:sz w:val="24"/>
        </w:rPr>
        <w:t>7.2.2  核心解释变量：统一大市场建设指数（NUMI）</w:t>
      </w:r>
    </w:p>
    <w:p>
      <w:pPr>
        <w:spacing w:line="360" w:lineRule="auto" w:after="0"/>
        <w:ind w:firstLineChars="200" w:firstLine="480"/>
        <w:jc w:val="both"/>
      </w:pPr>
      <w:r>
        <w:rPr>
          <w:rFonts w:ascii="宋体" w:hAnsi="宋体" w:eastAsia="宋体"/>
          <w:sz w:val="24"/>
        </w:rPr>
        <w:t xml:space="preserve">核心解释变量为第5章构建的全国统一大市场建设指数 </w:t>
      </w:r>
      <m:oMath>
        <m:r>
          <m:t>N</m:t>
        </m:r>
        <m:r>
          <m:t>U</m:t>
        </m:r>
        <m:r>
          <m:t>M</m:t>
        </m:r>
        <m:sSub>
          <m:e>
            <m:r>
              <m:t>I</m:t>
            </m:r>
          </m:e>
          <m:sub>
            <m:r>
              <m:t>i</m:t>
            </m:r>
            <m:r>
              <m:t>t</m:t>
            </m:r>
          </m:sub>
        </m:sSub>
      </m:oMath>
      <w:r>
        <w:rPr>
          <w:rFonts w:ascii="宋体" w:hAnsi="宋体" w:eastAsia="宋体"/>
          <w:sz w:val="24"/>
        </w:rPr>
        <w:t>。该指数从商品市场一体化、劳动力市场一体化、资本市场一体化、土地市场一体化、技术与数据市场一体化、市场制度环境一体化六个维度出发，经指标标准化、维度合成与整体加权，形成一个取值介于0与1之间、覆盖31省2006—2023年的综合指数。其中，商品市场维度以相对价格法测算的市场分割指数取反构造（桂琦寒等，2006），是对以往单一"分割/一体化"测度的直接继承与拓展；劳动力、资本、土地、技术与数据、制度环境等维度则分别以要素跨区流动壁垒、金融资源配置属地化、用地指标行政化、数据开放与技术交易、公平竞争与监管统一等方面的可观测指标合成。相较以往仅以商品市场价格分割或市场化总指数刻画市场一体化的做法，NUMI在"要素市场"维度上的拓展，正是本书区别于既有文献、更贴近"统一大市场"政策内涵的关键所在（刘志彪和孔令池，2021；余泳泽等，2022）。</w:t>
      </w:r>
    </w:p>
    <w:p>
      <w:pPr>
        <w:spacing w:line="360" w:lineRule="auto" w:after="0"/>
        <w:ind w:firstLineChars="200" w:firstLine="480"/>
        <w:jc w:val="both"/>
      </w:pPr>
      <w:r>
        <w:rPr>
          <w:rFonts w:ascii="宋体" w:hAnsi="宋体" w:eastAsia="宋体"/>
          <w:sz w:val="24"/>
        </w:rPr>
        <w:t xml:space="preserve">从时序看，全国层面的NUMI由2006年的0.3727上升至2023年的0.7452，累计提升约0.3725，年均稳步上行，反映出党的十八大以来一系列破除地方保护、推进要素市场化配置改革举措的累积成效。值得注意的是，NUMI的上升并非在各省之间均匀发生，而是呈现出显著的地区梯度与阶段性特征，这种"省份内、逐年度"的丰富变异，恰恰为本章双向固定效应识别提供了充分的信息基础。若各省NUMI仅存在固定的水平差异而缺乏时序变动，双向固定效应模型将无从识别 </w:t>
      </w:r>
      <m:oMath>
        <m:r>
          <m:t>β</m:t>
        </m:r>
      </m:oMath>
      <w:r>
        <w:rPr>
          <w:rFonts w:ascii="宋体" w:hAnsi="宋体" w:eastAsia="宋体"/>
          <w:sz w:val="24"/>
        </w:rPr>
        <w:t>；正是统一大市场建设进程在不同省份、不同年份的参差不齐，使得因果推断成为可能。</w:t>
      </w:r>
    </w:p>
    <w:p>
      <w:pPr>
        <w:spacing w:line="360" w:lineRule="auto" w:after="0"/>
        <w:ind w:firstLineChars="200" w:firstLine="480"/>
        <w:jc w:val="both"/>
      </w:pPr>
      <w:r>
        <w:rPr>
          <w:rFonts w:ascii="宋体" w:hAnsi="宋体" w:eastAsia="宋体"/>
          <w:sz w:val="24"/>
        </w:rPr>
        <w:t xml:space="preserve">在合成方法上，NUMI对六个维度先作指标层面的极差标准化以消除量纲差异，再在维度内部合成分维度指数，最终加权汇总为综合指数，其取值范围与被解释变量ACE保持一致，便于在同一尺度上对照解读。这里需要特别说明核心解释变量的两个可比性优势。其一，NUMI为"越大越一体化"的正向指数，与商品市场分割指数（seg，越大越分割）方向相反，因而回归中 </w:t>
      </w:r>
      <m:oMath>
        <m:r>
          <m:t>β</m:t>
        </m:r>
        <m:r>
          <m:rPr>
            <m:sty m:val="p"/>
          </m:rPr>
          <m:t>&gt;</m:t>
        </m:r>
        <m:r>
          <m:t>0</m:t>
        </m:r>
      </m:oMath>
      <w:r>
        <w:rPr>
          <w:rFonts w:ascii="宋体" w:hAnsi="宋体" w:eastAsia="宋体"/>
          <w:sz w:val="24"/>
        </w:rPr>
        <w:t xml:space="preserve"> 的预期与"分割加剧错配、一体化改善配置"的理论判断严格对应，符号解读不致混淆。其二，指数的跨省可比性来自统一的标准化基准，使得"广东的较高取值"与"甘肃的较低取值"具有相同的度量含义，为固定效应模型利用组内时序变异提供了合法前提。当然，任何合成指数都不可避免地涉及维度权重的主观选择，本书已在第5章就权重设定作了稳健性讨论，并在本章7.5节通过分维度回归进一步规避了综合加权可能带来的信息损失，使核心结论不至于系于某一特定权重方案（刘志彪和孔令池，2021）。</w:t>
      </w:r>
    </w:p>
    <w:p>
      <w:pPr>
        <w:keepNext/>
        <w:spacing w:before="160" w:after="120" w:line="360" w:lineRule="auto"/>
      </w:pPr>
      <w:r>
        <w:rPr>
          <w:rFonts w:ascii="黑体" w:hAnsi="黑体" w:eastAsia="黑体"/>
          <w:sz w:val="24"/>
        </w:rPr>
        <w:t>7.2.3  控制变量（X）</w:t>
      </w:r>
    </w:p>
    <w:p>
      <w:pPr>
        <w:spacing w:line="360" w:lineRule="auto" w:after="0"/>
        <w:ind w:firstLineChars="200" w:firstLine="480"/>
        <w:jc w:val="both"/>
      </w:pPr>
      <w:r>
        <w:rPr>
          <w:rFonts w:ascii="宋体" w:hAnsi="宋体" w:eastAsia="宋体"/>
          <w:sz w:val="24"/>
        </w:rPr>
        <w:t xml:space="preserve">基准回归纳入的控制变量向量 </w:t>
      </w:r>
      <m:oMath>
        <m:sSub>
          <m:e>
            <m:r>
              <m:t>X</m:t>
            </m:r>
          </m:e>
          <m:sub>
            <m:r>
              <m:t>i</m:t>
            </m:r>
            <m:r>
              <m:t>t</m:t>
            </m:r>
          </m:sub>
        </m:sSub>
      </m:oMath>
      <w:r>
        <w:rPr>
          <w:rFonts w:ascii="宋体" w:hAnsi="宋体" w:eastAsia="宋体"/>
          <w:sz w:val="24"/>
        </w:rPr>
        <w:t>，覆盖了可能同时影响一地统一大市场建设水平与要素配置效率的主要前定经济结构特征，具体包括以下九项：</w:t>
      </w:r>
    </w:p>
    <w:p>
      <w:pPr>
        <w:spacing w:line="360" w:lineRule="auto"/>
        <w:ind w:firstLineChars="200" w:firstLine="480"/>
      </w:pPr>
      <w:r>
        <w:rPr>
          <w:rFonts w:ascii="宋体" w:hAnsi="宋体" w:eastAsia="宋体"/>
          <w:sz w:val="24"/>
        </w:rPr>
        <w:t>经济发展水平（lnpgdp）：以人均地区生产总值的自然对数衡量。发展水平既关乎地方保护的动机与能力，也与要素配置的市场化程度密切相关。</w:t>
      </w:r>
    </w:p>
    <w:p>
      <w:pPr>
        <w:spacing w:line="360" w:lineRule="auto"/>
        <w:ind w:firstLineChars="200" w:firstLine="480"/>
      </w:pPr>
      <w:r>
        <w:rPr>
          <w:rFonts w:ascii="宋体" w:hAnsi="宋体" w:eastAsia="宋体"/>
          <w:sz w:val="24"/>
        </w:rPr>
        <w:t>城镇化率（urban）：以城镇常住人口占总人口比重衡量，反映人口与要素的空间集聚程度，是要素跨城乡、跨地区流动的重要背景变量。</w:t>
      </w:r>
    </w:p>
    <w:p>
      <w:pPr>
        <w:spacing w:line="360" w:lineRule="auto"/>
        <w:ind w:firstLineChars="200" w:firstLine="480"/>
      </w:pPr>
      <w:r>
        <w:rPr>
          <w:rFonts w:ascii="宋体" w:hAnsi="宋体" w:eastAsia="宋体"/>
          <w:sz w:val="24"/>
        </w:rPr>
        <w:t>产业结构（indstr）：以第二产业与第三产业相对结构（非农化/服务化程度）衡量，不同产业结构对应着不同的要素密集度与错配空间。</w:t>
      </w:r>
    </w:p>
    <w:p>
      <w:pPr>
        <w:spacing w:line="360" w:lineRule="auto"/>
        <w:ind w:firstLineChars="200" w:firstLine="480"/>
      </w:pPr>
      <w:r>
        <w:rPr>
          <w:rFonts w:ascii="宋体" w:hAnsi="宋体" w:eastAsia="宋体"/>
          <w:sz w:val="24"/>
        </w:rPr>
        <w:t>数字经济发展（digital）：以数字基础设施、数字产业与数字应用等合成的数字经济发展水平衡量，数字技术有助于打破信息壁垒、降低跨区交易成本，进而影响市场一体化与要素配置（赵涛等，2020）。</w:t>
      </w:r>
    </w:p>
    <w:p>
      <w:pPr>
        <w:spacing w:line="360" w:lineRule="auto"/>
        <w:ind w:firstLineChars="200" w:firstLine="480"/>
      </w:pPr>
      <w:r>
        <w:rPr>
          <w:rFonts w:ascii="宋体" w:hAnsi="宋体" w:eastAsia="宋体"/>
          <w:sz w:val="24"/>
        </w:rPr>
        <w:t>交通基础设施（transport）：以路网密度、高铁与高速公路可达性等合成的交通设施水平衡量，是压缩商品与要素运输成本、推动市场整合的物质基础（范欣等，2017；Faber，2014）。</w:t>
      </w:r>
    </w:p>
    <w:p>
      <w:pPr>
        <w:spacing w:line="360" w:lineRule="auto"/>
        <w:ind w:firstLineChars="200" w:firstLine="480"/>
      </w:pPr>
      <w:r>
        <w:rPr>
          <w:rFonts w:ascii="宋体" w:hAnsi="宋体" w:eastAsia="宋体"/>
          <w:sz w:val="24"/>
        </w:rPr>
        <w:t>财政分权（fiscaldec）：以省级财政自主度（本级财政收入与支出之比等）衡量，财政分权是理解地方保护与市场分割制度根源的关键变量（范子英和张军，2010；周黎安，2007）。</w:t>
      </w:r>
    </w:p>
    <w:p>
      <w:pPr>
        <w:spacing w:line="360" w:lineRule="auto"/>
        <w:ind w:firstLineChars="200" w:firstLine="480"/>
      </w:pPr>
      <w:r>
        <w:rPr>
          <w:rFonts w:ascii="宋体" w:hAnsi="宋体" w:eastAsia="宋体"/>
          <w:sz w:val="24"/>
        </w:rPr>
        <w:t>对外开放（openness）：以进出口贸易与外商直接投资相对规模衡量，开放通过引入外部竞争与要素，既可能促进也可能在特定条件下加剧本地保护。</w:t>
      </w:r>
    </w:p>
    <w:p>
      <w:pPr>
        <w:spacing w:line="360" w:lineRule="auto"/>
        <w:ind w:firstLineChars="200" w:firstLine="480"/>
      </w:pPr>
      <w:r>
        <w:rPr>
          <w:rFonts w:ascii="宋体" w:hAnsi="宋体" w:eastAsia="宋体"/>
          <w:sz w:val="24"/>
        </w:rPr>
        <w:t>人力资本（humancap）：以平均受教育年限或高等教育人口比重衡量，人力资本水平影响要素（尤其是劳动力）配置的效率与调整能力。</w:t>
      </w:r>
    </w:p>
    <w:p>
      <w:pPr>
        <w:spacing w:line="360" w:lineRule="auto"/>
        <w:ind w:firstLineChars="200" w:firstLine="480"/>
      </w:pPr>
      <w:r>
        <w:rPr>
          <w:rFonts w:ascii="宋体" w:hAnsi="宋体" w:eastAsia="宋体"/>
          <w:sz w:val="24"/>
        </w:rPr>
        <w:t>金融发展（finance）：以金融机构存贷款余额与地区生产总值之比衡量，金融发展水平直接关系到资本要素的配置渠道与错配程度。</w:t>
      </w:r>
    </w:p>
    <w:p>
      <w:pPr>
        <w:spacing w:line="360" w:lineRule="auto" w:after="0"/>
        <w:ind w:firstLineChars="200" w:firstLine="480"/>
        <w:jc w:val="both"/>
      </w:pPr>
      <w:r>
        <w:rPr>
          <w:rFonts w:ascii="宋体" w:hAnsi="宋体" w:eastAsia="宋体"/>
          <w:sz w:val="24"/>
        </w:rPr>
        <w:t xml:space="preserve">上述控制变量的选择兼顾了理论相关性与"前定性"两方面考量：它们要么是刻画地区经济结构的慢变量，要么是市场分割的制度性根源，而非统一大市场建设改善配置效率的中间机制。由此，将其纳入 </w:t>
      </w:r>
      <m:oMath>
        <m:sSub>
          <m:e>
            <m:r>
              <m:t>X</m:t>
            </m:r>
          </m:e>
          <m:sub>
            <m:r>
              <m:t>i</m:t>
            </m:r>
            <m:r>
              <m:t>t</m:t>
            </m:r>
          </m:sub>
        </m:sSub>
      </m:oMath>
      <w:r>
        <w:rPr>
          <w:rFonts w:ascii="宋体" w:hAnsi="宋体" w:eastAsia="宋体"/>
          <w:sz w:val="24"/>
        </w:rPr>
        <w:t xml:space="preserve"> 既能有效缓解遗漏变量偏误，又不至于因控制机制变量而系统性低估核心效应。需要说明的是，双向固定效应已吸收了这些变量中不随时间变化的部分，控制变量真正发挥作用的是其组内时序变动，这一点在解读控制变量系数时应予留意。</w:t>
      </w:r>
    </w:p>
    <w:p>
      <w:pPr>
        <w:keepNext/>
        <w:spacing w:before="160" w:after="120" w:line="360" w:lineRule="auto"/>
      </w:pPr>
      <w:r>
        <w:rPr>
          <w:rFonts w:ascii="宋体" w:hAnsi="宋体" w:eastAsia="宋体"/>
          <w:b/>
          <w:sz w:val="24"/>
        </w:rPr>
        <w:t>控制变量入选的理论依据</w:t>
      </w:r>
    </w:p>
    <w:p>
      <w:pPr>
        <w:spacing w:line="360" w:lineRule="auto" w:after="0"/>
        <w:ind w:firstLineChars="200" w:firstLine="480"/>
        <w:jc w:val="both"/>
      </w:pPr>
      <w:r>
        <w:rPr>
          <w:rFonts w:ascii="宋体" w:hAnsi="宋体" w:eastAsia="宋体"/>
          <w:sz w:val="24"/>
        </w:rPr>
        <w:t>上述九个控制变量的入选各有其理论出处，此处再作扼要申述。经济发展水平与城镇化率刻画一地所处的发展阶段与人口—要素的空间集聚格局，既关乎地方保护的动机与财政能力，也决定了要素跨城乡、跨地区流动的基本背景，是市场分割与要素配置研究中的标准控制项（陆铭和陈钊，2009；陆铭，2017）。交通基础设施通过压缩商品与要素的运输成本、扩大有效市场半径而推动市场整合，其对贸易成本与区域一体化的作用已被大量交通经济学研究所证实，若不加控制，则易将"路通"带来的整合效应误记于统一大市场建设名下（Faber，2014；范欣等，2017）。数字经济发展则从信息维度打破跨区搜寻与匹配壁垒，是近年来影响要素配置效率的新兴结构性力量（赵涛等，2020）。</w:t>
      </w:r>
    </w:p>
    <w:p>
      <w:pPr>
        <w:spacing w:line="360" w:lineRule="auto" w:after="0"/>
        <w:ind w:firstLineChars="200" w:firstLine="480"/>
        <w:jc w:val="both"/>
      </w:pPr>
      <w:r>
        <w:rPr>
          <w:rFonts w:ascii="宋体" w:hAnsi="宋体" w:eastAsia="宋体"/>
          <w:sz w:val="24"/>
        </w:rPr>
        <w:t xml:space="preserve">财政分权与产业结构则触及市场分割的制度性与结构性根源。在以相对绩效考核为特征的晋升激励下，财政分权可能诱发地方政府的市场分割与重复建设行为，是理解要素市场行政性壁垒不可或缺的制度变量（周黎安，2007；范子英和张军，2010）；产业结构则决定了要素密集度与潜在的错配空间，不同的产业构成对应着迥异的要素重配弹性。对外开放、人力资本与金融发展，则分别从外部竞争、劳动力质量与资本配置渠道三个方面，构成影响配置效率的重要条件。值得强调的是，这些变量的共同特征是"前定性"与"结构性"——它们要么是慢变的经济结构特征，要么是市场分割的制度根源，而非统一大市场建设改善配置效率的中间机制；因而将其纳入 </w:t>
      </w:r>
      <m:oMath>
        <m:sSub>
          <m:e>
            <m:r>
              <m:t>X</m:t>
            </m:r>
          </m:e>
          <m:sub>
            <m:r>
              <m:t>i</m:t>
            </m:r>
            <m:r>
              <m:t>t</m:t>
            </m:r>
          </m:sub>
        </m:sSub>
      </m:oMath>
      <w:r>
        <w:rPr>
          <w:rFonts w:ascii="宋体" w:hAnsi="宋体" w:eastAsia="宋体"/>
          <w:sz w:val="24"/>
        </w:rPr>
        <w:t xml:space="preserve"> 既能有效缓解遗漏变量偏误，又不至于因控制机制变量而系统性低估核心效应，这与前文关于规避"坏控制"的讨论一脉相承。</w:t>
      </w:r>
    </w:p>
    <w:p>
      <w:pPr>
        <w:keepNext/>
        <w:spacing w:before="160" w:after="120" w:line="360" w:lineRule="auto"/>
      </w:pPr>
      <w:r>
        <w:rPr>
          <w:rFonts w:ascii="黑体" w:hAnsi="黑体" w:eastAsia="黑体"/>
          <w:sz w:val="24"/>
        </w:rPr>
        <w:t>7.2.4  数据来源与样本</w:t>
      </w:r>
    </w:p>
    <w:p>
      <w:pPr>
        <w:spacing w:line="360" w:lineRule="auto" w:after="0"/>
        <w:ind w:firstLineChars="200" w:firstLine="480"/>
        <w:jc w:val="both"/>
      </w:pPr>
      <w:r>
        <w:rPr>
          <w:rFonts w:ascii="宋体" w:hAnsi="宋体" w:eastAsia="宋体"/>
          <w:sz w:val="24"/>
        </w:rPr>
        <w:t>本章使用中国31个省级行政区（不含港澳台）2006—2023年的平衡面板数据，样本区间共18年，理论观测数为31×18＝558，与基准回归实际使用的样本量（N＝558）完全吻合，表明面板不存在缺漏。原始数据来源包括《中国统计年鉴》、各省（区、市）统计年鉴、《中国区域经济统计年鉴》、国家统计局分省年度数据、中国信息通信研究院相关报告以及公开政府文件等。如全书统一说明，用于计量识别的省级面板在公开统计口径基础上，结合既有文献对市场分割、要素错配等关键变量的测度方法进行了整理与校准，其用途在于展示测度与识别方法、揭示总体规律；在正式政策评估中建议进一步接入企业层面的原始微观数据以提升精度。</w:t>
      </w:r>
    </w:p>
    <w:p>
      <w:pPr>
        <w:keepNext/>
        <w:spacing w:before="160" w:after="120" w:line="360" w:lineRule="auto"/>
      </w:pPr>
      <w:r>
        <w:rPr>
          <w:rFonts w:ascii="黑体" w:hAnsi="黑体" w:eastAsia="黑体"/>
          <w:sz w:val="28"/>
        </w:rPr>
        <w:t>7.3  描述性统计</w:t>
      </w:r>
    </w:p>
    <w:p>
      <w:pPr>
        <w:spacing w:line="360" w:lineRule="auto" w:after="0"/>
        <w:ind w:firstLineChars="200" w:firstLine="480"/>
        <w:jc w:val="both"/>
      </w:pPr>
      <w:r>
        <w:rPr>
          <w:rFonts w:ascii="宋体" w:hAnsi="宋体" w:eastAsia="宋体"/>
          <w:sz w:val="24"/>
        </w:rPr>
        <w:t>在进入回归分析之前，先对主要变量的分布特征作一考察。表7.1报告了核心变量与控制变量的描述性统计，包括均值、标准差、最小值与最大值。</w:t>
      </w:r>
    </w:p>
    <w:p>
      <w:pPr>
        <w:keepNext/>
        <w:spacing w:before="160" w:after="40"/>
        <w:jc w:val="center"/>
      </w:pPr>
      <w:r>
        <w:rPr>
          <w:rFonts w:ascii="黑体" w:hAnsi="黑体" w:eastAsia="黑体"/>
          <w:sz w:val="21"/>
        </w:rPr>
        <w:t>表7.1  主要变量的描述性统计</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1417"/>
        <w:gridCol w:w="1417"/>
        <w:gridCol w:w="1417"/>
        <w:gridCol w:w="1417"/>
        <w:gridCol w:w="1417"/>
        <w:gridCol w:w="1417"/>
      </w:tblGrid>
      <w:tr>
        <w:tc>
          <w:tcPr>
            <w:tcW w:type="dxa" w:w="1417"/>
            <w:vAlign w:val="center"/>
            <w:tcBorders>
              <w:bottom w:val="single" w:sz="6" w:color="000000"/>
            </w:tcBorders>
          </w:tcPr>
          <w:p>
            <w:pPr>
              <w:spacing w:line="240" w:lineRule="auto" w:after="20" w:before="20"/>
              <w:jc w:val="center"/>
            </w:pPr>
            <w:r/>
            <w:r>
              <w:rPr>
                <w:rFonts w:ascii="宋体" w:hAnsi="宋体" w:eastAsia="宋体"/>
                <w:b/>
                <w:sz w:val="21"/>
              </w:rPr>
              <w:t>变量</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含义</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均值</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标准差</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最小值</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最大值</w:t>
            </w:r>
          </w:p>
        </w:tc>
      </w:tr>
      <w:tr>
        <w:tc>
          <w:tcPr>
            <w:tcW w:type="dxa" w:w="1417"/>
            <w:vAlign w:val="center"/>
          </w:tcPr>
          <w:p>
            <w:pPr>
              <w:spacing w:line="240" w:lineRule="auto" w:after="20" w:before="20"/>
              <w:jc w:val="left"/>
            </w:pPr>
            <w:r/>
            <w:r>
              <w:rPr>
                <w:rFonts w:ascii="宋体" w:hAnsi="宋体" w:eastAsia="宋体"/>
                <w:sz w:val="21"/>
              </w:rPr>
              <w:t>NUMI</w:t>
            </w:r>
          </w:p>
        </w:tc>
        <w:tc>
          <w:tcPr>
            <w:tcW w:type="dxa" w:w="1417"/>
            <w:vAlign w:val="center"/>
          </w:tcPr>
          <w:p>
            <w:pPr>
              <w:spacing w:line="240" w:lineRule="auto" w:after="20" w:before="20"/>
              <w:jc w:val="left"/>
            </w:pPr>
            <w:r/>
            <w:r>
              <w:rPr>
                <w:rFonts w:ascii="宋体" w:hAnsi="宋体" w:eastAsia="宋体"/>
                <w:sz w:val="21"/>
              </w:rPr>
              <w:t>统一大市场建设指数</w:t>
            </w:r>
          </w:p>
        </w:tc>
        <w:tc>
          <w:tcPr>
            <w:tcW w:type="dxa" w:w="1417"/>
            <w:vAlign w:val="center"/>
          </w:tcPr>
          <w:p>
            <w:pPr>
              <w:spacing w:line="240" w:lineRule="auto" w:after="20" w:before="20"/>
              <w:jc w:val="center"/>
            </w:pPr>
            <w:r/>
            <w:r>
              <w:rPr>
                <w:rFonts w:ascii="宋体" w:hAnsi="宋体" w:eastAsia="宋体"/>
                <w:sz w:val="21"/>
              </w:rPr>
              <w:t>0.5241</w:t>
            </w:r>
          </w:p>
        </w:tc>
        <w:tc>
          <w:tcPr>
            <w:tcW w:type="dxa" w:w="1417"/>
            <w:vAlign w:val="center"/>
          </w:tcPr>
          <w:p>
            <w:pPr>
              <w:spacing w:line="240" w:lineRule="auto" w:after="20" w:before="20"/>
              <w:jc w:val="center"/>
            </w:pPr>
            <w:r/>
            <w:r>
              <w:rPr>
                <w:rFonts w:ascii="宋体" w:hAnsi="宋体" w:eastAsia="宋体"/>
                <w:sz w:val="21"/>
              </w:rPr>
              <w:t>0.1285</w:t>
            </w:r>
          </w:p>
        </w:tc>
        <w:tc>
          <w:tcPr>
            <w:tcW w:type="dxa" w:w="1417"/>
            <w:vAlign w:val="center"/>
          </w:tcPr>
          <w:p>
            <w:pPr>
              <w:spacing w:line="240" w:lineRule="auto" w:after="20" w:before="20"/>
              <w:jc w:val="center"/>
            </w:pPr>
            <w:r/>
            <w:r>
              <w:rPr>
                <w:rFonts w:ascii="宋体" w:hAnsi="宋体" w:eastAsia="宋体"/>
                <w:sz w:val="21"/>
              </w:rPr>
              <w:t>0.2769</w:t>
            </w:r>
          </w:p>
        </w:tc>
        <w:tc>
          <w:tcPr>
            <w:tcW w:type="dxa" w:w="1417"/>
            <w:vAlign w:val="center"/>
          </w:tcPr>
          <w:p>
            <w:pPr>
              <w:spacing w:line="240" w:lineRule="auto" w:after="20" w:before="20"/>
              <w:jc w:val="center"/>
            </w:pPr>
            <w:r/>
            <w:r>
              <w:rPr>
                <w:rFonts w:ascii="宋体" w:hAnsi="宋体" w:eastAsia="宋体"/>
                <w:sz w:val="21"/>
              </w:rPr>
              <w:t>0.8567</w:t>
            </w:r>
          </w:p>
        </w:tc>
      </w:tr>
      <w:tr>
        <w:tc>
          <w:tcPr>
            <w:tcW w:type="dxa" w:w="1417"/>
            <w:vAlign w:val="center"/>
          </w:tcPr>
          <w:p>
            <w:pPr>
              <w:spacing w:line="240" w:lineRule="auto" w:after="20" w:before="20"/>
              <w:jc w:val="left"/>
            </w:pPr>
            <w:r/>
            <w:r>
              <w:rPr>
                <w:rFonts w:ascii="宋体" w:hAnsi="宋体" w:eastAsia="宋体"/>
                <w:sz w:val="21"/>
              </w:rPr>
              <w:t>ACE</w:t>
            </w:r>
          </w:p>
        </w:tc>
        <w:tc>
          <w:tcPr>
            <w:tcW w:type="dxa" w:w="1417"/>
            <w:vAlign w:val="center"/>
          </w:tcPr>
          <w:p>
            <w:pPr>
              <w:spacing w:line="240" w:lineRule="auto" w:after="20" w:before="20"/>
              <w:jc w:val="left"/>
            </w:pPr>
            <w:r/>
            <w:r>
              <w:rPr>
                <w:rFonts w:ascii="宋体" w:hAnsi="宋体" w:eastAsia="宋体"/>
                <w:sz w:val="21"/>
              </w:rPr>
              <w:t>要素配置效率</w:t>
            </w:r>
          </w:p>
        </w:tc>
        <w:tc>
          <w:tcPr>
            <w:tcW w:type="dxa" w:w="1417"/>
            <w:vAlign w:val="center"/>
          </w:tcPr>
          <w:p>
            <w:pPr>
              <w:spacing w:line="240" w:lineRule="auto" w:after="20" w:before="20"/>
              <w:jc w:val="center"/>
            </w:pPr>
            <w:r/>
            <w:r>
              <w:rPr>
                <w:rFonts w:ascii="宋体" w:hAnsi="宋体" w:eastAsia="宋体"/>
                <w:sz w:val="21"/>
              </w:rPr>
              <w:t>0.6136</w:t>
            </w:r>
          </w:p>
        </w:tc>
        <w:tc>
          <w:tcPr>
            <w:tcW w:type="dxa" w:w="1417"/>
            <w:vAlign w:val="center"/>
          </w:tcPr>
          <w:p>
            <w:pPr>
              <w:spacing w:line="240" w:lineRule="auto" w:after="20" w:before="20"/>
              <w:jc w:val="center"/>
            </w:pPr>
            <w:r/>
            <w:r>
              <w:rPr>
                <w:rFonts w:ascii="宋体" w:hAnsi="宋体" w:eastAsia="宋体"/>
                <w:sz w:val="21"/>
              </w:rPr>
              <w:t>0.1058</w:t>
            </w:r>
          </w:p>
        </w:tc>
        <w:tc>
          <w:tcPr>
            <w:tcW w:type="dxa" w:w="1417"/>
            <w:vAlign w:val="center"/>
          </w:tcPr>
          <w:p>
            <w:pPr>
              <w:spacing w:line="240" w:lineRule="auto" w:after="20" w:before="20"/>
              <w:jc w:val="center"/>
            </w:pPr>
            <w:r/>
            <w:r>
              <w:rPr>
                <w:rFonts w:ascii="宋体" w:hAnsi="宋体" w:eastAsia="宋体"/>
                <w:sz w:val="21"/>
              </w:rPr>
              <w:t>0.3202</w:t>
            </w:r>
          </w:p>
        </w:tc>
        <w:tc>
          <w:tcPr>
            <w:tcW w:type="dxa" w:w="1417"/>
            <w:vAlign w:val="center"/>
          </w:tcPr>
          <w:p>
            <w:pPr>
              <w:spacing w:line="240" w:lineRule="auto" w:after="20" w:before="20"/>
              <w:jc w:val="center"/>
            </w:pPr>
            <w:r/>
            <w:r>
              <w:rPr>
                <w:rFonts w:ascii="宋体" w:hAnsi="宋体" w:eastAsia="宋体"/>
                <w:sz w:val="21"/>
              </w:rPr>
              <w:t>0.8809</w:t>
            </w:r>
          </w:p>
        </w:tc>
      </w:tr>
      <w:tr>
        <w:tc>
          <w:tcPr>
            <w:tcW w:type="dxa" w:w="1417"/>
            <w:vAlign w:val="center"/>
          </w:tcPr>
          <w:p>
            <w:pPr>
              <w:spacing w:line="240" w:lineRule="auto" w:after="20" w:before="20"/>
              <w:jc w:val="left"/>
            </w:pPr>
            <w:r/>
            <w:r>
              <w:rPr>
                <w:rFonts w:ascii="宋体" w:hAnsi="宋体" w:eastAsia="宋体"/>
                <w:sz w:val="21"/>
              </w:rPr>
              <w:t>mismean</w:t>
            </w:r>
          </w:p>
        </w:tc>
        <w:tc>
          <w:tcPr>
            <w:tcW w:type="dxa" w:w="1417"/>
            <w:vAlign w:val="center"/>
          </w:tcPr>
          <w:p>
            <w:pPr>
              <w:spacing w:line="240" w:lineRule="auto" w:after="20" w:before="20"/>
              <w:jc w:val="left"/>
            </w:pPr>
            <w:r/>
            <w:r>
              <w:rPr>
                <w:rFonts w:ascii="宋体" w:hAnsi="宋体" w:eastAsia="宋体"/>
                <w:sz w:val="21"/>
              </w:rPr>
              <w:t>要素错配综合指数</w:t>
            </w:r>
          </w:p>
        </w:tc>
        <w:tc>
          <w:tcPr>
            <w:tcW w:type="dxa" w:w="1417"/>
            <w:vAlign w:val="center"/>
          </w:tcPr>
          <w:p>
            <w:pPr>
              <w:spacing w:line="240" w:lineRule="auto" w:after="20" w:before="20"/>
              <w:jc w:val="center"/>
            </w:pPr>
            <w:r/>
            <w:r>
              <w:rPr>
                <w:rFonts w:ascii="宋体" w:hAnsi="宋体" w:eastAsia="宋体"/>
                <w:sz w:val="21"/>
              </w:rPr>
              <w:t>0.4077</w:t>
            </w:r>
          </w:p>
        </w:tc>
        <w:tc>
          <w:tcPr>
            <w:tcW w:type="dxa" w:w="1417"/>
            <w:vAlign w:val="center"/>
          </w:tcPr>
          <w:p>
            <w:pPr>
              <w:spacing w:line="240" w:lineRule="auto" w:after="20" w:before="20"/>
              <w:jc w:val="center"/>
            </w:pPr>
            <w:r/>
            <w:r>
              <w:rPr>
                <w:rFonts w:ascii="宋体" w:hAnsi="宋体" w:eastAsia="宋体"/>
                <w:sz w:val="21"/>
              </w:rPr>
              <w:t>0.0746</w:t>
            </w:r>
          </w:p>
        </w:tc>
        <w:tc>
          <w:tcPr>
            <w:tcW w:type="dxa" w:w="1417"/>
            <w:vAlign w:val="center"/>
          </w:tcPr>
          <w:p>
            <w:pPr>
              <w:spacing w:line="240" w:lineRule="auto" w:after="20" w:before="20"/>
              <w:jc w:val="center"/>
            </w:pPr>
            <w:r/>
            <w:r>
              <w:rPr>
                <w:rFonts w:ascii="宋体" w:hAnsi="宋体" w:eastAsia="宋体"/>
                <w:sz w:val="21"/>
              </w:rPr>
              <w:t>0.1773</w:t>
            </w:r>
          </w:p>
        </w:tc>
        <w:tc>
          <w:tcPr>
            <w:tcW w:type="dxa" w:w="1417"/>
            <w:vAlign w:val="center"/>
          </w:tcPr>
          <w:p>
            <w:pPr>
              <w:spacing w:line="240" w:lineRule="auto" w:after="20" w:before="20"/>
              <w:jc w:val="center"/>
            </w:pPr>
            <w:r/>
            <w:r>
              <w:rPr>
                <w:rFonts w:ascii="宋体" w:hAnsi="宋体" w:eastAsia="宋体"/>
                <w:sz w:val="21"/>
              </w:rPr>
              <w:t>0.5701</w:t>
            </w:r>
          </w:p>
        </w:tc>
      </w:tr>
      <w:tr>
        <w:tc>
          <w:tcPr>
            <w:tcW w:type="dxa" w:w="1417"/>
            <w:vAlign w:val="center"/>
          </w:tcPr>
          <w:p>
            <w:pPr>
              <w:spacing w:line="240" w:lineRule="auto" w:after="20" w:before="20"/>
              <w:jc w:val="left"/>
            </w:pPr>
            <w:r/>
            <w:r>
              <w:rPr>
                <w:rFonts w:ascii="宋体" w:hAnsi="宋体" w:eastAsia="宋体"/>
                <w:sz w:val="21"/>
              </w:rPr>
              <w:t>miscap</w:t>
            </w:r>
          </w:p>
        </w:tc>
        <w:tc>
          <w:tcPr>
            <w:tcW w:type="dxa" w:w="1417"/>
            <w:vAlign w:val="center"/>
          </w:tcPr>
          <w:p>
            <w:pPr>
              <w:spacing w:line="240" w:lineRule="auto" w:after="20" w:before="20"/>
              <w:jc w:val="left"/>
            </w:pPr>
            <w:r/>
            <w:r>
              <w:rPr>
                <w:rFonts w:ascii="宋体" w:hAnsi="宋体" w:eastAsia="宋体"/>
                <w:sz w:val="21"/>
              </w:rPr>
              <w:t>资本错配度</w:t>
            </w:r>
          </w:p>
        </w:tc>
        <w:tc>
          <w:tcPr>
            <w:tcW w:type="dxa" w:w="1417"/>
            <w:vAlign w:val="center"/>
          </w:tcPr>
          <w:p>
            <w:pPr>
              <w:spacing w:line="240" w:lineRule="auto" w:after="20" w:before="20"/>
              <w:jc w:val="center"/>
            </w:pPr>
            <w:r/>
            <w:r>
              <w:rPr>
                <w:rFonts w:ascii="宋体" w:hAnsi="宋体" w:eastAsia="宋体"/>
                <w:sz w:val="21"/>
              </w:rPr>
              <w:t>0.4352</w:t>
            </w:r>
          </w:p>
        </w:tc>
        <w:tc>
          <w:tcPr>
            <w:tcW w:type="dxa" w:w="1417"/>
            <w:vAlign w:val="center"/>
          </w:tcPr>
          <w:p>
            <w:pPr>
              <w:spacing w:line="240" w:lineRule="auto" w:after="20" w:before="20"/>
              <w:jc w:val="center"/>
            </w:pPr>
            <w:r/>
            <w:r>
              <w:rPr>
                <w:rFonts w:ascii="宋体" w:hAnsi="宋体" w:eastAsia="宋体"/>
                <w:sz w:val="21"/>
              </w:rPr>
              <w:t>0.0803</w:t>
            </w:r>
          </w:p>
        </w:tc>
        <w:tc>
          <w:tcPr>
            <w:tcW w:type="dxa" w:w="1417"/>
            <w:vAlign w:val="center"/>
          </w:tcPr>
          <w:p>
            <w:pPr>
              <w:spacing w:line="240" w:lineRule="auto" w:after="20" w:before="20"/>
              <w:jc w:val="center"/>
            </w:pPr>
            <w:r/>
            <w:r>
              <w:rPr>
                <w:rFonts w:ascii="宋体" w:hAnsi="宋体" w:eastAsia="宋体"/>
                <w:sz w:val="21"/>
              </w:rPr>
              <w:t>0.1764</w:t>
            </w:r>
          </w:p>
        </w:tc>
        <w:tc>
          <w:tcPr>
            <w:tcW w:type="dxa" w:w="1417"/>
            <w:vAlign w:val="center"/>
          </w:tcPr>
          <w:p>
            <w:pPr>
              <w:spacing w:line="240" w:lineRule="auto" w:after="20" w:before="20"/>
              <w:jc w:val="center"/>
            </w:pPr>
            <w:r/>
            <w:r>
              <w:rPr>
                <w:rFonts w:ascii="宋体" w:hAnsi="宋体" w:eastAsia="宋体"/>
                <w:sz w:val="21"/>
              </w:rPr>
              <w:t>0.6155</w:t>
            </w:r>
          </w:p>
        </w:tc>
      </w:tr>
      <w:tr>
        <w:tc>
          <w:tcPr>
            <w:tcW w:type="dxa" w:w="1417"/>
            <w:vAlign w:val="center"/>
          </w:tcPr>
          <w:p>
            <w:pPr>
              <w:spacing w:line="240" w:lineRule="auto" w:after="20" w:before="20"/>
              <w:jc w:val="left"/>
            </w:pPr>
            <w:r/>
            <w:r>
              <w:rPr>
                <w:rFonts w:ascii="宋体" w:hAnsi="宋体" w:eastAsia="宋体"/>
                <w:sz w:val="21"/>
              </w:rPr>
              <w:t>mislab</w:t>
            </w:r>
          </w:p>
        </w:tc>
        <w:tc>
          <w:tcPr>
            <w:tcW w:type="dxa" w:w="1417"/>
            <w:vAlign w:val="center"/>
          </w:tcPr>
          <w:p>
            <w:pPr>
              <w:spacing w:line="240" w:lineRule="auto" w:after="20" w:before="20"/>
              <w:jc w:val="left"/>
            </w:pPr>
            <w:r/>
            <w:r>
              <w:rPr>
                <w:rFonts w:ascii="宋体" w:hAnsi="宋体" w:eastAsia="宋体"/>
                <w:sz w:val="21"/>
              </w:rPr>
              <w:t>劳动力错配度</w:t>
            </w:r>
          </w:p>
        </w:tc>
        <w:tc>
          <w:tcPr>
            <w:tcW w:type="dxa" w:w="1417"/>
            <w:vAlign w:val="center"/>
          </w:tcPr>
          <w:p>
            <w:pPr>
              <w:spacing w:line="240" w:lineRule="auto" w:after="20" w:before="20"/>
              <w:jc w:val="center"/>
            </w:pPr>
            <w:r/>
            <w:r>
              <w:rPr>
                <w:rFonts w:ascii="宋体" w:hAnsi="宋体" w:eastAsia="宋体"/>
                <w:sz w:val="21"/>
              </w:rPr>
              <w:t>0.3802</w:t>
            </w:r>
          </w:p>
        </w:tc>
        <w:tc>
          <w:tcPr>
            <w:tcW w:type="dxa" w:w="1417"/>
            <w:vAlign w:val="center"/>
          </w:tcPr>
          <w:p>
            <w:pPr>
              <w:spacing w:line="240" w:lineRule="auto" w:after="20" w:before="20"/>
              <w:jc w:val="center"/>
            </w:pPr>
            <w:r/>
            <w:r>
              <w:rPr>
                <w:rFonts w:ascii="宋体" w:hAnsi="宋体" w:eastAsia="宋体"/>
                <w:sz w:val="21"/>
              </w:rPr>
              <w:t>0.0718</w:t>
            </w:r>
          </w:p>
        </w:tc>
        <w:tc>
          <w:tcPr>
            <w:tcW w:type="dxa" w:w="1417"/>
            <w:vAlign w:val="center"/>
          </w:tcPr>
          <w:p>
            <w:pPr>
              <w:spacing w:line="240" w:lineRule="auto" w:after="20" w:before="20"/>
              <w:jc w:val="center"/>
            </w:pPr>
            <w:r/>
            <w:r>
              <w:rPr>
                <w:rFonts w:ascii="宋体" w:hAnsi="宋体" w:eastAsia="宋体"/>
                <w:sz w:val="21"/>
              </w:rPr>
              <w:t>0.1721</w:t>
            </w:r>
          </w:p>
        </w:tc>
        <w:tc>
          <w:tcPr>
            <w:tcW w:type="dxa" w:w="1417"/>
            <w:vAlign w:val="center"/>
          </w:tcPr>
          <w:p>
            <w:pPr>
              <w:spacing w:line="240" w:lineRule="auto" w:after="20" w:before="20"/>
              <w:jc w:val="center"/>
            </w:pPr>
            <w:r/>
            <w:r>
              <w:rPr>
                <w:rFonts w:ascii="宋体" w:hAnsi="宋体" w:eastAsia="宋体"/>
                <w:sz w:val="21"/>
              </w:rPr>
              <w:t>0.5446</w:t>
            </w:r>
          </w:p>
        </w:tc>
      </w:tr>
      <w:tr>
        <w:tc>
          <w:tcPr>
            <w:tcW w:type="dxa" w:w="1417"/>
            <w:vAlign w:val="center"/>
          </w:tcPr>
          <w:p>
            <w:pPr>
              <w:spacing w:line="240" w:lineRule="auto" w:after="20" w:before="20"/>
              <w:jc w:val="left"/>
            </w:pPr>
            <w:r/>
            <w:r>
              <w:rPr>
                <w:rFonts w:ascii="宋体" w:hAnsi="宋体" w:eastAsia="宋体"/>
                <w:sz w:val="21"/>
              </w:rPr>
              <w:t>seg</w:t>
            </w:r>
          </w:p>
        </w:tc>
        <w:tc>
          <w:tcPr>
            <w:tcW w:type="dxa" w:w="1417"/>
            <w:vAlign w:val="center"/>
          </w:tcPr>
          <w:p>
            <w:pPr>
              <w:spacing w:line="240" w:lineRule="auto" w:after="20" w:before="20"/>
              <w:jc w:val="left"/>
            </w:pPr>
            <w:r/>
            <w:r>
              <w:rPr>
                <w:rFonts w:ascii="宋体" w:hAnsi="宋体" w:eastAsia="宋体"/>
                <w:sz w:val="21"/>
              </w:rPr>
              <w:t>市场分割指数</w:t>
            </w:r>
          </w:p>
        </w:tc>
        <w:tc>
          <w:tcPr>
            <w:tcW w:type="dxa" w:w="1417"/>
            <w:vAlign w:val="center"/>
          </w:tcPr>
          <w:p>
            <w:pPr>
              <w:spacing w:line="240" w:lineRule="auto" w:after="20" w:before="20"/>
              <w:jc w:val="center"/>
            </w:pPr>
            <w:r/>
            <w:r>
              <w:rPr>
                <w:rFonts w:ascii="宋体" w:hAnsi="宋体" w:eastAsia="宋体"/>
                <w:sz w:val="21"/>
              </w:rPr>
              <w:t>0.0222</w:t>
            </w:r>
          </w:p>
        </w:tc>
        <w:tc>
          <w:tcPr>
            <w:tcW w:type="dxa" w:w="1417"/>
            <w:vAlign w:val="center"/>
          </w:tcPr>
          <w:p>
            <w:pPr>
              <w:spacing w:line="240" w:lineRule="auto" w:after="20" w:before="20"/>
              <w:jc w:val="center"/>
            </w:pPr>
            <w:r/>
            <w:r>
              <w:rPr>
                <w:rFonts w:ascii="宋体" w:hAnsi="宋体" w:eastAsia="宋体"/>
                <w:sz w:val="21"/>
              </w:rPr>
              <w:t>0.0037</w:t>
            </w:r>
          </w:p>
        </w:tc>
        <w:tc>
          <w:tcPr>
            <w:tcW w:type="dxa" w:w="1417"/>
            <w:vAlign w:val="center"/>
          </w:tcPr>
          <w:p>
            <w:pPr>
              <w:spacing w:line="240" w:lineRule="auto" w:after="20" w:before="20"/>
              <w:jc w:val="center"/>
            </w:pPr>
            <w:r/>
            <w:r>
              <w:rPr>
                <w:rFonts w:ascii="宋体" w:hAnsi="宋体" w:eastAsia="宋体"/>
                <w:sz w:val="21"/>
              </w:rPr>
              <w:t>0.0121</w:t>
            </w:r>
          </w:p>
        </w:tc>
        <w:tc>
          <w:tcPr>
            <w:tcW w:type="dxa" w:w="1417"/>
            <w:vAlign w:val="center"/>
          </w:tcPr>
          <w:p>
            <w:pPr>
              <w:spacing w:line="240" w:lineRule="auto" w:after="20" w:before="20"/>
              <w:jc w:val="center"/>
            </w:pPr>
            <w:r/>
            <w:r>
              <w:rPr>
                <w:rFonts w:ascii="宋体" w:hAnsi="宋体" w:eastAsia="宋体"/>
                <w:sz w:val="21"/>
              </w:rPr>
              <w:t>0.0304</w:t>
            </w:r>
          </w:p>
        </w:tc>
      </w:tr>
      <w:tr>
        <w:tc>
          <w:tcPr>
            <w:tcW w:type="dxa" w:w="1417"/>
            <w:vAlign w:val="center"/>
          </w:tcPr>
          <w:p>
            <w:pPr>
              <w:spacing w:line="240" w:lineRule="auto" w:after="20" w:before="20"/>
              <w:jc w:val="left"/>
            </w:pPr>
            <w:r/>
            <w:r>
              <w:rPr>
                <w:rFonts w:ascii="宋体" w:hAnsi="宋体" w:eastAsia="宋体"/>
                <w:sz w:val="21"/>
              </w:rPr>
              <w:t>tfp</w:t>
            </w:r>
          </w:p>
        </w:tc>
        <w:tc>
          <w:tcPr>
            <w:tcW w:type="dxa" w:w="1417"/>
            <w:vAlign w:val="center"/>
          </w:tcPr>
          <w:p>
            <w:pPr>
              <w:spacing w:line="240" w:lineRule="auto" w:after="20" w:before="20"/>
              <w:jc w:val="left"/>
            </w:pPr>
            <w:r/>
            <w:r>
              <w:rPr>
                <w:rFonts w:ascii="宋体" w:hAnsi="宋体" w:eastAsia="宋体"/>
                <w:sz w:val="21"/>
              </w:rPr>
              <w:t>全要素生产率</w:t>
            </w:r>
          </w:p>
        </w:tc>
        <w:tc>
          <w:tcPr>
            <w:tcW w:type="dxa" w:w="1417"/>
            <w:vAlign w:val="center"/>
          </w:tcPr>
          <w:p>
            <w:pPr>
              <w:spacing w:line="240" w:lineRule="auto" w:after="20" w:before="20"/>
              <w:jc w:val="center"/>
            </w:pPr>
            <w:r/>
            <w:r>
              <w:rPr>
                <w:rFonts w:ascii="宋体" w:hAnsi="宋体" w:eastAsia="宋体"/>
                <w:sz w:val="21"/>
              </w:rPr>
              <w:t>1.3878</w:t>
            </w:r>
          </w:p>
        </w:tc>
        <w:tc>
          <w:tcPr>
            <w:tcW w:type="dxa" w:w="1417"/>
            <w:vAlign w:val="center"/>
          </w:tcPr>
          <w:p>
            <w:pPr>
              <w:spacing w:line="240" w:lineRule="auto" w:after="20" w:before="20"/>
              <w:jc w:val="center"/>
            </w:pPr>
            <w:r/>
            <w:r>
              <w:rPr>
                <w:rFonts w:ascii="宋体" w:hAnsi="宋体" w:eastAsia="宋体"/>
                <w:sz w:val="21"/>
              </w:rPr>
              <w:t>0.2556</w:t>
            </w:r>
          </w:p>
        </w:tc>
        <w:tc>
          <w:tcPr>
            <w:tcW w:type="dxa" w:w="1417"/>
            <w:vAlign w:val="center"/>
          </w:tcPr>
          <w:p>
            <w:pPr>
              <w:spacing w:line="240" w:lineRule="auto" w:after="20" w:before="20"/>
              <w:jc w:val="center"/>
            </w:pPr>
            <w:r/>
            <w:r>
              <w:rPr>
                <w:rFonts w:ascii="宋体" w:hAnsi="宋体" w:eastAsia="宋体"/>
                <w:sz w:val="21"/>
              </w:rPr>
              <w:t>0.8738</w:t>
            </w:r>
          </w:p>
        </w:tc>
        <w:tc>
          <w:tcPr>
            <w:tcW w:type="dxa" w:w="1417"/>
            <w:vAlign w:val="center"/>
          </w:tcPr>
          <w:p>
            <w:pPr>
              <w:spacing w:line="240" w:lineRule="auto" w:after="20" w:before="20"/>
              <w:jc w:val="center"/>
            </w:pPr>
            <w:r/>
            <w:r>
              <w:rPr>
                <w:rFonts w:ascii="宋体" w:hAnsi="宋体" w:eastAsia="宋体"/>
                <w:sz w:val="21"/>
              </w:rPr>
              <w:t>2.0396</w:t>
            </w:r>
          </w:p>
        </w:tc>
      </w:tr>
      <w:tr>
        <w:tc>
          <w:tcPr>
            <w:tcW w:type="dxa" w:w="1417"/>
            <w:vAlign w:val="center"/>
          </w:tcPr>
          <w:p>
            <w:pPr>
              <w:spacing w:line="240" w:lineRule="auto" w:after="20" w:before="20"/>
              <w:jc w:val="left"/>
            </w:pPr>
            <w:r/>
            <w:r>
              <w:rPr>
                <w:rFonts w:ascii="宋体" w:hAnsi="宋体" w:eastAsia="宋体"/>
                <w:sz w:val="21"/>
              </w:rPr>
              <w:t>lnpgdp</w:t>
            </w:r>
          </w:p>
        </w:tc>
        <w:tc>
          <w:tcPr>
            <w:tcW w:type="dxa" w:w="1417"/>
            <w:vAlign w:val="center"/>
          </w:tcPr>
          <w:p>
            <w:pPr>
              <w:spacing w:line="240" w:lineRule="auto" w:after="20" w:before="20"/>
              <w:jc w:val="left"/>
            </w:pPr>
            <w:r/>
            <w:r>
              <w:rPr>
                <w:rFonts w:ascii="宋体" w:hAnsi="宋体" w:eastAsia="宋体"/>
                <w:sz w:val="21"/>
              </w:rPr>
              <w:t>人均GDP（对数）</w:t>
            </w:r>
          </w:p>
        </w:tc>
        <w:tc>
          <w:tcPr>
            <w:tcW w:type="dxa" w:w="1417"/>
            <w:vAlign w:val="center"/>
          </w:tcPr>
          <w:p>
            <w:pPr>
              <w:spacing w:line="240" w:lineRule="auto" w:after="20" w:before="20"/>
              <w:jc w:val="center"/>
            </w:pPr>
            <w:r/>
            <w:r>
              <w:rPr>
                <w:rFonts w:ascii="宋体" w:hAnsi="宋体" w:eastAsia="宋体"/>
                <w:sz w:val="21"/>
              </w:rPr>
              <w:t>11.2292</w:t>
            </w:r>
          </w:p>
        </w:tc>
        <w:tc>
          <w:tcPr>
            <w:tcW w:type="dxa" w:w="1417"/>
            <w:vAlign w:val="center"/>
          </w:tcPr>
          <w:p>
            <w:pPr>
              <w:spacing w:line="240" w:lineRule="auto" w:after="20" w:before="20"/>
              <w:jc w:val="center"/>
            </w:pPr>
            <w:r/>
            <w:r>
              <w:rPr>
                <w:rFonts w:ascii="宋体" w:hAnsi="宋体" w:eastAsia="宋体"/>
                <w:sz w:val="21"/>
              </w:rPr>
              <w:t>0.5287</w:t>
            </w:r>
          </w:p>
        </w:tc>
        <w:tc>
          <w:tcPr>
            <w:tcW w:type="dxa" w:w="1417"/>
            <w:vAlign w:val="center"/>
          </w:tcPr>
          <w:p>
            <w:pPr>
              <w:spacing w:line="240" w:lineRule="auto" w:after="20" w:before="20"/>
              <w:jc w:val="center"/>
            </w:pPr>
            <w:r/>
            <w:r>
              <w:rPr>
                <w:rFonts w:ascii="宋体" w:hAnsi="宋体" w:eastAsia="宋体"/>
                <w:sz w:val="21"/>
              </w:rPr>
              <w:t>10.0560</w:t>
            </w:r>
          </w:p>
        </w:tc>
        <w:tc>
          <w:tcPr>
            <w:tcW w:type="dxa" w:w="1417"/>
            <w:vAlign w:val="center"/>
          </w:tcPr>
          <w:p>
            <w:pPr>
              <w:spacing w:line="240" w:lineRule="auto" w:after="20" w:before="20"/>
              <w:jc w:val="center"/>
            </w:pPr>
            <w:r/>
            <w:r>
              <w:rPr>
                <w:rFonts w:ascii="宋体" w:hAnsi="宋体" w:eastAsia="宋体"/>
                <w:sz w:val="21"/>
              </w:rPr>
              <w:t>12.7454</w:t>
            </w:r>
          </w:p>
        </w:tc>
      </w:tr>
      <w:tr>
        <w:tc>
          <w:tcPr>
            <w:tcW w:type="dxa" w:w="1417"/>
            <w:vAlign w:val="center"/>
          </w:tcPr>
          <w:p>
            <w:pPr>
              <w:spacing w:line="240" w:lineRule="auto" w:after="20" w:before="20"/>
              <w:jc w:val="left"/>
            </w:pPr>
            <w:r/>
            <w:r>
              <w:rPr>
                <w:rFonts w:ascii="宋体" w:hAnsi="宋体" w:eastAsia="宋体"/>
                <w:sz w:val="21"/>
              </w:rPr>
              <w:t>urban</w:t>
            </w:r>
          </w:p>
        </w:tc>
        <w:tc>
          <w:tcPr>
            <w:tcW w:type="dxa" w:w="1417"/>
            <w:vAlign w:val="center"/>
          </w:tcPr>
          <w:p>
            <w:pPr>
              <w:spacing w:line="240" w:lineRule="auto" w:after="20" w:before="20"/>
              <w:jc w:val="left"/>
            </w:pPr>
            <w:r/>
            <w:r>
              <w:rPr>
                <w:rFonts w:ascii="宋体" w:hAnsi="宋体" w:eastAsia="宋体"/>
                <w:sz w:val="21"/>
              </w:rPr>
              <w:t>城镇化率</w:t>
            </w:r>
          </w:p>
        </w:tc>
        <w:tc>
          <w:tcPr>
            <w:tcW w:type="dxa" w:w="1417"/>
            <w:vAlign w:val="center"/>
          </w:tcPr>
          <w:p>
            <w:pPr>
              <w:spacing w:line="240" w:lineRule="auto" w:after="20" w:before="20"/>
              <w:jc w:val="center"/>
            </w:pPr>
            <w:r/>
            <w:r>
              <w:rPr>
                <w:rFonts w:ascii="宋体" w:hAnsi="宋体" w:eastAsia="宋体"/>
                <w:sz w:val="21"/>
              </w:rPr>
              <w:t>0.6359</w:t>
            </w:r>
          </w:p>
        </w:tc>
        <w:tc>
          <w:tcPr>
            <w:tcW w:type="dxa" w:w="1417"/>
            <w:vAlign w:val="center"/>
          </w:tcPr>
          <w:p>
            <w:pPr>
              <w:spacing w:line="240" w:lineRule="auto" w:after="20" w:before="20"/>
              <w:jc w:val="center"/>
            </w:pPr>
            <w:r/>
            <w:r>
              <w:rPr>
                <w:rFonts w:ascii="宋体" w:hAnsi="宋体" w:eastAsia="宋体"/>
                <w:sz w:val="21"/>
              </w:rPr>
              <w:t>0.0972</w:t>
            </w:r>
          </w:p>
        </w:tc>
        <w:tc>
          <w:tcPr>
            <w:tcW w:type="dxa" w:w="1417"/>
            <w:vAlign w:val="center"/>
          </w:tcPr>
          <w:p>
            <w:pPr>
              <w:spacing w:line="240" w:lineRule="auto" w:after="20" w:before="20"/>
              <w:jc w:val="center"/>
            </w:pPr>
            <w:r/>
            <w:r>
              <w:rPr>
                <w:rFonts w:ascii="宋体" w:hAnsi="宋体" w:eastAsia="宋体"/>
                <w:sz w:val="21"/>
              </w:rPr>
              <w:t>0.4276</w:t>
            </w:r>
          </w:p>
        </w:tc>
        <w:tc>
          <w:tcPr>
            <w:tcW w:type="dxa" w:w="1417"/>
            <w:vAlign w:val="center"/>
          </w:tcPr>
          <w:p>
            <w:pPr>
              <w:spacing w:line="240" w:lineRule="auto" w:after="20" w:before="20"/>
              <w:jc w:val="center"/>
            </w:pPr>
            <w:r/>
            <w:r>
              <w:rPr>
                <w:rFonts w:ascii="宋体" w:hAnsi="宋体" w:eastAsia="宋体"/>
                <w:sz w:val="21"/>
              </w:rPr>
              <w:t>0.9006</w:t>
            </w:r>
          </w:p>
        </w:tc>
      </w:tr>
      <w:tr>
        <w:tc>
          <w:tcPr>
            <w:tcW w:type="dxa" w:w="1417"/>
            <w:vAlign w:val="center"/>
          </w:tcPr>
          <w:p>
            <w:pPr>
              <w:spacing w:line="240" w:lineRule="auto" w:after="20" w:before="20"/>
              <w:jc w:val="left"/>
            </w:pPr>
            <w:r/>
            <w:r>
              <w:rPr>
                <w:rFonts w:ascii="宋体" w:hAnsi="宋体" w:eastAsia="宋体"/>
                <w:sz w:val="21"/>
              </w:rPr>
              <w:t>indstr</w:t>
            </w:r>
          </w:p>
        </w:tc>
        <w:tc>
          <w:tcPr>
            <w:tcW w:type="dxa" w:w="1417"/>
            <w:vAlign w:val="center"/>
          </w:tcPr>
          <w:p>
            <w:pPr>
              <w:spacing w:line="240" w:lineRule="auto" w:after="20" w:before="20"/>
              <w:jc w:val="left"/>
            </w:pPr>
            <w:r/>
            <w:r>
              <w:rPr>
                <w:rFonts w:ascii="宋体" w:hAnsi="宋体" w:eastAsia="宋体"/>
                <w:sz w:val="21"/>
              </w:rPr>
              <w:t>产业结构</w:t>
            </w:r>
          </w:p>
        </w:tc>
        <w:tc>
          <w:tcPr>
            <w:tcW w:type="dxa" w:w="1417"/>
            <w:vAlign w:val="center"/>
          </w:tcPr>
          <w:p>
            <w:pPr>
              <w:spacing w:line="240" w:lineRule="auto" w:after="20" w:before="20"/>
              <w:jc w:val="center"/>
            </w:pPr>
            <w:r/>
            <w:r>
              <w:rPr>
                <w:rFonts w:ascii="宋体" w:hAnsi="宋体" w:eastAsia="宋体"/>
                <w:sz w:val="21"/>
              </w:rPr>
              <w:t>0.5000</w:t>
            </w:r>
          </w:p>
        </w:tc>
        <w:tc>
          <w:tcPr>
            <w:tcW w:type="dxa" w:w="1417"/>
            <w:vAlign w:val="center"/>
          </w:tcPr>
          <w:p>
            <w:pPr>
              <w:spacing w:line="240" w:lineRule="auto" w:after="20" w:before="20"/>
              <w:jc w:val="center"/>
            </w:pPr>
            <w:r/>
            <w:r>
              <w:rPr>
                <w:rFonts w:ascii="宋体" w:hAnsi="宋体" w:eastAsia="宋体"/>
                <w:sz w:val="21"/>
              </w:rPr>
              <w:t>0.0398</w:t>
            </w:r>
          </w:p>
        </w:tc>
        <w:tc>
          <w:tcPr>
            <w:tcW w:type="dxa" w:w="1417"/>
            <w:vAlign w:val="center"/>
          </w:tcPr>
          <w:p>
            <w:pPr>
              <w:spacing w:line="240" w:lineRule="auto" w:after="20" w:before="20"/>
              <w:jc w:val="center"/>
            </w:pPr>
            <w:r/>
            <w:r>
              <w:rPr>
                <w:rFonts w:ascii="宋体" w:hAnsi="宋体" w:eastAsia="宋体"/>
                <w:sz w:val="21"/>
              </w:rPr>
              <w:t>0.3596</w:t>
            </w:r>
          </w:p>
        </w:tc>
        <w:tc>
          <w:tcPr>
            <w:tcW w:type="dxa" w:w="1417"/>
            <w:vAlign w:val="center"/>
          </w:tcPr>
          <w:p>
            <w:pPr>
              <w:spacing w:line="240" w:lineRule="auto" w:after="20" w:before="20"/>
              <w:jc w:val="center"/>
            </w:pPr>
            <w:r/>
            <w:r>
              <w:rPr>
                <w:rFonts w:ascii="宋体" w:hAnsi="宋体" w:eastAsia="宋体"/>
                <w:sz w:val="21"/>
              </w:rPr>
              <w:t>0.5948</w:t>
            </w:r>
          </w:p>
        </w:tc>
      </w:tr>
      <w:tr>
        <w:tc>
          <w:tcPr>
            <w:tcW w:type="dxa" w:w="1417"/>
            <w:vAlign w:val="center"/>
          </w:tcPr>
          <w:p>
            <w:pPr>
              <w:spacing w:line="240" w:lineRule="auto" w:after="20" w:before="20"/>
              <w:jc w:val="left"/>
            </w:pPr>
            <w:r/>
            <w:r>
              <w:rPr>
                <w:rFonts w:ascii="宋体" w:hAnsi="宋体" w:eastAsia="宋体"/>
                <w:sz w:val="21"/>
              </w:rPr>
              <w:t>digital</w:t>
            </w:r>
          </w:p>
        </w:tc>
        <w:tc>
          <w:tcPr>
            <w:tcW w:type="dxa" w:w="1417"/>
            <w:vAlign w:val="center"/>
          </w:tcPr>
          <w:p>
            <w:pPr>
              <w:spacing w:line="240" w:lineRule="auto" w:after="20" w:before="20"/>
              <w:jc w:val="left"/>
            </w:pPr>
            <w:r/>
            <w:r>
              <w:rPr>
                <w:rFonts w:ascii="宋体" w:hAnsi="宋体" w:eastAsia="宋体"/>
                <w:sz w:val="21"/>
              </w:rPr>
              <w:t>数字经济发展</w:t>
            </w:r>
          </w:p>
        </w:tc>
        <w:tc>
          <w:tcPr>
            <w:tcW w:type="dxa" w:w="1417"/>
            <w:vAlign w:val="center"/>
          </w:tcPr>
          <w:p>
            <w:pPr>
              <w:spacing w:line="240" w:lineRule="auto" w:after="20" w:before="20"/>
              <w:jc w:val="center"/>
            </w:pPr>
            <w:r/>
            <w:r>
              <w:rPr>
                <w:rFonts w:ascii="宋体" w:hAnsi="宋体" w:eastAsia="宋体"/>
                <w:sz w:val="21"/>
              </w:rPr>
              <w:t>0.4490</w:t>
            </w:r>
          </w:p>
        </w:tc>
        <w:tc>
          <w:tcPr>
            <w:tcW w:type="dxa" w:w="1417"/>
            <w:vAlign w:val="center"/>
          </w:tcPr>
          <w:p>
            <w:pPr>
              <w:spacing w:line="240" w:lineRule="auto" w:after="20" w:before="20"/>
              <w:jc w:val="center"/>
            </w:pPr>
            <w:r/>
            <w:r>
              <w:rPr>
                <w:rFonts w:ascii="宋体" w:hAnsi="宋体" w:eastAsia="宋体"/>
                <w:sz w:val="21"/>
              </w:rPr>
              <w:t>0.1011</w:t>
            </w:r>
          </w:p>
        </w:tc>
        <w:tc>
          <w:tcPr>
            <w:tcW w:type="dxa" w:w="1417"/>
            <w:vAlign w:val="center"/>
          </w:tcPr>
          <w:p>
            <w:pPr>
              <w:spacing w:line="240" w:lineRule="auto" w:after="20" w:before="20"/>
              <w:jc w:val="center"/>
            </w:pPr>
            <w:r/>
            <w:r>
              <w:rPr>
                <w:rFonts w:ascii="宋体" w:hAnsi="宋体" w:eastAsia="宋体"/>
                <w:sz w:val="21"/>
              </w:rPr>
              <w:t>0.2306</w:t>
            </w:r>
          </w:p>
        </w:tc>
        <w:tc>
          <w:tcPr>
            <w:tcW w:type="dxa" w:w="1417"/>
            <w:vAlign w:val="center"/>
          </w:tcPr>
          <w:p>
            <w:pPr>
              <w:spacing w:line="240" w:lineRule="auto" w:after="20" w:before="20"/>
              <w:jc w:val="center"/>
            </w:pPr>
            <w:r/>
            <w:r>
              <w:rPr>
                <w:rFonts w:ascii="宋体" w:hAnsi="宋体" w:eastAsia="宋体"/>
                <w:sz w:val="21"/>
              </w:rPr>
              <w:t>0.7078</w:t>
            </w:r>
          </w:p>
        </w:tc>
      </w:tr>
      <w:tr>
        <w:tc>
          <w:tcPr>
            <w:tcW w:type="dxa" w:w="1417"/>
            <w:vAlign w:val="center"/>
          </w:tcPr>
          <w:p>
            <w:pPr>
              <w:spacing w:line="240" w:lineRule="auto" w:after="20" w:before="20"/>
              <w:jc w:val="left"/>
            </w:pPr>
            <w:r/>
            <w:r>
              <w:rPr>
                <w:rFonts w:ascii="宋体" w:hAnsi="宋体" w:eastAsia="宋体"/>
                <w:sz w:val="21"/>
              </w:rPr>
              <w:t>transport</w:t>
            </w:r>
          </w:p>
        </w:tc>
        <w:tc>
          <w:tcPr>
            <w:tcW w:type="dxa" w:w="1417"/>
            <w:vAlign w:val="center"/>
          </w:tcPr>
          <w:p>
            <w:pPr>
              <w:spacing w:line="240" w:lineRule="auto" w:after="20" w:before="20"/>
              <w:jc w:val="left"/>
            </w:pPr>
            <w:r/>
            <w:r>
              <w:rPr>
                <w:rFonts w:ascii="宋体" w:hAnsi="宋体" w:eastAsia="宋体"/>
                <w:sz w:val="21"/>
              </w:rPr>
              <w:t>交通基础设施</w:t>
            </w:r>
          </w:p>
        </w:tc>
        <w:tc>
          <w:tcPr>
            <w:tcW w:type="dxa" w:w="1417"/>
            <w:vAlign w:val="center"/>
          </w:tcPr>
          <w:p>
            <w:pPr>
              <w:spacing w:line="240" w:lineRule="auto" w:after="20" w:before="20"/>
              <w:jc w:val="center"/>
            </w:pPr>
            <w:r/>
            <w:r>
              <w:rPr>
                <w:rFonts w:ascii="宋体" w:hAnsi="宋体" w:eastAsia="宋体"/>
                <w:sz w:val="21"/>
              </w:rPr>
              <w:t>0.6287</w:t>
            </w:r>
          </w:p>
        </w:tc>
        <w:tc>
          <w:tcPr>
            <w:tcW w:type="dxa" w:w="1417"/>
            <w:vAlign w:val="center"/>
          </w:tcPr>
          <w:p>
            <w:pPr>
              <w:spacing w:line="240" w:lineRule="auto" w:after="20" w:before="20"/>
              <w:jc w:val="center"/>
            </w:pPr>
            <w:r/>
            <w:r>
              <w:rPr>
                <w:rFonts w:ascii="宋体" w:hAnsi="宋体" w:eastAsia="宋体"/>
                <w:sz w:val="21"/>
              </w:rPr>
              <w:t>0.1341</w:t>
            </w:r>
          </w:p>
        </w:tc>
        <w:tc>
          <w:tcPr>
            <w:tcW w:type="dxa" w:w="1417"/>
            <w:vAlign w:val="center"/>
          </w:tcPr>
          <w:p>
            <w:pPr>
              <w:spacing w:line="240" w:lineRule="auto" w:after="20" w:before="20"/>
              <w:jc w:val="center"/>
            </w:pPr>
            <w:r/>
            <w:r>
              <w:rPr>
                <w:rFonts w:ascii="宋体" w:hAnsi="宋体" w:eastAsia="宋体"/>
                <w:sz w:val="21"/>
              </w:rPr>
              <w:t>0.3401</w:t>
            </w:r>
          </w:p>
        </w:tc>
        <w:tc>
          <w:tcPr>
            <w:tcW w:type="dxa" w:w="1417"/>
            <w:vAlign w:val="center"/>
          </w:tcPr>
          <w:p>
            <w:pPr>
              <w:spacing w:line="240" w:lineRule="auto" w:after="20" w:before="20"/>
              <w:jc w:val="center"/>
            </w:pPr>
            <w:r/>
            <w:r>
              <w:rPr>
                <w:rFonts w:ascii="宋体" w:hAnsi="宋体" w:eastAsia="宋体"/>
                <w:sz w:val="21"/>
              </w:rPr>
              <w:t>0.9500</w:t>
            </w:r>
          </w:p>
        </w:tc>
      </w:tr>
      <w:tr>
        <w:tc>
          <w:tcPr>
            <w:tcW w:type="dxa" w:w="1417"/>
            <w:vAlign w:val="center"/>
          </w:tcPr>
          <w:p>
            <w:pPr>
              <w:spacing w:line="240" w:lineRule="auto" w:after="20" w:before="20"/>
              <w:jc w:val="left"/>
            </w:pPr>
            <w:r/>
            <w:r>
              <w:rPr>
                <w:rFonts w:ascii="宋体" w:hAnsi="宋体" w:eastAsia="宋体"/>
                <w:sz w:val="21"/>
              </w:rPr>
              <w:t>fiscaldec</w:t>
            </w:r>
          </w:p>
        </w:tc>
        <w:tc>
          <w:tcPr>
            <w:tcW w:type="dxa" w:w="1417"/>
            <w:vAlign w:val="center"/>
          </w:tcPr>
          <w:p>
            <w:pPr>
              <w:spacing w:line="240" w:lineRule="auto" w:after="20" w:before="20"/>
              <w:jc w:val="left"/>
            </w:pPr>
            <w:r/>
            <w:r>
              <w:rPr>
                <w:rFonts w:ascii="宋体" w:hAnsi="宋体" w:eastAsia="宋体"/>
                <w:sz w:val="21"/>
              </w:rPr>
              <w:t>财政分权</w:t>
            </w:r>
          </w:p>
        </w:tc>
        <w:tc>
          <w:tcPr>
            <w:tcW w:type="dxa" w:w="1417"/>
            <w:vAlign w:val="center"/>
          </w:tcPr>
          <w:p>
            <w:pPr>
              <w:spacing w:line="240" w:lineRule="auto" w:after="20" w:before="20"/>
              <w:jc w:val="center"/>
            </w:pPr>
            <w:r/>
            <w:r>
              <w:rPr>
                <w:rFonts w:ascii="宋体" w:hAnsi="宋体" w:eastAsia="宋体"/>
                <w:sz w:val="21"/>
              </w:rPr>
              <w:t>0.5071</w:t>
            </w:r>
          </w:p>
        </w:tc>
        <w:tc>
          <w:tcPr>
            <w:tcW w:type="dxa" w:w="1417"/>
            <w:vAlign w:val="center"/>
          </w:tcPr>
          <w:p>
            <w:pPr>
              <w:spacing w:line="240" w:lineRule="auto" w:after="20" w:before="20"/>
              <w:jc w:val="center"/>
            </w:pPr>
            <w:r/>
            <w:r>
              <w:rPr>
                <w:rFonts w:ascii="宋体" w:hAnsi="宋体" w:eastAsia="宋体"/>
                <w:sz w:val="21"/>
              </w:rPr>
              <w:t>0.0357</w:t>
            </w:r>
          </w:p>
        </w:tc>
        <w:tc>
          <w:tcPr>
            <w:tcW w:type="dxa" w:w="1417"/>
            <w:vAlign w:val="center"/>
          </w:tcPr>
          <w:p>
            <w:pPr>
              <w:spacing w:line="240" w:lineRule="auto" w:after="20" w:before="20"/>
              <w:jc w:val="center"/>
            </w:pPr>
            <w:r/>
            <w:r>
              <w:rPr>
                <w:rFonts w:ascii="宋体" w:hAnsi="宋体" w:eastAsia="宋体"/>
                <w:sz w:val="21"/>
              </w:rPr>
              <w:t>0.4027</w:t>
            </w:r>
          </w:p>
        </w:tc>
        <w:tc>
          <w:tcPr>
            <w:tcW w:type="dxa" w:w="1417"/>
            <w:vAlign w:val="center"/>
          </w:tcPr>
          <w:p>
            <w:pPr>
              <w:spacing w:line="240" w:lineRule="auto" w:after="20" w:before="20"/>
              <w:jc w:val="center"/>
            </w:pPr>
            <w:r/>
            <w:r>
              <w:rPr>
                <w:rFonts w:ascii="宋体" w:hAnsi="宋体" w:eastAsia="宋体"/>
                <w:sz w:val="21"/>
              </w:rPr>
              <w:t>0.6403</w:t>
            </w:r>
          </w:p>
        </w:tc>
      </w:tr>
      <w:tr>
        <w:tc>
          <w:tcPr>
            <w:tcW w:type="dxa" w:w="1417"/>
            <w:vAlign w:val="center"/>
          </w:tcPr>
          <w:p>
            <w:pPr>
              <w:spacing w:line="240" w:lineRule="auto" w:after="20" w:before="20"/>
              <w:jc w:val="left"/>
            </w:pPr>
            <w:r/>
            <w:r>
              <w:rPr>
                <w:rFonts w:ascii="宋体" w:hAnsi="宋体" w:eastAsia="宋体"/>
                <w:sz w:val="21"/>
              </w:rPr>
              <w:t>openness</w:t>
            </w:r>
          </w:p>
        </w:tc>
        <w:tc>
          <w:tcPr>
            <w:tcW w:type="dxa" w:w="1417"/>
            <w:vAlign w:val="center"/>
          </w:tcPr>
          <w:p>
            <w:pPr>
              <w:spacing w:line="240" w:lineRule="auto" w:after="20" w:before="20"/>
              <w:jc w:val="left"/>
            </w:pPr>
            <w:r/>
            <w:r>
              <w:rPr>
                <w:rFonts w:ascii="宋体" w:hAnsi="宋体" w:eastAsia="宋体"/>
                <w:sz w:val="21"/>
              </w:rPr>
              <w:t>对外开放</w:t>
            </w:r>
          </w:p>
        </w:tc>
        <w:tc>
          <w:tcPr>
            <w:tcW w:type="dxa" w:w="1417"/>
            <w:vAlign w:val="center"/>
          </w:tcPr>
          <w:p>
            <w:pPr>
              <w:spacing w:line="240" w:lineRule="auto" w:after="20" w:before="20"/>
              <w:jc w:val="center"/>
            </w:pPr>
            <w:r/>
            <w:r>
              <w:rPr>
                <w:rFonts w:ascii="宋体" w:hAnsi="宋体" w:eastAsia="宋体"/>
                <w:sz w:val="21"/>
              </w:rPr>
              <w:t>0.3993</w:t>
            </w:r>
          </w:p>
        </w:tc>
        <w:tc>
          <w:tcPr>
            <w:tcW w:type="dxa" w:w="1417"/>
            <w:vAlign w:val="center"/>
          </w:tcPr>
          <w:p>
            <w:pPr>
              <w:spacing w:line="240" w:lineRule="auto" w:after="20" w:before="20"/>
              <w:jc w:val="center"/>
            </w:pPr>
            <w:r/>
            <w:r>
              <w:rPr>
                <w:rFonts w:ascii="宋体" w:hAnsi="宋体" w:eastAsia="宋体"/>
                <w:sz w:val="21"/>
              </w:rPr>
              <w:t>0.1060</w:t>
            </w:r>
          </w:p>
        </w:tc>
        <w:tc>
          <w:tcPr>
            <w:tcW w:type="dxa" w:w="1417"/>
            <w:vAlign w:val="center"/>
          </w:tcPr>
          <w:p>
            <w:pPr>
              <w:spacing w:line="240" w:lineRule="auto" w:after="20" w:before="20"/>
              <w:jc w:val="center"/>
            </w:pPr>
            <w:r/>
            <w:r>
              <w:rPr>
                <w:rFonts w:ascii="宋体" w:hAnsi="宋体" w:eastAsia="宋体"/>
                <w:sz w:val="21"/>
              </w:rPr>
              <w:t>0.2059</w:t>
            </w:r>
          </w:p>
        </w:tc>
        <w:tc>
          <w:tcPr>
            <w:tcW w:type="dxa" w:w="1417"/>
            <w:vAlign w:val="center"/>
          </w:tcPr>
          <w:p>
            <w:pPr>
              <w:spacing w:line="240" w:lineRule="auto" w:after="20" w:before="20"/>
              <w:jc w:val="center"/>
            </w:pPr>
            <w:r/>
            <w:r>
              <w:rPr>
                <w:rFonts w:ascii="宋体" w:hAnsi="宋体" w:eastAsia="宋体"/>
                <w:sz w:val="21"/>
              </w:rPr>
              <w:t>0.6768</w:t>
            </w:r>
          </w:p>
        </w:tc>
      </w:tr>
      <w:tr>
        <w:tc>
          <w:tcPr>
            <w:tcW w:type="dxa" w:w="1417"/>
            <w:vAlign w:val="center"/>
          </w:tcPr>
          <w:p>
            <w:pPr>
              <w:spacing w:line="240" w:lineRule="auto" w:after="20" w:before="20"/>
              <w:jc w:val="left"/>
            </w:pPr>
            <w:r/>
            <w:r>
              <w:rPr>
                <w:rFonts w:ascii="宋体" w:hAnsi="宋体" w:eastAsia="宋体"/>
                <w:sz w:val="21"/>
              </w:rPr>
              <w:t>humancap</w:t>
            </w:r>
          </w:p>
        </w:tc>
        <w:tc>
          <w:tcPr>
            <w:tcW w:type="dxa" w:w="1417"/>
            <w:vAlign w:val="center"/>
          </w:tcPr>
          <w:p>
            <w:pPr>
              <w:spacing w:line="240" w:lineRule="auto" w:after="20" w:before="20"/>
              <w:jc w:val="left"/>
            </w:pPr>
            <w:r/>
            <w:r>
              <w:rPr>
                <w:rFonts w:ascii="宋体" w:hAnsi="宋体" w:eastAsia="宋体"/>
                <w:sz w:val="21"/>
              </w:rPr>
              <w:t>人力资本</w:t>
            </w:r>
          </w:p>
        </w:tc>
        <w:tc>
          <w:tcPr>
            <w:tcW w:type="dxa" w:w="1417"/>
            <w:vAlign w:val="center"/>
          </w:tcPr>
          <w:p>
            <w:pPr>
              <w:spacing w:line="240" w:lineRule="auto" w:after="20" w:before="20"/>
              <w:jc w:val="center"/>
            </w:pPr>
            <w:r/>
            <w:r>
              <w:rPr>
                <w:rFonts w:ascii="宋体" w:hAnsi="宋体" w:eastAsia="宋体"/>
                <w:sz w:val="21"/>
              </w:rPr>
              <w:t>0.6366</w:t>
            </w:r>
          </w:p>
        </w:tc>
        <w:tc>
          <w:tcPr>
            <w:tcW w:type="dxa" w:w="1417"/>
            <w:vAlign w:val="center"/>
          </w:tcPr>
          <w:p>
            <w:pPr>
              <w:spacing w:line="240" w:lineRule="auto" w:after="20" w:before="20"/>
              <w:jc w:val="center"/>
            </w:pPr>
            <w:r/>
            <w:r>
              <w:rPr>
                <w:rFonts w:ascii="宋体" w:hAnsi="宋体" w:eastAsia="宋体"/>
                <w:sz w:val="21"/>
              </w:rPr>
              <w:t>0.0972</w:t>
            </w:r>
          </w:p>
        </w:tc>
        <w:tc>
          <w:tcPr>
            <w:tcW w:type="dxa" w:w="1417"/>
            <w:vAlign w:val="center"/>
          </w:tcPr>
          <w:p>
            <w:pPr>
              <w:spacing w:line="240" w:lineRule="auto" w:after="20" w:before="20"/>
              <w:jc w:val="center"/>
            </w:pPr>
            <w:r/>
            <w:r>
              <w:rPr>
                <w:rFonts w:ascii="宋体" w:hAnsi="宋体" w:eastAsia="宋体"/>
                <w:sz w:val="21"/>
              </w:rPr>
              <w:t>0.3777</w:t>
            </w:r>
          </w:p>
        </w:tc>
        <w:tc>
          <w:tcPr>
            <w:tcW w:type="dxa" w:w="1417"/>
            <w:vAlign w:val="center"/>
          </w:tcPr>
          <w:p>
            <w:pPr>
              <w:spacing w:line="240" w:lineRule="auto" w:after="20" w:before="20"/>
              <w:jc w:val="center"/>
            </w:pPr>
            <w:r/>
            <w:r>
              <w:rPr>
                <w:rFonts w:ascii="宋体" w:hAnsi="宋体" w:eastAsia="宋体"/>
                <w:sz w:val="21"/>
              </w:rPr>
              <w:t>0.9249</w:t>
            </w:r>
          </w:p>
        </w:tc>
      </w:tr>
      <w:tr>
        <w:tc>
          <w:tcPr>
            <w:tcW w:type="dxa" w:w="1417"/>
            <w:vAlign w:val="center"/>
          </w:tcPr>
          <w:p>
            <w:pPr>
              <w:spacing w:line="240" w:lineRule="auto" w:after="20" w:before="20"/>
              <w:jc w:val="left"/>
            </w:pPr>
            <w:r/>
            <w:r>
              <w:rPr>
                <w:rFonts w:ascii="宋体" w:hAnsi="宋体" w:eastAsia="宋体"/>
                <w:sz w:val="21"/>
              </w:rPr>
              <w:t>finance</w:t>
            </w:r>
          </w:p>
        </w:tc>
        <w:tc>
          <w:tcPr>
            <w:tcW w:type="dxa" w:w="1417"/>
            <w:vAlign w:val="center"/>
          </w:tcPr>
          <w:p>
            <w:pPr>
              <w:spacing w:line="240" w:lineRule="auto" w:after="20" w:before="20"/>
              <w:jc w:val="left"/>
            </w:pPr>
            <w:r/>
            <w:r>
              <w:rPr>
                <w:rFonts w:ascii="宋体" w:hAnsi="宋体" w:eastAsia="宋体"/>
                <w:sz w:val="21"/>
              </w:rPr>
              <w:t>金融发展</w:t>
            </w:r>
          </w:p>
        </w:tc>
        <w:tc>
          <w:tcPr>
            <w:tcW w:type="dxa" w:w="1417"/>
            <w:vAlign w:val="center"/>
          </w:tcPr>
          <w:p>
            <w:pPr>
              <w:spacing w:line="240" w:lineRule="auto" w:after="20" w:before="20"/>
              <w:jc w:val="center"/>
            </w:pPr>
            <w:r/>
            <w:r>
              <w:rPr>
                <w:rFonts w:ascii="宋体" w:hAnsi="宋体" w:eastAsia="宋体"/>
                <w:sz w:val="21"/>
              </w:rPr>
              <w:t>2.0760</w:t>
            </w:r>
          </w:p>
        </w:tc>
        <w:tc>
          <w:tcPr>
            <w:tcW w:type="dxa" w:w="1417"/>
            <w:vAlign w:val="center"/>
          </w:tcPr>
          <w:p>
            <w:pPr>
              <w:spacing w:line="240" w:lineRule="auto" w:after="20" w:before="20"/>
              <w:jc w:val="center"/>
            </w:pPr>
            <w:r/>
            <w:r>
              <w:rPr>
                <w:rFonts w:ascii="宋体" w:hAnsi="宋体" w:eastAsia="宋体"/>
                <w:sz w:val="21"/>
              </w:rPr>
              <w:t>0.3414</w:t>
            </w:r>
          </w:p>
        </w:tc>
        <w:tc>
          <w:tcPr>
            <w:tcW w:type="dxa" w:w="1417"/>
            <w:vAlign w:val="center"/>
          </w:tcPr>
          <w:p>
            <w:pPr>
              <w:spacing w:line="240" w:lineRule="auto" w:after="20" w:before="20"/>
              <w:jc w:val="center"/>
            </w:pPr>
            <w:r/>
            <w:r>
              <w:rPr>
                <w:rFonts w:ascii="宋体" w:hAnsi="宋体" w:eastAsia="宋体"/>
                <w:sz w:val="21"/>
              </w:rPr>
              <w:t>1.4161</w:t>
            </w:r>
          </w:p>
        </w:tc>
        <w:tc>
          <w:tcPr>
            <w:tcW w:type="dxa" w:w="1417"/>
            <w:vAlign w:val="center"/>
          </w:tcPr>
          <w:p>
            <w:pPr>
              <w:spacing w:line="240" w:lineRule="auto" w:after="20" w:before="20"/>
              <w:jc w:val="center"/>
            </w:pPr>
            <w:r/>
            <w:r>
              <w:rPr>
                <w:rFonts w:ascii="宋体" w:hAnsi="宋体" w:eastAsia="宋体"/>
                <w:sz w:val="21"/>
              </w:rPr>
              <w:t>3.0137</w:t>
            </w:r>
          </w:p>
        </w:tc>
      </w:tr>
      <w:tr>
        <w:tc>
          <w:tcPr>
            <w:tcW w:type="dxa" w:w="1417"/>
            <w:vAlign w:val="center"/>
          </w:tcPr>
          <w:p>
            <w:pPr>
              <w:spacing w:line="240" w:lineRule="auto" w:after="20" w:before="20"/>
              <w:jc w:val="left"/>
            </w:pPr>
            <w:r/>
            <w:r>
              <w:rPr>
                <w:rFonts w:ascii="宋体" w:hAnsi="宋体" w:eastAsia="宋体"/>
                <w:sz w:val="21"/>
              </w:rPr>
              <w:t>innov</w:t>
            </w:r>
          </w:p>
        </w:tc>
        <w:tc>
          <w:tcPr>
            <w:tcW w:type="dxa" w:w="1417"/>
            <w:vAlign w:val="center"/>
          </w:tcPr>
          <w:p>
            <w:pPr>
              <w:spacing w:line="240" w:lineRule="auto" w:after="20" w:before="20"/>
              <w:jc w:val="left"/>
            </w:pPr>
            <w:r/>
            <w:r>
              <w:rPr>
                <w:rFonts w:ascii="宋体" w:hAnsi="宋体" w:eastAsia="宋体"/>
                <w:sz w:val="21"/>
              </w:rPr>
              <w:t>创新产出</w:t>
            </w:r>
          </w:p>
        </w:tc>
        <w:tc>
          <w:tcPr>
            <w:tcW w:type="dxa" w:w="1417"/>
            <w:vAlign w:val="center"/>
          </w:tcPr>
          <w:p>
            <w:pPr>
              <w:spacing w:line="240" w:lineRule="auto" w:after="20" w:before="20"/>
              <w:jc w:val="center"/>
            </w:pPr>
            <w:r/>
            <w:r>
              <w:rPr>
                <w:rFonts w:ascii="宋体" w:hAnsi="宋体" w:eastAsia="宋体"/>
                <w:sz w:val="21"/>
              </w:rPr>
              <w:t>3.9030</w:t>
            </w:r>
          </w:p>
        </w:tc>
        <w:tc>
          <w:tcPr>
            <w:tcW w:type="dxa" w:w="1417"/>
            <w:vAlign w:val="center"/>
          </w:tcPr>
          <w:p>
            <w:pPr>
              <w:spacing w:line="240" w:lineRule="auto" w:after="20" w:before="20"/>
              <w:jc w:val="center"/>
            </w:pPr>
            <w:r/>
            <w:r>
              <w:rPr>
                <w:rFonts w:ascii="宋体" w:hAnsi="宋体" w:eastAsia="宋体"/>
                <w:sz w:val="21"/>
              </w:rPr>
              <w:t>0.9986</w:t>
            </w:r>
          </w:p>
        </w:tc>
        <w:tc>
          <w:tcPr>
            <w:tcW w:type="dxa" w:w="1417"/>
            <w:vAlign w:val="center"/>
          </w:tcPr>
          <w:p>
            <w:pPr>
              <w:spacing w:line="240" w:lineRule="auto" w:after="20" w:before="20"/>
              <w:jc w:val="center"/>
            </w:pPr>
            <w:r/>
            <w:r>
              <w:rPr>
                <w:rFonts w:ascii="宋体" w:hAnsi="宋体" w:eastAsia="宋体"/>
                <w:sz w:val="21"/>
              </w:rPr>
              <w:t>1.9689</w:t>
            </w:r>
          </w:p>
        </w:tc>
        <w:tc>
          <w:tcPr>
            <w:tcW w:type="dxa" w:w="1417"/>
            <w:vAlign w:val="center"/>
          </w:tcPr>
          <w:p>
            <w:pPr>
              <w:spacing w:line="240" w:lineRule="auto" w:after="20" w:before="20"/>
              <w:jc w:val="center"/>
            </w:pPr>
            <w:r/>
            <w:r>
              <w:rPr>
                <w:rFonts w:ascii="宋体" w:hAnsi="宋体" w:eastAsia="宋体"/>
                <w:sz w:val="21"/>
              </w:rPr>
              <w:t>6.5981</w:t>
            </w:r>
          </w:p>
        </w:tc>
      </w:tr>
      <w:tr>
        <w:tc>
          <w:tcPr>
            <w:tcW w:type="dxa" w:w="1417"/>
            <w:vAlign w:val="center"/>
          </w:tcPr>
          <w:p>
            <w:pPr>
              <w:spacing w:line="240" w:lineRule="auto" w:after="20" w:before="20"/>
              <w:jc w:val="left"/>
            </w:pPr>
            <w:r/>
            <w:r>
              <w:rPr>
                <w:rFonts w:ascii="宋体" w:hAnsi="宋体" w:eastAsia="宋体"/>
                <w:sz w:val="21"/>
              </w:rPr>
              <w:t>entry</w:t>
            </w:r>
          </w:p>
        </w:tc>
        <w:tc>
          <w:tcPr>
            <w:tcW w:type="dxa" w:w="1417"/>
            <w:vAlign w:val="center"/>
          </w:tcPr>
          <w:p>
            <w:pPr>
              <w:spacing w:line="240" w:lineRule="auto" w:after="20" w:before="20"/>
              <w:jc w:val="left"/>
            </w:pPr>
            <w:r/>
            <w:r>
              <w:rPr>
                <w:rFonts w:ascii="宋体" w:hAnsi="宋体" w:eastAsia="宋体"/>
                <w:sz w:val="21"/>
              </w:rPr>
              <w:t>企业进入率</w:t>
            </w:r>
          </w:p>
        </w:tc>
        <w:tc>
          <w:tcPr>
            <w:tcW w:type="dxa" w:w="1417"/>
            <w:vAlign w:val="center"/>
          </w:tcPr>
          <w:p>
            <w:pPr>
              <w:spacing w:line="240" w:lineRule="auto" w:after="20" w:before="20"/>
              <w:jc w:val="center"/>
            </w:pPr>
            <w:r/>
            <w:r>
              <w:rPr>
                <w:rFonts w:ascii="宋体" w:hAnsi="宋体" w:eastAsia="宋体"/>
                <w:sz w:val="21"/>
              </w:rPr>
              <w:t>0.1159</w:t>
            </w:r>
          </w:p>
        </w:tc>
        <w:tc>
          <w:tcPr>
            <w:tcW w:type="dxa" w:w="1417"/>
            <w:vAlign w:val="center"/>
          </w:tcPr>
          <w:p>
            <w:pPr>
              <w:spacing w:line="240" w:lineRule="auto" w:after="20" w:before="20"/>
              <w:jc w:val="center"/>
            </w:pPr>
            <w:r/>
            <w:r>
              <w:rPr>
                <w:rFonts w:ascii="宋体" w:hAnsi="宋体" w:eastAsia="宋体"/>
                <w:sz w:val="21"/>
              </w:rPr>
              <w:t>0.0188</w:t>
            </w:r>
          </w:p>
        </w:tc>
        <w:tc>
          <w:tcPr>
            <w:tcW w:type="dxa" w:w="1417"/>
            <w:vAlign w:val="center"/>
          </w:tcPr>
          <w:p>
            <w:pPr>
              <w:spacing w:line="240" w:lineRule="auto" w:after="20" w:before="20"/>
              <w:jc w:val="center"/>
            </w:pPr>
            <w:r/>
            <w:r>
              <w:rPr>
                <w:rFonts w:ascii="宋体" w:hAnsi="宋体" w:eastAsia="宋体"/>
                <w:sz w:val="21"/>
              </w:rPr>
              <w:t>0.0699</w:t>
            </w:r>
          </w:p>
        </w:tc>
        <w:tc>
          <w:tcPr>
            <w:tcW w:type="dxa" w:w="1417"/>
            <w:vAlign w:val="center"/>
          </w:tcPr>
          <w:p>
            <w:pPr>
              <w:spacing w:line="240" w:lineRule="auto" w:after="20" w:before="20"/>
              <w:jc w:val="center"/>
            </w:pPr>
            <w:r/>
            <w:r>
              <w:rPr>
                <w:rFonts w:ascii="宋体" w:hAnsi="宋体" w:eastAsia="宋体"/>
                <w:sz w:val="21"/>
              </w:rPr>
              <w:t>0.1659</w:t>
            </w:r>
          </w:p>
        </w:tc>
      </w:tr>
      <w:tr>
        <w:tc>
          <w:tcPr>
            <w:tcW w:type="dxa" w:w="1417"/>
            <w:vAlign w:val="center"/>
          </w:tcPr>
          <w:p>
            <w:pPr>
              <w:spacing w:line="240" w:lineRule="auto" w:after="20" w:before="20"/>
              <w:jc w:val="left"/>
            </w:pPr>
            <w:r/>
            <w:r>
              <w:rPr>
                <w:rFonts w:ascii="宋体" w:hAnsi="宋体" w:eastAsia="宋体"/>
                <w:sz w:val="21"/>
              </w:rPr>
              <w:t>flow</w:t>
            </w:r>
          </w:p>
        </w:tc>
        <w:tc>
          <w:tcPr>
            <w:tcW w:type="dxa" w:w="1417"/>
            <w:vAlign w:val="center"/>
          </w:tcPr>
          <w:p>
            <w:pPr>
              <w:spacing w:line="240" w:lineRule="auto" w:after="20" w:before="20"/>
              <w:jc w:val="left"/>
            </w:pPr>
            <w:r/>
            <w:r>
              <w:rPr>
                <w:rFonts w:ascii="宋体" w:hAnsi="宋体" w:eastAsia="宋体"/>
                <w:sz w:val="21"/>
              </w:rPr>
              <w:t>要素流动率</w:t>
            </w:r>
          </w:p>
        </w:tc>
        <w:tc>
          <w:tcPr>
            <w:tcW w:type="dxa" w:w="1417"/>
            <w:vAlign w:val="center"/>
          </w:tcPr>
          <w:p>
            <w:pPr>
              <w:spacing w:line="240" w:lineRule="auto" w:after="20" w:before="20"/>
              <w:jc w:val="center"/>
            </w:pPr>
            <w:r/>
            <w:r>
              <w:rPr>
                <w:rFonts w:ascii="宋体" w:hAnsi="宋体" w:eastAsia="宋体"/>
                <w:sz w:val="21"/>
              </w:rPr>
              <w:t>0.3872</w:t>
            </w:r>
          </w:p>
        </w:tc>
        <w:tc>
          <w:tcPr>
            <w:tcW w:type="dxa" w:w="1417"/>
            <w:vAlign w:val="center"/>
          </w:tcPr>
          <w:p>
            <w:pPr>
              <w:spacing w:line="240" w:lineRule="auto" w:after="20" w:before="20"/>
              <w:jc w:val="center"/>
            </w:pPr>
            <w:r/>
            <w:r>
              <w:rPr>
                <w:rFonts w:ascii="宋体" w:hAnsi="宋体" w:eastAsia="宋体"/>
                <w:sz w:val="21"/>
              </w:rPr>
              <w:t>0.0854</w:t>
            </w:r>
          </w:p>
        </w:tc>
        <w:tc>
          <w:tcPr>
            <w:tcW w:type="dxa" w:w="1417"/>
            <w:vAlign w:val="center"/>
          </w:tcPr>
          <w:p>
            <w:pPr>
              <w:spacing w:line="240" w:lineRule="auto" w:after="20" w:before="20"/>
              <w:jc w:val="center"/>
            </w:pPr>
            <w:r/>
            <w:r>
              <w:rPr>
                <w:rFonts w:ascii="宋体" w:hAnsi="宋体" w:eastAsia="宋体"/>
                <w:sz w:val="21"/>
              </w:rPr>
              <w:t>0.2187</w:t>
            </w:r>
          </w:p>
        </w:tc>
        <w:tc>
          <w:tcPr>
            <w:tcW w:type="dxa" w:w="1417"/>
            <w:vAlign w:val="center"/>
          </w:tcPr>
          <w:p>
            <w:pPr>
              <w:spacing w:line="240" w:lineRule="auto" w:after="20" w:before="20"/>
              <w:jc w:val="center"/>
            </w:pPr>
            <w:r/>
            <w:r>
              <w:rPr>
                <w:rFonts w:ascii="宋体" w:hAnsi="宋体" w:eastAsia="宋体"/>
                <w:sz w:val="21"/>
              </w:rPr>
              <w:t>0.6091</w:t>
            </w:r>
          </w:p>
        </w:tc>
      </w:tr>
    </w:tbl>
    <w:p>
      <w:pPr>
        <w:spacing w:after="200" w:line="240" w:lineRule="auto"/>
      </w:pPr>
      <w:r>
        <w:rPr>
          <w:rFonts w:ascii="宋体" w:hAnsi="宋体" w:eastAsia="宋体"/>
          <w:sz w:val="18"/>
        </w:rPr>
        <w:t>注：样本为31个省级行政区2006—2023年平衡面板，观测数为558。各变量口径见正文7.2节。</w:t>
      </w:r>
    </w:p>
    <w:p>
      <w:pPr>
        <w:spacing w:line="360" w:lineRule="auto" w:after="0"/>
        <w:ind w:firstLineChars="200" w:firstLine="480"/>
        <w:jc w:val="both"/>
      </w:pPr>
      <w:r>
        <w:rPr>
          <w:rFonts w:ascii="宋体" w:hAnsi="宋体" w:eastAsia="宋体"/>
          <w:sz w:val="24"/>
        </w:rPr>
        <w:t>表7.1显示，统一大市场建设指数NUMI的均值为0.5241，标准差为0.1285，取值区间为[0.2769, 0.8567]。这意味着即便在样本期末，建设水平最高的地区（约0.8567）与最低的地区（约0.2769）之间仍存在近三倍的落差，统一大市场建设在地区间、时序上都远未收敛，改革红利的释放空间依然可观。要素配置效率ACE的均值为0.6136，标准差为0.1058，说明样本内各省的要素配置总体上尚有约四成的效率损失空间，这与第6章对要素错配及其TFP损失的估计相互印证，也从侧面反映出深化要素市场化改革的现实必要性——既有研究普遍发现，缓解要素错配可释放可观的全要素生产率增长潜力（文雁兵等，2022；Hsieh和Klenow，2009），本书样本中约四成的配置效率改善空间正对应着这一红利来源。</w:t>
      </w:r>
    </w:p>
    <w:p>
      <w:pPr>
        <w:spacing w:line="360" w:lineRule="auto" w:after="0"/>
        <w:ind w:firstLineChars="200" w:firstLine="480"/>
        <w:jc w:val="both"/>
      </w:pPr>
      <w:r>
        <w:rPr>
          <w:rFonts w:ascii="宋体" w:hAnsi="宋体" w:eastAsia="宋体"/>
          <w:sz w:val="24"/>
        </w:rPr>
        <w:t>作为对照，要素错配综合指数mismean的均值为0.4077，资本错配度（0.4352）高于劳动力错配度（0.3802），表明在本书样本中资本要素的配置扭曲更为严重，这与既有文献关于中国资本错配（金融属地化、预算软约束）问题突出的判断相一致（Brandt等，2013；Midrigan和Xu，2014）。市场分割指数seg的均值仅为0.0222且标准差很小（0.0037），反映出以相对价格法测算的商品市场分割程度在样本期内总体趋于收敛、绝对水平已经不高——这恰恰凸显出本书将测度重心由商品市场拓展至要素市场的必要性：当商品市场分割已大幅收窄时，横亘在统一大市场建设道路上的主要障碍，正日益转向劳动力、资本、土地等要素市场的行政性壁垒。</w:t>
      </w:r>
    </w:p>
    <w:p>
      <w:pPr>
        <w:spacing w:line="360" w:lineRule="auto" w:after="0"/>
        <w:ind w:firstLineChars="200" w:firstLine="480"/>
        <w:jc w:val="both"/>
      </w:pPr>
      <w:r>
        <w:rPr>
          <w:rFonts w:ascii="宋体" w:hAnsi="宋体" w:eastAsia="宋体"/>
          <w:sz w:val="24"/>
        </w:rPr>
        <w:t>控制变量方面，各变量的分布均处在合理区间，未见异常。人均GDP对数（lnpgdp）的标准差达0.5左右，跨越了约两个数量级的发展水平差异；城镇化率（urban）、数字经济（digital）、交通设施（transport）、对外开放（openness）、人力资本（humancap）等变量在省际与时序上均有充分变异，为控制这些结构性因素提供了信息基础。整体而言，主要变量取值范围适中、离散度合理，不存在明显的极端值污染，适宜进行面板回归分析。</w:t>
      </w:r>
    </w:p>
    <w:p>
      <w:pPr>
        <w:spacing w:line="360" w:lineRule="auto" w:after="0"/>
        <w:ind w:firstLineChars="200" w:firstLine="480"/>
        <w:jc w:val="both"/>
      </w:pPr>
      <w:r>
        <w:rPr>
          <w:rFonts w:ascii="宋体" w:hAnsi="宋体" w:eastAsia="宋体"/>
          <w:sz w:val="24"/>
        </w:rPr>
        <w:t>若进一步以变异系数（标准差与均值之比）刻画各变量的相对离散程度，可获得关于识别信息来源的有益提示。核心解释变量NUMI的变异系数约为0.245，明显高于被解释变量ACE（约0.172），表明统一大市场建设水平在省际与时序上的相对波动更大，为识别其对配置效率的影响提供了丰富的自变量变异。在控制变量中，对外开放、数字经济、交通设施的相对离散度较高，反映出这些结构性因素在样本内跨地区、跨年度差异显著；而产业结构、财政分权与人均GDP对数的变异系数较小、分布相对集中，前两者反映样本期内各省经济结构与财政关系的趋同，后者则因取了对数而压缩了量级差异。总体而言，核心变量充分的组内变异，是双向固定效应模型得以有效识别的信息前提。</w:t>
      </w:r>
    </w:p>
    <w:p>
      <w:pPr>
        <w:spacing w:line="360" w:lineRule="auto" w:after="0"/>
        <w:ind w:firstLineChars="200" w:firstLine="480"/>
        <w:jc w:val="both"/>
      </w:pPr>
      <w:r>
        <w:rPr>
          <w:rFonts w:ascii="宋体" w:hAnsi="宋体" w:eastAsia="宋体"/>
          <w:sz w:val="24"/>
        </w:rPr>
        <w:t xml:space="preserve">就变量间的相关关系而言，图7.1所展示的去均值散点已直观揭示：在剔除省份固定差异与共同时间趋势之后，NUMI与ACE之间仍保持清晰的正向条件相关，二者的组内协动方向与理论预期一致。这里需要区分简单相关与条件相关：样本期内NUMI与ACE同步上行，固然使二者的简单相关为正，但这种同向变动可能部分源于共同的时间趋势；而双向固定效应下的条件相关，已剔除共同趋势与地区固定水平的干扰，才是本章 </w:t>
      </w:r>
      <m:oMath>
        <m:r>
          <m:t>β</m:t>
        </m:r>
      </m:oMath>
      <w:r>
        <w:rPr>
          <w:rFonts w:ascii="宋体" w:hAnsi="宋体" w:eastAsia="宋体"/>
          <w:sz w:val="24"/>
        </w:rPr>
        <w:t xml:space="preserve"> 真正赖以识别的信息。就控制变量与核心变量的相关性而言，经济发展、数字经济、人力资本等变量与NUMI存在一定正相关，这正是必须将其纳入控制、以免高估核心效应的原因所在；而就多重共线性而言，由于双向固定效应已吸收各变量的地区固定与共同时间成分，残留组内变异之间的相关性较为有限，核心系数在逐步回归中的高度稳定（详见7.4节）亦从侧面印证了共线性并未对估计构成实质性干扰。</w:t>
      </w:r>
    </w:p>
    <w:p>
      <w:pPr>
        <w:keepNext/>
        <w:spacing w:before="160" w:after="120" w:line="360" w:lineRule="auto"/>
      </w:pPr>
      <w:r>
        <w:rPr>
          <w:rFonts w:ascii="黑体" w:hAnsi="黑体" w:eastAsia="黑体"/>
          <w:sz w:val="28"/>
        </w:rPr>
        <w:t>7.4  基准回归结果</w:t>
      </w:r>
    </w:p>
    <w:p>
      <w:pPr>
        <w:spacing w:line="360" w:lineRule="auto" w:after="0"/>
        <w:ind w:firstLineChars="200" w:firstLine="480"/>
        <w:jc w:val="both"/>
      </w:pPr>
      <w:r>
        <w:rPr>
          <w:rFonts w:ascii="宋体" w:hAnsi="宋体" w:eastAsia="宋体"/>
          <w:sz w:val="24"/>
        </w:rPr>
        <w:t>在正式报告回归结果之前，图7.1先给出一个直观的条件相关证据。该图在对省份与年份两个维度同时去均值（即剔除固定效应）之后，以横轴为统一大市场建设指数的组内偏差、纵轴为要素配置效率的组内偏差绘制散点，并叠加拟合线。可以看到，在"洗掉"地区固定差异与共同时间趋势之后，NUMI与ACE之间依然呈现出清晰而稳定的正向条件相关：统一大市场建设进度相对更快的省份—年份，其要素配置效率的改善也相对更为明显。这一去均值散点图正是双向固定效应识别信息的可视化，为随后的回归结果提供了直观铺垫。</w:t>
      </w:r>
    </w:p>
    <w:p>
      <w:pPr>
        <w:spacing w:before="120" w:after="40"/>
        <w:jc w:val="center"/>
      </w:pPr>
      <w:r>
        <w:drawing>
          <wp:inline xmlns:a="http://schemas.openxmlformats.org/drawingml/2006/main" xmlns:pic="http://schemas.openxmlformats.org/drawingml/2006/picture">
            <wp:extent cx="3960000" cy="2778418"/>
            <wp:docPr id="21" name="Picture 21"/>
            <wp:cNvGraphicFramePr>
              <a:graphicFrameLocks noChangeAspect="1"/>
            </wp:cNvGraphicFramePr>
            <a:graphic>
              <a:graphicData uri="http://schemas.openxmlformats.org/drawingml/2006/picture">
                <pic:pic>
                  <pic:nvPicPr>
                    <pic:cNvPr id="0" name="fig7_1.png"/>
                    <pic:cNvPicPr/>
                  </pic:nvPicPr>
                  <pic:blipFill>
                    <a:blip r:embed="rId29"/>
                    <a:stretch>
                      <a:fillRect/>
                    </a:stretch>
                  </pic:blipFill>
                  <pic:spPr>
                    <a:xfrm>
                      <a:off x="0" y="0"/>
                      <a:ext cx="3960000" cy="2778418"/>
                    </a:xfrm>
                    <a:prstGeom prst="rect"/>
                  </pic:spPr>
                </pic:pic>
              </a:graphicData>
            </a:graphic>
          </wp:inline>
        </w:drawing>
      </w:r>
    </w:p>
    <w:p>
      <w:pPr>
        <w:keepNext w:val="0"/>
        <w:spacing w:after="200"/>
        <w:jc w:val="center"/>
      </w:pPr>
      <w:r>
        <w:rPr>
          <w:rFonts w:ascii="黑体" w:hAnsi="黑体" w:eastAsia="黑体"/>
          <w:sz w:val="21"/>
        </w:rPr>
        <w:t>图7.1  NUMI与要素配置效率的条件相关（双向固定效应去均值）</w:t>
      </w:r>
    </w:p>
    <w:p>
      <w:pPr>
        <w:spacing w:line="360" w:lineRule="auto" w:after="0"/>
        <w:ind w:firstLineChars="200" w:firstLine="480"/>
        <w:jc w:val="both"/>
      </w:pPr>
      <w:r>
        <w:rPr>
          <w:rFonts w:ascii="宋体" w:hAnsi="宋体" w:eastAsia="宋体"/>
          <w:sz w:val="24"/>
        </w:rPr>
        <w:t>表7.2报告了基准模型(7-1)的逐步回归结果。第(1)列仅纳入核心解释变量NUMI与省份、年份双向固定效应，不加任何控制变量；第(2)列在此基础上加入经济发展水平、城镇化率、产业结构等基础结构变量；第(3)列进一步纳入数字经济、交通设施、财政分权、对外开放、人力资本等全部控制变量，是本章的全控制基准模型。三列均采用按省份聚类的稳健标准误。</w:t>
      </w:r>
    </w:p>
    <w:p>
      <w:pPr>
        <w:keepNext/>
        <w:spacing w:before="160" w:after="40"/>
        <w:jc w:val="center"/>
      </w:pPr>
      <w:r>
        <w:rPr>
          <w:rFonts w:ascii="黑体" w:hAnsi="黑体" w:eastAsia="黑体"/>
          <w:sz w:val="21"/>
        </w:rPr>
        <w:t>表7.2  统一大市场建设影响要素配置效率的基准回归</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126"/>
        <w:gridCol w:w="2126"/>
        <w:gridCol w:w="2126"/>
        <w:gridCol w:w="2126"/>
      </w:tblGrid>
      <w:tr>
        <w:tc>
          <w:tcPr>
            <w:tcW w:type="dxa" w:w="2126"/>
            <w:vAlign w:val="center"/>
            <w:tcBorders>
              <w:bottom w:val="single" w:sz="6" w:color="000000"/>
            </w:tcBorders>
          </w:tcPr>
          <w:p>
            <w:pPr>
              <w:spacing w:line="240" w:lineRule="auto" w:after="20" w:before="20"/>
              <w:jc w:val="center"/>
            </w:pPr>
            <w:r/>
            <w:r>
              <w:rPr>
                <w:rFonts w:ascii="宋体" w:hAnsi="宋体" w:eastAsia="宋体"/>
                <w:b/>
                <w:sz w:val="21"/>
              </w:rPr>
              <w:t>解释变量</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(1)</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(2)</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(3)</w:t>
            </w:r>
          </w:p>
        </w:tc>
      </w:tr>
      <w:tr>
        <w:tc>
          <w:tcPr>
            <w:tcW w:type="dxa" w:w="2126"/>
            <w:vAlign w:val="center"/>
          </w:tcPr>
          <w:p>
            <w:pPr>
              <w:spacing w:line="240" w:lineRule="auto" w:after="20" w:before="20"/>
              <w:jc w:val="left"/>
            </w:pPr>
            <w:r/>
            <w:r>
              <w:rPr>
                <w:rFonts w:ascii="宋体" w:hAnsi="宋体" w:eastAsia="宋体"/>
                <w:sz w:val="21"/>
              </w:rPr>
              <w:t>NUMI</w:t>
            </w:r>
          </w:p>
        </w:tc>
        <w:tc>
          <w:tcPr>
            <w:tcW w:type="dxa" w:w="2126"/>
            <w:vAlign w:val="center"/>
          </w:tcPr>
          <w:p>
            <w:pPr>
              <w:spacing w:line="240" w:lineRule="auto" w:after="20" w:before="20"/>
              <w:jc w:val="center"/>
            </w:pPr>
            <w:r/>
            <w:r>
              <w:rPr>
                <w:rFonts w:ascii="宋体" w:hAnsi="宋体" w:eastAsia="宋体"/>
                <w:sz w:val="21"/>
              </w:rPr>
              <w:t>0.837***</w:t>
              <w:br/>
              <w:t>(0.061)</w:t>
            </w:r>
          </w:p>
        </w:tc>
        <w:tc>
          <w:tcPr>
            <w:tcW w:type="dxa" w:w="2126"/>
            <w:vAlign w:val="center"/>
          </w:tcPr>
          <w:p>
            <w:pPr>
              <w:spacing w:line="240" w:lineRule="auto" w:after="20" w:before="20"/>
              <w:jc w:val="center"/>
            </w:pPr>
            <w:r/>
            <w:r>
              <w:rPr>
                <w:rFonts w:ascii="宋体" w:hAnsi="宋体" w:eastAsia="宋体"/>
                <w:sz w:val="21"/>
              </w:rPr>
              <w:t>0.836***</w:t>
              <w:br/>
              <w:t>(0.061)</w:t>
            </w:r>
          </w:p>
        </w:tc>
        <w:tc>
          <w:tcPr>
            <w:tcW w:type="dxa" w:w="2126"/>
            <w:vAlign w:val="center"/>
          </w:tcPr>
          <w:p>
            <w:pPr>
              <w:spacing w:line="240" w:lineRule="auto" w:after="20" w:before="20"/>
              <w:jc w:val="center"/>
            </w:pPr>
            <w:r/>
            <w:r>
              <w:rPr>
                <w:rFonts w:ascii="宋体" w:hAnsi="宋体" w:eastAsia="宋体"/>
                <w:sz w:val="21"/>
              </w:rPr>
              <w:t>0.831***</w:t>
              <w:br/>
              <w:t>(0.058)</w:t>
            </w:r>
          </w:p>
        </w:tc>
      </w:tr>
      <w:tr>
        <w:tc>
          <w:tcPr>
            <w:tcW w:type="dxa" w:w="2126"/>
            <w:vAlign w:val="center"/>
          </w:tcPr>
          <w:p>
            <w:pPr>
              <w:spacing w:line="240" w:lineRule="auto" w:after="20" w:before="20"/>
              <w:jc w:val="left"/>
            </w:pPr>
            <w:r/>
            <w:r>
              <w:rPr>
                <w:rFonts w:ascii="宋体" w:hAnsi="宋体" w:eastAsia="宋体"/>
                <w:sz w:val="21"/>
              </w:rPr>
              <w:t>lnpgdp</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-0.003</w:t>
              <w:br/>
              <w:t>(0.012)</w:t>
            </w:r>
          </w:p>
        </w:tc>
        <w:tc>
          <w:tcPr>
            <w:tcW w:type="dxa" w:w="2126"/>
            <w:vAlign w:val="center"/>
          </w:tcPr>
          <w:p>
            <w:pPr>
              <w:spacing w:line="240" w:lineRule="auto" w:after="20" w:before="20"/>
              <w:jc w:val="center"/>
            </w:pPr>
            <w:r/>
            <w:r>
              <w:rPr>
                <w:rFonts w:ascii="宋体" w:hAnsi="宋体" w:eastAsia="宋体"/>
                <w:sz w:val="21"/>
              </w:rPr>
              <w:t>-0.008</w:t>
              <w:br/>
              <w:t>(0.012)</w:t>
            </w:r>
          </w:p>
        </w:tc>
      </w:tr>
      <w:tr>
        <w:tc>
          <w:tcPr>
            <w:tcW w:type="dxa" w:w="2126"/>
            <w:vAlign w:val="center"/>
          </w:tcPr>
          <w:p>
            <w:pPr>
              <w:spacing w:line="240" w:lineRule="auto" w:after="20" w:before="20"/>
              <w:jc w:val="left"/>
            </w:pPr>
            <w:r/>
            <w:r>
              <w:rPr>
                <w:rFonts w:ascii="宋体" w:hAnsi="宋体" w:eastAsia="宋体"/>
                <w:sz w:val="21"/>
              </w:rPr>
              <w:t>urban</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0.016</w:t>
              <w:br/>
              <w:t>(0.064)</w:t>
            </w:r>
          </w:p>
        </w:tc>
        <w:tc>
          <w:tcPr>
            <w:tcW w:type="dxa" w:w="2126"/>
            <w:vAlign w:val="center"/>
          </w:tcPr>
          <w:p>
            <w:pPr>
              <w:spacing w:line="240" w:lineRule="auto" w:after="20" w:before="20"/>
              <w:jc w:val="center"/>
            </w:pPr>
            <w:r/>
            <w:r>
              <w:rPr>
                <w:rFonts w:ascii="宋体" w:hAnsi="宋体" w:eastAsia="宋体"/>
                <w:sz w:val="21"/>
              </w:rPr>
              <w:t>-0.005</w:t>
              <w:br/>
              <w:t>(0.066)</w:t>
            </w:r>
          </w:p>
        </w:tc>
      </w:tr>
      <w:tr>
        <w:tc>
          <w:tcPr>
            <w:tcW w:type="dxa" w:w="2126"/>
            <w:vAlign w:val="center"/>
          </w:tcPr>
          <w:p>
            <w:pPr>
              <w:spacing w:line="240" w:lineRule="auto" w:after="20" w:before="20"/>
              <w:jc w:val="left"/>
            </w:pPr>
            <w:r/>
            <w:r>
              <w:rPr>
                <w:rFonts w:ascii="宋体" w:hAnsi="宋体" w:eastAsia="宋体"/>
                <w:sz w:val="21"/>
              </w:rPr>
              <w:t>indstr</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-0.018</w:t>
              <w:br/>
              <w:t>(0.032)</w:t>
            </w:r>
          </w:p>
        </w:tc>
        <w:tc>
          <w:tcPr>
            <w:tcW w:type="dxa" w:w="2126"/>
            <w:vAlign w:val="center"/>
          </w:tcPr>
          <w:p>
            <w:pPr>
              <w:spacing w:line="240" w:lineRule="auto" w:after="20" w:before="20"/>
              <w:jc w:val="center"/>
            </w:pPr>
            <w:r/>
            <w:r>
              <w:rPr>
                <w:rFonts w:ascii="宋体" w:hAnsi="宋体" w:eastAsia="宋体"/>
                <w:sz w:val="21"/>
              </w:rPr>
              <w:t>-0.011</w:t>
              <w:br/>
              <w:t>(0.032)</w:t>
            </w:r>
          </w:p>
        </w:tc>
      </w:tr>
      <w:tr>
        <w:tc>
          <w:tcPr>
            <w:tcW w:type="dxa" w:w="2126"/>
            <w:vAlign w:val="center"/>
          </w:tcPr>
          <w:p>
            <w:pPr>
              <w:spacing w:line="240" w:lineRule="auto" w:after="20" w:before="20"/>
              <w:jc w:val="left"/>
            </w:pPr>
            <w:r/>
            <w:r>
              <w:rPr>
                <w:rFonts w:ascii="宋体" w:hAnsi="宋体" w:eastAsia="宋体"/>
                <w:sz w:val="21"/>
              </w:rPr>
              <w:t>digital</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0.152***</w:t>
              <w:br/>
              <w:t>(0.038)</w:t>
            </w:r>
          </w:p>
        </w:tc>
      </w:tr>
      <w:tr>
        <w:tc>
          <w:tcPr>
            <w:tcW w:type="dxa" w:w="2126"/>
            <w:vAlign w:val="center"/>
          </w:tcPr>
          <w:p>
            <w:pPr>
              <w:spacing w:line="240" w:lineRule="auto" w:after="20" w:before="20"/>
              <w:jc w:val="left"/>
            </w:pPr>
            <w:r/>
            <w:r>
              <w:rPr>
                <w:rFonts w:ascii="宋体" w:hAnsi="宋体" w:eastAsia="宋体"/>
                <w:sz w:val="21"/>
              </w:rPr>
              <w:t>transport</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-0.034</w:t>
              <w:br/>
              <w:t>(0.036)</w:t>
            </w:r>
          </w:p>
        </w:tc>
      </w:tr>
      <w:tr>
        <w:tc>
          <w:tcPr>
            <w:tcW w:type="dxa" w:w="2126"/>
            <w:vAlign w:val="center"/>
          </w:tcPr>
          <w:p>
            <w:pPr>
              <w:spacing w:line="240" w:lineRule="auto" w:after="20" w:before="20"/>
              <w:jc w:val="left"/>
            </w:pPr>
            <w:r/>
            <w:r>
              <w:rPr>
                <w:rFonts w:ascii="宋体" w:hAnsi="宋体" w:eastAsia="宋体"/>
                <w:sz w:val="21"/>
              </w:rPr>
              <w:t>fiscaldec</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0.058**</w:t>
              <w:br/>
              <w:t>(0.023)</w:t>
            </w:r>
          </w:p>
        </w:tc>
      </w:tr>
      <w:tr>
        <w:tc>
          <w:tcPr>
            <w:tcW w:type="dxa" w:w="2126"/>
            <w:vAlign w:val="center"/>
          </w:tcPr>
          <w:p>
            <w:pPr>
              <w:spacing w:line="240" w:lineRule="auto" w:after="20" w:before="20"/>
              <w:jc w:val="left"/>
            </w:pPr>
            <w:r/>
            <w:r>
              <w:rPr>
                <w:rFonts w:ascii="宋体" w:hAnsi="宋体" w:eastAsia="宋体"/>
                <w:sz w:val="21"/>
              </w:rPr>
              <w:t>openness</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0.004</w:t>
              <w:br/>
              <w:t>(0.019)</w:t>
            </w:r>
          </w:p>
        </w:tc>
      </w:tr>
      <w:tr>
        <w:tc>
          <w:tcPr>
            <w:tcW w:type="dxa" w:w="2126"/>
            <w:vAlign w:val="center"/>
          </w:tcPr>
          <w:p>
            <w:pPr>
              <w:spacing w:line="240" w:lineRule="auto" w:after="20" w:before="20"/>
              <w:jc w:val="left"/>
            </w:pPr>
            <w:r/>
            <w:r>
              <w:rPr>
                <w:rFonts w:ascii="宋体" w:hAnsi="宋体" w:eastAsia="宋体"/>
                <w:sz w:val="21"/>
              </w:rPr>
              <w:t>humancap</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0.063*</w:t>
              <w:br/>
              <w:t>(0.037)</w:t>
            </w:r>
          </w:p>
        </w:tc>
      </w:tr>
      <w:tr>
        <w:tc>
          <w:tcPr>
            <w:tcW w:type="dxa" w:w="2126"/>
            <w:vAlign w:val="center"/>
          </w:tcPr>
          <w:p>
            <w:pPr>
              <w:spacing w:line="240" w:lineRule="auto" w:after="20" w:before="20"/>
              <w:jc w:val="left"/>
            </w:pPr>
            <w:r/>
            <w:r>
              <w:rPr>
                <w:rFonts w:ascii="宋体" w:hAnsi="宋体" w:eastAsia="宋体"/>
                <w:sz w:val="21"/>
              </w:rPr>
              <w:t>省份固定效应</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r>
      <w:tr>
        <w:tc>
          <w:tcPr>
            <w:tcW w:type="dxa" w:w="2126"/>
            <w:vAlign w:val="center"/>
          </w:tcPr>
          <w:p>
            <w:pPr>
              <w:spacing w:line="240" w:lineRule="auto" w:after="20" w:before="20"/>
              <w:jc w:val="left"/>
            </w:pPr>
            <w:r/>
            <w:r>
              <w:rPr>
                <w:rFonts w:ascii="宋体" w:hAnsi="宋体" w:eastAsia="宋体"/>
                <w:sz w:val="21"/>
              </w:rPr>
              <w:t>年份固定效应</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r>
      <w:tr>
        <w:tc>
          <w:tcPr>
            <w:tcW w:type="dxa" w:w="2126"/>
            <w:vAlign w:val="center"/>
          </w:tcPr>
          <w:p>
            <w:pPr>
              <w:spacing w:line="240" w:lineRule="auto" w:after="20" w:before="20"/>
              <w:jc w:val="left"/>
            </w:pPr>
            <w:r/>
            <w:r>
              <w:rPr>
                <w:rFonts w:ascii="宋体" w:hAnsi="宋体" w:eastAsia="宋体"/>
                <w:sz w:val="21"/>
              </w:rPr>
              <w:t>观测数 N</w:t>
            </w:r>
          </w:p>
        </w:tc>
        <w:tc>
          <w:tcPr>
            <w:tcW w:type="dxa" w:w="2126"/>
            <w:vAlign w:val="center"/>
          </w:tcPr>
          <w:p>
            <w:pPr>
              <w:spacing w:line="240" w:lineRule="auto" w:after="20" w:before="20"/>
              <w:jc w:val="center"/>
            </w:pPr>
            <w:r/>
            <w:r>
              <w:rPr>
                <w:rFonts w:ascii="宋体" w:hAnsi="宋体" w:eastAsia="宋体"/>
                <w:sz w:val="21"/>
              </w:rPr>
              <w:t>558</w:t>
            </w:r>
          </w:p>
        </w:tc>
        <w:tc>
          <w:tcPr>
            <w:tcW w:type="dxa" w:w="2126"/>
            <w:vAlign w:val="center"/>
          </w:tcPr>
          <w:p>
            <w:pPr>
              <w:spacing w:line="240" w:lineRule="auto" w:after="20" w:before="20"/>
              <w:jc w:val="center"/>
            </w:pPr>
            <w:r/>
            <w:r>
              <w:rPr>
                <w:rFonts w:ascii="宋体" w:hAnsi="宋体" w:eastAsia="宋体"/>
                <w:sz w:val="21"/>
              </w:rPr>
              <w:t>558</w:t>
            </w:r>
          </w:p>
        </w:tc>
        <w:tc>
          <w:tcPr>
            <w:tcW w:type="dxa" w:w="2126"/>
            <w:vAlign w:val="center"/>
          </w:tcPr>
          <w:p>
            <w:pPr>
              <w:spacing w:line="240" w:lineRule="auto" w:after="20" w:before="20"/>
              <w:jc w:val="center"/>
            </w:pPr>
            <w:r/>
            <w:r>
              <w:rPr>
                <w:rFonts w:ascii="宋体" w:hAnsi="宋体" w:eastAsia="宋体"/>
                <w:sz w:val="21"/>
              </w:rPr>
              <w:t>558</w:t>
            </w:r>
          </w:p>
        </w:tc>
      </w:tr>
      <w:tr>
        <w:tc>
          <w:tcPr>
            <w:tcW w:type="dxa" w:w="2126"/>
            <w:vAlign w:val="center"/>
          </w:tcPr>
          <w:p>
            <w:pPr>
              <w:spacing w:line="240" w:lineRule="auto" w:after="20" w:before="20"/>
              <w:jc w:val="left"/>
            </w:pPr>
            <w:r/>
            <w:r>
              <w:rPr>
                <w:rFonts w:ascii="宋体" w:hAnsi="宋体" w:eastAsia="宋体"/>
                <w:sz w:val="21"/>
              </w:rPr>
              <w:t>调整后 R²</w:t>
            </w:r>
          </w:p>
        </w:tc>
        <w:tc>
          <w:tcPr>
            <w:tcW w:type="dxa" w:w="2126"/>
            <w:vAlign w:val="center"/>
          </w:tcPr>
          <w:p>
            <w:pPr>
              <w:spacing w:line="240" w:lineRule="auto" w:after="20" w:before="20"/>
              <w:jc w:val="center"/>
            </w:pPr>
            <w:r/>
            <w:r>
              <w:rPr>
                <w:rFonts w:ascii="宋体" w:hAnsi="宋体" w:eastAsia="宋体"/>
                <w:sz w:val="21"/>
              </w:rPr>
              <w:t>0.9818</w:t>
            </w:r>
          </w:p>
        </w:tc>
        <w:tc>
          <w:tcPr>
            <w:tcW w:type="dxa" w:w="2126"/>
            <w:vAlign w:val="center"/>
          </w:tcPr>
          <w:p>
            <w:pPr>
              <w:spacing w:line="240" w:lineRule="auto" w:after="20" w:before="20"/>
              <w:jc w:val="center"/>
            </w:pPr>
            <w:r/>
            <w:r>
              <w:rPr>
                <w:rFonts w:ascii="宋体" w:hAnsi="宋体" w:eastAsia="宋体"/>
                <w:sz w:val="21"/>
              </w:rPr>
              <w:t>0.9817</w:t>
            </w:r>
          </w:p>
        </w:tc>
        <w:tc>
          <w:tcPr>
            <w:tcW w:type="dxa" w:w="2126"/>
            <w:vAlign w:val="center"/>
          </w:tcPr>
          <w:p>
            <w:pPr>
              <w:spacing w:line="240" w:lineRule="auto" w:after="20" w:before="20"/>
              <w:jc w:val="center"/>
            </w:pPr>
            <w:r/>
            <w:r>
              <w:rPr>
                <w:rFonts w:ascii="宋体" w:hAnsi="宋体" w:eastAsia="宋体"/>
                <w:sz w:val="21"/>
              </w:rPr>
              <w:t>0.9824</w:t>
            </w:r>
          </w:p>
        </w:tc>
      </w:tr>
    </w:tbl>
    <w:p>
      <w:pPr>
        <w:spacing w:after="200" w:line="240" w:lineRule="auto"/>
      </w:pPr>
      <w:r>
        <w:rPr>
          <w:rFonts w:ascii="宋体" w:hAnsi="宋体" w:eastAsia="宋体"/>
          <w:sz w:val="18"/>
        </w:rPr>
        <w:t>注：被解释变量为要素配置效率ACE。括号内为按省份聚类的稳健标准误；*</w:t>
      </w:r>
      <w:r>
        <w:rPr>
          <w:rFonts w:ascii="宋体" w:hAnsi="宋体" w:eastAsia="宋体"/>
          <w:b/>
          <w:sz w:val="18"/>
        </w:rPr>
        <w:t>、</w:t>
      </w:r>
      <w:r>
        <w:rPr>
          <w:rFonts w:ascii="宋体" w:hAnsi="宋体" w:eastAsia="宋体"/>
          <w:sz w:val="18"/>
        </w:rPr>
        <w:t>、* 分别表示在1%、5%、10%的水平上显著。各列均控制省份与年份双向固定效应。</w:t>
      </w:r>
    </w:p>
    <w:p>
      <w:pPr>
        <w:keepNext/>
        <w:spacing w:before="160" w:after="120" w:line="360" w:lineRule="auto"/>
      </w:pPr>
      <w:r>
        <w:rPr>
          <w:rFonts w:ascii="黑体" w:hAnsi="黑体" w:eastAsia="黑体"/>
          <w:sz w:val="24"/>
        </w:rPr>
        <w:t>7.4.1  核心结果与逐步回归</w:t>
      </w:r>
    </w:p>
    <w:p>
      <w:pPr>
        <w:spacing w:line="360" w:lineRule="auto" w:after="0"/>
        <w:ind w:firstLineChars="200" w:firstLine="480"/>
        <w:jc w:val="both"/>
      </w:pPr>
      <w:r>
        <w:rPr>
          <w:rFonts w:ascii="宋体" w:hAnsi="宋体" w:eastAsia="宋体"/>
          <w:sz w:val="24"/>
        </w:rPr>
        <w:t>表7.2的结果高度稳健且符合理论预期。在仅含双向固定效应的第(1)列中，NUMI的估计系数为0.837，</w:t>
      </w:r>
      <m:oMath>
        <m:r>
          <m:t>t</m:t>
        </m:r>
      </m:oMath>
      <w:r>
        <w:rPr>
          <w:rFonts w:ascii="宋体" w:hAnsi="宋体" w:eastAsia="宋体"/>
          <w:sz w:val="24"/>
        </w:rPr>
        <w:t xml:space="preserve"> 值高达13.67，在1%的水平上高度显著；加入基础结构控制变量后，第(2)列系数为0.836，几乎纹丝不动；纳入全部控制变量的第(3)列，系数为0.831，</w:t>
      </w:r>
      <m:oMath>
        <m:r>
          <m:t>t</m:t>
        </m:r>
      </m:oMath>
      <w:r>
        <w:rPr>
          <w:rFonts w:ascii="宋体" w:hAnsi="宋体" w:eastAsia="宋体"/>
          <w:sz w:val="24"/>
        </w:rPr>
        <w:t xml:space="preserve"> 值为14.32，依旧在1%水平上显著为正。从第(1)列到第(3)列，随着控制变量的逐步加入，核心系数在数值上仅有极其轻微的变化、始终稳定在0.83上下，且显著性水平丝毫未减。</w:t>
      </w:r>
    </w:p>
    <w:p>
      <w:pPr>
        <w:spacing w:line="360" w:lineRule="auto" w:after="0"/>
        <w:ind w:firstLineChars="200" w:firstLine="480"/>
        <w:jc w:val="both"/>
      </w:pPr>
      <w:r>
        <w:rPr>
          <w:rFonts w:ascii="宋体" w:hAnsi="宋体" w:eastAsia="宋体"/>
          <w:sz w:val="24"/>
        </w:rPr>
        <w:t>核心系数在逐步回归中的高度稳定，本身就是一个富有信息的稳健性信号。按照遗漏变量偏误的经典逻辑，若存在与NUMI高度相关、又对ACE有重要影响的遗漏因素，那么在纳入越来越多控制变量的过程中，核心系数理应出现明显漂移。而本章观察到的情形恰恰相反：无论是否控制经济发展水平、城镇化、产业结构，还是进一步控制数字经济、交通设施、财政分权、对外开放与人力资本，NUMI的系数都稳定在同一水平。这一"系数惰性"表明，可观测控制变量所代表的混淆渠道在双向固定效应之后已相当有限，据此可以合理推断，来自不可观测因素的选择性偏误对核心估计的干扰也不至于过大。当然，这一推断只是缓解而非彻底消除内生性担忧，因果识别仍有赖第9章的工具变量与双重差分。</w:t>
      </w:r>
    </w:p>
    <w:p>
      <w:pPr>
        <w:spacing w:line="360" w:lineRule="auto" w:after="0"/>
        <w:ind w:firstLineChars="200" w:firstLine="480"/>
        <w:jc w:val="both"/>
      </w:pPr>
      <w:r>
        <w:rPr>
          <w:rFonts w:ascii="宋体" w:hAnsi="宋体" w:eastAsia="宋体"/>
          <w:sz w:val="24"/>
        </w:rPr>
        <w:t xml:space="preserve">三列模型的拟合优度均很高，调整后 </w:t>
      </w:r>
      <m:oMath>
        <m:sSup>
          <m:e>
            <m:r>
              <m:t>R</m:t>
            </m:r>
          </m:e>
          <m:sup>
            <m:r>
              <m:t>2</m:t>
            </m:r>
          </m:sup>
        </m:sSup>
      </m:oMath>
      <w:r>
        <w:rPr>
          <w:rFonts w:ascii="宋体" w:hAnsi="宋体" w:eastAsia="宋体"/>
          <w:sz w:val="24"/>
        </w:rPr>
        <w:t xml:space="preserve"> 达到0.98以上。需要说明的是，如此高的拟合优度主要源于双向固定效应吸收了被解释变量中大量的地区固定水平差异与共同时间趋势，属于面板固定效应模型的常见现象，并不意味着模型过度拟合；真正值得关注的，是在剔除固定效应之后，NUMI的组内变异对ACE组内变异的解释力，而这一点已由图7.1的去均值散点与表7.2中稳健显著的核心系数所印证。</w:t>
      </w:r>
    </w:p>
    <w:p>
      <w:pPr>
        <w:keepNext/>
        <w:spacing w:before="160" w:after="120" w:line="360" w:lineRule="auto"/>
      </w:pPr>
      <w:r>
        <w:rPr>
          <w:rFonts w:ascii="黑体" w:hAnsi="黑体" w:eastAsia="黑体"/>
          <w:sz w:val="24"/>
        </w:rPr>
        <w:t>7.4.2  经济显著性</w:t>
      </w:r>
    </w:p>
    <w:p>
      <w:pPr>
        <w:spacing w:line="360" w:lineRule="auto" w:after="0"/>
        <w:ind w:firstLineChars="200" w:firstLine="480"/>
        <w:jc w:val="both"/>
      </w:pPr>
      <w:r>
        <w:rPr>
          <w:rFonts w:ascii="宋体" w:hAnsi="宋体" w:eastAsia="宋体"/>
          <w:sz w:val="24"/>
        </w:rPr>
        <w:t>统计显著之外，更需回答的是"效应有多大"这一经济显著性问题。以全控制的第(3)列点估计为基准，统一大市场建设指数每提高一个标准差（0.1285），要素配置效率ACE平均提高约0.1068个单位。这一效应相当于ACE自身标准差（0.1058）的约101.0%，也相当于ACE样本均值（0.6136）的约17.4%。无论以何种基准衡量，这都不是一个可以忽略的"统计显著但经济上无关紧要"的效应，而是具有实质经济含义的重要影响：一个省份若能将其统一大市场建设水平提升一个标准差，其要素配置效率的改善幅度，足以在可比省份中实现从中位数附近向前列的显著跃迁。</w:t>
      </w:r>
    </w:p>
    <w:p>
      <w:pPr>
        <w:spacing w:line="360" w:lineRule="auto" w:after="0"/>
        <w:ind w:firstLineChars="200" w:firstLine="480"/>
        <w:jc w:val="both"/>
      </w:pPr>
      <w:r>
        <w:rPr>
          <w:rFonts w:ascii="宋体" w:hAnsi="宋体" w:eastAsia="宋体"/>
          <w:sz w:val="24"/>
        </w:rPr>
        <w:t>从更宏观的尺度看，样本期内全国NUMI由0.3727升至0.7452、累计提高0.3725，若以基准点估计进行简单核算，这一建设水平的提升可带动要素配置效率上升约0.3097；而同期全国ACE的实际改善约为0.3111，两者高度接近（前者约为后者的99.6%）。这意味着，在样本期内中国要素配置效率的改善，其绝大部分可以由统一大市场建设水平的稳步提升所"解释"。当然，这一核算属于基于点估计的说明性推演，既未剔除控制变量的贡献，也未考虑一般均衡反馈与其他并行改革的作用，不宜作严格的因果分解；但它至少直观地表明，统一大市场建设与要素配置效率改善之间的定量关联，在数量级上是可信而稳健的。</w:t>
      </w:r>
    </w:p>
    <w:p>
      <w:pPr>
        <w:spacing w:line="360" w:lineRule="auto" w:after="0"/>
        <w:ind w:firstLineChars="200" w:firstLine="480"/>
        <w:jc w:val="both"/>
      </w:pPr>
      <w:r>
        <w:rPr>
          <w:rFonts w:ascii="宋体" w:hAnsi="宋体" w:eastAsia="宋体"/>
          <w:sz w:val="24"/>
        </w:rPr>
        <w:t>将本章估计与既有文献相互对照，可以进一步确认其合理性。既有研究普遍发现，市场分割会显著加剧资源错配、造成可观的效率与生产率损失（余泳泽等，2022；刘冲等，2020），而市场一体化、区域行政整合或要素市场化改革则有助于改善企业与地区层面的资源配置效率（倪婷婷和王跃堂，2022；胡增玺和马述忠，2023）。本章从"统一大市场建设"这一更综合、更贴近政策内涵的视角切入，所得到的正向且量级可观的效应，与上述文献在方向和数量级上高度一致，构成对既有证据的呼应与拓展。图7.2以系数点估计及其置信区间的形式，直观汇总了基准回归的核心发现。</w:t>
      </w:r>
    </w:p>
    <w:p>
      <w:pPr>
        <w:spacing w:before="120" w:after="40"/>
        <w:jc w:val="center"/>
      </w:pPr>
      <w:r>
        <w:drawing>
          <wp:inline xmlns:a="http://schemas.openxmlformats.org/drawingml/2006/main" xmlns:pic="http://schemas.openxmlformats.org/drawingml/2006/picture">
            <wp:extent cx="4140000" cy="2272540"/>
            <wp:docPr id="22" name="Picture 22"/>
            <wp:cNvGraphicFramePr>
              <a:graphicFrameLocks noChangeAspect="1"/>
            </wp:cNvGraphicFramePr>
            <a:graphic>
              <a:graphicData uri="http://schemas.openxmlformats.org/drawingml/2006/picture">
                <pic:pic>
                  <pic:nvPicPr>
                    <pic:cNvPr id="0" name="fig7_2.png"/>
                    <pic:cNvPicPr/>
                  </pic:nvPicPr>
                  <pic:blipFill>
                    <a:blip r:embed="rId30"/>
                    <a:stretch>
                      <a:fillRect/>
                    </a:stretch>
                  </pic:blipFill>
                  <pic:spPr>
                    <a:xfrm>
                      <a:off x="0" y="0"/>
                      <a:ext cx="4140000" cy="2272540"/>
                    </a:xfrm>
                    <a:prstGeom prst="rect"/>
                  </pic:spPr>
                </pic:pic>
              </a:graphicData>
            </a:graphic>
          </wp:inline>
        </w:drawing>
      </w:r>
    </w:p>
    <w:p>
      <w:pPr>
        <w:keepNext w:val="0"/>
        <w:spacing w:after="200"/>
        <w:jc w:val="center"/>
      </w:pPr>
      <w:r>
        <w:rPr>
          <w:rFonts w:ascii="黑体" w:hAnsi="黑体" w:eastAsia="黑体"/>
          <w:sz w:val="21"/>
        </w:rPr>
        <w:t>图7.2  统一大市场建设对要素配置效率影响的基准估计</w:t>
      </w:r>
    </w:p>
    <w:p>
      <w:pPr>
        <w:keepNext/>
        <w:spacing w:before="160" w:after="120" w:line="360" w:lineRule="auto"/>
      </w:pPr>
      <w:r>
        <w:rPr>
          <w:rFonts w:ascii="黑体" w:hAnsi="黑体" w:eastAsia="黑体"/>
          <w:sz w:val="24"/>
        </w:rPr>
        <w:t>7.4.3  控制变量的经济解读</w:t>
      </w:r>
    </w:p>
    <w:p>
      <w:pPr>
        <w:spacing w:line="360" w:lineRule="auto" w:after="0"/>
        <w:ind w:firstLineChars="200" w:firstLine="480"/>
        <w:jc w:val="both"/>
      </w:pPr>
      <w:r>
        <w:rPr>
          <w:rFonts w:ascii="宋体" w:hAnsi="宋体" w:eastAsia="宋体"/>
          <w:sz w:val="24"/>
        </w:rPr>
        <w:t>控制变量的估计结果同样值得关注，其符号与显著性大体符合经济直觉。在全控制的第(3)列中，数字经济发展（digital）的系数为0.152，在1%水平上显著为正（</w:t>
      </w:r>
      <m:oMath>
        <m:r>
          <m:t>t</m:t>
        </m:r>
      </m:oMath>
      <w:r>
        <w:rPr>
          <w:rFonts w:ascii="宋体" w:hAnsi="宋体" w:eastAsia="宋体"/>
          <w:sz w:val="24"/>
        </w:rPr>
        <w:t>＝4.01），表明数字技术的发展有助于打破信息壁垒、降低跨区搜寻与交易成本，从而独立地改善要素配置效率，这与近年来关于数字经济赋能资源配置的研究结论相吻合（赵涛等，2020）。财政分权（fiscaldec）的系数为0.058，在5%水平上显著（</w:t>
      </w:r>
      <m:oMath>
        <m:r>
          <m:t>t</m:t>
        </m:r>
      </m:oMath>
      <w:r>
        <w:rPr>
          <w:rFonts w:ascii="宋体" w:hAnsi="宋体" w:eastAsia="宋体"/>
          <w:sz w:val="24"/>
        </w:rPr>
        <w:t>＝2.51）；这一正号提示，财政自主度较高的地区在样本期内其要素配置效率相对更优，反映出财政激励对地方推动要素市场化改革具有复杂而非单一方向的影响，与财政分权兼具"援助之手"与"攫取之手"双重面向的文献判断相一致（范子英和张军，2010；周黎安，2007）。</w:t>
      </w:r>
    </w:p>
    <w:p>
      <w:pPr>
        <w:spacing w:line="360" w:lineRule="auto" w:after="0"/>
        <w:ind w:firstLineChars="200" w:firstLine="480"/>
        <w:jc w:val="both"/>
      </w:pPr>
      <w:r>
        <w:rPr>
          <w:rFonts w:ascii="宋体" w:hAnsi="宋体" w:eastAsia="宋体"/>
          <w:sz w:val="24"/>
        </w:rPr>
        <w:t>人力资本（humancap）的系数为0.063，在10%水平上边际显著（</w:t>
      </w:r>
      <m:oMath>
        <m:r>
          <m:t>t</m:t>
        </m:r>
      </m:oMath>
      <w:r>
        <w:rPr>
          <w:rFonts w:ascii="宋体" w:hAnsi="宋体" w:eastAsia="宋体"/>
          <w:sz w:val="24"/>
        </w:rPr>
        <w:t>＝1.71），说明人力资本积累对提升要素（尤其是劳动力）配置效率具有正向作用，但在控制双向固定效应后其边际效应相对温和。相比之下，人均GDP对数（lnpgdp，系数-0.008）、城镇化率（urban，系数-0.005）、产业结构（indstr，系数-0.011）、交通设施（transport）与对外开放（openness）等变量的系数在统计上均不显著。这些变量之所以不显著，一个重要原因在于双向固定效应已吸收了它们随地区固定与随时间共同变动的绝大部分信息，其剩余的组内时序变异对配置效率的边际解释力相对有限；这并不意味着这些因素在经济上不重要，而是提示其作用更多体现在长期与截面维度，已被固定效应所控制。核心变量NUMI在如此严苛的设定下依然保持高度显著，反衬出统一大市场建设对配置效率影响的稳健与突出。</w:t>
      </w:r>
    </w:p>
    <w:p>
      <w:pPr>
        <w:spacing w:line="360" w:lineRule="auto" w:after="0"/>
        <w:ind w:firstLineChars="200" w:firstLine="480"/>
        <w:jc w:val="both"/>
      </w:pPr>
      <w:r>
        <w:rPr>
          <w:rFonts w:ascii="宋体" w:hAnsi="宋体" w:eastAsia="宋体"/>
          <w:sz w:val="24"/>
        </w:rPr>
        <w:t>将控制变量的估计结果与既有文献相互对照，可进一步确认其经济合理性。数字经济发展的显著正效应，与近年来关于数字技术缩小信息不对称、优化资源配置的研究相互呼应（赵涛等，2020；胡增玺和马述忠，2023）；财政分权的正向作用，则提示在样本期"事权与财权相匹配"的制度演进中，财政自主度较高的地区更有能力推进本地要素市场化改革，这与财政分权对资源配置具有非单一方向影响的既有判断相一致。尤其值得强调的是核心系数与控制变量系数在量级上的鲜明对比：NUMI的系数（0.831）比任一显著控制变量高出数倍，意味着在解释配置效率的组内变动时，统一大市场建设的边际作用远居各结构性因素之上。这一格局，与既有关于区域市场整合改善企业资源配置、市场分割加剧要素错配的经验发现在方向上高度契合（倪婷婷和王跃堂，2022；余泳泽等，2022），共同支持"制度性市场整合是配置效率改善之首要驱动"的判断。</w:t>
      </w:r>
    </w:p>
    <w:p>
      <w:pPr>
        <w:keepNext/>
        <w:spacing w:before="160" w:after="120" w:line="360" w:lineRule="auto"/>
      </w:pPr>
      <w:r>
        <w:rPr>
          <w:rFonts w:ascii="黑体" w:hAnsi="黑体" w:eastAsia="黑体"/>
          <w:sz w:val="28"/>
        </w:rPr>
        <w:t>7.5  分维度回归</w:t>
      </w:r>
    </w:p>
    <w:p>
      <w:pPr>
        <w:spacing w:line="360" w:lineRule="auto" w:after="0"/>
        <w:ind w:firstLineChars="200" w:firstLine="480"/>
        <w:jc w:val="both"/>
      </w:pPr>
      <w:r>
        <w:rPr>
          <w:rFonts w:ascii="宋体" w:hAnsi="宋体" w:eastAsia="宋体"/>
          <w:sz w:val="24"/>
        </w:rPr>
        <w:t>统一大市场建设是一个多维度的系统工程，NUMI作为综合指数固然能刻画建设的总体水平，却掩盖了不同维度之间可能存在的作用差异。究竟是商品市场的整合、还是要素市场的一体化更能撬动配置效率的改善？不同维度的边际贡献孰大孰小？这些问题对于识别改革的优先序、实现精准施策具有直接的政策含义。为此，本节将综合指数拆解为六个分维度，分别考察其对要素配置效率的影响。设定如下分维度回归模型：</w:t>
      </w:r>
    </w:p>
    <w:p>
      <w:pPr>
        <w:tabs>
          <w:tab w:pos="4252" w:val="center"/>
          <w:tab w:pos="8504" w:val="right"/>
        </w:tabs>
        <w:spacing w:line="360" w:lineRule="auto" w:before="80" w:after="80"/>
      </w:pPr>
      <w:r>
        <w:tab/>
      </w:r>
      <m:oMath>
        <m:r>
          <m:t>A</m:t>
        </m:r>
        <m:r>
          <m:t>C</m:t>
        </m:r>
        <m:sSub>
          <m:e>
            <m:r>
              <m:t>E</m:t>
            </m:r>
          </m:e>
          <m:sub>
            <m:r>
              <m:t>i</m:t>
            </m:r>
            <m:r>
              <m:t>t</m:t>
            </m:r>
          </m:sub>
        </m:sSub>
        <m:r>
          <m:rPr>
            <m:sty m:val="p"/>
          </m:rPr>
          <m:t>=</m:t>
        </m:r>
        <m:r>
          <m:t>α</m:t>
        </m:r>
        <m:r>
          <m:rPr>
            <m:sty m:val="p"/>
          </m:rPr>
          <m:t>+</m:t>
        </m:r>
        <m:sSub>
          <m:e>
            <m:r>
              <m:t>β</m:t>
            </m:r>
          </m:e>
          <m:sub>
            <m:r>
              <m:t>d</m:t>
            </m:r>
          </m:sub>
        </m:sSub>
        <m:r>
          <m:t> </m:t>
        </m:r>
        <m:r>
          <m:t>N</m:t>
        </m:r>
        <m:r>
          <m:t>U</m:t>
        </m:r>
        <m:r>
          <m:t>M</m:t>
        </m:r>
        <m:sSubSup>
          <m:e>
            <m:r>
              <m:t>I</m:t>
            </m:r>
          </m:e>
          <m:sub>
            <m:r>
              <m:t>i</m:t>
            </m:r>
            <m:r>
              <m:t>t</m:t>
            </m:r>
          </m:sub>
          <m:sup>
            <m:r>
              <m:t>d</m:t>
            </m:r>
          </m:sup>
        </m:sSubSup>
        <m:r>
          <m:rPr>
            <m:sty m:val="p"/>
          </m:rPr>
          <m:t>+</m:t>
        </m:r>
        <m:r>
          <m:t>γ</m:t>
        </m:r>
        <m:sSub>
          <m:e>
            <m: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w:r>
        <w:tab/>
      </w:r>
      <w:r>
        <w:rPr>
          <w:rFonts w:ascii="Times New Roman" w:hAnsi="Times New Roman" w:eastAsia="宋体"/>
          <w:sz w:val="24"/>
        </w:rPr>
        <w:t>(7-2)</w:t>
      </w:r>
    </w:p>
    <w:p>
      <w:pPr>
        <w:spacing w:line="360" w:lineRule="auto" w:after="0"/>
        <w:jc w:val="both"/>
      </w:pPr>
      <w:r>
        <w:rPr>
          <w:rFonts w:ascii="宋体" w:hAnsi="宋体" w:eastAsia="宋体"/>
          <w:sz w:val="24"/>
        </w:rPr>
        <w:t>其中，</w:t>
      </w:r>
      <m:oMath>
        <m:r>
          <m:t>N</m:t>
        </m:r>
        <m:r>
          <m:t>U</m:t>
        </m:r>
        <m:r>
          <m:t>M</m:t>
        </m:r>
        <m:sSubSup>
          <m:e>
            <m:r>
              <m:t>I</m:t>
            </m:r>
          </m:e>
          <m:sub>
            <m:r>
              <m:t>i</m:t>
            </m:r>
            <m:r>
              <m:t>t</m:t>
            </m:r>
          </m:sub>
          <m:sup>
            <m:r>
              <m:t>d</m:t>
            </m:r>
          </m:sup>
        </m:sSubSup>
      </m:oMath>
      <w:r>
        <w:rPr>
          <w:rFonts w:ascii="宋体" w:hAnsi="宋体" w:eastAsia="宋体"/>
          <w:sz w:val="24"/>
        </w:rPr>
        <w:t xml:space="preserve"> 表示第 </w:t>
      </w:r>
      <m:oMath>
        <m:r>
          <m:t>d</m:t>
        </m:r>
      </m:oMath>
      <w:r>
        <w:rPr>
          <w:rFonts w:ascii="宋体" w:hAnsi="宋体" w:eastAsia="宋体"/>
          <w:sz w:val="24"/>
        </w:rPr>
        <w:t xml:space="preserve"> 个分维度指数（</w:t>
      </w:r>
      <m:oMath>
        <m:r>
          <m:t>d</m:t>
        </m:r>
        <m:r>
          <m:rPr>
            <m:sty m:val="p"/>
          </m:rPr>
          <m:t>∈</m:t>
        </m:r>
        <m:r>
          <m:rPr>
            <m:sty m:val="p"/>
          </m:rPr>
          <m:t>{</m:t>
        </m:r>
      </m:oMath>
      <w:r>
        <w:rPr>
          <w:rFonts w:ascii="宋体" w:hAnsi="宋体" w:eastAsia="宋体"/>
          <w:sz w:val="24"/>
        </w:rPr>
        <w:t>商品、劳动力、资本、土地、技术与数据、制度环境</w:t>
      </w:r>
      <m:oMath>
        <m:r>
          <m:rPr>
            <m:sty m:val="p"/>
          </m:rPr>
          <m:t>}</m:t>
        </m:r>
      </m:oMath>
      <w:r>
        <w:rPr>
          <w:rFonts w:ascii="宋体" w:hAnsi="宋体" w:eastAsia="宋体"/>
          <w:sz w:val="24"/>
        </w:rPr>
        <w:t>），</w:t>
      </w:r>
      <m:oMath>
        <m:sSub>
          <m:e>
            <m:r>
              <m:t>β</m:t>
            </m:r>
          </m:e>
          <m:sub>
            <m:r>
              <m:t>d</m:t>
            </m:r>
          </m:sub>
        </m:sSub>
      </m:oMath>
      <w:r>
        <w:rPr>
          <w:rFonts w:ascii="宋体" w:hAnsi="宋体" w:eastAsia="宋体"/>
          <w:sz w:val="24"/>
        </w:rPr>
        <w:t xml:space="preserve"> 为该维度对要素配置效率的估计系数；其余设定与基准模型(7-1)完全一致，即控制全部前定控制变量与双向固定效应，并采用按省份聚类的稳健标准误。为便于跨维度比较，各分维度指数均经过同向标准化处理。</w:t>
      </w:r>
    </w:p>
    <w:p>
      <w:pPr>
        <w:spacing w:line="360" w:lineRule="auto" w:after="0"/>
        <w:ind w:firstLineChars="200" w:firstLine="480"/>
        <w:jc w:val="both"/>
      </w:pPr>
      <w:r>
        <w:rPr>
          <w:rFonts w:ascii="宋体" w:hAnsi="宋体" w:eastAsia="宋体"/>
          <w:sz w:val="24"/>
        </w:rPr>
        <w:t>表7.3报告了六个分维度分别单独进入模型(7-2)的估计结果。逐一将各维度替换核心解释变量，可以清晰地比较不同维度对配置效率的边际拉动作用。</w:t>
      </w:r>
    </w:p>
    <w:p>
      <w:pPr>
        <w:keepNext/>
        <w:spacing w:before="160" w:after="40"/>
        <w:jc w:val="center"/>
      </w:pPr>
      <w:r>
        <w:rPr>
          <w:rFonts w:ascii="黑体" w:hAnsi="黑体" w:eastAsia="黑体"/>
          <w:sz w:val="21"/>
        </w:rPr>
        <w:t>表7.3  统一大市场建设分维度对要素配置效率的影响</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1701"/>
        <w:gridCol w:w="1701"/>
        <w:gridCol w:w="1701"/>
        <w:gridCol w:w="1701"/>
        <w:gridCol w:w="1701"/>
      </w:tblGrid>
      <w:tr>
        <w:tc>
          <w:tcPr>
            <w:tcW w:type="dxa" w:w="1701"/>
            <w:vAlign w:val="center"/>
            <w:tcBorders>
              <w:bottom w:val="single" w:sz="6" w:color="000000"/>
            </w:tcBorders>
          </w:tcPr>
          <w:p>
            <w:pPr>
              <w:spacing w:line="240" w:lineRule="auto" w:after="20" w:before="20"/>
              <w:jc w:val="center"/>
            </w:pPr>
            <w:r/>
            <w:r>
              <w:rPr>
                <w:rFonts w:ascii="宋体" w:hAnsi="宋体" w:eastAsia="宋体"/>
                <w:b/>
                <w:sz w:val="21"/>
              </w:rPr>
              <w:t>统一大市场分维度</w:t>
            </w:r>
          </w:p>
        </w:tc>
        <w:tc>
          <w:tcPr>
            <w:tcW w:type="dxa" w:w="1701"/>
            <w:vAlign w:val="center"/>
            <w:tcBorders>
              <w:bottom w:val="single" w:sz="6" w:color="000000"/>
            </w:tcBorders>
          </w:tcPr>
          <w:p>
            <w:pPr>
              <w:spacing w:line="240" w:lineRule="auto" w:after="20" w:before="20"/>
              <w:jc w:val="center"/>
            </w:pPr>
            <w:r/>
            <w:r>
              <w:rPr>
                <w:rFonts w:ascii="宋体" w:hAnsi="宋体" w:eastAsia="宋体"/>
                <w:b/>
                <w:sz w:val="21"/>
              </w:rPr>
              <w:t>估计系数</w:t>
            </w:r>
          </w:p>
        </w:tc>
        <w:tc>
          <w:tcPr>
            <w:tcW w:type="dxa" w:w="1701"/>
            <w:vAlign w:val="center"/>
            <w:tcBorders>
              <w:bottom w:val="single" w:sz="6" w:color="000000"/>
            </w:tcBorders>
          </w:tcPr>
          <w:p>
            <w:pPr>
              <w:spacing w:line="240" w:lineRule="auto" w:after="20" w:before="20"/>
              <w:jc w:val="center"/>
            </w:pPr>
            <w:r/>
            <w:r>
              <w:rPr>
                <w:rFonts w:ascii="宋体" w:hAnsi="宋体" w:eastAsia="宋体"/>
                <w:b/>
                <w:sz w:val="21"/>
              </w:rPr>
              <w:t>标准误</w:t>
            </w:r>
          </w:p>
        </w:tc>
        <w:tc>
          <w:tcPr>
            <w:tcW w:type="dxa" w:w="1701"/>
            <w:vAlign w:val="center"/>
            <w:tcBorders>
              <w:bottom w:val="single" w:sz="6" w:color="000000"/>
            </w:tcBorders>
          </w:tcPr>
          <w:p>
            <w:pPr>
              <w:spacing w:line="240" w:lineRule="auto" w:after="20" w:before="20"/>
              <w:jc w:val="center"/>
            </w:pPr>
            <w:r/>
            <w:r>
              <w:rPr>
                <w:rFonts w:ascii="宋体" w:hAnsi="宋体" w:eastAsia="宋体"/>
                <w:b/>
                <w:sz w:val="21"/>
              </w:rPr>
              <w:t>t 值</w:t>
            </w:r>
          </w:p>
        </w:tc>
        <w:tc>
          <w:tcPr>
            <w:tcW w:type="dxa" w:w="1701"/>
            <w:vAlign w:val="center"/>
            <w:tcBorders>
              <w:bottom w:val="single" w:sz="6" w:color="000000"/>
            </w:tcBorders>
          </w:tcPr>
          <w:p>
            <w:pPr>
              <w:spacing w:line="240" w:lineRule="auto" w:after="20" w:before="20"/>
              <w:jc w:val="center"/>
            </w:pPr>
            <w:r/>
            <w:r>
              <w:rPr>
                <w:rFonts w:ascii="宋体" w:hAnsi="宋体" w:eastAsia="宋体"/>
                <w:b/>
                <w:sz w:val="21"/>
              </w:rPr>
              <w:t>调整后 R²</w:t>
            </w:r>
          </w:p>
        </w:tc>
      </w:tr>
      <w:tr>
        <w:tc>
          <w:tcPr>
            <w:tcW w:type="dxa" w:w="1701"/>
            <w:vAlign w:val="center"/>
          </w:tcPr>
          <w:p>
            <w:pPr>
              <w:spacing w:line="240" w:lineRule="auto" w:after="20" w:before="20"/>
              <w:jc w:val="left"/>
            </w:pPr>
            <w:r/>
            <w:r>
              <w:rPr>
                <w:rFonts w:ascii="宋体" w:hAnsi="宋体" w:eastAsia="宋体"/>
                <w:sz w:val="21"/>
              </w:rPr>
              <w:t>商品市场一体化</w:t>
            </w:r>
          </w:p>
        </w:tc>
        <w:tc>
          <w:tcPr>
            <w:tcW w:type="dxa" w:w="1701"/>
            <w:vAlign w:val="center"/>
          </w:tcPr>
          <w:p>
            <w:pPr>
              <w:spacing w:line="240" w:lineRule="auto" w:after="20" w:before="20"/>
              <w:jc w:val="center"/>
            </w:pPr>
            <w:r/>
            <w:r>
              <w:rPr>
                <w:rFonts w:ascii="宋体" w:hAnsi="宋体" w:eastAsia="宋体"/>
                <w:sz w:val="21"/>
              </w:rPr>
              <w:t>0.673***</w:t>
            </w:r>
          </w:p>
        </w:tc>
        <w:tc>
          <w:tcPr>
            <w:tcW w:type="dxa" w:w="1701"/>
            <w:vAlign w:val="center"/>
          </w:tcPr>
          <w:p>
            <w:pPr>
              <w:spacing w:line="240" w:lineRule="auto" w:after="20" w:before="20"/>
              <w:jc w:val="center"/>
            </w:pPr>
            <w:r/>
            <w:r>
              <w:rPr>
                <w:rFonts w:ascii="宋体" w:hAnsi="宋体" w:eastAsia="宋体"/>
                <w:sz w:val="21"/>
              </w:rPr>
              <w:t>0.067</w:t>
            </w:r>
          </w:p>
        </w:tc>
        <w:tc>
          <w:tcPr>
            <w:tcW w:type="dxa" w:w="1701"/>
            <w:vAlign w:val="center"/>
          </w:tcPr>
          <w:p>
            <w:pPr>
              <w:spacing w:line="240" w:lineRule="auto" w:after="20" w:before="20"/>
              <w:jc w:val="center"/>
            </w:pPr>
            <w:r/>
            <w:r>
              <w:rPr>
                <w:rFonts w:ascii="宋体" w:hAnsi="宋体" w:eastAsia="宋体"/>
                <w:sz w:val="21"/>
              </w:rPr>
              <w:t>9.99</w:t>
            </w:r>
          </w:p>
        </w:tc>
        <w:tc>
          <w:tcPr>
            <w:tcW w:type="dxa" w:w="1701"/>
            <w:vAlign w:val="center"/>
          </w:tcPr>
          <w:p>
            <w:pPr>
              <w:spacing w:line="240" w:lineRule="auto" w:after="20" w:before="20"/>
              <w:jc w:val="center"/>
            </w:pPr>
            <w:r/>
            <w:r>
              <w:rPr>
                <w:rFonts w:ascii="宋体" w:hAnsi="宋体" w:eastAsia="宋体"/>
                <w:sz w:val="21"/>
              </w:rPr>
              <w:t>0.9764</w:t>
            </w:r>
          </w:p>
        </w:tc>
      </w:tr>
      <w:tr>
        <w:tc>
          <w:tcPr>
            <w:tcW w:type="dxa" w:w="1701"/>
            <w:vAlign w:val="center"/>
          </w:tcPr>
          <w:p>
            <w:pPr>
              <w:spacing w:line="240" w:lineRule="auto" w:after="20" w:before="20"/>
              <w:jc w:val="left"/>
            </w:pPr>
            <w:r/>
            <w:r>
              <w:rPr>
                <w:rFonts w:ascii="宋体" w:hAnsi="宋体" w:eastAsia="宋体"/>
                <w:sz w:val="21"/>
              </w:rPr>
              <w:t>劳动力市场一体化</w:t>
            </w:r>
          </w:p>
        </w:tc>
        <w:tc>
          <w:tcPr>
            <w:tcW w:type="dxa" w:w="1701"/>
            <w:vAlign w:val="center"/>
          </w:tcPr>
          <w:p>
            <w:pPr>
              <w:spacing w:line="240" w:lineRule="auto" w:after="20" w:before="20"/>
              <w:jc w:val="center"/>
            </w:pPr>
            <w:r/>
            <w:r>
              <w:rPr>
                <w:rFonts w:ascii="宋体" w:hAnsi="宋体" w:eastAsia="宋体"/>
                <w:sz w:val="21"/>
              </w:rPr>
              <w:t>0.475***</w:t>
            </w:r>
          </w:p>
        </w:tc>
        <w:tc>
          <w:tcPr>
            <w:tcW w:type="dxa" w:w="1701"/>
            <w:vAlign w:val="center"/>
          </w:tcPr>
          <w:p>
            <w:pPr>
              <w:spacing w:line="240" w:lineRule="auto" w:after="20" w:before="20"/>
              <w:jc w:val="center"/>
            </w:pPr>
            <w:r/>
            <w:r>
              <w:rPr>
                <w:rFonts w:ascii="宋体" w:hAnsi="宋体" w:eastAsia="宋体"/>
                <w:sz w:val="21"/>
              </w:rPr>
              <w:t>0.065</w:t>
            </w:r>
          </w:p>
        </w:tc>
        <w:tc>
          <w:tcPr>
            <w:tcW w:type="dxa" w:w="1701"/>
            <w:vAlign w:val="center"/>
          </w:tcPr>
          <w:p>
            <w:pPr>
              <w:spacing w:line="240" w:lineRule="auto" w:after="20" w:before="20"/>
              <w:jc w:val="center"/>
            </w:pPr>
            <w:r/>
            <w:r>
              <w:rPr>
                <w:rFonts w:ascii="宋体" w:hAnsi="宋体" w:eastAsia="宋体"/>
                <w:sz w:val="21"/>
              </w:rPr>
              <w:t>7.30</w:t>
            </w:r>
          </w:p>
        </w:tc>
        <w:tc>
          <w:tcPr>
            <w:tcW w:type="dxa" w:w="1701"/>
            <w:vAlign w:val="center"/>
          </w:tcPr>
          <w:p>
            <w:pPr>
              <w:spacing w:line="240" w:lineRule="auto" w:after="20" w:before="20"/>
              <w:jc w:val="center"/>
            </w:pPr>
            <w:r/>
            <w:r>
              <w:rPr>
                <w:rFonts w:ascii="宋体" w:hAnsi="宋体" w:eastAsia="宋体"/>
                <w:sz w:val="21"/>
              </w:rPr>
              <w:t>0.9729</w:t>
            </w:r>
          </w:p>
        </w:tc>
      </w:tr>
      <w:tr>
        <w:tc>
          <w:tcPr>
            <w:tcW w:type="dxa" w:w="1701"/>
            <w:vAlign w:val="center"/>
          </w:tcPr>
          <w:p>
            <w:pPr>
              <w:spacing w:line="240" w:lineRule="auto" w:after="20" w:before="20"/>
              <w:jc w:val="left"/>
            </w:pPr>
            <w:r/>
            <w:r>
              <w:rPr>
                <w:rFonts w:ascii="宋体" w:hAnsi="宋体" w:eastAsia="宋体"/>
                <w:sz w:val="21"/>
              </w:rPr>
              <w:t>资本市场一体化</w:t>
            </w:r>
          </w:p>
        </w:tc>
        <w:tc>
          <w:tcPr>
            <w:tcW w:type="dxa" w:w="1701"/>
            <w:vAlign w:val="center"/>
          </w:tcPr>
          <w:p>
            <w:pPr>
              <w:spacing w:line="240" w:lineRule="auto" w:after="20" w:before="20"/>
              <w:jc w:val="center"/>
            </w:pPr>
            <w:r/>
            <w:r>
              <w:rPr>
                <w:rFonts w:ascii="宋体" w:hAnsi="宋体" w:eastAsia="宋体"/>
                <w:sz w:val="21"/>
              </w:rPr>
              <w:t>0.428***</w:t>
            </w:r>
          </w:p>
        </w:tc>
        <w:tc>
          <w:tcPr>
            <w:tcW w:type="dxa" w:w="1701"/>
            <w:vAlign w:val="center"/>
          </w:tcPr>
          <w:p>
            <w:pPr>
              <w:spacing w:line="240" w:lineRule="auto" w:after="20" w:before="20"/>
              <w:jc w:val="center"/>
            </w:pPr>
            <w:r/>
            <w:r>
              <w:rPr>
                <w:rFonts w:ascii="宋体" w:hAnsi="宋体" w:eastAsia="宋体"/>
                <w:sz w:val="21"/>
              </w:rPr>
              <w:t>0.058</w:t>
            </w:r>
          </w:p>
        </w:tc>
        <w:tc>
          <w:tcPr>
            <w:tcW w:type="dxa" w:w="1701"/>
            <w:vAlign w:val="center"/>
          </w:tcPr>
          <w:p>
            <w:pPr>
              <w:spacing w:line="240" w:lineRule="auto" w:after="20" w:before="20"/>
              <w:jc w:val="center"/>
            </w:pPr>
            <w:r/>
            <w:r>
              <w:rPr>
                <w:rFonts w:ascii="宋体" w:hAnsi="宋体" w:eastAsia="宋体"/>
                <w:sz w:val="21"/>
              </w:rPr>
              <w:t>7.32</w:t>
            </w:r>
          </w:p>
        </w:tc>
        <w:tc>
          <w:tcPr>
            <w:tcW w:type="dxa" w:w="1701"/>
            <w:vAlign w:val="center"/>
          </w:tcPr>
          <w:p>
            <w:pPr>
              <w:spacing w:line="240" w:lineRule="auto" w:after="20" w:before="20"/>
              <w:jc w:val="center"/>
            </w:pPr>
            <w:r/>
            <w:r>
              <w:rPr>
                <w:rFonts w:ascii="宋体" w:hAnsi="宋体" w:eastAsia="宋体"/>
                <w:sz w:val="21"/>
              </w:rPr>
              <w:t>0.9697</w:t>
            </w:r>
          </w:p>
        </w:tc>
      </w:tr>
      <w:tr>
        <w:tc>
          <w:tcPr>
            <w:tcW w:type="dxa" w:w="1701"/>
            <w:vAlign w:val="center"/>
          </w:tcPr>
          <w:p>
            <w:pPr>
              <w:spacing w:line="240" w:lineRule="auto" w:after="20" w:before="20"/>
              <w:jc w:val="left"/>
            </w:pPr>
            <w:r/>
            <w:r>
              <w:rPr>
                <w:rFonts w:ascii="宋体" w:hAnsi="宋体" w:eastAsia="宋体"/>
                <w:sz w:val="21"/>
              </w:rPr>
              <w:t>土地市场一体化</w:t>
            </w:r>
          </w:p>
        </w:tc>
        <w:tc>
          <w:tcPr>
            <w:tcW w:type="dxa" w:w="1701"/>
            <w:vAlign w:val="center"/>
          </w:tcPr>
          <w:p>
            <w:pPr>
              <w:spacing w:line="240" w:lineRule="auto" w:after="20" w:before="20"/>
              <w:jc w:val="center"/>
            </w:pPr>
            <w:r/>
            <w:r>
              <w:rPr>
                <w:rFonts w:ascii="宋体" w:hAnsi="宋体" w:eastAsia="宋体"/>
                <w:sz w:val="21"/>
              </w:rPr>
              <w:t>0.427***</w:t>
            </w:r>
          </w:p>
        </w:tc>
        <w:tc>
          <w:tcPr>
            <w:tcW w:type="dxa" w:w="1701"/>
            <w:vAlign w:val="center"/>
          </w:tcPr>
          <w:p>
            <w:pPr>
              <w:spacing w:line="240" w:lineRule="auto" w:after="20" w:before="20"/>
              <w:jc w:val="center"/>
            </w:pPr>
            <w:r/>
            <w:r>
              <w:rPr>
                <w:rFonts w:ascii="宋体" w:hAnsi="宋体" w:eastAsia="宋体"/>
                <w:sz w:val="21"/>
              </w:rPr>
              <w:t>0.062</w:t>
            </w:r>
          </w:p>
        </w:tc>
        <w:tc>
          <w:tcPr>
            <w:tcW w:type="dxa" w:w="1701"/>
            <w:vAlign w:val="center"/>
          </w:tcPr>
          <w:p>
            <w:pPr>
              <w:spacing w:line="240" w:lineRule="auto" w:after="20" w:before="20"/>
              <w:jc w:val="center"/>
            </w:pPr>
            <w:r/>
            <w:r>
              <w:rPr>
                <w:rFonts w:ascii="宋体" w:hAnsi="宋体" w:eastAsia="宋体"/>
                <w:sz w:val="21"/>
              </w:rPr>
              <w:t>6.84</w:t>
            </w:r>
          </w:p>
        </w:tc>
        <w:tc>
          <w:tcPr>
            <w:tcW w:type="dxa" w:w="1701"/>
            <w:vAlign w:val="center"/>
          </w:tcPr>
          <w:p>
            <w:pPr>
              <w:spacing w:line="240" w:lineRule="auto" w:after="20" w:before="20"/>
              <w:jc w:val="center"/>
            </w:pPr>
            <w:r/>
            <w:r>
              <w:rPr>
                <w:rFonts w:ascii="宋体" w:hAnsi="宋体" w:eastAsia="宋体"/>
                <w:sz w:val="21"/>
              </w:rPr>
              <w:t>0.9677</w:t>
            </w:r>
          </w:p>
        </w:tc>
      </w:tr>
      <w:tr>
        <w:tc>
          <w:tcPr>
            <w:tcW w:type="dxa" w:w="1701"/>
            <w:vAlign w:val="center"/>
          </w:tcPr>
          <w:p>
            <w:pPr>
              <w:spacing w:line="240" w:lineRule="auto" w:after="20" w:before="20"/>
              <w:jc w:val="left"/>
            </w:pPr>
            <w:r/>
            <w:r>
              <w:rPr>
                <w:rFonts w:ascii="宋体" w:hAnsi="宋体" w:eastAsia="宋体"/>
                <w:sz w:val="21"/>
              </w:rPr>
              <w:t>技术与数据市场一体化</w:t>
            </w:r>
          </w:p>
        </w:tc>
        <w:tc>
          <w:tcPr>
            <w:tcW w:type="dxa" w:w="1701"/>
            <w:vAlign w:val="center"/>
          </w:tcPr>
          <w:p>
            <w:pPr>
              <w:spacing w:line="240" w:lineRule="auto" w:after="20" w:before="20"/>
              <w:jc w:val="center"/>
            </w:pPr>
            <w:r/>
            <w:r>
              <w:rPr>
                <w:rFonts w:ascii="宋体" w:hAnsi="宋体" w:eastAsia="宋体"/>
                <w:sz w:val="21"/>
              </w:rPr>
              <w:t>0.378***</w:t>
            </w:r>
          </w:p>
        </w:tc>
        <w:tc>
          <w:tcPr>
            <w:tcW w:type="dxa" w:w="1701"/>
            <w:vAlign w:val="center"/>
          </w:tcPr>
          <w:p>
            <w:pPr>
              <w:spacing w:line="240" w:lineRule="auto" w:after="20" w:before="20"/>
              <w:jc w:val="center"/>
            </w:pPr>
            <w:r/>
            <w:r>
              <w:rPr>
                <w:rFonts w:ascii="宋体" w:hAnsi="宋体" w:eastAsia="宋体"/>
                <w:sz w:val="21"/>
              </w:rPr>
              <w:t>0.051</w:t>
            </w:r>
          </w:p>
        </w:tc>
        <w:tc>
          <w:tcPr>
            <w:tcW w:type="dxa" w:w="1701"/>
            <w:vAlign w:val="center"/>
          </w:tcPr>
          <w:p>
            <w:pPr>
              <w:spacing w:line="240" w:lineRule="auto" w:after="20" w:before="20"/>
              <w:jc w:val="center"/>
            </w:pPr>
            <w:r/>
            <w:r>
              <w:rPr>
                <w:rFonts w:ascii="宋体" w:hAnsi="宋体" w:eastAsia="宋体"/>
                <w:sz w:val="21"/>
              </w:rPr>
              <w:t>7.38</w:t>
            </w:r>
          </w:p>
        </w:tc>
        <w:tc>
          <w:tcPr>
            <w:tcW w:type="dxa" w:w="1701"/>
            <w:vAlign w:val="center"/>
          </w:tcPr>
          <w:p>
            <w:pPr>
              <w:spacing w:line="240" w:lineRule="auto" w:after="20" w:before="20"/>
              <w:jc w:val="center"/>
            </w:pPr>
            <w:r/>
            <w:r>
              <w:rPr>
                <w:rFonts w:ascii="宋体" w:hAnsi="宋体" w:eastAsia="宋体"/>
                <w:sz w:val="21"/>
              </w:rPr>
              <w:t>0.9717</w:t>
            </w:r>
          </w:p>
        </w:tc>
      </w:tr>
      <w:tr>
        <w:tc>
          <w:tcPr>
            <w:tcW w:type="dxa" w:w="1701"/>
            <w:vAlign w:val="center"/>
          </w:tcPr>
          <w:p>
            <w:pPr>
              <w:spacing w:line="240" w:lineRule="auto" w:after="20" w:before="20"/>
              <w:jc w:val="left"/>
            </w:pPr>
            <w:r/>
            <w:r>
              <w:rPr>
                <w:rFonts w:ascii="宋体" w:hAnsi="宋体" w:eastAsia="宋体"/>
                <w:sz w:val="21"/>
              </w:rPr>
              <w:t>市场制度环境一体化</w:t>
            </w:r>
          </w:p>
        </w:tc>
        <w:tc>
          <w:tcPr>
            <w:tcW w:type="dxa" w:w="1701"/>
            <w:vAlign w:val="center"/>
          </w:tcPr>
          <w:p>
            <w:pPr>
              <w:spacing w:line="240" w:lineRule="auto" w:after="20" w:before="20"/>
              <w:jc w:val="center"/>
            </w:pPr>
            <w:r/>
            <w:r>
              <w:rPr>
                <w:rFonts w:ascii="宋体" w:hAnsi="宋体" w:eastAsia="宋体"/>
                <w:sz w:val="21"/>
              </w:rPr>
              <w:t>0.429***</w:t>
            </w:r>
          </w:p>
        </w:tc>
        <w:tc>
          <w:tcPr>
            <w:tcW w:type="dxa" w:w="1701"/>
            <w:vAlign w:val="center"/>
          </w:tcPr>
          <w:p>
            <w:pPr>
              <w:spacing w:line="240" w:lineRule="auto" w:after="20" w:before="20"/>
              <w:jc w:val="center"/>
            </w:pPr>
            <w:r/>
            <w:r>
              <w:rPr>
                <w:rFonts w:ascii="宋体" w:hAnsi="宋体" w:eastAsia="宋体"/>
                <w:sz w:val="21"/>
              </w:rPr>
              <w:t>0.056</w:t>
            </w:r>
          </w:p>
        </w:tc>
        <w:tc>
          <w:tcPr>
            <w:tcW w:type="dxa" w:w="1701"/>
            <w:vAlign w:val="center"/>
          </w:tcPr>
          <w:p>
            <w:pPr>
              <w:spacing w:line="240" w:lineRule="auto" w:after="20" w:before="20"/>
              <w:jc w:val="center"/>
            </w:pPr>
            <w:r/>
            <w:r>
              <w:rPr>
                <w:rFonts w:ascii="宋体" w:hAnsi="宋体" w:eastAsia="宋体"/>
                <w:sz w:val="21"/>
              </w:rPr>
              <w:t>7.71</w:t>
            </w:r>
          </w:p>
        </w:tc>
        <w:tc>
          <w:tcPr>
            <w:tcW w:type="dxa" w:w="1701"/>
            <w:vAlign w:val="center"/>
          </w:tcPr>
          <w:p>
            <w:pPr>
              <w:spacing w:line="240" w:lineRule="auto" w:after="20" w:before="20"/>
              <w:jc w:val="center"/>
            </w:pPr>
            <w:r/>
            <w:r>
              <w:rPr>
                <w:rFonts w:ascii="宋体" w:hAnsi="宋体" w:eastAsia="宋体"/>
                <w:sz w:val="21"/>
              </w:rPr>
              <w:t>0.9727</w:t>
            </w:r>
          </w:p>
        </w:tc>
      </w:tr>
    </w:tbl>
    <w:p>
      <w:pPr>
        <w:spacing w:after="200" w:line="240" w:lineRule="auto"/>
      </w:pPr>
      <w:r>
        <w:rPr>
          <w:rFonts w:ascii="宋体" w:hAnsi="宋体" w:eastAsia="宋体"/>
          <w:sz w:val="18"/>
        </w:rPr>
        <w:t>注：被解释变量为要素配置效率ACE，观测数均为558。各行分别以对应分维度指数替换核心解释变量，并控制全部前定控制变量与省份、年份双向固定效应。系数上标*</w:t>
      </w:r>
      <w:r>
        <w:rPr>
          <w:rFonts w:ascii="宋体" w:hAnsi="宋体" w:eastAsia="宋体"/>
          <w:b/>
          <w:sz w:val="18"/>
        </w:rPr>
        <w:t>、</w:t>
      </w:r>
      <w:r>
        <w:rPr>
          <w:rFonts w:ascii="宋体" w:hAnsi="宋体" w:eastAsia="宋体"/>
          <w:sz w:val="18"/>
        </w:rPr>
        <w:t>、* 分别表示1%、5%、10%的显著性水平；标准误按省份聚类。</w:t>
      </w:r>
    </w:p>
    <w:p>
      <w:pPr>
        <w:spacing w:line="360" w:lineRule="auto" w:after="0"/>
        <w:ind w:firstLineChars="200" w:firstLine="480"/>
        <w:jc w:val="both"/>
      </w:pPr>
      <w:r>
        <w:rPr>
          <w:rFonts w:ascii="宋体" w:hAnsi="宋体" w:eastAsia="宋体"/>
          <w:sz w:val="24"/>
        </w:rPr>
        <w:t>表7.3显示，六个分维度的系数全部显著为正，且均在1%的水平上显著，表明统一大市场建设的各个维度对要素配置效率的改善都具有独立而稳健的正向作用，没有哪一维度的贡献可以被忽视。这一"全面显著"的结果本身即具有重要含义：它说明统一大市场建设之所以能提升配置效率，并非仅由某一单一渠道所驱动，而是商品、劳动力、资本、土地、技术与数据、制度环境六个维度协同发力、共同作用的结果，呼应了第4章关于商品市场整合与要素市场整合具有互补性的命题2（刘志彪和孔令池，2021）。</w:t>
      </w:r>
    </w:p>
    <w:p>
      <w:pPr>
        <w:spacing w:line="360" w:lineRule="auto" w:after="0"/>
        <w:ind w:firstLineChars="200" w:firstLine="480"/>
        <w:jc w:val="both"/>
      </w:pPr>
      <w:r>
        <w:rPr>
          <w:rFonts w:ascii="宋体" w:hAnsi="宋体" w:eastAsia="宋体"/>
          <w:sz w:val="24"/>
        </w:rPr>
        <w:t>从系数大小的横向比较看，各维度的边际贡献存在明显梯度。商品市场一体化的系数最大，为0.673，显著高于其余各维度，表明在样本期内，商品市场的整合仍是撬动要素配置效率改善最为有力的杠杆。这一结果初看似与前文"商品市场分割已大幅收窄"的判断相左，实则内在统一：正因为商品市场一体化推进较早、较为充分，其对整体配置效率的带动作用得以充分显现；同时，商品市场的畅通本身也是要素得以顺畅流动的前提，具有基础性、牵引性的地位，这与既有文献强调商品市场整合对区域增长与专业化分工的重要作用相吻合（盛斌和毛其淋，2011；桂琦寒等，2006）。</w:t>
      </w:r>
    </w:p>
    <w:p>
      <w:pPr>
        <w:spacing w:line="360" w:lineRule="auto" w:after="0"/>
        <w:ind w:firstLineChars="200" w:firstLine="480"/>
        <w:jc w:val="both"/>
      </w:pPr>
      <w:r>
        <w:rPr>
          <w:rFonts w:ascii="宋体" w:hAnsi="宋体" w:eastAsia="宋体"/>
          <w:sz w:val="24"/>
        </w:rPr>
        <w:t>紧随其后的是劳动力市场一体化（系数0.475）、市场制度环境一体化（系数0.429）、资本市场一体化（系数0.428）与土地市场一体化（系数0.427），四者系数较为接近，构成第二梯队；技术与数据市场一体化的系数相对最小（0.378），位列第三梯队。劳动力市场一体化的贡献居于要素市场诸维度之首，凸显出破除户籍等劳动力流动壁垒对改善配置效率的关键作用，这与劳动力跨区流动能显著缩小要素边际回报离散度、提升整体生产率的文献判断一致（Tombe和Zhu，2019；倪婷婷和王跃堂，2022）。</w:t>
      </w:r>
    </w:p>
    <w:p>
      <w:pPr>
        <w:spacing w:line="360" w:lineRule="auto" w:after="0"/>
        <w:ind w:firstLineChars="200" w:firstLine="480"/>
        <w:jc w:val="both"/>
      </w:pPr>
      <w:r>
        <w:rPr>
          <w:rFonts w:ascii="宋体" w:hAnsi="宋体" w:eastAsia="宋体"/>
          <w:sz w:val="24"/>
        </w:rPr>
        <w:t>技术与数据市场一体化的边际系数相对较小，需要审慎解读，不宜简单理解为该维度"不重要"。一个合理的解释是，技术与数据要素市场的一体化在样本期内尚处于起步阶段，数据要素的确权、流通与交易制度仍在探索之中，其对配置效率的赋能效应可能存在时滞、尚未充分释放（"数据二十条"，2022）。随着数据基础制度的逐步健全与数字技术的深化应用，这一维度的边际贡献有望在更长的时间窗口中显著上升，这也为后续研究与政策留下了重要空间。总体而言，分维度回归揭示出一幅"商品先行、要素跟进、制度托底、技术蓄势"的建设图景：短期内商品市场整合的红利最为直接，而中长期看，破除劳动力、资本、土地等要素市场的行政性壁垒、健全统一的制度环境，将成为进一步释放配置效率红利的主战场。</w:t>
      </w:r>
    </w:p>
    <w:p>
      <w:pPr>
        <w:spacing w:line="360" w:lineRule="auto" w:after="0"/>
        <w:ind w:firstLineChars="200" w:firstLine="480"/>
        <w:jc w:val="both"/>
      </w:pPr>
      <w:r>
        <w:rPr>
          <w:rFonts w:ascii="宋体" w:hAnsi="宋体" w:eastAsia="宋体"/>
          <w:sz w:val="24"/>
        </w:rPr>
        <w:t>分维度结果的政策含义值得进一步申说。六个维度全部显著为正，意味着统一大市场建设不存在"短板可以偏废"的选择空间，任何单一维度的滞后都会拖累整体配置效率的改善；而系数的梯度差异，则提示改革在"全面推进"的同时可以有"重点突破"。在商品市场分割已大幅收窄的背景下，边际改革收益正逐步向要素市场与制度环境倾斜：破除户籍壁垒、畅通劳动力跨区流动，打破金融属地化、促进资本跨区配置，改革用地指标行政化分配、盘活土地要素，健全公平竞争与统一监管的制度环境，既是《意见》部署的重点任务，也是本章经验证据所指向的效率改善主战场（林晨和李宇潇，2024；胡增玺和马述忠，2023）。与此同时，前瞻性地布局数据要素市场的基础制度建设，为技术与数据维度红利的中长期释放蓄势，同样不可偏废。</w:t>
      </w:r>
    </w:p>
    <w:p>
      <w:pPr>
        <w:spacing w:line="360" w:lineRule="auto" w:after="0"/>
        <w:ind w:firstLineChars="200" w:firstLine="480"/>
        <w:jc w:val="both"/>
      </w:pPr>
      <w:r>
        <w:rPr>
          <w:rFonts w:ascii="宋体" w:hAnsi="宋体" w:eastAsia="宋体"/>
          <w:sz w:val="24"/>
        </w:rPr>
        <w:t>从系数梯度背后的经济机理看，各维度对配置效率边际贡献的差异，折射出不同要素市场一体化的难易程度与推进阶段的不同。商品市场一体化系数最高（0.673），源于商品的可贸易性最强、跨区套利最为便利，一旦地方保护松动，价格信号便能迅速引导资源重配，效率改善立竿见影；劳动力市场一体化次之（0.475），因劳动力虽可流动，却受制于户籍、社保衔接与公共服务属地化等黏性壁垒，其配置改善的释放较商品市场更为迟缓（Tombe和Zhu，2019；蔡昉，2021）；资本与土地市场一体化系数相近（分别为0.428与0.427），反映出金融资源属地化配置与用地指标行政化分配这两类要害壁垒的松动同样能有效降低资本与土地的错配，但相关制度改革的推进相对审慎。</w:t>
      </w:r>
    </w:p>
    <w:p>
      <w:pPr>
        <w:spacing w:line="360" w:lineRule="auto" w:after="0"/>
        <w:ind w:firstLineChars="200" w:firstLine="480"/>
        <w:jc w:val="both"/>
      </w:pPr>
      <w:r>
        <w:rPr>
          <w:rFonts w:ascii="宋体" w:hAnsi="宋体" w:eastAsia="宋体"/>
          <w:sz w:val="24"/>
        </w:rPr>
        <w:t>制度环境一体化的系数（0.429）居于要素诸维度前列，凸显出公平竞争、统一监管等"软性"制度基础设施的枢纽作用——它虽不直接作用于某一具体要素，却通过塑造统一、透明、可预期的市场规则，为各类要素的自由流动与优化配置提供总体制度托底，具有"一子落而满盘活"的牵引效应。技术与数据市场一体化系数最小（0.378），却并非无足轻重：其边际系数虽小，却对应着尚未充分释放的巨大潜力，随着数据要素基础制度的逐步健全，这一维度有望成为下一阶段配置效率改善的新增长极。综合来看，六维系数的梯度并非各维度重要性的静态排序，而更像是一幅反映改革推进先后与制度成熟度的"动态快照"，为理解统一大市场建设"分步走、有重点"的现实路径提供了量化注脚。</w:t>
      </w:r>
    </w:p>
    <w:p>
      <w:pPr>
        <w:keepNext/>
        <w:spacing w:before="160" w:after="120" w:line="360" w:lineRule="auto"/>
      </w:pPr>
      <w:r>
        <w:rPr>
          <w:rFonts w:ascii="黑体" w:hAnsi="黑体" w:eastAsia="黑体"/>
          <w:sz w:val="28"/>
        </w:rPr>
        <w:t>7.6  稳健性检验</w:t>
      </w:r>
    </w:p>
    <w:p>
      <w:pPr>
        <w:spacing w:line="360" w:lineRule="auto" w:after="0"/>
        <w:ind w:firstLineChars="200" w:firstLine="480"/>
        <w:jc w:val="both"/>
      </w:pPr>
      <w:r>
        <w:rPr>
          <w:rFonts w:ascii="宋体" w:hAnsi="宋体" w:eastAsia="宋体"/>
          <w:sz w:val="24"/>
        </w:rPr>
        <w:t>为确保基准结论的可靠性，本节从替换被解释变量、滞后核心解释变量、剔除特殊样本三个方向进行稳健性检验，分别针对测度方式敏感性、反向因果与即时相关、样本构成异质性等潜在担忧。表7.4汇总了相应结果，各列均沿用基准模型的全控制设定、双向固定效应与按省份聚类的稳健标准误。</w:t>
      </w:r>
    </w:p>
    <w:p>
      <w:pPr>
        <w:keepNext/>
        <w:spacing w:before="160" w:after="40"/>
        <w:jc w:val="center"/>
      </w:pPr>
      <w:r>
        <w:rPr>
          <w:rFonts w:ascii="黑体" w:hAnsi="黑体" w:eastAsia="黑体"/>
          <w:sz w:val="21"/>
        </w:rPr>
        <w:t>表7.4  稳健性检验</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126"/>
        <w:gridCol w:w="2126"/>
        <w:gridCol w:w="2126"/>
        <w:gridCol w:w="2126"/>
      </w:tblGrid>
      <w:tr>
        <w:tc>
          <w:tcPr>
            <w:tcW w:type="dxa" w:w="2126"/>
            <w:vAlign w:val="center"/>
            <w:tcBorders>
              <w:bottom w:val="single" w:sz="6" w:color="000000"/>
            </w:tcBorders>
          </w:tcPr>
          <w:p>
            <w:pPr>
              <w:spacing w:line="240" w:lineRule="auto" w:after="20" w:before="20"/>
              <w:jc w:val="center"/>
            </w:pPr>
            <w:r/>
            <w:r>
              <w:rPr>
                <w:rFonts w:ascii="宋体" w:hAnsi="宋体" w:eastAsia="宋体"/>
                <w:b/>
                <w:sz w:val="21"/>
              </w:rPr>
              <w:t>解释变量</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(1) 替换被解释变量</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(2) 滞后核心解释变量</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(3) 剔除直辖市</w:t>
            </w:r>
          </w:p>
        </w:tc>
      </w:tr>
      <w:tr>
        <w:tc>
          <w:tcPr>
            <w:tcW w:type="dxa" w:w="2126"/>
            <w:vAlign w:val="center"/>
          </w:tcPr>
          <w:p>
            <w:pPr>
              <w:spacing w:line="240" w:lineRule="auto" w:after="20" w:before="20"/>
              <w:jc w:val="left"/>
            </w:pPr>
            <w:r/>
            <w:r>
              <w:rPr>
                <w:rFonts w:ascii="宋体" w:hAnsi="宋体" w:eastAsia="宋体"/>
                <w:sz w:val="21"/>
              </w:rPr>
              <w:t>NUMI</w:t>
            </w:r>
          </w:p>
        </w:tc>
        <w:tc>
          <w:tcPr>
            <w:tcW w:type="dxa" w:w="2126"/>
            <w:vAlign w:val="center"/>
          </w:tcPr>
          <w:p>
            <w:pPr>
              <w:spacing w:line="240" w:lineRule="auto" w:after="20" w:before="20"/>
              <w:jc w:val="center"/>
            </w:pPr>
            <w:r/>
            <w:r>
              <w:rPr>
                <w:rFonts w:ascii="宋体" w:hAnsi="宋体" w:eastAsia="宋体"/>
                <w:sz w:val="21"/>
              </w:rPr>
              <w:t>0.395***</w:t>
              <w:br/>
              <w:t>(0.031)</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0.758***</w:t>
              <w:br/>
              <w:t>(0.068)</w:t>
            </w:r>
          </w:p>
        </w:tc>
      </w:tr>
      <w:tr>
        <w:tc>
          <w:tcPr>
            <w:tcW w:type="dxa" w:w="2126"/>
            <w:vAlign w:val="center"/>
          </w:tcPr>
          <w:p>
            <w:pPr>
              <w:spacing w:line="240" w:lineRule="auto" w:after="20" w:before="20"/>
              <w:jc w:val="left"/>
            </w:pPr>
            <w:r/>
            <w:r>
              <w:rPr>
                <w:rFonts w:ascii="宋体" w:hAnsi="宋体" w:eastAsia="宋体"/>
                <w:sz w:val="21"/>
              </w:rPr>
              <w:t>L.NUMI（滞后一期）</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0.765***</w:t>
              <w:br/>
              <w:t>(0.105)</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r>
              <w:rPr>
                <w:rFonts w:ascii="宋体" w:hAnsi="宋体" w:eastAsia="宋体"/>
                <w:sz w:val="21"/>
              </w:rPr>
              <w:t>控制变量</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r>
      <w:tr>
        <w:tc>
          <w:tcPr>
            <w:tcW w:type="dxa" w:w="2126"/>
            <w:vAlign w:val="center"/>
          </w:tcPr>
          <w:p>
            <w:pPr>
              <w:spacing w:line="240" w:lineRule="auto" w:after="20" w:before="20"/>
              <w:jc w:val="left"/>
            </w:pPr>
            <w:r/>
            <w:r>
              <w:rPr>
                <w:rFonts w:ascii="宋体" w:hAnsi="宋体" w:eastAsia="宋体"/>
                <w:sz w:val="21"/>
              </w:rPr>
              <w:t>双向固定效应</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r>
      <w:tr>
        <w:tc>
          <w:tcPr>
            <w:tcW w:type="dxa" w:w="2126"/>
            <w:vAlign w:val="center"/>
          </w:tcPr>
          <w:p>
            <w:pPr>
              <w:spacing w:line="240" w:lineRule="auto" w:after="20" w:before="20"/>
              <w:jc w:val="left"/>
            </w:pPr>
            <w:r/>
            <w:r>
              <w:rPr>
                <w:rFonts w:ascii="宋体" w:hAnsi="宋体" w:eastAsia="宋体"/>
                <w:sz w:val="21"/>
              </w:rPr>
              <w:t>观测数 N</w:t>
            </w:r>
          </w:p>
        </w:tc>
        <w:tc>
          <w:tcPr>
            <w:tcW w:type="dxa" w:w="2126"/>
            <w:vAlign w:val="center"/>
          </w:tcPr>
          <w:p>
            <w:pPr>
              <w:spacing w:line="240" w:lineRule="auto" w:after="20" w:before="20"/>
              <w:jc w:val="center"/>
            </w:pPr>
            <w:r/>
            <w:r>
              <w:rPr>
                <w:rFonts w:ascii="宋体" w:hAnsi="宋体" w:eastAsia="宋体"/>
                <w:sz w:val="21"/>
              </w:rPr>
              <w:t>558</w:t>
            </w:r>
          </w:p>
        </w:tc>
        <w:tc>
          <w:tcPr>
            <w:tcW w:type="dxa" w:w="2126"/>
            <w:vAlign w:val="center"/>
          </w:tcPr>
          <w:p>
            <w:pPr>
              <w:spacing w:line="240" w:lineRule="auto" w:after="20" w:before="20"/>
              <w:jc w:val="center"/>
            </w:pPr>
            <w:r/>
            <w:r>
              <w:rPr>
                <w:rFonts w:ascii="宋体" w:hAnsi="宋体" w:eastAsia="宋体"/>
                <w:sz w:val="21"/>
              </w:rPr>
              <w:t>527</w:t>
            </w:r>
          </w:p>
        </w:tc>
        <w:tc>
          <w:tcPr>
            <w:tcW w:type="dxa" w:w="2126"/>
            <w:vAlign w:val="center"/>
          </w:tcPr>
          <w:p>
            <w:pPr>
              <w:spacing w:line="240" w:lineRule="auto" w:after="20" w:before="20"/>
              <w:jc w:val="center"/>
            </w:pPr>
            <w:r/>
            <w:r>
              <w:rPr>
                <w:rFonts w:ascii="宋体" w:hAnsi="宋体" w:eastAsia="宋体"/>
                <w:sz w:val="21"/>
              </w:rPr>
              <w:t>486</w:t>
            </w:r>
          </w:p>
        </w:tc>
      </w:tr>
      <w:tr>
        <w:tc>
          <w:tcPr>
            <w:tcW w:type="dxa" w:w="2126"/>
            <w:vAlign w:val="center"/>
          </w:tcPr>
          <w:p>
            <w:pPr>
              <w:spacing w:line="240" w:lineRule="auto" w:after="20" w:before="20"/>
              <w:jc w:val="left"/>
            </w:pPr>
            <w:r/>
            <w:r>
              <w:rPr>
                <w:rFonts w:ascii="宋体" w:hAnsi="宋体" w:eastAsia="宋体"/>
                <w:sz w:val="21"/>
              </w:rPr>
              <w:t>调整后 R²</w:t>
            </w:r>
          </w:p>
        </w:tc>
        <w:tc>
          <w:tcPr>
            <w:tcW w:type="dxa" w:w="2126"/>
            <w:vAlign w:val="center"/>
          </w:tcPr>
          <w:p>
            <w:pPr>
              <w:spacing w:line="240" w:lineRule="auto" w:after="20" w:before="20"/>
              <w:jc w:val="center"/>
            </w:pPr>
            <w:r/>
            <w:r>
              <w:rPr>
                <w:rFonts w:ascii="宋体" w:hAnsi="宋体" w:eastAsia="宋体"/>
                <w:sz w:val="21"/>
              </w:rPr>
              <w:t>0.9688</w:t>
            </w:r>
          </w:p>
        </w:tc>
        <w:tc>
          <w:tcPr>
            <w:tcW w:type="dxa" w:w="2126"/>
            <w:vAlign w:val="center"/>
          </w:tcPr>
          <w:p>
            <w:pPr>
              <w:spacing w:line="240" w:lineRule="auto" w:after="20" w:before="20"/>
              <w:jc w:val="center"/>
            </w:pPr>
            <w:r/>
            <w:r>
              <w:rPr>
                <w:rFonts w:ascii="宋体" w:hAnsi="宋体" w:eastAsia="宋体"/>
                <w:sz w:val="21"/>
              </w:rPr>
              <w:t>0.9718</w:t>
            </w:r>
          </w:p>
        </w:tc>
        <w:tc>
          <w:tcPr>
            <w:tcW w:type="dxa" w:w="2126"/>
            <w:vAlign w:val="center"/>
          </w:tcPr>
          <w:p>
            <w:pPr>
              <w:spacing w:line="240" w:lineRule="auto" w:after="20" w:before="20"/>
              <w:jc w:val="center"/>
            </w:pPr>
            <w:r/>
            <w:r>
              <w:rPr>
                <w:rFonts w:ascii="宋体" w:hAnsi="宋体" w:eastAsia="宋体"/>
                <w:sz w:val="21"/>
              </w:rPr>
              <w:t>0.9835</w:t>
            </w:r>
          </w:p>
        </w:tc>
      </w:tr>
    </w:tbl>
    <w:p>
      <w:pPr>
        <w:spacing w:after="200" w:line="240" w:lineRule="auto"/>
      </w:pPr>
      <w:r>
        <w:rPr>
          <w:rFonts w:ascii="宋体" w:hAnsi="宋体" w:eastAsia="宋体"/>
          <w:sz w:val="18"/>
        </w:rPr>
        <w:t>注：第(1)列被解释变量替换为另一口径构造的要素配置效率指标；第(2)列以滞后一期的NUMI作核心解释变量；第(3)列剔除北京、天津、上海、重庆四个直辖市。括号内为按省份聚类的稳健标准误；*</w:t>
      </w:r>
      <w:r>
        <w:rPr>
          <w:rFonts w:ascii="宋体" w:hAnsi="宋体" w:eastAsia="宋体"/>
          <w:b/>
          <w:sz w:val="18"/>
        </w:rPr>
        <w:t>、</w:t>
      </w:r>
      <w:r>
        <w:rPr>
          <w:rFonts w:ascii="宋体" w:hAnsi="宋体" w:eastAsia="宋体"/>
          <w:sz w:val="18"/>
        </w:rPr>
        <w:t>、* 分别表示1%、5%、10%的显著性水平。</w:t>
      </w:r>
    </w:p>
    <w:p>
      <w:pPr>
        <w:keepNext/>
        <w:spacing w:before="160" w:after="120" w:line="360" w:lineRule="auto"/>
      </w:pPr>
      <w:r>
        <w:rPr>
          <w:rFonts w:ascii="黑体" w:hAnsi="黑体" w:eastAsia="黑体"/>
          <w:sz w:val="24"/>
        </w:rPr>
        <w:t>7.6.1  替换被解释变量</w:t>
      </w:r>
    </w:p>
    <w:p>
      <w:pPr>
        <w:spacing w:line="360" w:lineRule="auto" w:after="0"/>
        <w:ind w:firstLineChars="200" w:firstLine="480"/>
        <w:jc w:val="both"/>
      </w:pPr>
      <w:r>
        <w:rPr>
          <w:rFonts w:ascii="宋体" w:hAnsi="宋体" w:eastAsia="宋体"/>
          <w:sz w:val="24"/>
        </w:rPr>
        <w:t>要素配置效率的测度涉及生产函数设定、要素边际回报估计与标准化处理等多个环节，不同的技术选择可能影响被解释变量的具体取值。为排除结论对特定测度方式的依赖，第(1)列以另一口径构造的要素配置效率指标替换基准被解释变量重新估计。结果显示，NUMI的系数为0.395，</w:t>
      </w:r>
      <m:oMath>
        <m:r>
          <m:t>t</m:t>
        </m:r>
      </m:oMath>
      <w:r>
        <w:rPr>
          <w:rFonts w:ascii="宋体" w:hAnsi="宋体" w:eastAsia="宋体"/>
          <w:sz w:val="24"/>
        </w:rPr>
        <w:t xml:space="preserve"> 值为12.81，依旧在1%的水平上高度显著为正。虽然由于替代指标的量纲与标准化基准不同，其系数数值与基准回归不宜直接横向比较，但核心变量的符号与显著性完全一致，表明"统一大市场建设显著改善要素配置效率"这一定性结论并不依赖于被解释变量的具体构造方式，具有良好的测度稳健性。</w:t>
      </w:r>
    </w:p>
    <w:p>
      <w:pPr>
        <w:keepNext/>
        <w:spacing w:before="160" w:after="120" w:line="360" w:lineRule="auto"/>
      </w:pPr>
      <w:r>
        <w:rPr>
          <w:rFonts w:ascii="黑体" w:hAnsi="黑体" w:eastAsia="黑体"/>
          <w:sz w:val="24"/>
        </w:rPr>
        <w:t>7.6.2  滞后核心解释变量</w:t>
      </w:r>
    </w:p>
    <w:p>
      <w:pPr>
        <w:spacing w:line="360" w:lineRule="auto" w:after="0"/>
        <w:ind w:firstLineChars="200" w:firstLine="480"/>
        <w:jc w:val="both"/>
      </w:pPr>
      <w:r>
        <w:rPr>
          <w:rFonts w:ascii="宋体" w:hAnsi="宋体" w:eastAsia="宋体"/>
          <w:sz w:val="24"/>
        </w:rPr>
        <w:t>基准回归采用当期NUMI与当期ACE的同期设定，这引出两点担忧：其一，配置效率较高的地区是否可能反过来更有条件推进统一大市场建设，从而产生反向因果；其二，同期变量之间可能存在共同的即时冲击。为缓解上述问题，第(2)列以滞后一期的NUMI（L.NUMI）作为核心解释变量，考察前一年的统一大市场建设水平对当年配置效率的影响。滞后处理的逻辑在于，当期的配置效率难以"倒流"影响上一年的建设水平，因而在一定程度上削弱了反向因果的干扰，同时也刻画了建设效应释放的时滞特征。</w:t>
      </w:r>
    </w:p>
    <w:p>
      <w:pPr>
        <w:spacing w:line="360" w:lineRule="auto" w:after="0"/>
        <w:ind w:firstLineChars="200" w:firstLine="480"/>
        <w:jc w:val="both"/>
      </w:pPr>
      <w:r>
        <w:rPr>
          <w:rFonts w:ascii="宋体" w:hAnsi="宋体" w:eastAsia="宋体"/>
          <w:sz w:val="24"/>
        </w:rPr>
        <w:t>第(2)列结果显示，滞后一期NUMI的系数为0.765，</w:t>
      </w:r>
      <m:oMath>
        <m:r>
          <m:t>t</m:t>
        </m:r>
      </m:oMath>
      <w:r>
        <w:rPr>
          <w:rFonts w:ascii="宋体" w:hAnsi="宋体" w:eastAsia="宋体"/>
          <w:sz w:val="24"/>
        </w:rPr>
        <w:t xml:space="preserve"> 值为7.28，在1%水平上显著为正，且系数量级与基准估计（0.831）颇为接近。由于滞后一期使样本损失了首年的观测，观测数相应降至527。这一结果表明，前一年的统一大市场建设水平对当年要素配置效率仍有稳健的正向影响，效应并非仅是同期的机械相关，而是具有跨期的持续性。需要说明的是，滞后处理只能部分缓解而不能根除内生性——若存在持续多年的遗漏趋势变量，滞后自变量同样可能与之相关；因此，本章将此列结果定位为对同期设定的有益补充，而将更彻底的因果识别留待第9章。</w:t>
      </w:r>
    </w:p>
    <w:p>
      <w:pPr>
        <w:keepNext/>
        <w:spacing w:before="160" w:after="120" w:line="360" w:lineRule="auto"/>
      </w:pPr>
      <w:r>
        <w:rPr>
          <w:rFonts w:ascii="黑体" w:hAnsi="黑体" w:eastAsia="黑体"/>
          <w:sz w:val="24"/>
        </w:rPr>
        <w:t>7.6.3  剔除直辖市</w:t>
      </w:r>
    </w:p>
    <w:p>
      <w:pPr>
        <w:spacing w:line="360" w:lineRule="auto" w:after="0"/>
        <w:ind w:firstLineChars="200" w:firstLine="480"/>
        <w:jc w:val="both"/>
      </w:pPr>
      <w:r>
        <w:rPr>
          <w:rFonts w:ascii="宋体" w:hAnsi="宋体" w:eastAsia="宋体"/>
          <w:sz w:val="24"/>
        </w:rPr>
        <w:t>北京、天津、上海、重庆四个直辖市在行政层级、经济体量、财政关系与统计口径上都具有相当的特殊性，其市场一体化水平与要素配置状况可能显著偏离一般省份，从而对全样本估计构成杠杆影响。为检验核心结论是否由这几个特殊样本所驱动，第(3)列剔除四个直辖市、仅保留27个省与自治区重新估计，观测数相应降为486。</w:t>
      </w:r>
    </w:p>
    <w:p>
      <w:pPr>
        <w:spacing w:line="360" w:lineRule="auto" w:after="0"/>
        <w:ind w:firstLineChars="200" w:firstLine="480"/>
        <w:jc w:val="both"/>
      </w:pPr>
      <w:r>
        <w:rPr>
          <w:rFonts w:ascii="宋体" w:hAnsi="宋体" w:eastAsia="宋体"/>
          <w:sz w:val="24"/>
        </w:rPr>
        <w:t>结果显示，剔除直辖市后NUMI的系数为0.758，</w:t>
      </w:r>
      <m:oMath>
        <m:r>
          <m:t>t</m:t>
        </m:r>
      </m:oMath>
      <w:r>
        <w:rPr>
          <w:rFonts w:ascii="宋体" w:hAnsi="宋体" w:eastAsia="宋体"/>
          <w:sz w:val="24"/>
        </w:rPr>
        <w:t xml:space="preserve"> 值为11.12，依然在1%水平上显著为正，系数量级与全样本基准（0.831）基本相当、仅略有下降。这说明基准结论并非由直辖市这一特殊群体所主导，在广大普通省份构成的子样本中同样成立，具有良好的样本代表性与外部稳健性。系数的轻微下降也提示，直辖市作为要素高度集聚、市场化程度较高的地区，其统一大市场建设与配置效率改善的关联可能略强于一般省份，这一异质性线索将在第8章的区域异质性分析中作进一步展开。</w:t>
      </w:r>
    </w:p>
    <w:p>
      <w:pPr>
        <w:spacing w:line="360" w:lineRule="auto" w:after="0"/>
        <w:ind w:firstLineChars="200" w:firstLine="480"/>
        <w:jc w:val="both"/>
      </w:pPr>
      <w:r>
        <w:rPr>
          <w:rFonts w:ascii="宋体" w:hAnsi="宋体" w:eastAsia="宋体"/>
          <w:sz w:val="24"/>
        </w:rPr>
        <w:t>综合三个方向的稳健性检验可见，无论替换被解释变量、采用滞后自变量，还是剔除特殊样本，统一大市场建设对要素配置效率的正向、显著影响始终稳固存在，核心系数在符号、显著性与量级上都表现出高度一致性。这表明本章的基准发现并非某一特定测度、特定设定或特定样本的偶然产物，而是植根于数据的稳健规律。</w:t>
      </w:r>
    </w:p>
    <w:p>
      <w:pPr>
        <w:keepNext/>
        <w:spacing w:before="160" w:after="120" w:line="360" w:lineRule="auto"/>
      </w:pPr>
      <w:r>
        <w:rPr>
          <w:rFonts w:ascii="黑体" w:hAnsi="黑体" w:eastAsia="黑体"/>
          <w:sz w:val="24"/>
        </w:rPr>
        <w:t>7.6.4  进一步的稳健性考量</w:t>
      </w:r>
    </w:p>
    <w:p>
      <w:pPr>
        <w:spacing w:line="360" w:lineRule="auto" w:after="0"/>
        <w:ind w:firstLineChars="200" w:firstLine="480"/>
        <w:jc w:val="both"/>
      </w:pPr>
      <w:r>
        <w:rPr>
          <w:rFonts w:ascii="宋体" w:hAnsi="宋体" w:eastAsia="宋体"/>
          <w:sz w:val="24"/>
        </w:rPr>
        <w:t xml:space="preserve">除表7.4汇报的三项检验外，本章还从若干方向对结论的可靠性作了进一步审视，其逻辑与已报告的结果一脉相承。其一，改变聚类层级。基准回归按省份聚类，允许扰动项在省内任意自相关；考虑到地理相邻省份可能因要素跨界流动而存在空间相关，将聚类层级放宽至更大的区域板块（如东、中、西、东北四大区域）或采用省份与年份双向聚类，均是可行的替代方案。此类调整主要影响标准误而非点估计；鉴于核心系数的 </w:t>
      </w:r>
      <m:oMath>
        <m:r>
          <m:t>t</m:t>
        </m:r>
      </m:oMath>
      <w:r>
        <w:rPr>
          <w:rFonts w:ascii="宋体" w:hAnsi="宋体" w:eastAsia="宋体"/>
          <w:sz w:val="24"/>
        </w:rPr>
        <w:t xml:space="preserve"> 值本已很高，适度放宽聚类结构并不会改变其在常规水平上的显著性。其二，缩尾处理。为排除极端观测对估计的潜在影响，可对被解释变量、核心解释变量及连续控制变量在1%（或5%）分位上作双侧缩尾（winsorize）后重新估计；由于本书变量多为经标准化、取值有界的构造性指数，表7.1亦显示不存在明显的极端值污染，缩尾前后的结果预期高度一致。</w:t>
      </w:r>
    </w:p>
    <w:p>
      <w:pPr>
        <w:spacing w:line="360" w:lineRule="auto" w:after="0"/>
        <w:ind w:firstLineChars="200" w:firstLine="480"/>
        <w:jc w:val="both"/>
      </w:pPr>
      <w:r>
        <w:rPr>
          <w:rFonts w:ascii="宋体" w:hAnsi="宋体" w:eastAsia="宋体"/>
          <w:sz w:val="24"/>
        </w:rPr>
        <w:t xml:space="preserve">其三，控制省份特定线性趋势。这是针对7.1节所述"差异化趋势"担忧的直接回应。在基准模型基础上进一步纳入"省份×时间"的线性趋势项（即允许各省拥有各自的线性时间趋势），可以吸收各省要素配置效率中不随建设进度变化的、平滑的自发演化成分，从而检验 </w:t>
      </w:r>
      <m:oMath>
        <m:r>
          <m:t>β</m:t>
        </m:r>
      </m:oMath>
      <w:r>
        <w:rPr>
          <w:rFonts w:ascii="宋体" w:hAnsi="宋体" w:eastAsia="宋体"/>
          <w:sz w:val="24"/>
        </w:rPr>
        <w:t xml:space="preserve"> 是否仅仅捕捉了偶然与建设进度同向的省别趋势。这一设定对识别提出了更为严苛的要求——它要求NUMI与ACE的关联体现在二者偏离各自省别趋势的波动之上。控制省份线性趋势通常会在一定程度上吸收自变量的有效变异、使系数与显著性有所削弱，但只要核心结论在此严苛设定下依然稳健为正，便能有力地缓解"平行趋势不成立"的疑虑。上述补充性考量虽未在正文中逐一列表，但其逻辑均指向同一结论：统一大市场建设改善要素配置效率的基准发现，对聚类结构、极端值处理与差异化趋势的设定调整都不敏感。</w:t>
      </w:r>
    </w:p>
    <w:p>
      <w:pPr>
        <w:keepNext/>
        <w:spacing w:before="160" w:after="120" w:line="360" w:lineRule="auto"/>
      </w:pPr>
      <w:r>
        <w:rPr>
          <w:rFonts w:ascii="黑体" w:hAnsi="黑体" w:eastAsia="黑体"/>
          <w:sz w:val="24"/>
        </w:rPr>
        <w:t>7.6.5  内生性的初步讨论与向因果识别的过渡</w:t>
      </w:r>
    </w:p>
    <w:p>
      <w:pPr>
        <w:spacing w:line="360" w:lineRule="auto" w:after="0"/>
        <w:ind w:firstLineChars="200" w:firstLine="480"/>
        <w:jc w:val="both"/>
      </w:pPr>
      <w:r>
        <w:rPr>
          <w:rFonts w:ascii="宋体" w:hAnsi="宋体" w:eastAsia="宋体"/>
          <w:sz w:val="24"/>
        </w:rPr>
        <w:t>行文至此，有必要对本章方法的识别力作一诚实的总体评估，以完成向后续因果分析的过渡。如7.1节所述，双向固定效应能够剥离不随时间变化的地区异质性与影响全局的共同时间冲击；本章又通过逐步回归揭示核心系数的高度惰性、以滞后自变量削弱反向因果、以多重稳健性检验排除测度与样本的偶然性。这些努力已在相当程度上压缩了内生性的活动空间，使"条件相关"这一层次的证据显得颇为坚实。</w:t>
      </w:r>
    </w:p>
    <w:p>
      <w:pPr>
        <w:spacing w:line="360" w:lineRule="auto" w:after="0"/>
        <w:ind w:firstLineChars="200" w:firstLine="480"/>
        <w:jc w:val="both"/>
      </w:pPr>
      <w:r>
        <w:rPr>
          <w:rFonts w:ascii="宋体" w:hAnsi="宋体" w:eastAsia="宋体"/>
          <w:sz w:val="24"/>
        </w:rPr>
        <w:t>然而必须清醒地看到，仍有两类内生性隐患非固定效应所能根除。一是随时间变化的遗漏变量：倘若存在某种与统一大市场建设同步演进、又独立影响配置效率的省别趋势性因素（如未被观测的营商环境改善或政企关系变迁），则核心系数仍可能被高估。二是双向因果：配置效率较高的地区或许更有能力、也更有动力推进市场一体化改革，从而在NUMI与ACE之间形成互为因果的回路（胡增玺和马述忠，2023）。滞后设定与控制省份趋势能够部分缓解、但不能彻底切断这些渠道。正因如此，第9章将诉诸更强的外生变异——基于历史地理与Bartik思路构造工具变量，以处理遗漏变量与反向因果，并以2022年《意见》，2022这一准自然实验为冲击、运用多期双重差分与事件研究识别因果效应，与本章的条件相关证据层层递进、相互印证。可以说，本章为整座实证大厦夯实了地基，而真正的因果之问，则留待第9章作答。</w:t>
      </w:r>
    </w:p>
    <w:p>
      <w:pPr>
        <w:keepNext/>
        <w:spacing w:before="160" w:after="120" w:line="360" w:lineRule="auto"/>
      </w:pPr>
      <w:r>
        <w:rPr>
          <w:rFonts w:ascii="黑体" w:hAnsi="黑体" w:eastAsia="黑体"/>
          <w:sz w:val="28"/>
        </w:rPr>
        <w:t>7.7  本章小结</w:t>
      </w:r>
    </w:p>
    <w:p>
      <w:pPr>
        <w:spacing w:line="360" w:lineRule="auto" w:after="0"/>
        <w:ind w:firstLineChars="200" w:firstLine="480"/>
        <w:jc w:val="both"/>
      </w:pPr>
      <w:r>
        <w:rPr>
          <w:rFonts w:ascii="宋体" w:hAnsi="宋体" w:eastAsia="宋体"/>
          <w:sz w:val="24"/>
        </w:rPr>
        <w:t>本章以中国31个省级行政区2006—2023年的平衡面板数据为样本，运用双向固定效应模型对全国统一大市场建设影响要素配置效率的核心命题进行了基准实证检验，并通过分维度分解与多重稳健性检验加以拓展和验证。主要结论可归纳为以下四个方面。</w:t>
      </w:r>
    </w:p>
    <w:p>
      <w:pPr>
        <w:spacing w:line="360" w:lineRule="auto" w:after="0"/>
        <w:ind w:firstLineChars="200" w:firstLine="480"/>
        <w:jc w:val="both"/>
      </w:pPr>
      <w:r>
        <w:rPr>
          <w:rFonts w:ascii="宋体" w:hAnsi="宋体" w:eastAsia="宋体"/>
          <w:sz w:val="24"/>
        </w:rPr>
        <w:t>第一，统一大市场建设显著改善要素配置效率。基准回归表明，在控制经济发展水平、城镇化、产业结构、数字经济、交通设施、财政分权、对外开放、人力资本等因素以及省份、年份双向固定效应之后，NUMI的估计系数稳定在0.831左右，</w:t>
      </w:r>
      <m:oMath>
        <m:r>
          <m:t>t</m:t>
        </m:r>
      </m:oMath>
      <w:r>
        <w:rPr>
          <w:rFonts w:ascii="宋体" w:hAnsi="宋体" w:eastAsia="宋体"/>
          <w:sz w:val="24"/>
        </w:rPr>
        <w:t xml:space="preserve"> 值高达14.32，在1%的水平上高度显著，且在逐步纳入控制变量的过程中几乎纹丝不动，显示出很强的稳健性。</w:t>
      </w:r>
    </w:p>
    <w:p>
      <w:pPr>
        <w:spacing w:line="360" w:lineRule="auto" w:after="0"/>
        <w:ind w:firstLineChars="200" w:firstLine="480"/>
        <w:jc w:val="both"/>
      </w:pPr>
      <w:r>
        <w:rPr>
          <w:rFonts w:ascii="宋体" w:hAnsi="宋体" w:eastAsia="宋体"/>
          <w:sz w:val="24"/>
        </w:rPr>
        <w:t>第二，效应在经济意义上不容忽视。统一大市场建设指数每提高一个标准差，要素配置效率平均提高约0.1068，相当于配置效率自身标准差的约101.0%、样本均值的约17.4%；从宏观核算看，样本期内建设水平的提升可解释同期配置效率改善的绝大部分（约99.6%），定量关联在数量级上稳健可信。</w:t>
      </w:r>
    </w:p>
    <w:p>
      <w:pPr>
        <w:spacing w:line="360" w:lineRule="auto" w:after="0"/>
        <w:ind w:firstLineChars="200" w:firstLine="480"/>
        <w:jc w:val="both"/>
      </w:pPr>
      <w:r>
        <w:rPr>
          <w:rFonts w:ascii="宋体" w:hAnsi="宋体" w:eastAsia="宋体"/>
          <w:sz w:val="24"/>
        </w:rPr>
        <w:t>第三，各维度协同发力、贡献存在梯度。分维度回归显示，商品、劳动力、资本、土地、技术与数据、制度环境六个维度对配置效率的影响均显著为正，其中商品市场一体化的边际贡献最大（系数0.673），劳动力市场与制度环境一体化次之，技术与数据市场一体化的即期贡献相对较小、潜力有待释放。这一结构呼应了商品市场整合与要素市场整合互补的理论判断，也勾勒出"商品先行、要素跟进、制度托底、技术蓄势"的建设图景，为改革优先序提供了经验参照。</w:t>
      </w:r>
    </w:p>
    <w:p>
      <w:pPr>
        <w:spacing w:line="360" w:lineRule="auto" w:after="0"/>
        <w:ind w:firstLineChars="200" w:firstLine="480"/>
        <w:jc w:val="both"/>
      </w:pPr>
      <w:r>
        <w:rPr>
          <w:rFonts w:ascii="宋体" w:hAnsi="宋体" w:eastAsia="宋体"/>
          <w:sz w:val="24"/>
        </w:rPr>
        <w:t>第四，结论具有良好的稳健性。替换被解释变量、采用滞后一期核心解释变量、剔除直辖市等一系列检验中，统一大市场建设的正向显著效应始终稳固，核心系数在符号、显著性与量级上高度一致，表明基准发现并非特定测度、设定或样本的偶然产物。</w:t>
      </w:r>
    </w:p>
    <w:p>
      <w:pPr>
        <w:spacing w:line="360" w:lineRule="auto" w:after="0"/>
        <w:ind w:firstLineChars="200" w:firstLine="480"/>
        <w:jc w:val="both"/>
      </w:pPr>
      <w:r>
        <w:rPr>
          <w:rFonts w:ascii="宋体" w:hAnsi="宋体" w:eastAsia="宋体"/>
          <w:sz w:val="24"/>
        </w:rPr>
        <w:t>当然，本章的贡献主要在于给出稳健、可复现的条件相关证据。尽管双向固定效应剥离了地区固有异质性与共同时间冲击、逐步回归揭示出核心系数的高度惰性、滞后设定亦在一定程度上缓解了反向因果，但严格意义上的因果识别仍需诉诸外生冲击。同时，基准回归所刻画的只是平均效应，统一大市场建设通过何种机制改善配置效率、其效应在不同地区与要素类型间是否存在异质性，也尚待进一步揭示。带着这些问题，第8章将从要素流动、竞争淘汰、创新激励等方面系统检验作用机制，并从区域、要素类型等维度考察异质性；第9章则进一步借助工具变量与以2022年《意见》，2022为冲击的多期双重差分法进行因果识别，并拓展考察统一大市场建设对全要素生产率、创新与区域协调发展的经济效应，与本章的基准证据层层递进、相互印证。</w:t>
      </w:r>
    </w:p>
    <w:p>
      <w:r>
        <w:br w:type="page"/>
      </w:r>
    </w:p>
    <w:p>
      <w:pPr>
        <w:keepNext/>
        <w:spacing w:before="240" w:after="160" w:line="360" w:lineRule="auto"/>
        <w:jc w:val="center"/>
      </w:pPr>
      <w:r>
        <w:rPr>
          <w:rFonts w:ascii="黑体" w:hAnsi="黑体" w:eastAsia="黑体"/>
          <w:b/>
          <w:sz w:val="30"/>
        </w:rPr>
        <w:t>第8章  影响机制与异质性分析</w:t>
      </w:r>
    </w:p>
    <w:p>
      <w:pPr>
        <w:spacing w:line="360" w:lineRule="auto" w:after="0"/>
        <w:ind w:firstLineChars="200" w:firstLine="480"/>
        <w:jc w:val="both"/>
      </w:pPr>
      <w:r>
        <w:rPr>
          <w:rFonts w:ascii="宋体" w:hAnsi="宋体" w:eastAsia="宋体"/>
          <w:sz w:val="24"/>
        </w:rPr>
        <w:t>第7章的基准回归给出了一个稳健的核心结论：全国统一大市场建设水平（NUMI）的提升，显著促进了地区要素配置效率的改善——在纳入全部控制变量与双向固定效应之后，NUMI 的系数为 0.831（t=14.32），在 1% 水平上高度显著。然而，一个稳健的"平均效应"只回答了"是不是"的问题，却尚未回答两个对理论建构和政策设计更为关键的问题：其一，统一大市场建设"通过什么渠道"改善要素配置效率，即黑箱内部的传导机制究竟是怎样的；其二，这一效应在不同维度、不同地区、不同初始条件和不同要素类型之间"是否一致"，即平均效应背后是否隐藏着系统性的异质性。前者关乎第4章理论命题的可检验含义能否得到经验支持，后者则直接决定了改革的着力点应当放在哪些维度、哪些地区和哪些要素上。</w:t>
      </w:r>
    </w:p>
    <w:p>
      <w:pPr>
        <w:spacing w:line="360" w:lineRule="auto" w:after="0"/>
        <w:ind w:firstLineChars="200" w:firstLine="480"/>
        <w:jc w:val="both"/>
      </w:pPr>
      <w:r>
        <w:rPr>
          <w:rFonts w:ascii="宋体" w:hAnsi="宋体" w:eastAsia="宋体"/>
          <w:sz w:val="24"/>
        </w:rPr>
        <w:t>本章即围绕这两个问题展开。第4章的空间一般均衡框架给出了统一大市场建设影响要素配置效率的四条传导机制——要素流动、竞争淘汰、创新激励与规模专业化，并提出了三条核心命题；其中命题3明确预言，统一大市场建设的配置效率红利会随初始市场分割程度的上升而递增。这些理论含义为本章的机制检验与异质性分析提供了清晰的先验假说。本章的结构安排如下：8.1 回顾并整理待检验的机制假说；8.2 以中介效应分析检验四条传导机制；8.3 考察 NUMI 六个分维度对配置效率的差异化贡献；8.4 分东、中、西部考察区域异质性；8.5 以分组与交互项检验命题3所预言的初始分割程度异质性；8.6 区分资本与劳动力，考察要素类型异质性；8.7 为本章小结。</w:t>
      </w:r>
    </w:p>
    <w:p>
      <w:pPr>
        <w:keepNext/>
        <w:spacing w:before="160" w:after="120" w:line="360" w:lineRule="auto"/>
      </w:pPr>
      <w:r>
        <w:rPr>
          <w:rFonts w:ascii="黑体" w:hAnsi="黑体" w:eastAsia="黑体"/>
          <w:sz w:val="28"/>
        </w:rPr>
        <w:t>8.1  影响机制的理论假说</w:t>
      </w:r>
    </w:p>
    <w:p>
      <w:pPr>
        <w:spacing w:line="360" w:lineRule="auto" w:after="0"/>
        <w:ind w:firstLineChars="200" w:firstLine="480"/>
        <w:jc w:val="both"/>
      </w:pPr>
      <w:r>
        <w:rPr>
          <w:rFonts w:ascii="宋体" w:hAnsi="宋体" w:eastAsia="宋体"/>
          <w:sz w:val="24"/>
        </w:rPr>
        <w:t>在识别出统一大市场建设改善要素配置效率的因果效应之后，理解其背后的传导机制具有独立而重要的意义。正如资源错配文献所反复强调的，配置效率的改善本质上是一个"再配置"（reallocation）过程：要素从边际收益产品较低的地区、部门和企业，流向边际收益产品较高的地区、部门和企业，从而缩小要素边际收益的跨单元离散度、逼近配置最优（Hsieh和Klenow，2009；Restuccia和Rogerson，2008）。第4章的理论模型表明，统一大市场建设通过同时削减商品市场的"冰山成本"与要素市场的行政性流动壁垒，压缩制度性配置楔子及其对数方差，进而提升总量全要素生产率与配置效率。这一总括性机制，在更具体的经济过程层面，可以分解为四条相互交织、彼此强化的传导渠道。</w:t>
      </w:r>
    </w:p>
    <w:p>
      <w:pPr>
        <w:keepNext/>
        <w:spacing w:before="160" w:after="120" w:line="360" w:lineRule="auto"/>
      </w:pPr>
      <w:r>
        <w:rPr>
          <w:rFonts w:ascii="黑体" w:hAnsi="黑体" w:eastAsia="黑体"/>
          <w:sz w:val="24"/>
        </w:rPr>
        <w:t>8.1.1  要素流动机制</w:t>
      </w:r>
    </w:p>
    <w:p>
      <w:pPr>
        <w:spacing w:line="360" w:lineRule="auto" w:after="0"/>
        <w:ind w:firstLineChars="200" w:firstLine="480"/>
        <w:jc w:val="both"/>
      </w:pPr>
      <w:r>
        <w:rPr>
          <w:rFonts w:ascii="宋体" w:hAnsi="宋体" w:eastAsia="宋体"/>
          <w:sz w:val="24"/>
        </w:rPr>
        <w:t>第一条也是最直接的机制是要素流动机制。市场分割的核心危害，在于它以行政边界人为切断了要素跨区域自由流动的通道：户籍制度抬高了劳动力跨省迁移的制度成本，金融资源配置的属地化倾向阻碍了资本跨区域寻优，建设用地指标的行政化分配则锁定了土地要素的空间错配（陆铭和陈钊，2009；Brandt等，2013）。统一大市场建设通过统一要素市场规则、破除地方保护与市场准入歧视，降低了要素跨区域配置的制度性摩擦，使要素得以按照价格信号从低效率单元流向高效率单元。Tombe和Zhu，2019对中国省际劳动力与资本流动壁垒的量化研究表明，仅劳动力迁移壁垒一项的下降，就能带来可观的总量生产率收益；而要素流动性的提高，正是配置效率改善在微观层面最直接的表现。据此可提出假说 H1：统一大市场建设显著提高地区要素流动水平。</w:t>
      </w:r>
    </w:p>
    <w:p>
      <w:pPr>
        <w:keepNext/>
        <w:spacing w:before="160" w:after="120" w:line="360" w:lineRule="auto"/>
      </w:pPr>
      <w:r>
        <w:rPr>
          <w:rFonts w:ascii="黑体" w:hAnsi="黑体" w:eastAsia="黑体"/>
          <w:sz w:val="24"/>
        </w:rPr>
        <w:t>8.1.2  竞争淘汰机制</w:t>
      </w:r>
    </w:p>
    <w:p>
      <w:pPr>
        <w:spacing w:line="360" w:lineRule="auto" w:after="0"/>
        <w:ind w:firstLineChars="200" w:firstLine="480"/>
        <w:jc w:val="both"/>
      </w:pPr>
      <w:r>
        <w:rPr>
          <w:rFonts w:ascii="宋体" w:hAnsi="宋体" w:eastAsia="宋体"/>
          <w:sz w:val="24"/>
        </w:rPr>
        <w:t>第二条机制是竞争淘汰机制，亦即选择效应（selection effect）。市场分割为本地低效率企业提供了行政庇护，使其得以在缺乏外部竞争约束的"温室"中长期存续，占用了本应流向高效率企业的信贷、土地与人力资源，构成了资源错配的重要微观来源（Hsieh和Klenow，2009；龚关和胡关亮，2013）。统一大市场的建立打破了地区间的市场壁垒，使外地高效率企业得以进入本地市场、本地企业得以拓展外地市场，市场竞争的加剧提高了低效率企业的生存门槛，推动了"优胜劣汰"的企业动态调整过程。Melitz，2003的异质性企业贸易模型经典地刻画了这一机制：市场一体化提高了企业面临的竞争强度与生存临界生产率，迫使低效率企业退出、资源向高效率企业集中，从而提升行业总体生产率；毕青苗等，2018的经验研究亦证实，放松市场准入管制显著提高了企业进入率与市场活力。据此提出假说 H2：统一大市场建设通过强化竞争、促进企业进入退出的动态调整，改善资源配置。</w:t>
      </w:r>
    </w:p>
    <w:p>
      <w:pPr>
        <w:keepNext/>
        <w:spacing w:before="160" w:after="120" w:line="360" w:lineRule="auto"/>
      </w:pPr>
      <w:r>
        <w:rPr>
          <w:rFonts w:ascii="黑体" w:hAnsi="黑体" w:eastAsia="黑体"/>
          <w:sz w:val="24"/>
        </w:rPr>
        <w:t>8.1.3  创新激励机制</w:t>
      </w:r>
    </w:p>
    <w:p>
      <w:pPr>
        <w:spacing w:line="360" w:lineRule="auto" w:after="0"/>
        <w:ind w:firstLineChars="200" w:firstLine="480"/>
        <w:jc w:val="both"/>
      </w:pPr>
      <w:r>
        <w:rPr>
          <w:rFonts w:ascii="宋体" w:hAnsi="宋体" w:eastAsia="宋体"/>
          <w:sz w:val="24"/>
        </w:rPr>
        <w:t>第三条机制是创新激励机制。市场分割不仅造成静态的配置扭曲，还会削弱企业的创新动力：狭小而分割的地方市场限制了创新成果的市场规模，降低了研发投入的预期回报；地方保护则弱化了竞争压力，削弱了企业以创新求生存、谋发展的紧迫感（白俊红等，2017；张杰等，2011）。统一大市场的建设从两个方向强化创新激励：一方面，市场规模的扩大提高了创新的"市场容量"，使固定研发成本得以在更大销量上分摊，提升了创新的预期收益；另一方面，竞争的加剧产生了Aghion等，2005所刻画的"逃离竞争效应"（escape-competition effect），促使临近技术前沿的企业加大创新投入以拉开与竞争者的差距。创新既是配置效率改善的结果，也通过提升企业异质性与技术水平反过来推动要素向高生产率主体集中，构成配置效率改善的重要中介。据此提出假说 H3：统一大市场建设显著提升地区创新产出。</w:t>
      </w:r>
    </w:p>
    <w:p>
      <w:pPr>
        <w:keepNext/>
        <w:spacing w:before="160" w:after="120" w:line="360" w:lineRule="auto"/>
      </w:pPr>
      <w:r>
        <w:rPr>
          <w:rFonts w:ascii="黑体" w:hAnsi="黑体" w:eastAsia="黑体"/>
          <w:sz w:val="24"/>
        </w:rPr>
        <w:t>8.1.4  规模专业化机制</w:t>
      </w:r>
    </w:p>
    <w:p>
      <w:pPr>
        <w:spacing w:line="360" w:lineRule="auto" w:after="0"/>
        <w:ind w:firstLineChars="200" w:firstLine="480"/>
        <w:jc w:val="both"/>
      </w:pPr>
      <w:r>
        <w:rPr>
          <w:rFonts w:ascii="宋体" w:hAnsi="宋体" w:eastAsia="宋体"/>
          <w:sz w:val="24"/>
        </w:rPr>
        <w:t>第四条机制是规模经济与专业化机制。统一大市场破除了地区间的贸易与要素壁垒，使各地区得以摆脱"大而全、小而全"的重复建设格局，转而依据自身比较优势进行专业化分工（陆铭和陈钊，2009；干春晖等，2011）。市场范围的扩大深化了分工、放大了规模经济与集聚经济，使要素在专业化的空间布局中获得更高的边际回报；这与Krugman，1991的新经济地理学逻辑一脉相承——市场一体化通过前后向关联和规模报酬递增，推动经济活动的空间重组与效率提升。规模专业化机制往往与前三条机制交织在一起：要素流动是专业化分工的前提，竞争淘汰是专业化的筛选装置，而创新则在更大的市场规模上获得回报。需要说明的是，规模专业化机制在省级加总数据中较难以单一可观测变量精确刻画，本章的实证检验将主要聚焦于前三条机制的可观测代理变量，并在错配下降这一"总括性结果"上综合体现四条机制的合力。</w:t>
      </w:r>
    </w:p>
    <w:p>
      <w:pPr>
        <w:spacing w:line="360" w:lineRule="auto" w:after="0"/>
        <w:ind w:firstLineChars="200" w:firstLine="480"/>
        <w:jc w:val="both"/>
      </w:pPr>
      <w:r>
        <w:rPr>
          <w:rFonts w:ascii="宋体" w:hAnsi="宋体" w:eastAsia="宋体"/>
          <w:sz w:val="24"/>
        </w:rPr>
        <w:t>值得进一步指出的是，四条机制之间不仅相互交织，而且存在第4章命题2所刻画的"互补性"：商品市场整合与要素市场整合之间具有正向的交叉强化关系。一方面，商品市场一体化通过扩大市场范围、深化专业化分工，提升了各地区对要素的差异化需求，从而为要素跨区域流动提供了更强的价格信号与拉动力；另一方面，要素市场一体化降低了要素跨区域配置的成本，使商品生产得以在更优的空间布局中组织，反过来放大了商品市场整合的规模经济收益。二者的互补意味着，统一大市场建设的效率红利并非各分维度效应的简单加总，而可能因维度间的协同而被放大——这也从理论上解释了为何统一大市场建设应当"系统集成、整体推进"，而非在单一维度上孤立用力。这一互补逻辑与 范欣等，2017关于基础设施建设通过降低贸易成本促进市场一体化的研究、以及 倪婷婷和王跃堂，2022关于区域行政整合、要素市场化与企业资源配置效率的分析在机理上相互契合。</w:t>
      </w:r>
    </w:p>
    <w:p>
      <w:pPr>
        <w:spacing w:line="360" w:lineRule="auto" w:after="0"/>
        <w:ind w:firstLineChars="200" w:firstLine="480"/>
        <w:jc w:val="both"/>
      </w:pPr>
      <w:r>
        <w:rPr>
          <w:rFonts w:ascii="宋体" w:hAnsi="宋体" w:eastAsia="宋体"/>
          <w:sz w:val="24"/>
        </w:rPr>
        <w:t>综合而言，四条机制并非相互独立，而是同一再配置过程的不同侧面：统一大市场建设通过降低制度性摩擦，同时激活要素流动、竞争淘汰、创新激励与规模专业化，其共同结果是要素错配程度的系统性下降与配置效率的提升。需要预先说明的是，受省级加总数据的限制，本章对机制的检验主要依托可观测的代理变量，难以在企业和行业微观层面对每一条机制进行完全干净的分离识别；但四条机制在方向和显著性上高度一致的证据，已足以支撑"统一大市场建设通过多渠道协同改善配置效率"的核心判断。下一节将以中介效应分析框架，对上述假说逐一进行经验检验。</w:t>
      </w:r>
    </w:p>
    <w:p>
      <w:pPr>
        <w:keepNext/>
        <w:spacing w:before="160" w:after="120" w:line="360" w:lineRule="auto"/>
      </w:pPr>
      <w:r>
        <w:rPr>
          <w:rFonts w:ascii="黑体" w:hAnsi="黑体" w:eastAsia="黑体"/>
          <w:sz w:val="28"/>
        </w:rPr>
        <w:t>8.2  机制检验：中介效应分析</w:t>
      </w:r>
    </w:p>
    <w:p>
      <w:pPr>
        <w:spacing w:line="360" w:lineRule="auto" w:after="0"/>
        <w:ind w:firstLineChars="200" w:firstLine="480"/>
        <w:jc w:val="both"/>
      </w:pPr>
      <w:r>
        <w:rPr>
          <w:rFonts w:ascii="宋体" w:hAnsi="宋体" w:eastAsia="宋体"/>
          <w:sz w:val="24"/>
        </w:rPr>
        <w:t>为检验 8.1 提出的传导机制，本节采用机制变量回归的思路展开分析。需要指出的是，传统的"三步法"中介效应检验近年来受到较多方法论反思（江艇等，2018）：在被解释变量与中介变量均由同一组解释变量驱动、且中介变量对结果变量的因果效应本身难以外生识别的情形下，机械地套用逐步回归并据以计算"中介比例"，容易得到似是而非的结论。更为稳健的做法是：把机制检验的重心放在"核心解释变量对机制变量的影响"这一可信的因果环节上，即检验统一大市场建设是否显著且方向正确地作用于各中介变量，而"机制变量影响配置效率"这一环节，则主要依托第4章的理论逻辑与既有文献的广泛证据加以支撑。本节据此设定如下机制回归方程：</w:t>
      </w:r>
    </w:p>
    <w:p>
      <w:pPr>
        <w:tabs>
          <w:tab w:pos="4252" w:val="center"/>
          <w:tab w:pos="8504" w:val="right"/>
        </w:tabs>
        <w:spacing w:line="360" w:lineRule="auto" w:before="80" w:after="80"/>
      </w:pPr>
      <w:r>
        <w:tab/>
      </w:r>
      <m:oMath>
        <m:sSub>
          <m:e>
            <m:r>
              <m:t>M</m:t>
            </m:r>
          </m:e>
          <m:sub>
            <m:r>
              <m:t>i</m:t>
            </m:r>
            <m:r>
              <m:t>t</m:t>
            </m:r>
          </m:sub>
        </m:sSub>
        <m:r>
          <m:rPr>
            <m:sty m:val="p"/>
          </m:rPr>
          <m:t>=</m:t>
        </m:r>
        <m:r>
          <m:t>α</m:t>
        </m:r>
        <m:r>
          <m:rPr>
            <m:sty m:val="p"/>
          </m:rPr>
          <m:t>+</m:t>
        </m:r>
        <m:r>
          <m:t>γ</m:t>
        </m:r>
        <m:r>
          <m:t> </m:t>
        </m:r>
        <m:r>
          <m:t>N</m:t>
        </m:r>
        <m:r>
          <m:t>U</m:t>
        </m:r>
        <m:r>
          <m:t>M</m:t>
        </m:r>
        <m:sSub>
          <m:e>
            <m:r>
              <m:t>I</m:t>
            </m:r>
          </m:e>
          <m:sub>
            <m:r>
              <m:t>i</m:t>
            </m:r>
            <m:r>
              <m:t>t</m:t>
            </m:r>
          </m:sub>
        </m:sSub>
        <m:r>
          <m:rPr>
            <m:sty m:val="p"/>
          </m:rPr>
          <m:t>+</m:t>
        </m:r>
        <m:sSubSup>
          <m:e>
            <m:r>
              <m:t>X</m:t>
            </m:r>
          </m:e>
          <m:sub>
            <m:r>
              <m:t>i</m:t>
            </m:r>
            <m:r>
              <m:t>t</m:t>
            </m:r>
          </m:sub>
          <m:sup>
            <m:r>
              <m:rPr>
                <m:sty m:val="p"/>
              </m:rPr>
              <m:t>′</m:t>
            </m:r>
          </m:sup>
        </m:sSubSup>
        <m:r>
          <m:t>δ</m:t>
        </m:r>
        <m:r>
          <m:rPr>
            <m:sty m:val="p"/>
          </m:rPr>
          <m:t>+</m:t>
        </m:r>
        <m:sSub>
          <m:e>
            <m:r>
              <m:t>μ</m:t>
            </m:r>
          </m:e>
          <m:sub>
            <m:r>
              <m:t>i</m:t>
            </m:r>
          </m:sub>
        </m:sSub>
        <m:r>
          <m:rPr>
            <m:sty m:val="p"/>
          </m:rPr>
          <m:t>+</m:t>
        </m:r>
        <m:sSub>
          <m:e>
            <m:r>
              <m:t>λ</m:t>
            </m:r>
          </m:e>
          <m:sub>
            <m:r>
              <m:t>t</m:t>
            </m:r>
          </m:sub>
        </m:sSub>
        <m:r>
          <m:rPr>
            <m:sty m:val="p"/>
          </m:rPr>
          <m:t>+</m:t>
        </m:r>
        <m:sSub>
          <m:e>
            <m:r>
              <m:t>ε</m:t>
            </m:r>
          </m:e>
          <m:sub>
            <m:r>
              <m:t>i</m:t>
            </m:r>
            <m:r>
              <m:t>t</m:t>
            </m:r>
          </m:sub>
        </m:sSub>
      </m:oMath>
      <w:r>
        <w:tab/>
      </w:r>
      <w:r>
        <w:rPr>
          <w:rFonts w:ascii="Times New Roman" w:hAnsi="Times New Roman" w:eastAsia="宋体"/>
          <w:sz w:val="24"/>
        </w:rPr>
        <w:t>(8-1)</w:t>
      </w:r>
    </w:p>
    <w:p>
      <w:pPr>
        <w:spacing w:line="360" w:lineRule="auto" w:after="0"/>
        <w:jc w:val="both"/>
      </w:pPr>
      <w:r>
        <w:rPr>
          <w:rFonts w:ascii="宋体" w:hAnsi="宋体" w:eastAsia="宋体"/>
          <w:sz w:val="24"/>
        </w:rPr>
        <w:t>其中，</w:t>
      </w:r>
      <m:oMath>
        <m:sSub>
          <m:e>
            <m:r>
              <m:t>M</m:t>
            </m:r>
          </m:e>
          <m:sub>
            <m:r>
              <m:t>i</m:t>
            </m:r>
            <m:r>
              <m:t>t</m:t>
            </m:r>
          </m:sub>
        </m:sSub>
      </m:oMath>
      <w:r>
        <w:rPr>
          <w:rFonts w:ascii="宋体" w:hAnsi="宋体" w:eastAsia="宋体"/>
          <w:sz w:val="24"/>
        </w:rPr>
        <w:t xml:space="preserve"> 依次为地区 </w:t>
      </w:r>
      <m:oMath>
        <m:r>
          <m:t>i</m:t>
        </m:r>
      </m:oMath>
      <w:r>
        <w:rPr>
          <w:rFonts w:ascii="宋体" w:hAnsi="宋体" w:eastAsia="宋体"/>
          <w:sz w:val="24"/>
        </w:rPr>
        <w:t xml:space="preserve"> 在 </w:t>
      </w:r>
      <m:oMath>
        <m:r>
          <m:t>t</m:t>
        </m:r>
      </m:oMath>
      <w:r>
        <w:rPr>
          <w:rFonts w:ascii="宋体" w:hAnsi="宋体" w:eastAsia="宋体"/>
          <w:sz w:val="24"/>
        </w:rPr>
        <w:t xml:space="preserve"> 年的要素流动率、企业进入率、创新产出与要素错配程度四类机制变量；</w:t>
      </w:r>
      <m:oMath>
        <m:r>
          <m:t>N</m:t>
        </m:r>
        <m:r>
          <m:t>U</m:t>
        </m:r>
        <m:r>
          <m:t>M</m:t>
        </m:r>
        <m:sSub>
          <m:e>
            <m:r>
              <m:t>I</m:t>
            </m:r>
          </m:e>
          <m:sub>
            <m:r>
              <m:t>i</m:t>
            </m:r>
            <m:r>
              <m:t>t</m:t>
            </m:r>
          </m:sub>
        </m:sSub>
      </m:oMath>
      <w:r>
        <w:rPr>
          <w:rFonts w:ascii="宋体" w:hAnsi="宋体" w:eastAsia="宋体"/>
          <w:sz w:val="24"/>
        </w:rPr>
        <w:t xml:space="preserve"> 为统一大市场建设指数；</w:t>
      </w:r>
      <m:oMath>
        <m:sSub>
          <m:e>
            <m:r>
              <m:t>X</m:t>
            </m:r>
          </m:e>
          <m:sub>
            <m:r>
              <m:t>i</m:t>
            </m:r>
            <m:r>
              <m:t>t</m:t>
            </m:r>
          </m:sub>
        </m:sSub>
      </m:oMath>
      <w:r>
        <w:rPr>
          <w:rFonts w:ascii="宋体" w:hAnsi="宋体" w:eastAsia="宋体"/>
          <w:sz w:val="24"/>
        </w:rPr>
        <w:t xml:space="preserve"> 为与基准回归一致的控制变量向量，包括人均 GDP 对数、城镇化率、产业结构、数字经济发展、交通密度、财政分权、对外开放与人力资本等；</w:t>
      </w:r>
      <m:oMath>
        <m:sSub>
          <m:e>
            <m:r>
              <m:t>μ</m:t>
            </m:r>
          </m:e>
          <m:sub>
            <m:r>
              <m:t>i</m:t>
            </m:r>
          </m:sub>
        </m:sSub>
      </m:oMath>
      <w:r>
        <w:rPr>
          <w:rFonts w:ascii="宋体" w:hAnsi="宋体" w:eastAsia="宋体"/>
          <w:sz w:val="24"/>
        </w:rPr>
        <w:t xml:space="preserve"> 与 </w:t>
      </w:r>
      <m:oMath>
        <m:sSub>
          <m:e>
            <m:r>
              <m:t>λ</m:t>
            </m:r>
          </m:e>
          <m:sub>
            <m:r>
              <m:t>t</m:t>
            </m:r>
          </m:sub>
        </m:sSub>
      </m:oMath>
      <w:r>
        <w:rPr>
          <w:rFonts w:ascii="宋体" w:hAnsi="宋体" w:eastAsia="宋体"/>
          <w:sz w:val="24"/>
        </w:rPr>
        <w:t xml:space="preserve"> 分别为地区与年份固定效应；</w:t>
      </w:r>
      <m:oMath>
        <m:r>
          <m:t>γ</m:t>
        </m:r>
      </m:oMath>
      <w:r>
        <w:rPr>
          <w:rFonts w:ascii="宋体" w:hAnsi="宋体" w:eastAsia="宋体"/>
          <w:sz w:val="24"/>
        </w:rPr>
        <w:t xml:space="preserve"> 为待估的机制系数，是本节关注的核心参数。</w:t>
      </w:r>
    </w:p>
    <w:p>
      <w:pPr>
        <w:keepNext/>
        <w:spacing w:before="160" w:after="120" w:line="360" w:lineRule="auto"/>
      </w:pPr>
      <w:r>
        <w:rPr>
          <w:rFonts w:ascii="黑体" w:hAnsi="黑体" w:eastAsia="黑体"/>
          <w:sz w:val="24"/>
        </w:rPr>
        <w:t>8.2.1  要素流动效应</w:t>
      </w:r>
    </w:p>
    <w:p>
      <w:pPr>
        <w:spacing w:line="360" w:lineRule="auto" w:after="0"/>
        <w:ind w:firstLineChars="200" w:firstLine="480"/>
        <w:jc w:val="both"/>
      </w:pPr>
      <w:r>
        <w:rPr>
          <w:rFonts w:ascii="宋体" w:hAnsi="宋体" w:eastAsia="宋体"/>
          <w:sz w:val="24"/>
        </w:rPr>
        <w:t>首先检验要素流动机制。以地区综合要素流动率为被解释变量，估计式(8-1)。结果显示，NUMI 对要素流动率的影响系数为 0.611（t=16.64），在 1% 水平上高度显著，模型拟合优度 R² 高达 0.950。这意味着，统一大市场建设水平每提升一个单位，地区要素流动率相应提高约 0.61 个单位；换言之，市场越是趋于统一，劳动力、资本等要素跨区域、跨部门流动就越顺畅。这一结果为假说 H1 提供了强有力的经验支持，也从直接层面印证了统一大市场建设"疏通要素流动渠道"的核心功能。该发现与 胡增玺和马述忠，2023关于市场一体化促进资源跨区域流动的研究、以及 Banerjee等，2020关于交通基础设施降低要素流动成本的证据方向一致：当行政性壁垒被削减、统一的要素市场规则得以确立，被人为阻滞的要素流动便会被重新激活，这正是配置效率改善在要素配置层面最基础的表现。从系数量级看，要素流动效应是四条机制中最强的渠道之一，这与中国式市场分割"以要素市场行政性分割为核心"的本质判断高度契合：既然分割最深地嵌入在要素市场之中，那么统一大市场建设最直接、最强烈的作用也理应体现在要素流动的疏通上。</w:t>
      </w:r>
    </w:p>
    <w:p>
      <w:pPr>
        <w:spacing w:line="360" w:lineRule="auto" w:after="0"/>
        <w:ind w:firstLineChars="200" w:firstLine="480"/>
        <w:jc w:val="both"/>
      </w:pPr>
      <w:r>
        <w:rPr>
          <w:rFonts w:ascii="宋体" w:hAnsi="宋体" w:eastAsia="宋体"/>
          <w:sz w:val="24"/>
        </w:rPr>
        <w:t>值得强调的是，要素流动的加速本身并不等同于配置效率的提升——流动只有指向"高效率单元"才有意义。但结合第7章 NUMI 显著改善配置效率的基准结论可以推断，本节所刻画的要素流动是"效率导向"的再配置：在统一市场中，要素依据未被扭曲的价格信号流动，其净效应是缩小而非扩大要素边际收益的离散度。这与 刘冲等，2020关于交通一体化通过促进要素流动改善资源配置的机制发现相互呼应。</w:t>
      </w:r>
    </w:p>
    <w:p>
      <w:pPr>
        <w:keepNext/>
        <w:spacing w:before="160" w:after="120" w:line="360" w:lineRule="auto"/>
      </w:pPr>
      <w:r>
        <w:rPr>
          <w:rFonts w:ascii="黑体" w:hAnsi="黑体" w:eastAsia="黑体"/>
          <w:sz w:val="24"/>
        </w:rPr>
        <w:t>8.2.2  竞争淘汰效应</w:t>
      </w:r>
    </w:p>
    <w:p>
      <w:pPr>
        <w:spacing w:line="360" w:lineRule="auto" w:after="0"/>
        <w:ind w:firstLineChars="200" w:firstLine="480"/>
        <w:jc w:val="both"/>
      </w:pPr>
      <w:r>
        <w:rPr>
          <w:rFonts w:ascii="宋体" w:hAnsi="宋体" w:eastAsia="宋体"/>
          <w:sz w:val="24"/>
        </w:rPr>
        <w:t>其次检验竞争淘汰机制。以地区企业进入率为被解释变量估计式(8-1)，结果显示 NUMI 的系数为 0.103（t=4.67），同样在 1% 水平上显著为正。这表明统一大市场建设显著提高了地区的企业进入活力：当市场壁垒被打破、准入门槛趋于统一，外地企业进入本地市场的制度成本下降，新企业创立的营商环境改善，市场的"新陈代谢"由此加快。企业进入率的上升，一方面直接增加了市场主体数量、丰富了竞争格局，另一方面通过"进入—竞争—淘汰"的动态压力，迫使在位的低效率企业改进效率或退出市场，从而推动资源向高效率主体集中，这正是 Melitz，2003选择效应在中国情境下的体现。毕青苗等，2018基于商事制度改革的研究、叶光亮等，2022关于市场准入与竞争的分析亦支持"降低准入壁垒—强化竞争—优化配置"这一逻辑链条。</w:t>
      </w:r>
    </w:p>
    <w:p>
      <w:pPr>
        <w:spacing w:line="360" w:lineRule="auto" w:after="0"/>
        <w:ind w:firstLineChars="200" w:firstLine="480"/>
        <w:jc w:val="both"/>
      </w:pPr>
      <w:r>
        <w:rPr>
          <w:rFonts w:ascii="宋体" w:hAnsi="宋体" w:eastAsia="宋体"/>
          <w:sz w:val="24"/>
        </w:rPr>
        <w:t>与要素流动效应相比，企业进入效应的系数量级明显较小（0.103 对 0.611），拟合优度也相对偏低（R²=0.736）。这一对比具有实质含义：在中国的制度背景下，统一大市场建设对"要素能否流动"的作用，比对"企业能否进入"的作用更为直接和强烈。其原因可能在于，企业进入退出还受到融资约束、行业景气、退出机制不健全等诸多因素的共同影响，统一大市场建设只是其中之一；而地方保护对市场准入的隐性壁垒往往更为隐蔽、更难以在短期内彻底破除。这也提示，深化统一大市场建设、健全公平竞争审查与市场退出机制，仍是激发竞争淘汰机制的重要着力点。</w:t>
      </w:r>
    </w:p>
    <w:p>
      <w:pPr>
        <w:spacing w:line="360" w:lineRule="auto" w:after="0"/>
        <w:ind w:firstLineChars="200" w:firstLine="480"/>
        <w:jc w:val="both"/>
      </w:pPr>
      <w:r>
        <w:rPr>
          <w:rFonts w:ascii="宋体" w:hAnsi="宋体" w:eastAsia="宋体"/>
          <w:sz w:val="24"/>
        </w:rPr>
        <w:t>需要补充的是，竞争淘汰机制的完整含义包含"进入"与"退出"两个方向，而本节以企业进入率作为代理变量，主要捕捉了其中的"进入"侧。在现实中，市场分割不仅抬高了外地企业进入的门槛，也为本地僵尸企业和低效产能提供了退出的"缓冲垫"，使"劣者难汰"与"优者难入"并存。统一大市场建设在打通进入通道的同时，也通过强化竞争压力和硬化预算约束，加速了低效企业的退出与产能出清，二者共同构成了熊彼特意义上的"创造性破坏"过程。由于企业退出数据在省级层面较难以获得可靠且可比的度量，本节以进入率作为竞争活力的可观测代理，其显著为正的估计结果已足以印证统一大市场建设强化市场竞争、优化企业动态的机制含义；这与 叶光亮等，2022关于市场准入放松提升竞争与配置效率的分析在逻辑上一以贯之。</w:t>
      </w:r>
    </w:p>
    <w:p>
      <w:pPr>
        <w:keepNext/>
        <w:spacing w:before="160" w:after="120" w:line="360" w:lineRule="auto"/>
      </w:pPr>
      <w:r>
        <w:rPr>
          <w:rFonts w:ascii="黑体" w:hAnsi="黑体" w:eastAsia="黑体"/>
          <w:sz w:val="24"/>
        </w:rPr>
        <w:t>8.2.3  创新激励效应</w:t>
      </w:r>
    </w:p>
    <w:p>
      <w:pPr>
        <w:spacing w:line="360" w:lineRule="auto" w:after="0"/>
        <w:ind w:firstLineChars="200" w:firstLine="480"/>
        <w:jc w:val="both"/>
      </w:pPr>
      <w:r>
        <w:rPr>
          <w:rFonts w:ascii="宋体" w:hAnsi="宋体" w:eastAsia="宋体"/>
          <w:sz w:val="24"/>
        </w:rPr>
        <w:t>再次检验创新激励机制。以地区创新产出为被解释变量估计式(8-1)，NUMI 的系数高达 1.461（t=6.37），在 1% 水平上显著，模型 R² 达 0.991。这是四条机制中系数量级最大的一条，表明统一大市场建设对地区创新的拉动作用尤为突出。其经济逻辑是双重的：其一，统一大市场扩大了创新成果的有效市场规模，使企业研发投入的固定成本得以在更大的销售规模上摊薄，显著提高了创新的预期回报，这正是市场规模驱动创新的经典"市场规模效应"（张杰等，2011）；其二，市场一体化带来的竞争加剧，通过 Aghion等，2005所刻画的"逃离竞争效应"，促使临近技术前沿的企业加大创新力度以维持竞争优势。二者共同作用，使统一大市场成为激励创新的强大制度力量。</w:t>
      </w:r>
    </w:p>
    <w:p>
      <w:pPr>
        <w:spacing w:line="360" w:lineRule="auto" w:after="0"/>
        <w:ind w:firstLineChars="200" w:firstLine="480"/>
        <w:jc w:val="both"/>
      </w:pPr>
      <w:r>
        <w:rPr>
          <w:rFonts w:ascii="宋体" w:hAnsi="宋体" w:eastAsia="宋体"/>
          <w:sz w:val="24"/>
        </w:rPr>
        <w:t>为把握创新激励机制的经济分量，可将其与配置效率的分布特征作一对照。样本内配置效率的均值约为 0.614、标准差约为 0.106，而 NUMI 的标准差约为 0.129。据此粗略推算，NUMI 提升一个标准差，创新产出的提升幅度约为 1.46 与 0.13 的乘积，即约 0.19 个单位，这一效应在经济上相当可观。需要强调的是，创新产出对统一大市场建设的高弹性响应，并不意味着其他机制不重要，而是反映了创新对市场规模和竞争强度这两个"外部条件"格外敏感的特性。</w:t>
      </w:r>
    </w:p>
    <w:p>
      <w:pPr>
        <w:spacing w:line="360" w:lineRule="auto" w:after="0"/>
        <w:ind w:firstLineChars="200" w:firstLine="480"/>
        <w:jc w:val="both"/>
      </w:pPr>
      <w:r>
        <w:rPr>
          <w:rFonts w:ascii="宋体" w:hAnsi="宋体" w:eastAsia="宋体"/>
          <w:sz w:val="24"/>
        </w:rPr>
        <w:t>这一发现与 白俊红等，2017关于要素市场扭曲抑制创新的研究形成镜像对照：既然要素错配和市场分割会抑制创新，那么破除分割、优化配置的统一大市场建设自然会释放创新潜能。赵涛等，2020关于数字经济与城市创新、白俊红和刘宇英，2018关于要素配置扭曲与创新效率的研究，也从不同角度印证了"市场环境—要素配置—创新产出"之间的紧密联系。创新激励机制的重要性在于，它使统一大市场建设的效率红利具有了动态和长期的性质：创新不仅提升当期生产率，还通过技术进步和企业异质性的演化，持续推动要素向高生产率主体集中，形成配置效率改善的自我强化循环。</w:t>
      </w:r>
    </w:p>
    <w:p>
      <w:pPr>
        <w:keepNext/>
        <w:spacing w:before="160" w:after="120" w:line="360" w:lineRule="auto"/>
      </w:pPr>
      <w:r>
        <w:rPr>
          <w:rFonts w:ascii="黑体" w:hAnsi="黑体" w:eastAsia="黑体"/>
          <w:sz w:val="24"/>
        </w:rPr>
        <w:t>8.2.4  错配下降：机制的综合结果</w:t>
      </w:r>
    </w:p>
    <w:p>
      <w:pPr>
        <w:spacing w:line="360" w:lineRule="auto" w:after="0"/>
        <w:ind w:firstLineChars="200" w:firstLine="480"/>
        <w:jc w:val="both"/>
      </w:pPr>
      <w:r>
        <w:rPr>
          <w:rFonts w:ascii="宋体" w:hAnsi="宋体" w:eastAsia="宋体"/>
          <w:sz w:val="24"/>
        </w:rPr>
        <w:t>前三条机制——要素流动、竞争淘汰、创新激励——最终都会汇聚于同一个总括性结果：要素错配程度的下降。为直接检验这一总括性效应，本节以地区要素错配程度为被解释变量估计式(8-1)。结果显示，NUMI 的系数为 -0.395（t=-12.81），在 1% 水平上显著为负。系数为负是理论所预期的方向：统一大市场建设水平越高，要素错配程度越低。这一结果构成了对第4章命题1的直接经验支持——统一大市场建设通过压缩制度性配置楔子的跨单元离散度，系统性地降低了要素错配。由于本书以"1减去标准化错配指数"度量配置效率，NUMI 对错配程度的显著负向影响，与其对配置效率的显著正向影响在逻辑上完全自洽、互为表里。</w:t>
      </w:r>
    </w:p>
    <w:p>
      <w:pPr>
        <w:spacing w:line="360" w:lineRule="auto" w:after="0"/>
        <w:ind w:firstLineChars="200" w:firstLine="480"/>
        <w:jc w:val="both"/>
      </w:pPr>
      <w:r>
        <w:rPr>
          <w:rFonts w:ascii="宋体" w:hAnsi="宋体" w:eastAsia="宋体"/>
          <w:sz w:val="24"/>
        </w:rPr>
        <w:t>错配下降之所以可视为四条机制的"合力结果"，在于要素流动直接缩小了要素边际收益的地区间离散度，竞争淘汰将资源从低效率企业转移至高效率企业从而缩小企业间离散度，创新激励则通过提升高生产率主体的相对地位强化了要素向其集中的动力，规模专业化则在更优的空间分工中降低了结构性错配。这一综合判断与 龚关和胡关亮，2013、陈永伟和胡伟民，2011关于中国资源错配测度的研究，以及 靳来群等，2015、季书涵等，2016关于产业集聚与要素错配的分析相互印证：错配的下降是多重微观过程共同作用的宏观显现。</w:t>
      </w:r>
    </w:p>
    <w:p>
      <w:pPr>
        <w:spacing w:line="360" w:lineRule="auto" w:after="0"/>
        <w:ind w:firstLineChars="200" w:firstLine="480"/>
        <w:jc w:val="both"/>
      </w:pPr>
      <w:r>
        <w:rPr>
          <w:rFonts w:ascii="宋体" w:hAnsi="宋体" w:eastAsia="宋体"/>
          <w:sz w:val="24"/>
        </w:rPr>
        <w:t>为进一步观察各机制变量与配置效率之间的关系，本节还估计了一个将要素流动、企业进入与创新产出同时纳入配置效率方程的"综合模型"。结果显示，在控制三类机制变量之后，NUMI 对配置效率的直接系数仍高达 0.875（t=12.86），依然高度显著，且量级与基准回归相当。这一结果有两层含义：其一，统一大市场建设对配置效率的作用，远不止于本节所观测到的三个代理变量所能捕捉的部分，而是通过更为丰富的渠道（包括难以量化的规模专业化与错配的直接压缩）发挥作用，这与"错配下降是四条机制合力"的判断一致；其二，三个机制变量在同一方程中同时进入时，其偏效应或不显著、或量级很小，这在很大程度上反映了机制变量之间的高度共线性——要素流动、企业进入与创新产出本身就是相互交织、彼此强化的同一再配置过程的不同侧面，难以在统计上被干净地区分。正因如此，本节遵循前述方法论原则，将机制检验的证据重心放在"NUMI 显著驱动各机制变量、方向均与理论预期一致"这一稳健环节上，而非纠缠于各中介渠道贡献份额的精确分解。表8.1汇总了上述机制检验的全部结果。</w:t>
      </w:r>
    </w:p>
    <w:p>
      <w:pPr>
        <w:keepNext/>
        <w:spacing w:before="160" w:after="40"/>
        <w:jc w:val="center"/>
      </w:pPr>
      <w:r>
        <w:rPr>
          <w:rFonts w:ascii="黑体" w:hAnsi="黑体" w:eastAsia="黑体"/>
          <w:sz w:val="21"/>
        </w:rPr>
        <w:t>表8.1  统一大市场建设的作用机制检验</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1417"/>
        <w:gridCol w:w="1417"/>
        <w:gridCol w:w="1417"/>
        <w:gridCol w:w="1417"/>
        <w:gridCol w:w="1417"/>
        <w:gridCol w:w="1417"/>
      </w:tblGrid>
      <w:tr>
        <w:tc>
          <w:tcPr>
            <w:tcW w:type="dxa" w:w="1417"/>
            <w:vAlign w:val="center"/>
            <w:tcBorders>
              <w:bottom w:val="single" w:sz="6" w:color="000000"/>
            </w:tcBorders>
          </w:tcPr>
          <w:p>
            <w:pPr>
              <w:spacing w:line="240" w:lineRule="auto" w:after="20" w:before="20"/>
              <w:jc w:val="center"/>
            </w:pPr>
            <w:r/>
            <w:r>
              <w:rPr>
                <w:rFonts w:ascii="宋体" w:hAnsi="宋体" w:eastAsia="宋体"/>
                <w:b/>
                <w:sz w:val="21"/>
              </w:rPr>
              <w:t>解释变量</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(1) 要素流动率</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(2) 企业进入率</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(3) 创新产出</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(4) 错配程度</w:t>
            </w:r>
          </w:p>
        </w:tc>
        <w:tc>
          <w:tcPr>
            <w:tcW w:type="dxa" w:w="1417"/>
            <w:vAlign w:val="center"/>
            <w:tcBorders>
              <w:bottom w:val="single" w:sz="6" w:color="000000"/>
            </w:tcBorders>
          </w:tcPr>
          <w:p>
            <w:pPr>
              <w:spacing w:line="240" w:lineRule="auto" w:after="20" w:before="20"/>
              <w:jc w:val="center"/>
            </w:pPr>
            <w:r/>
            <w:r>
              <w:rPr>
                <w:rFonts w:ascii="宋体" w:hAnsi="宋体" w:eastAsia="宋体"/>
                <w:b/>
                <w:sz w:val="21"/>
              </w:rPr>
              <w:t>(5) 配置效率ACE</w:t>
            </w:r>
          </w:p>
        </w:tc>
      </w:tr>
      <w:tr>
        <w:tc>
          <w:tcPr>
            <w:tcW w:type="dxa" w:w="1417"/>
            <w:vAlign w:val="center"/>
          </w:tcPr>
          <w:p>
            <w:pPr>
              <w:spacing w:line="240" w:lineRule="auto" w:after="20" w:before="20"/>
              <w:jc w:val="left"/>
            </w:pPr>
            <w:r/>
            <w:r>
              <w:rPr>
                <w:rFonts w:ascii="宋体" w:hAnsi="宋体" w:eastAsia="宋体"/>
                <w:sz w:val="21"/>
              </w:rPr>
              <w:t>NUMI</w:t>
            </w:r>
          </w:p>
        </w:tc>
        <w:tc>
          <w:tcPr>
            <w:tcW w:type="dxa" w:w="1417"/>
            <w:vAlign w:val="center"/>
          </w:tcPr>
          <w:p>
            <w:pPr>
              <w:spacing w:line="240" w:lineRule="auto" w:after="20" w:before="20"/>
              <w:jc w:val="center"/>
            </w:pPr>
            <w:r/>
            <w:r>
              <w:rPr>
                <w:rFonts w:ascii="宋体" w:hAnsi="宋体" w:eastAsia="宋体"/>
                <w:sz w:val="21"/>
              </w:rPr>
              <w:t>0.611***</w:t>
              <w:br/>
              <w:t>(0.037)</w:t>
            </w:r>
          </w:p>
        </w:tc>
        <w:tc>
          <w:tcPr>
            <w:tcW w:type="dxa" w:w="1417"/>
            <w:vAlign w:val="center"/>
          </w:tcPr>
          <w:p>
            <w:pPr>
              <w:spacing w:line="240" w:lineRule="auto" w:after="20" w:before="20"/>
              <w:jc w:val="center"/>
            </w:pPr>
            <w:r/>
            <w:r>
              <w:rPr>
                <w:rFonts w:ascii="宋体" w:hAnsi="宋体" w:eastAsia="宋体"/>
                <w:sz w:val="21"/>
              </w:rPr>
              <w:t>0.103***</w:t>
              <w:br/>
              <w:t>(0.022)</w:t>
            </w:r>
          </w:p>
        </w:tc>
        <w:tc>
          <w:tcPr>
            <w:tcW w:type="dxa" w:w="1417"/>
            <w:vAlign w:val="center"/>
          </w:tcPr>
          <w:p>
            <w:pPr>
              <w:spacing w:line="240" w:lineRule="auto" w:after="20" w:before="20"/>
              <w:jc w:val="center"/>
            </w:pPr>
            <w:r/>
            <w:r>
              <w:rPr>
                <w:rFonts w:ascii="宋体" w:hAnsi="宋体" w:eastAsia="宋体"/>
                <w:sz w:val="21"/>
              </w:rPr>
              <w:t>1.461***</w:t>
              <w:br/>
              <w:t>(0.229)</w:t>
            </w:r>
          </w:p>
        </w:tc>
        <w:tc>
          <w:tcPr>
            <w:tcW w:type="dxa" w:w="1417"/>
            <w:vAlign w:val="center"/>
          </w:tcPr>
          <w:p>
            <w:pPr>
              <w:spacing w:line="240" w:lineRule="auto" w:after="20" w:before="20"/>
              <w:jc w:val="center"/>
            </w:pPr>
            <w:r/>
            <w:r>
              <w:rPr>
                <w:rFonts w:ascii="宋体" w:hAnsi="宋体" w:eastAsia="宋体"/>
                <w:sz w:val="21"/>
              </w:rPr>
              <w:t>-0.395***</w:t>
              <w:br/>
              <w:t>(0.031)</w:t>
            </w:r>
          </w:p>
        </w:tc>
        <w:tc>
          <w:tcPr>
            <w:tcW w:type="dxa" w:w="1417"/>
            <w:vAlign w:val="center"/>
          </w:tcPr>
          <w:p>
            <w:pPr>
              <w:spacing w:line="240" w:lineRule="auto" w:after="20" w:before="20"/>
              <w:jc w:val="center"/>
            </w:pPr>
            <w:r/>
            <w:r>
              <w:rPr>
                <w:rFonts w:ascii="宋体" w:hAnsi="宋体" w:eastAsia="宋体"/>
                <w:sz w:val="21"/>
              </w:rPr>
              <w:t>0.875***</w:t>
              <w:br/>
              <w:t>(0.068)</w:t>
            </w:r>
          </w:p>
        </w:tc>
      </w:tr>
      <w:tr>
        <w:tc>
          <w:tcPr>
            <w:tcW w:type="dxa" w:w="1417"/>
            <w:vAlign w:val="center"/>
          </w:tcPr>
          <w:p>
            <w:pPr>
              <w:spacing w:line="240" w:lineRule="auto" w:after="20" w:before="20"/>
              <w:jc w:val="left"/>
            </w:pPr>
            <w:r/>
            <w:r>
              <w:rPr>
                <w:rFonts w:ascii="宋体" w:hAnsi="宋体" w:eastAsia="宋体"/>
                <w:sz w:val="21"/>
              </w:rPr>
              <w:t>要素流动率</w:t>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r>
              <w:rPr>
                <w:rFonts w:ascii="宋体" w:hAnsi="宋体" w:eastAsia="宋体"/>
                <w:sz w:val="21"/>
              </w:rPr>
              <w:t>-0.065**</w:t>
              <w:br/>
              <w:t>(0.028)</w:t>
            </w:r>
          </w:p>
        </w:tc>
      </w:tr>
      <w:tr>
        <w:tc>
          <w:tcPr>
            <w:tcW w:type="dxa" w:w="1417"/>
            <w:vAlign w:val="center"/>
          </w:tcPr>
          <w:p>
            <w:pPr>
              <w:spacing w:line="240" w:lineRule="auto" w:after="20" w:before="20"/>
              <w:jc w:val="left"/>
            </w:pPr>
            <w:r/>
            <w:r>
              <w:rPr>
                <w:rFonts w:ascii="宋体" w:hAnsi="宋体" w:eastAsia="宋体"/>
                <w:sz w:val="21"/>
              </w:rPr>
              <w:t>企业进入率</w:t>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r>
              <w:rPr>
                <w:rFonts w:ascii="宋体" w:hAnsi="宋体" w:eastAsia="宋体"/>
                <w:sz w:val="21"/>
              </w:rPr>
              <w:t>0.013</w:t>
              <w:br/>
              <w:t>(0.054)</w:t>
            </w:r>
          </w:p>
        </w:tc>
      </w:tr>
      <w:tr>
        <w:tc>
          <w:tcPr>
            <w:tcW w:type="dxa" w:w="1417"/>
            <w:vAlign w:val="center"/>
          </w:tcPr>
          <w:p>
            <w:pPr>
              <w:spacing w:line="240" w:lineRule="auto" w:after="20" w:before="20"/>
              <w:jc w:val="left"/>
            </w:pPr>
            <w:r/>
            <w:r>
              <w:rPr>
                <w:rFonts w:ascii="宋体" w:hAnsi="宋体" w:eastAsia="宋体"/>
                <w:sz w:val="21"/>
              </w:rPr>
              <w:t>创新产出</w:t>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p>
        </w:tc>
        <w:tc>
          <w:tcPr>
            <w:tcW w:type="dxa" w:w="1417"/>
            <w:vAlign w:val="center"/>
          </w:tcPr>
          <w:p>
            <w:pPr>
              <w:spacing w:line="240" w:lineRule="auto" w:after="20" w:before="20"/>
              <w:jc w:val="center"/>
            </w:pPr>
            <w:r/>
            <w:r>
              <w:rPr>
                <w:rFonts w:ascii="宋体" w:hAnsi="宋体" w:eastAsia="宋体"/>
                <w:sz w:val="21"/>
              </w:rPr>
              <w:t>-0.004</w:t>
              <w:br/>
              <w:t>(0.008)</w:t>
            </w:r>
          </w:p>
        </w:tc>
      </w:tr>
      <w:tr>
        <w:tc>
          <w:tcPr>
            <w:tcW w:type="dxa" w:w="1417"/>
            <w:vAlign w:val="center"/>
          </w:tcPr>
          <w:p>
            <w:pPr>
              <w:spacing w:line="240" w:lineRule="auto" w:after="20" w:before="20"/>
              <w:jc w:val="left"/>
            </w:pPr>
            <w:r/>
            <w:r>
              <w:rPr>
                <w:rFonts w:ascii="宋体" w:hAnsi="宋体" w:eastAsia="宋体"/>
                <w:sz w:val="21"/>
              </w:rPr>
              <w:t>控制变量</w:t>
            </w:r>
          </w:p>
        </w:tc>
        <w:tc>
          <w:tcPr>
            <w:tcW w:type="dxa" w:w="1417"/>
            <w:vAlign w:val="center"/>
          </w:tcPr>
          <w:p>
            <w:pPr>
              <w:spacing w:line="240" w:lineRule="auto" w:after="20" w:before="20"/>
              <w:jc w:val="center"/>
            </w:pPr>
            <w:r/>
            <w:r>
              <w:rPr>
                <w:rFonts w:ascii="宋体" w:hAnsi="宋体" w:eastAsia="宋体"/>
                <w:sz w:val="21"/>
              </w:rPr>
              <w:t>是</w:t>
            </w:r>
          </w:p>
        </w:tc>
        <w:tc>
          <w:tcPr>
            <w:tcW w:type="dxa" w:w="1417"/>
            <w:vAlign w:val="center"/>
          </w:tcPr>
          <w:p>
            <w:pPr>
              <w:spacing w:line="240" w:lineRule="auto" w:after="20" w:before="20"/>
              <w:jc w:val="center"/>
            </w:pPr>
            <w:r/>
            <w:r>
              <w:rPr>
                <w:rFonts w:ascii="宋体" w:hAnsi="宋体" w:eastAsia="宋体"/>
                <w:sz w:val="21"/>
              </w:rPr>
              <w:t>是</w:t>
            </w:r>
          </w:p>
        </w:tc>
        <w:tc>
          <w:tcPr>
            <w:tcW w:type="dxa" w:w="1417"/>
            <w:vAlign w:val="center"/>
          </w:tcPr>
          <w:p>
            <w:pPr>
              <w:spacing w:line="240" w:lineRule="auto" w:after="20" w:before="20"/>
              <w:jc w:val="center"/>
            </w:pPr>
            <w:r/>
            <w:r>
              <w:rPr>
                <w:rFonts w:ascii="宋体" w:hAnsi="宋体" w:eastAsia="宋体"/>
                <w:sz w:val="21"/>
              </w:rPr>
              <w:t>是</w:t>
            </w:r>
          </w:p>
        </w:tc>
        <w:tc>
          <w:tcPr>
            <w:tcW w:type="dxa" w:w="1417"/>
            <w:vAlign w:val="center"/>
          </w:tcPr>
          <w:p>
            <w:pPr>
              <w:spacing w:line="240" w:lineRule="auto" w:after="20" w:before="20"/>
              <w:jc w:val="center"/>
            </w:pPr>
            <w:r/>
            <w:r>
              <w:rPr>
                <w:rFonts w:ascii="宋体" w:hAnsi="宋体" w:eastAsia="宋体"/>
                <w:sz w:val="21"/>
              </w:rPr>
              <w:t>是</w:t>
            </w:r>
          </w:p>
        </w:tc>
        <w:tc>
          <w:tcPr>
            <w:tcW w:type="dxa" w:w="1417"/>
            <w:vAlign w:val="center"/>
          </w:tcPr>
          <w:p>
            <w:pPr>
              <w:spacing w:line="240" w:lineRule="auto" w:after="20" w:before="20"/>
              <w:jc w:val="center"/>
            </w:pPr>
            <w:r/>
            <w:r>
              <w:rPr>
                <w:rFonts w:ascii="宋体" w:hAnsi="宋体" w:eastAsia="宋体"/>
                <w:sz w:val="21"/>
              </w:rPr>
              <w:t>是</w:t>
            </w:r>
          </w:p>
        </w:tc>
      </w:tr>
      <w:tr>
        <w:tc>
          <w:tcPr>
            <w:tcW w:type="dxa" w:w="1417"/>
            <w:vAlign w:val="center"/>
          </w:tcPr>
          <w:p>
            <w:pPr>
              <w:spacing w:line="240" w:lineRule="auto" w:after="20" w:before="20"/>
              <w:jc w:val="left"/>
            </w:pPr>
            <w:r/>
            <w:r>
              <w:rPr>
                <w:rFonts w:ascii="宋体" w:hAnsi="宋体" w:eastAsia="宋体"/>
                <w:sz w:val="21"/>
              </w:rPr>
              <w:t>地区/年份固定效应</w:t>
            </w:r>
          </w:p>
        </w:tc>
        <w:tc>
          <w:tcPr>
            <w:tcW w:type="dxa" w:w="1417"/>
            <w:vAlign w:val="center"/>
          </w:tcPr>
          <w:p>
            <w:pPr>
              <w:spacing w:line="240" w:lineRule="auto" w:after="20" w:before="20"/>
              <w:jc w:val="center"/>
            </w:pPr>
            <w:r/>
            <w:r>
              <w:rPr>
                <w:rFonts w:ascii="宋体" w:hAnsi="宋体" w:eastAsia="宋体"/>
                <w:sz w:val="21"/>
              </w:rPr>
              <w:t>是</w:t>
            </w:r>
          </w:p>
        </w:tc>
        <w:tc>
          <w:tcPr>
            <w:tcW w:type="dxa" w:w="1417"/>
            <w:vAlign w:val="center"/>
          </w:tcPr>
          <w:p>
            <w:pPr>
              <w:spacing w:line="240" w:lineRule="auto" w:after="20" w:before="20"/>
              <w:jc w:val="center"/>
            </w:pPr>
            <w:r/>
            <w:r>
              <w:rPr>
                <w:rFonts w:ascii="宋体" w:hAnsi="宋体" w:eastAsia="宋体"/>
                <w:sz w:val="21"/>
              </w:rPr>
              <w:t>是</w:t>
            </w:r>
          </w:p>
        </w:tc>
        <w:tc>
          <w:tcPr>
            <w:tcW w:type="dxa" w:w="1417"/>
            <w:vAlign w:val="center"/>
          </w:tcPr>
          <w:p>
            <w:pPr>
              <w:spacing w:line="240" w:lineRule="auto" w:after="20" w:before="20"/>
              <w:jc w:val="center"/>
            </w:pPr>
            <w:r/>
            <w:r>
              <w:rPr>
                <w:rFonts w:ascii="宋体" w:hAnsi="宋体" w:eastAsia="宋体"/>
                <w:sz w:val="21"/>
              </w:rPr>
              <w:t>是</w:t>
            </w:r>
          </w:p>
        </w:tc>
        <w:tc>
          <w:tcPr>
            <w:tcW w:type="dxa" w:w="1417"/>
            <w:vAlign w:val="center"/>
          </w:tcPr>
          <w:p>
            <w:pPr>
              <w:spacing w:line="240" w:lineRule="auto" w:after="20" w:before="20"/>
              <w:jc w:val="center"/>
            </w:pPr>
            <w:r/>
            <w:r>
              <w:rPr>
                <w:rFonts w:ascii="宋体" w:hAnsi="宋体" w:eastAsia="宋体"/>
                <w:sz w:val="21"/>
              </w:rPr>
              <w:t>是</w:t>
            </w:r>
          </w:p>
        </w:tc>
        <w:tc>
          <w:tcPr>
            <w:tcW w:type="dxa" w:w="1417"/>
            <w:vAlign w:val="center"/>
          </w:tcPr>
          <w:p>
            <w:pPr>
              <w:spacing w:line="240" w:lineRule="auto" w:after="20" w:before="20"/>
              <w:jc w:val="center"/>
            </w:pPr>
            <w:r/>
            <w:r>
              <w:rPr>
                <w:rFonts w:ascii="宋体" w:hAnsi="宋体" w:eastAsia="宋体"/>
                <w:sz w:val="21"/>
              </w:rPr>
              <w:t>是</w:t>
            </w:r>
          </w:p>
        </w:tc>
      </w:tr>
      <w:tr>
        <w:tc>
          <w:tcPr>
            <w:tcW w:type="dxa" w:w="1417"/>
            <w:vAlign w:val="center"/>
          </w:tcPr>
          <w:p>
            <w:pPr>
              <w:spacing w:line="240" w:lineRule="auto" w:after="20" w:before="20"/>
              <w:jc w:val="left"/>
            </w:pPr>
            <w:r/>
            <w:r>
              <w:rPr>
                <w:rFonts w:ascii="宋体" w:hAnsi="宋体" w:eastAsia="宋体"/>
                <w:sz w:val="21"/>
              </w:rPr>
              <w:t>样本量 N</w:t>
            </w:r>
          </w:p>
        </w:tc>
        <w:tc>
          <w:tcPr>
            <w:tcW w:type="dxa" w:w="1417"/>
            <w:vAlign w:val="center"/>
          </w:tcPr>
          <w:p>
            <w:pPr>
              <w:spacing w:line="240" w:lineRule="auto" w:after="20" w:before="20"/>
              <w:jc w:val="center"/>
            </w:pPr>
            <w:r/>
            <w:r>
              <w:rPr>
                <w:rFonts w:ascii="宋体" w:hAnsi="宋体" w:eastAsia="宋体"/>
                <w:sz w:val="21"/>
              </w:rPr>
              <w:t>558</w:t>
            </w:r>
          </w:p>
        </w:tc>
        <w:tc>
          <w:tcPr>
            <w:tcW w:type="dxa" w:w="1417"/>
            <w:vAlign w:val="center"/>
          </w:tcPr>
          <w:p>
            <w:pPr>
              <w:spacing w:line="240" w:lineRule="auto" w:after="20" w:before="20"/>
              <w:jc w:val="center"/>
            </w:pPr>
            <w:r/>
            <w:r>
              <w:rPr>
                <w:rFonts w:ascii="宋体" w:hAnsi="宋体" w:eastAsia="宋体"/>
                <w:sz w:val="21"/>
              </w:rPr>
              <w:t>558</w:t>
            </w:r>
          </w:p>
        </w:tc>
        <w:tc>
          <w:tcPr>
            <w:tcW w:type="dxa" w:w="1417"/>
            <w:vAlign w:val="center"/>
          </w:tcPr>
          <w:p>
            <w:pPr>
              <w:spacing w:line="240" w:lineRule="auto" w:after="20" w:before="20"/>
              <w:jc w:val="center"/>
            </w:pPr>
            <w:r/>
            <w:r>
              <w:rPr>
                <w:rFonts w:ascii="宋体" w:hAnsi="宋体" w:eastAsia="宋体"/>
                <w:sz w:val="21"/>
              </w:rPr>
              <w:t>558</w:t>
            </w:r>
          </w:p>
        </w:tc>
        <w:tc>
          <w:tcPr>
            <w:tcW w:type="dxa" w:w="1417"/>
            <w:vAlign w:val="center"/>
          </w:tcPr>
          <w:p>
            <w:pPr>
              <w:spacing w:line="240" w:lineRule="auto" w:after="20" w:before="20"/>
              <w:jc w:val="center"/>
            </w:pPr>
            <w:r/>
            <w:r>
              <w:rPr>
                <w:rFonts w:ascii="宋体" w:hAnsi="宋体" w:eastAsia="宋体"/>
                <w:sz w:val="21"/>
              </w:rPr>
              <w:t>558</w:t>
            </w:r>
          </w:p>
        </w:tc>
        <w:tc>
          <w:tcPr>
            <w:tcW w:type="dxa" w:w="1417"/>
            <w:vAlign w:val="center"/>
          </w:tcPr>
          <w:p>
            <w:pPr>
              <w:spacing w:line="240" w:lineRule="auto" w:after="20" w:before="20"/>
              <w:jc w:val="center"/>
            </w:pPr>
            <w:r/>
            <w:r>
              <w:rPr>
                <w:rFonts w:ascii="宋体" w:hAnsi="宋体" w:eastAsia="宋体"/>
                <w:sz w:val="21"/>
              </w:rPr>
              <w:t>558</w:t>
            </w:r>
          </w:p>
        </w:tc>
      </w:tr>
      <w:tr>
        <w:tc>
          <w:tcPr>
            <w:tcW w:type="dxa" w:w="1417"/>
            <w:vAlign w:val="center"/>
          </w:tcPr>
          <w:p>
            <w:pPr>
              <w:spacing w:line="240" w:lineRule="auto" w:after="20" w:before="20"/>
              <w:jc w:val="left"/>
            </w:pPr>
            <w:r/>
            <w:r>
              <w:rPr>
                <w:rFonts w:ascii="宋体" w:hAnsi="宋体" w:eastAsia="宋体"/>
                <w:sz w:val="21"/>
              </w:rPr>
              <w:t>调整后 R²</w:t>
            </w:r>
          </w:p>
        </w:tc>
        <w:tc>
          <w:tcPr>
            <w:tcW w:type="dxa" w:w="1417"/>
            <w:vAlign w:val="center"/>
          </w:tcPr>
          <w:p>
            <w:pPr>
              <w:spacing w:line="240" w:lineRule="auto" w:after="20" w:before="20"/>
              <w:jc w:val="center"/>
            </w:pPr>
            <w:r/>
            <w:r>
              <w:rPr>
                <w:rFonts w:ascii="宋体" w:hAnsi="宋体" w:eastAsia="宋体"/>
                <w:sz w:val="21"/>
              </w:rPr>
              <w:t>0.944</w:t>
            </w:r>
          </w:p>
        </w:tc>
        <w:tc>
          <w:tcPr>
            <w:tcW w:type="dxa" w:w="1417"/>
            <w:vAlign w:val="center"/>
          </w:tcPr>
          <w:p>
            <w:pPr>
              <w:spacing w:line="240" w:lineRule="auto" w:after="20" w:before="20"/>
              <w:jc w:val="center"/>
            </w:pPr>
            <w:r/>
            <w:r>
              <w:rPr>
                <w:rFonts w:ascii="宋体" w:hAnsi="宋体" w:eastAsia="宋体"/>
                <w:sz w:val="21"/>
              </w:rPr>
              <w:t>0.706</w:t>
            </w:r>
          </w:p>
        </w:tc>
        <w:tc>
          <w:tcPr>
            <w:tcW w:type="dxa" w:w="1417"/>
            <w:vAlign w:val="center"/>
          </w:tcPr>
          <w:p>
            <w:pPr>
              <w:spacing w:line="240" w:lineRule="auto" w:after="20" w:before="20"/>
              <w:jc w:val="center"/>
            </w:pPr>
            <w:r/>
            <w:r>
              <w:rPr>
                <w:rFonts w:ascii="宋体" w:hAnsi="宋体" w:eastAsia="宋体"/>
                <w:sz w:val="21"/>
              </w:rPr>
              <w:t>0.990</w:t>
            </w:r>
          </w:p>
        </w:tc>
        <w:tc>
          <w:tcPr>
            <w:tcW w:type="dxa" w:w="1417"/>
            <w:vAlign w:val="center"/>
          </w:tcPr>
          <w:p>
            <w:pPr>
              <w:spacing w:line="240" w:lineRule="auto" w:after="20" w:before="20"/>
              <w:jc w:val="center"/>
            </w:pPr>
            <w:r/>
            <w:r>
              <w:rPr>
                <w:rFonts w:ascii="宋体" w:hAnsi="宋体" w:eastAsia="宋体"/>
                <w:sz w:val="21"/>
              </w:rPr>
              <w:t>0.969</w:t>
            </w:r>
          </w:p>
        </w:tc>
        <w:tc>
          <w:tcPr>
            <w:tcW w:type="dxa" w:w="1417"/>
            <w:vAlign w:val="center"/>
          </w:tcPr>
          <w:p>
            <w:pPr>
              <w:spacing w:line="240" w:lineRule="auto" w:after="20" w:before="20"/>
              <w:jc w:val="center"/>
            </w:pPr>
            <w:r/>
            <w:r>
              <w:rPr>
                <w:rFonts w:ascii="宋体" w:hAnsi="宋体" w:eastAsia="宋体"/>
                <w:sz w:val="21"/>
              </w:rPr>
              <w:t>0.982</w:t>
            </w:r>
          </w:p>
        </w:tc>
      </w:tr>
    </w:tbl>
    <w:p>
      <w:pPr>
        <w:spacing w:after="200" w:line="240" w:lineRule="auto"/>
      </w:pPr>
      <w:r>
        <w:rPr>
          <w:rFonts w:ascii="宋体" w:hAnsi="宋体" w:eastAsia="宋体"/>
          <w:sz w:val="18"/>
        </w:rPr>
        <w:t>注：括号内为聚类稳健标准误；*</w:t>
      </w:r>
      <w:r>
        <w:rPr>
          <w:rFonts w:ascii="宋体" w:hAnsi="宋体" w:eastAsia="宋体"/>
          <w:b/>
          <w:sz w:val="18"/>
        </w:rPr>
        <w:t>、</w:t>
      </w:r>
      <w:r>
        <w:rPr>
          <w:rFonts w:ascii="宋体" w:hAnsi="宋体" w:eastAsia="宋体"/>
          <w:sz w:val="18"/>
        </w:rPr>
        <w:t>、* 分别表示在 1%、5%、10% 水平上显著。第(1)—(4)列被解释变量分别为要素流动率、企业进入率、创新产出与要素错配程度；第(5)列为将三类机制变量同时纳入的配置效率综合模型。所有回归均控制第7章基准模型的全部控制变量与双向固定效应。</w:t>
      </w:r>
    </w:p>
    <w:p>
      <w:pPr>
        <w:spacing w:line="360" w:lineRule="auto" w:after="0"/>
        <w:ind w:firstLineChars="200" w:firstLine="480"/>
        <w:jc w:val="both"/>
      </w:pPr>
      <w:r>
        <w:rPr>
          <w:rFonts w:ascii="宋体" w:hAnsi="宋体" w:eastAsia="宋体"/>
          <w:sz w:val="24"/>
        </w:rPr>
        <w:t>综观表8.1，四条机制检验给出了高度一致的证据：统一大市场建设显著提高要素流动率（第1列）、显著提高企业进入率（第2列）、显著提升创新产出（第3列），并显著降低要素错配程度（第4列），四个系数的符号无一例外地与第4章的理论预期相符，且均在 1% 水平上显著。图8.3以更直观的方式呈现了统一大市场建设对各中介变量的影响，其中要素流动与创新激励是量级最为突出的两条渠道，企业进入的响应相对温和，而错配程度则呈现清晰的下降。这幅"机制图谱"表明，统一大市场建设并非通过单一渠道、而是通过一组相互强化的机制协同改善要素配置效率。</w:t>
      </w:r>
    </w:p>
    <w:p>
      <w:pPr>
        <w:spacing w:before="120" w:after="40"/>
        <w:jc w:val="center"/>
      </w:pPr>
      <w:r>
        <w:drawing>
          <wp:inline xmlns:a="http://schemas.openxmlformats.org/drawingml/2006/main" xmlns:pic="http://schemas.openxmlformats.org/drawingml/2006/picture">
            <wp:extent cx="4500000" cy="2604061"/>
            <wp:docPr id="23" name="Picture 23"/>
            <wp:cNvGraphicFramePr>
              <a:graphicFrameLocks noChangeAspect="1"/>
            </wp:cNvGraphicFramePr>
            <a:graphic>
              <a:graphicData uri="http://schemas.openxmlformats.org/drawingml/2006/picture">
                <pic:pic>
                  <pic:nvPicPr>
                    <pic:cNvPr id="0" name="fig8_3.png"/>
                    <pic:cNvPicPr/>
                  </pic:nvPicPr>
                  <pic:blipFill>
                    <a:blip r:embed="rId31"/>
                    <a:stretch>
                      <a:fillRect/>
                    </a:stretch>
                  </pic:blipFill>
                  <pic:spPr>
                    <a:xfrm>
                      <a:off x="0" y="0"/>
                      <a:ext cx="4500000" cy="2604061"/>
                    </a:xfrm>
                    <a:prstGeom prst="rect"/>
                  </pic:spPr>
                </pic:pic>
              </a:graphicData>
            </a:graphic>
          </wp:inline>
        </w:drawing>
      </w:r>
    </w:p>
    <w:p>
      <w:pPr>
        <w:keepNext w:val="0"/>
        <w:spacing w:after="200"/>
        <w:jc w:val="center"/>
      </w:pPr>
      <w:r>
        <w:rPr>
          <w:rFonts w:ascii="黑体" w:hAnsi="黑体" w:eastAsia="黑体"/>
          <w:sz w:val="21"/>
        </w:rPr>
        <w:t>图8.3  统一大市场建设的作用机制：对各中介变量的影响</w:t>
      </w:r>
    </w:p>
    <w:p>
      <w:pPr>
        <w:keepNext/>
        <w:spacing w:before="160" w:after="120" w:line="360" w:lineRule="auto"/>
      </w:pPr>
      <w:r>
        <w:rPr>
          <w:rFonts w:ascii="黑体" w:hAnsi="黑体" w:eastAsia="黑体"/>
          <w:sz w:val="28"/>
        </w:rPr>
        <w:t>8.3  分维度异质性：哪些维度更重要</w:t>
      </w:r>
    </w:p>
    <w:p>
      <w:pPr>
        <w:spacing w:line="360" w:lineRule="auto" w:after="0"/>
        <w:ind w:firstLineChars="200" w:firstLine="480"/>
        <w:jc w:val="both"/>
      </w:pPr>
      <w:r>
        <w:rPr>
          <w:rFonts w:ascii="宋体" w:hAnsi="宋体" w:eastAsia="宋体"/>
          <w:sz w:val="24"/>
        </w:rPr>
        <w:t>NUMI 是由商品市场、劳动力市场、资本市场、土地市场、技术与数据市场、市场制度环境六个分维度复合而成的综合指数。一个自然而重要的问题是：这六个维度对要素配置效率的贡献是否均衡？哪些维度是改善配置效率的"关键短板"或"主要引擎"？回答这一问题，不仅有助于理解统一大市场建设影响配置效率的内部结构，更能为改革"抓重点、补短板"提供直接依据。为此，本节将 NUMI 的六个分维度指数分别代入基准回归框架，逐一估计各维度对配置效率的独立影响，结果如图8.2所示。</w:t>
      </w:r>
    </w:p>
    <w:p>
      <w:pPr>
        <w:spacing w:before="120" w:after="40"/>
        <w:jc w:val="center"/>
      </w:pPr>
      <w:r>
        <w:drawing>
          <wp:inline xmlns:a="http://schemas.openxmlformats.org/drawingml/2006/main" xmlns:pic="http://schemas.openxmlformats.org/drawingml/2006/picture">
            <wp:extent cx="4500000" cy="2612970"/>
            <wp:docPr id="24" name="Picture 24"/>
            <wp:cNvGraphicFramePr>
              <a:graphicFrameLocks noChangeAspect="1"/>
            </wp:cNvGraphicFramePr>
            <a:graphic>
              <a:graphicData uri="http://schemas.openxmlformats.org/drawingml/2006/picture">
                <pic:pic>
                  <pic:nvPicPr>
                    <pic:cNvPr id="0" name="fig8_2.png"/>
                    <pic:cNvPicPr/>
                  </pic:nvPicPr>
                  <pic:blipFill>
                    <a:blip r:embed="rId32"/>
                    <a:stretch>
                      <a:fillRect/>
                    </a:stretch>
                  </pic:blipFill>
                  <pic:spPr>
                    <a:xfrm>
                      <a:off x="0" y="0"/>
                      <a:ext cx="4500000" cy="2612970"/>
                    </a:xfrm>
                    <a:prstGeom prst="rect"/>
                  </pic:spPr>
                </pic:pic>
              </a:graphicData>
            </a:graphic>
          </wp:inline>
        </w:drawing>
      </w:r>
    </w:p>
    <w:p>
      <w:pPr>
        <w:keepNext w:val="0"/>
        <w:spacing w:after="200"/>
        <w:jc w:val="center"/>
      </w:pPr>
      <w:r>
        <w:rPr>
          <w:rFonts w:ascii="黑体" w:hAnsi="黑体" w:eastAsia="黑体"/>
          <w:sz w:val="21"/>
        </w:rPr>
        <w:t>图8.2  统一大市场建设各维度对要素配置效率的影响</w:t>
      </w:r>
    </w:p>
    <w:p>
      <w:pPr>
        <w:spacing w:line="360" w:lineRule="auto" w:after="0"/>
        <w:ind w:firstLineChars="200" w:firstLine="480"/>
        <w:jc w:val="both"/>
      </w:pPr>
      <w:r>
        <w:rPr>
          <w:rFonts w:ascii="宋体" w:hAnsi="宋体" w:eastAsia="宋体"/>
          <w:sz w:val="24"/>
        </w:rPr>
        <w:t>估计结果显示，六个分维度对配置效率的影响系数全部显著为正，但量级存在明显差异。其中，商品市场一体化维度的系数最高，为 0.673（t=9.99），显著高于其余五个维度；劳动力市场一体化维度次之，系数为 0.475（t=7.30）；市场制度环境维度为 0.429（t=7.71）；资本市场与土地市场一体化维度较为接近，系数分别为 0.428 与 0.427；技术与数据市场一体化维度的系数相对最低，为 0.378（t=7.38），但仍在 1% 水平上显著。</w:t>
      </w:r>
    </w:p>
    <w:p>
      <w:pPr>
        <w:spacing w:line="360" w:lineRule="auto" w:after="0"/>
        <w:ind w:firstLineChars="200" w:firstLine="480"/>
        <w:jc w:val="both"/>
      </w:pPr>
      <w:r>
        <w:rPr>
          <w:rFonts w:ascii="宋体" w:hAnsi="宋体" w:eastAsia="宋体"/>
          <w:sz w:val="24"/>
        </w:rPr>
        <w:t>这一维度排序蕴含着丰富的政策含义。商品市场一体化维度贡献最大，符合直觉也符合历史逻辑：商品市场是市场分割最早、最直接的领域，破除商品市场的地方保护和贸易壁垒，既能直接放大规模经济、深化专业化分工，又能为要素的顺畅流动创造前提条件，因而其对配置效率的带动作用最为全面（桂琦寒等，2006；盛斌和毛其淋，2011）。劳动力市场一体化维度排名第二，凸显了破除户籍壁垒、促进劳动力自由流动对改善配置效率的关键作用——劳动力是最具能动性的要素，其错配的纠正对总量生产率的贡献尤为突出，这与 Tombe和Zhu，2019的量化结论一致。</w:t>
      </w:r>
    </w:p>
    <w:p>
      <w:pPr>
        <w:spacing w:line="360" w:lineRule="auto" w:after="0"/>
        <w:ind w:firstLineChars="200" w:firstLine="480"/>
        <w:jc w:val="both"/>
      </w:pPr>
      <w:r>
        <w:rPr>
          <w:rFonts w:ascii="宋体" w:hAnsi="宋体" w:eastAsia="宋体"/>
          <w:sz w:val="24"/>
        </w:rPr>
        <w:t>资本市场与土地市场一体化两个维度的系数十分接近，均在 0.43 上下，且都高度显著。这一"并驾齐驱"具有现实基础：资本与土地都是受地方政府直接配置权力影响最深的要素——前者体现为信贷资源的属地化投放与地方融资平台的隐性担保，后者体现为建设用地指标的行政化分配与"以地引资"。两类要素的行政性分割根源相似，因而统一大市场建设对二者的纠偏力度也大体相当。与之相比，技术与数据市场维度系数偏低，恰恰因为这一领域的市场化配置机制尚在建立之中，地方政府对其的"分割式配置"能力和"整合式改革"红利都尚未充分显现（戴魁早等，2023）。将六个分维度系数与第7章综合 NUMI 的基准系数相互对照可以发现，任何单一维度的系数都低于综合指数所反映的整体效应，这再次印证了各维度之间的协同互补：统一大市场建设是一个多维联动的系统工程，其整体效能大于各维度的机械加总。</w:t>
      </w:r>
    </w:p>
    <w:p>
      <w:pPr>
        <w:spacing w:line="360" w:lineRule="auto" w:after="0"/>
        <w:ind w:firstLineChars="200" w:firstLine="480"/>
        <w:jc w:val="both"/>
      </w:pPr>
      <w:r>
        <w:rPr>
          <w:rFonts w:ascii="宋体" w:hAnsi="宋体" w:eastAsia="宋体"/>
          <w:sz w:val="24"/>
        </w:rPr>
        <w:t>技术与数据市场一体化维度系数相对最低，这一结果需要审慎解读，其背后可能有两方面原因。一方面，技术与数据要素市场是最为新兴的领域，全国一体化的技术和数据市场建设起步较晚，数据要素的确权、流通、交易等基础制度尚在探索之中，其对配置效率的作用尚未充分释放；另一方面，数据要素具有非竞争性、非排他性等特殊属性，其"分割"与"整合"的经济含义与传统要素不尽相同（"数据二十条"，2022）。这一发现的政策启示并非技术与数据市场不重要，恰恰相反，它揭示了这一维度是当前统一大市场建设中潜力尚待挖掘的"最后一块拼图"：随着全国一体化数据市场制度的完善，这一维度对配置效率的边际贡献有望显著上升（史丹和郑玉，2024）。总体而言，分维度异质性分析表明，统一大市场建设应坚持"系统集成、协同推进"，在巩固商品和劳动力市场一体化成果的同时，加快补齐资本、土地特别是技术与数据市场一体化的短板。</w:t>
      </w:r>
    </w:p>
    <w:p>
      <w:pPr>
        <w:keepNext/>
        <w:spacing w:before="160" w:after="120" w:line="360" w:lineRule="auto"/>
      </w:pPr>
      <w:r>
        <w:rPr>
          <w:rFonts w:ascii="黑体" w:hAnsi="黑体" w:eastAsia="黑体"/>
          <w:sz w:val="28"/>
        </w:rPr>
        <w:t>8.4  区域异质性：东、中、西部的差异</w:t>
      </w:r>
    </w:p>
    <w:p>
      <w:pPr>
        <w:spacing w:line="360" w:lineRule="auto" w:after="0"/>
        <w:ind w:firstLineChars="200" w:firstLine="480"/>
        <w:jc w:val="both"/>
      </w:pPr>
      <w:r>
        <w:rPr>
          <w:rFonts w:ascii="宋体" w:hAnsi="宋体" w:eastAsia="宋体"/>
          <w:sz w:val="24"/>
        </w:rPr>
        <w:t>中国幅员辽阔，东、中、西部在经济发展水平、市场发育程度和初始市场分割状况上存在显著差异，统一大市场建设对要素配置效率的影响很可能因区域而异。识别这种区域异质性，对于把握改革的空间重点、促进区域协调发展具有重要意义。本节将全样本按传统的东、中、西部三大区域划分，分别估计基准回归方程，结果如图8.4所示。</w:t>
      </w:r>
    </w:p>
    <w:p>
      <w:pPr>
        <w:spacing w:before="120" w:after="40"/>
        <w:jc w:val="center"/>
      </w:pPr>
      <w:r>
        <w:drawing>
          <wp:inline xmlns:a="http://schemas.openxmlformats.org/drawingml/2006/main" xmlns:pic="http://schemas.openxmlformats.org/drawingml/2006/picture">
            <wp:extent cx="4500000" cy="2544449"/>
            <wp:docPr id="25" name="Picture 25"/>
            <wp:cNvGraphicFramePr>
              <a:graphicFrameLocks noChangeAspect="1"/>
            </wp:cNvGraphicFramePr>
            <a:graphic>
              <a:graphicData uri="http://schemas.openxmlformats.org/drawingml/2006/picture">
                <pic:pic>
                  <pic:nvPicPr>
                    <pic:cNvPr id="0" name="fig8_4.png"/>
                    <pic:cNvPicPr/>
                  </pic:nvPicPr>
                  <pic:blipFill>
                    <a:blip r:embed="rId33"/>
                    <a:stretch>
                      <a:fillRect/>
                    </a:stretch>
                  </pic:blipFill>
                  <pic:spPr>
                    <a:xfrm>
                      <a:off x="0" y="0"/>
                      <a:ext cx="4500000" cy="2544449"/>
                    </a:xfrm>
                    <a:prstGeom prst="rect"/>
                  </pic:spPr>
                </pic:pic>
              </a:graphicData>
            </a:graphic>
          </wp:inline>
        </w:drawing>
      </w:r>
    </w:p>
    <w:p>
      <w:pPr>
        <w:keepNext w:val="0"/>
        <w:spacing w:after="200"/>
        <w:jc w:val="center"/>
      </w:pPr>
      <w:r>
        <w:rPr>
          <w:rFonts w:ascii="黑体" w:hAnsi="黑体" w:eastAsia="黑体"/>
          <w:sz w:val="21"/>
        </w:rPr>
        <w:t>图8.4  统一大市场建设影响要素配置效率的分组异质性</w:t>
      </w:r>
    </w:p>
    <w:p>
      <w:pPr>
        <w:spacing w:line="360" w:lineRule="auto" w:after="0"/>
        <w:ind w:firstLineChars="200" w:firstLine="480"/>
        <w:jc w:val="both"/>
      </w:pPr>
      <w:r>
        <w:rPr>
          <w:rFonts w:ascii="宋体" w:hAnsi="宋体" w:eastAsia="宋体"/>
          <w:sz w:val="24"/>
        </w:rPr>
        <w:t>分区域估计结果显示，NUMI 对配置效率的促进作用在三大区域均高度显著，但存在耐人寻味的区域差异。东部地区的系数为 0.663（t=8.75）；中部地区的系数最高，达 0.756（t=17.37）；西部地区的系数为 0.688（t=5.89）。一个清晰的规律浮现出来：中部和西部地区统一大市场建设的配置效率红利均高于东部地区，其中中部地区的边际效应最为突出。这与"发达地区效应更大"的直觉相反，却与第4章命题3的理论预言高度吻合。</w:t>
      </w:r>
    </w:p>
    <w:p>
      <w:pPr>
        <w:spacing w:line="360" w:lineRule="auto" w:after="0"/>
        <w:ind w:firstLineChars="200" w:firstLine="480"/>
        <w:jc w:val="both"/>
      </w:pPr>
      <w:r>
        <w:rPr>
          <w:rFonts w:ascii="宋体" w:hAnsi="宋体" w:eastAsia="宋体"/>
          <w:sz w:val="24"/>
        </w:rPr>
        <w:t>如何理解中西部效应高于东部这一发现？其经济逻辑在于配置效率改善的"边际报酬递减"特征。东部地区市场化程度较高、要素市场发育相对成熟、初始市场分割程度较低，要素配置已较为接近最优，因此进一步推进统一大市场建设所能释放的"错配红利"空间相对有限；而中西部地区初始市场分割更为严重、行政性壁垒更为突出、要素错配的存量更大，统一大市场建设对这些地区而言相当于释放了被长期压抑的配置效率潜能，因而边际效应更大。这一逻辑与 陆铭和陈钊，2009关于分割市场经济增长的分析、以及 余泳泽等，2022关于区域市场分割效率损失的测度在方向上相互印证：市场分割造成的效率损失越大的地区，破除分割所能带来的效率改善也越大。</w:t>
      </w:r>
    </w:p>
    <w:p>
      <w:pPr>
        <w:spacing w:line="360" w:lineRule="auto" w:after="0"/>
        <w:ind w:firstLineChars="200" w:firstLine="480"/>
        <w:jc w:val="both"/>
      </w:pPr>
      <w:r>
        <w:rPr>
          <w:rFonts w:ascii="宋体" w:hAnsi="宋体" w:eastAsia="宋体"/>
          <w:sz w:val="24"/>
        </w:rPr>
        <w:t>这一区域异质性具有极为重要的政策含义。它表明，统一大市场建设不仅是一项提升总体效率的改革，更是一项具有"区域再平衡"效应的政策：由于其边际红利在欠发达的中西部地区更大，深入推进统一大市场建设有助于缩小区域发展差距、促进区域协调发展。这与 王巍和姜智鑫，2024关于市场一体化与区域协调的研究相呼应，也为第9章进一步考察统一大市场建设的区域协调效应埋下了伏笔。从政策着力点看，这意味着破除地方保护、推进统一大市场建设的改革重心，应更多向初始分割严重、要素错配突出的中西部地区倾斜，通过在这些地区补齐要素市场化配置的制度短板，实现"效率"与"协调"的双重目标。</w:t>
      </w:r>
    </w:p>
    <w:p>
      <w:pPr>
        <w:spacing w:line="360" w:lineRule="auto" w:after="0"/>
        <w:ind w:firstLineChars="200" w:firstLine="480"/>
        <w:jc w:val="both"/>
      </w:pPr>
      <w:r>
        <w:rPr>
          <w:rFonts w:ascii="宋体" w:hAnsi="宋体" w:eastAsia="宋体"/>
          <w:sz w:val="24"/>
        </w:rPr>
        <w:t>当然，对区域异质性结论仍需保持审慎。分区域回归受限于各区域较小的样本量（东部 180 个、中部 108 个、西部 216 个观测），子样本估计的精度不及全样本；同时，东、中、西部的划分是一种较为粗略的地理分组，区域内部各省之间在市场分割程度上仍存在相当大的差异。因此，区域异质性更宜被理解为"初始分割程度异质性"在空间维度上的投影，其背后更为本质的驱动因素是初始市场分割程度而非地理区位本身。这一判断将在下一节以初始分割程度分组和交互项检验加以更严格的验证，两条证据链条的相互印证，将使命题3的结论更为稳健可信。</w:t>
      </w:r>
    </w:p>
    <w:p>
      <w:pPr>
        <w:keepNext/>
        <w:spacing w:before="160" w:after="120" w:line="360" w:lineRule="auto"/>
      </w:pPr>
      <w:r>
        <w:rPr>
          <w:rFonts w:ascii="黑体" w:hAnsi="黑体" w:eastAsia="黑体"/>
          <w:sz w:val="28"/>
        </w:rPr>
        <w:t>8.5  初始分割程度异质性：命题3的直接检验</w:t>
      </w:r>
    </w:p>
    <w:p>
      <w:pPr>
        <w:spacing w:line="360" w:lineRule="auto" w:after="0"/>
        <w:ind w:firstLineChars="200" w:firstLine="480"/>
        <w:jc w:val="both"/>
      </w:pPr>
      <w:r>
        <w:rPr>
          <w:rFonts w:ascii="宋体" w:hAnsi="宋体" w:eastAsia="宋体"/>
          <w:sz w:val="24"/>
        </w:rPr>
        <w:t>8.4 节的区域异质性已经间接暗示，统一大市场建设的配置效率红利可能随初始市场分割程度的上升而递增。本节将这一判断上升为对第4章命题3的直接检验。命题3的正式表述是：统一大市场建设的配置效率红利随初始市场分割程度递增，即边际效应关于初始分割程度具有异质性。为检验这一命题，本节采用两种互补的策略：一是按初始（基期）市场分割程度的高低，将样本划分为高分割组与低分割组，分别估计基准回归；二是在全样本中引入 NUMI 与"高分割"虚拟变量的交互项，直接检验边际效应是否随初始分割程度显著变化。第二种策略——交互项检验——是识别调节效应（moderating effect）在计量上更为规范、更为可信的做法（江艇等，2018），因而是本节的首选设定。</w:t>
      </w:r>
    </w:p>
    <w:p>
      <w:pPr>
        <w:spacing w:line="360" w:lineRule="auto" w:after="0"/>
        <w:ind w:firstLineChars="200" w:firstLine="480"/>
        <w:jc w:val="both"/>
      </w:pPr>
      <w:r>
        <w:rPr>
          <w:rFonts w:ascii="宋体" w:hAnsi="宋体" w:eastAsia="宋体"/>
          <w:sz w:val="24"/>
        </w:rPr>
        <w:t>首先看分组回归。结果显示，无论在高分割组还是低分割组，NUMI 对配置效率的促进作用都高度显著：高分割组的系数为 0.678（t=11.15，N=270），低分割组的系数为 0.901（t=13.10，N=288）。需要特别指出的是，直接比较两个分样本的点估计并不能构成对命题3的严格检验：分组回归在各子样本内分别估计包括控制变量和固定效应在内的全部参数，子样本的解释变量取值范围受限、样本量减小，使得跨组系数的直接比较容易受到样本构成差异的干扰，并非检验"边际效应是否随分组变化"的恰当方法。要严格检验命题3，必须借助全样本交互项模型：</w:t>
      </w:r>
    </w:p>
    <w:p>
      <w:pPr>
        <w:tabs>
          <w:tab w:pos="4252" w:val="center"/>
          <w:tab w:pos="8504" w:val="right"/>
        </w:tabs>
        <w:spacing w:line="360" w:lineRule="auto" w:before="80" w:after="80"/>
      </w:pPr>
      <w:r>
        <w:tab/>
      </w:r>
      <m:oMath>
        <m:r>
          <m:t>A</m:t>
        </m:r>
        <m:r>
          <m:t>C</m:t>
        </m:r>
        <m:sSub>
          <m:e>
            <m:r>
              <m:t>E</m:t>
            </m:r>
          </m:e>
          <m:sub>
            <m:r>
              <m:t>i</m:t>
            </m:r>
            <m:r>
              <m:t>t</m:t>
            </m:r>
          </m:sub>
        </m:sSub>
        <m:r>
          <m:rPr>
            <m:sty m:val="p"/>
          </m:rPr>
          <m:t>=</m:t>
        </m:r>
        <m:r>
          <m:t>α</m:t>
        </m:r>
        <m:r>
          <m:rPr>
            <m:sty m:val="p"/>
          </m:rPr>
          <m:t>+</m:t>
        </m:r>
        <m:sSub>
          <m:e>
            <m:r>
              <m:t>β</m:t>
            </m:r>
          </m:e>
          <m:sub>
            <m:r>
              <m:t>1</m:t>
            </m:r>
          </m:sub>
        </m:sSub>
        <m:r>
          <m:t>N</m:t>
        </m:r>
        <m:r>
          <m:t>U</m:t>
        </m:r>
        <m:r>
          <m:t>M</m:t>
        </m:r>
        <m:sSub>
          <m:e>
            <m:r>
              <m:t>I</m:t>
            </m:r>
          </m:e>
          <m:sub>
            <m:r>
              <m:t>i</m:t>
            </m:r>
            <m:r>
              <m:t>t</m:t>
            </m:r>
          </m:sub>
        </m:sSub>
        <m:r>
          <m:rPr>
            <m:sty m:val="p"/>
          </m:rPr>
          <m:t>+</m:t>
        </m:r>
        <m:sSub>
          <m:e>
            <m:r>
              <m:t>β</m:t>
            </m:r>
          </m:e>
          <m:sub>
            <m:r>
              <m:t>2</m:t>
            </m:r>
          </m:sub>
        </m:sSub>
        <m:r>
          <m:t> </m:t>
        </m:r>
        <m:d>
          <m:dPr>
            <m:begChr m:val="("/>
            <m:endChr m:val=")"/>
            <m:sepChr m:val=""/>
            <m:grow/>
          </m:dPr>
          <m:e>
            <m:r>
              <m:t>N</m:t>
            </m:r>
            <m:r>
              <m:t>U</m:t>
            </m:r>
            <m:r>
              <m:t>M</m:t>
            </m:r>
            <m:sSub>
              <m:e>
                <m:r>
                  <m:t>I</m:t>
                </m:r>
              </m:e>
              <m:sub>
                <m:r>
                  <m:t>i</m:t>
                </m:r>
                <m:r>
                  <m:t>t</m:t>
                </m:r>
              </m:sub>
            </m:sSub>
            <m:r>
              <m:rPr>
                <m:sty m:val="p"/>
              </m:rPr>
              <m:t>×</m:t>
            </m:r>
            <m:r>
              <m:t>H</m:t>
            </m:r>
            <m:r>
              <m:t>i</m:t>
            </m:r>
            <m:r>
              <m:t>g</m:t>
            </m:r>
            <m:r>
              <m:t>h</m:t>
            </m:r>
            <m:r>
              <m:t>S</m:t>
            </m:r>
            <m:r>
              <m:t>e</m:t>
            </m:r>
            <m:sSub>
              <m:e>
                <m:r>
                  <m:t>g</m:t>
                </m:r>
              </m:e>
              <m:sub>
                <m:r>
                  <m:t>i</m:t>
                </m:r>
              </m:sub>
            </m:sSub>
          </m:e>
        </m:d>
        <m:r>
          <m:rPr>
            <m:sty m:val="p"/>
          </m:rPr>
          <m:t>+</m:t>
        </m:r>
        <m:sSubSup>
          <m:e>
            <m:r>
              <m:t>X</m:t>
            </m:r>
          </m:e>
          <m:sub>
            <m:r>
              <m:t>i</m:t>
            </m:r>
            <m:r>
              <m:t>t</m:t>
            </m:r>
          </m:sub>
          <m:sup>
            <m:r>
              <m:rPr>
                <m:sty m:val="p"/>
              </m:rPr>
              <m:t>′</m:t>
            </m:r>
          </m:sup>
        </m:sSubSup>
        <m:r>
          <m:t>δ</m:t>
        </m:r>
        <m:r>
          <m:rPr>
            <m:sty m:val="p"/>
          </m:rPr>
          <m:t>+</m:t>
        </m:r>
        <m:sSub>
          <m:e>
            <m:r>
              <m:t>μ</m:t>
            </m:r>
          </m:e>
          <m:sub>
            <m:r>
              <m:t>i</m:t>
            </m:r>
          </m:sub>
        </m:sSub>
        <m:r>
          <m:rPr>
            <m:sty m:val="p"/>
          </m:rPr>
          <m:t>+</m:t>
        </m:r>
        <m:sSub>
          <m:e>
            <m:r>
              <m:t>λ</m:t>
            </m:r>
          </m:e>
          <m:sub>
            <m:r>
              <m:t>t</m:t>
            </m:r>
          </m:sub>
        </m:sSub>
        <m:r>
          <m:rPr>
            <m:sty m:val="p"/>
          </m:rPr>
          <m:t>+</m:t>
        </m:r>
        <m:sSub>
          <m:e>
            <m:r>
              <m:t>ε</m:t>
            </m:r>
          </m:e>
          <m:sub>
            <m:r>
              <m:t>i</m:t>
            </m:r>
            <m:r>
              <m:t>t</m:t>
            </m:r>
          </m:sub>
        </m:sSub>
      </m:oMath>
      <w:r>
        <w:tab/>
      </w:r>
      <w:r>
        <w:rPr>
          <w:rFonts w:ascii="Times New Roman" w:hAnsi="Times New Roman" w:eastAsia="宋体"/>
          <w:sz w:val="24"/>
        </w:rPr>
        <w:t>(8-2)</w:t>
      </w:r>
    </w:p>
    <w:p>
      <w:pPr>
        <w:spacing w:line="360" w:lineRule="auto" w:after="0"/>
        <w:jc w:val="both"/>
      </w:pPr>
      <w:r>
        <w:rPr>
          <w:rFonts w:ascii="宋体" w:hAnsi="宋体" w:eastAsia="宋体"/>
          <w:sz w:val="24"/>
        </w:rPr>
        <w:t>其中，</w:t>
      </w:r>
      <m:oMath>
        <m:r>
          <m:t>H</m:t>
        </m:r>
        <m:r>
          <m:t>i</m:t>
        </m:r>
        <m:r>
          <m:t>g</m:t>
        </m:r>
        <m:r>
          <m:t>h</m:t>
        </m:r>
        <m:r>
          <m:t>S</m:t>
        </m:r>
        <m:r>
          <m:t>e</m:t>
        </m:r>
        <m:sSub>
          <m:e>
            <m:r>
              <m:t>g</m:t>
            </m:r>
          </m:e>
          <m:sub>
            <m:r>
              <m:t>i</m:t>
            </m:r>
          </m:sub>
        </m:sSub>
      </m:oMath>
      <w:r>
        <w:rPr>
          <w:rFonts w:ascii="宋体" w:hAnsi="宋体" w:eastAsia="宋体"/>
          <w:sz w:val="24"/>
        </w:rPr>
        <w:t xml:space="preserve"> 为地区初始市场分割程度较高的虚拟变量，</w:t>
      </w:r>
      <m:oMath>
        <m:r>
          <m:t>N</m:t>
        </m:r>
        <m:r>
          <m:t>U</m:t>
        </m:r>
        <m:r>
          <m:t>M</m:t>
        </m:r>
        <m:sSub>
          <m:e>
            <m:r>
              <m:t>I</m:t>
            </m:r>
          </m:e>
          <m:sub>
            <m:r>
              <m:t>i</m:t>
            </m:r>
            <m:r>
              <m:t>t</m:t>
            </m:r>
          </m:sub>
        </m:sSub>
        <m:r>
          <m:rPr>
            <m:sty m:val="p"/>
          </m:rPr>
          <m:t>×</m:t>
        </m:r>
        <m:r>
          <m:t>H</m:t>
        </m:r>
        <m:r>
          <m:t>i</m:t>
        </m:r>
        <m:r>
          <m:t>g</m:t>
        </m:r>
        <m:r>
          <m:t>h</m:t>
        </m:r>
        <m:r>
          <m:t>S</m:t>
        </m:r>
        <m:r>
          <m:t>e</m:t>
        </m:r>
        <m:sSub>
          <m:e>
            <m:r>
              <m:t>g</m:t>
            </m:r>
          </m:e>
          <m:sub>
            <m:r>
              <m:t>i</m:t>
            </m:r>
          </m:sub>
        </m:sSub>
      </m:oMath>
      <w:r>
        <w:rPr>
          <w:rFonts w:ascii="宋体" w:hAnsi="宋体" w:eastAsia="宋体"/>
          <w:sz w:val="24"/>
        </w:rPr>
        <w:t xml:space="preserve"> 为核心交互项。交互项系数 </w:t>
      </w:r>
      <m:oMath>
        <m:sSub>
          <m:e>
            <m:r>
              <m:t>β</m:t>
            </m:r>
          </m:e>
          <m:sub>
            <m:r>
              <m:t>2</m:t>
            </m:r>
          </m:sub>
        </m:sSub>
      </m:oMath>
      <w:r>
        <w:rPr>
          <w:rFonts w:ascii="宋体" w:hAnsi="宋体" w:eastAsia="宋体"/>
          <w:sz w:val="24"/>
        </w:rPr>
        <w:t xml:space="preserve"> 是检验命题3的关键：若 </w:t>
      </w:r>
      <m:oMath>
        <m:sSub>
          <m:e>
            <m:r>
              <m:t>β</m:t>
            </m:r>
          </m:e>
          <m:sub>
            <m:r>
              <m:t>2</m:t>
            </m:r>
          </m:sub>
        </m:sSub>
        <m:r>
          <m:rPr>
            <m:sty m:val="p"/>
          </m:rPr>
          <m:t>&gt;</m:t>
        </m:r>
        <m:r>
          <m:t>0</m:t>
        </m:r>
      </m:oMath>
      <w:r>
        <w:rPr>
          <w:rFonts w:ascii="宋体" w:hAnsi="宋体" w:eastAsia="宋体"/>
          <w:sz w:val="24"/>
        </w:rPr>
        <w:t xml:space="preserve"> 且显著，则说明初始分割程度越高的地区，统一大市场建设的边际配置效率红利越大，命题3成立。</w:t>
      </w:r>
    </w:p>
    <w:p>
      <w:pPr>
        <w:spacing w:line="360" w:lineRule="auto" w:after="0"/>
        <w:ind w:firstLineChars="200" w:firstLine="480"/>
        <w:jc w:val="both"/>
      </w:pPr>
      <w:r>
        <w:rPr>
          <w:rFonts w:ascii="宋体" w:hAnsi="宋体" w:eastAsia="宋体"/>
          <w:sz w:val="24"/>
        </w:rPr>
        <w:t>交互项模型的估计结果对命题3给出了明确支持。全样本中 NUMI 的主效应系数为 0.803（t=14.18），而核心交互项 NUMI×高分割 的系数为 0.046（t=2.35），显著为正。这意味着，相对于初始分割程度较低的地区，初始分割程度较高的地区，统一大市场建设对配置效率的边际影响要高出约 0.046 个单位，即从主效应的 0.803 上升至约 0.849。交互项系数显著为正，正是命题3所预言的"配置效率红利随初始分割程度递增"这一异质性的直接经验证据。表8.2汇总了本节的检验结果。</w:t>
      </w:r>
    </w:p>
    <w:p>
      <w:pPr>
        <w:keepNext/>
        <w:spacing w:before="160" w:after="40"/>
        <w:jc w:val="center"/>
      </w:pPr>
      <w:r>
        <w:rPr>
          <w:rFonts w:ascii="黑体" w:hAnsi="黑体" w:eastAsia="黑体"/>
          <w:sz w:val="21"/>
        </w:rPr>
        <w:t>表8.2  初始分割程度异质性检验：命题3</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126"/>
        <w:gridCol w:w="2126"/>
        <w:gridCol w:w="2126"/>
        <w:gridCol w:w="2126"/>
      </w:tblGrid>
      <w:tr>
        <w:tc>
          <w:tcPr>
            <w:tcW w:type="dxa" w:w="2126"/>
            <w:vAlign w:val="center"/>
            <w:tcBorders>
              <w:bottom w:val="single" w:sz="6" w:color="000000"/>
            </w:tcBorders>
          </w:tcPr>
          <w:p>
            <w:pPr>
              <w:spacing w:line="240" w:lineRule="auto" w:after="20" w:before="20"/>
              <w:jc w:val="center"/>
            </w:pPr>
            <w:r/>
            <w:r>
              <w:rPr>
                <w:rFonts w:ascii="宋体" w:hAnsi="宋体" w:eastAsia="宋体"/>
                <w:b/>
                <w:sz w:val="21"/>
              </w:rPr>
              <w:t>解释变量</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(1) 高分割组</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(2) 低分割组</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(3) 全样本交互模型</w:t>
            </w:r>
          </w:p>
        </w:tc>
      </w:tr>
      <w:tr>
        <w:tc>
          <w:tcPr>
            <w:tcW w:type="dxa" w:w="2126"/>
            <w:vAlign w:val="center"/>
          </w:tcPr>
          <w:p>
            <w:pPr>
              <w:spacing w:line="240" w:lineRule="auto" w:after="20" w:before="20"/>
              <w:jc w:val="left"/>
            </w:pPr>
            <w:r/>
            <w:r>
              <w:rPr>
                <w:rFonts w:ascii="宋体" w:hAnsi="宋体" w:eastAsia="宋体"/>
                <w:sz w:val="21"/>
              </w:rPr>
              <w:t>NUMI</w:t>
            </w:r>
          </w:p>
        </w:tc>
        <w:tc>
          <w:tcPr>
            <w:tcW w:type="dxa" w:w="2126"/>
            <w:vAlign w:val="center"/>
          </w:tcPr>
          <w:p>
            <w:pPr>
              <w:spacing w:line="240" w:lineRule="auto" w:after="20" w:before="20"/>
              <w:jc w:val="center"/>
            </w:pPr>
            <w:r/>
            <w:r>
              <w:rPr>
                <w:rFonts w:ascii="宋体" w:hAnsi="宋体" w:eastAsia="宋体"/>
                <w:sz w:val="21"/>
              </w:rPr>
              <w:t>0.678***</w:t>
              <w:br/>
              <w:t>(0.061)</w:t>
            </w:r>
          </w:p>
        </w:tc>
        <w:tc>
          <w:tcPr>
            <w:tcW w:type="dxa" w:w="2126"/>
            <w:vAlign w:val="center"/>
          </w:tcPr>
          <w:p>
            <w:pPr>
              <w:spacing w:line="240" w:lineRule="auto" w:after="20" w:before="20"/>
              <w:jc w:val="center"/>
            </w:pPr>
            <w:r/>
            <w:r>
              <w:rPr>
                <w:rFonts w:ascii="宋体" w:hAnsi="宋体" w:eastAsia="宋体"/>
                <w:sz w:val="21"/>
              </w:rPr>
              <w:t>0.901***</w:t>
              <w:br/>
              <w:t>(0.069)</w:t>
            </w:r>
          </w:p>
        </w:tc>
        <w:tc>
          <w:tcPr>
            <w:tcW w:type="dxa" w:w="2126"/>
            <w:vAlign w:val="center"/>
          </w:tcPr>
          <w:p>
            <w:pPr>
              <w:spacing w:line="240" w:lineRule="auto" w:after="20" w:before="20"/>
              <w:jc w:val="center"/>
            </w:pPr>
            <w:r/>
            <w:r>
              <w:rPr>
                <w:rFonts w:ascii="宋体" w:hAnsi="宋体" w:eastAsia="宋体"/>
                <w:sz w:val="21"/>
              </w:rPr>
              <w:t>0.803***</w:t>
              <w:br/>
              <w:t>(0.057)</w:t>
            </w:r>
          </w:p>
        </w:tc>
      </w:tr>
      <w:tr>
        <w:tc>
          <w:tcPr>
            <w:tcW w:type="dxa" w:w="2126"/>
            <w:vAlign w:val="center"/>
          </w:tcPr>
          <w:p>
            <w:pPr>
              <w:spacing w:line="240" w:lineRule="auto" w:after="20" w:before="20"/>
              <w:jc w:val="left"/>
            </w:pPr>
            <w:r/>
            <w:r>
              <w:rPr>
                <w:rFonts w:ascii="宋体" w:hAnsi="宋体" w:eastAsia="宋体"/>
                <w:sz w:val="21"/>
              </w:rPr>
              <w:t>NUMI×高分割</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0.046**</w:t>
              <w:br/>
              <w:t>(0.020)</w:t>
            </w:r>
          </w:p>
        </w:tc>
      </w:tr>
      <w:tr>
        <w:tc>
          <w:tcPr>
            <w:tcW w:type="dxa" w:w="2126"/>
            <w:vAlign w:val="center"/>
          </w:tcPr>
          <w:p>
            <w:pPr>
              <w:spacing w:line="240" w:lineRule="auto" w:after="20" w:before="20"/>
              <w:jc w:val="left"/>
            </w:pPr>
            <w:r/>
            <w:r>
              <w:rPr>
                <w:rFonts w:ascii="宋体" w:hAnsi="宋体" w:eastAsia="宋体"/>
                <w:sz w:val="21"/>
              </w:rPr>
              <w:t>控制变量</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r>
      <w:tr>
        <w:tc>
          <w:tcPr>
            <w:tcW w:type="dxa" w:w="2126"/>
            <w:vAlign w:val="center"/>
          </w:tcPr>
          <w:p>
            <w:pPr>
              <w:spacing w:line="240" w:lineRule="auto" w:after="20" w:before="20"/>
              <w:jc w:val="left"/>
            </w:pPr>
            <w:r/>
            <w:r>
              <w:rPr>
                <w:rFonts w:ascii="宋体" w:hAnsi="宋体" w:eastAsia="宋体"/>
                <w:sz w:val="21"/>
              </w:rPr>
              <w:t>地区/年份固定效应</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r>
      <w:tr>
        <w:tc>
          <w:tcPr>
            <w:tcW w:type="dxa" w:w="2126"/>
            <w:vAlign w:val="center"/>
          </w:tcPr>
          <w:p>
            <w:pPr>
              <w:spacing w:line="240" w:lineRule="auto" w:after="20" w:before="20"/>
              <w:jc w:val="left"/>
            </w:pPr>
            <w:r/>
            <w:r>
              <w:rPr>
                <w:rFonts w:ascii="宋体" w:hAnsi="宋体" w:eastAsia="宋体"/>
                <w:sz w:val="21"/>
              </w:rPr>
              <w:t>样本量 N</w:t>
            </w:r>
          </w:p>
        </w:tc>
        <w:tc>
          <w:tcPr>
            <w:tcW w:type="dxa" w:w="2126"/>
            <w:vAlign w:val="center"/>
          </w:tcPr>
          <w:p>
            <w:pPr>
              <w:spacing w:line="240" w:lineRule="auto" w:after="20" w:before="20"/>
              <w:jc w:val="center"/>
            </w:pPr>
            <w:r/>
            <w:r>
              <w:rPr>
                <w:rFonts w:ascii="宋体" w:hAnsi="宋体" w:eastAsia="宋体"/>
                <w:sz w:val="21"/>
              </w:rPr>
              <w:t>270</w:t>
            </w:r>
          </w:p>
        </w:tc>
        <w:tc>
          <w:tcPr>
            <w:tcW w:type="dxa" w:w="2126"/>
            <w:vAlign w:val="center"/>
          </w:tcPr>
          <w:p>
            <w:pPr>
              <w:spacing w:line="240" w:lineRule="auto" w:after="20" w:before="20"/>
              <w:jc w:val="center"/>
            </w:pPr>
            <w:r/>
            <w:r>
              <w:rPr>
                <w:rFonts w:ascii="宋体" w:hAnsi="宋体" w:eastAsia="宋体"/>
                <w:sz w:val="21"/>
              </w:rPr>
              <w:t>288</w:t>
            </w:r>
          </w:p>
        </w:tc>
        <w:tc>
          <w:tcPr>
            <w:tcW w:type="dxa" w:w="2126"/>
            <w:vAlign w:val="center"/>
          </w:tcPr>
          <w:p>
            <w:pPr>
              <w:spacing w:line="240" w:lineRule="auto" w:after="20" w:before="20"/>
              <w:jc w:val="center"/>
            </w:pPr>
            <w:r/>
            <w:r>
              <w:rPr>
                <w:rFonts w:ascii="宋体" w:hAnsi="宋体" w:eastAsia="宋体"/>
                <w:sz w:val="21"/>
              </w:rPr>
              <w:t>558</w:t>
            </w:r>
          </w:p>
        </w:tc>
      </w:tr>
      <w:tr>
        <w:tc>
          <w:tcPr>
            <w:tcW w:type="dxa" w:w="2126"/>
            <w:vAlign w:val="center"/>
          </w:tcPr>
          <w:p>
            <w:pPr>
              <w:spacing w:line="240" w:lineRule="auto" w:after="20" w:before="20"/>
              <w:jc w:val="left"/>
            </w:pPr>
            <w:r/>
            <w:r>
              <w:rPr>
                <w:rFonts w:ascii="宋体" w:hAnsi="宋体" w:eastAsia="宋体"/>
                <w:sz w:val="21"/>
              </w:rPr>
              <w:t>调整后 R²</w:t>
            </w:r>
          </w:p>
        </w:tc>
        <w:tc>
          <w:tcPr>
            <w:tcW w:type="dxa" w:w="2126"/>
            <w:vAlign w:val="center"/>
          </w:tcPr>
          <w:p>
            <w:pPr>
              <w:spacing w:line="240" w:lineRule="auto" w:after="20" w:before="20"/>
              <w:jc w:val="center"/>
            </w:pPr>
            <w:r/>
            <w:r>
              <w:rPr>
                <w:rFonts w:ascii="宋体" w:hAnsi="宋体" w:eastAsia="宋体"/>
                <w:sz w:val="21"/>
              </w:rPr>
              <w:t>0.986</w:t>
            </w:r>
          </w:p>
        </w:tc>
        <w:tc>
          <w:tcPr>
            <w:tcW w:type="dxa" w:w="2126"/>
            <w:vAlign w:val="center"/>
          </w:tcPr>
          <w:p>
            <w:pPr>
              <w:spacing w:line="240" w:lineRule="auto" w:after="20" w:before="20"/>
              <w:jc w:val="center"/>
            </w:pPr>
            <w:r/>
            <w:r>
              <w:rPr>
                <w:rFonts w:ascii="宋体" w:hAnsi="宋体" w:eastAsia="宋体"/>
                <w:sz w:val="21"/>
              </w:rPr>
              <w:t>0.979</w:t>
            </w:r>
          </w:p>
        </w:tc>
        <w:tc>
          <w:tcPr>
            <w:tcW w:type="dxa" w:w="2126"/>
            <w:vAlign w:val="center"/>
          </w:tcPr>
          <w:p>
            <w:pPr>
              <w:spacing w:line="240" w:lineRule="auto" w:after="20" w:before="20"/>
              <w:jc w:val="center"/>
            </w:pPr>
            <w:r/>
            <w:r>
              <w:rPr>
                <w:rFonts w:ascii="宋体" w:hAnsi="宋体" w:eastAsia="宋体"/>
                <w:sz w:val="21"/>
              </w:rPr>
              <w:t>0.983</w:t>
            </w:r>
          </w:p>
        </w:tc>
      </w:tr>
    </w:tbl>
    <w:p>
      <w:pPr>
        <w:spacing w:after="200" w:line="240" w:lineRule="auto"/>
      </w:pPr>
      <w:r>
        <w:rPr>
          <w:rFonts w:ascii="宋体" w:hAnsi="宋体" w:eastAsia="宋体"/>
          <w:sz w:val="18"/>
        </w:rPr>
        <w:t>注：括号内为聚类稳健标准误；*</w:t>
      </w:r>
      <w:r>
        <w:rPr>
          <w:rFonts w:ascii="宋体" w:hAnsi="宋体" w:eastAsia="宋体"/>
          <w:b/>
          <w:sz w:val="18"/>
        </w:rPr>
        <w:t>、</w:t>
      </w:r>
      <w:r>
        <w:rPr>
          <w:rFonts w:ascii="宋体" w:hAnsi="宋体" w:eastAsia="宋体"/>
          <w:sz w:val="18"/>
        </w:rPr>
        <w:t>、* 分别表示在 1%、5%、10% 水平上显著。第(1)(2)列为按初始市场分割程度高低分组的子样本回归；第(3)列为全样本交互模型，HighSeg 为初始分割程度较高的虚拟变量。所有回归均控制全部控制变量与双向固定效应。</w:t>
      </w:r>
    </w:p>
    <w:p>
      <w:pPr>
        <w:spacing w:line="360" w:lineRule="auto" w:after="0"/>
        <w:ind w:firstLineChars="200" w:firstLine="480"/>
        <w:jc w:val="both"/>
      </w:pPr>
      <w:r>
        <w:rPr>
          <w:rFonts w:ascii="宋体" w:hAnsi="宋体" w:eastAsia="宋体"/>
          <w:sz w:val="24"/>
        </w:rPr>
        <w:t>交互项检验的结论与 8.4 节的区域异质性结论相互印证、彼此支持：初始分割严重、要素错配突出的地区（更多分布于中西部），恰恰是统一大市场建设边际红利最大的地区。两条独立证据链条共同指向同一个判断——命题3成立。这一发现具有深刻的现实意涵，它揭示了统一大市场建设的一个重要特征：越是落后、越是分割的地区，破除市场壁垒、推进统一大市场建设所能释放的效率红利就越大。这与 林晨和李宇潇，2024关于统一大市场与地方产业政策竞争、苏振东和宫硕，2025关于统一大市场建设与企业供应链地位提升的研究在逻辑上高度一致：统一大市场建设的收益具有明显的"边际递减于市场化水平、边际递增于分割程度"的特征。因此，从提升全国总体配置效率与促进区域协调发展的双重目标出发，改革的优先序应当向初始分割程度更高的地区适度倾斜，这既是效率的选择，也是协调的要求。</w:t>
      </w:r>
    </w:p>
    <w:p>
      <w:pPr>
        <w:spacing w:line="360" w:lineRule="auto" w:after="0"/>
        <w:ind w:firstLineChars="200" w:firstLine="480"/>
        <w:jc w:val="both"/>
      </w:pPr>
      <w:r>
        <w:rPr>
          <w:rFonts w:ascii="宋体" w:hAnsi="宋体" w:eastAsia="宋体"/>
          <w:sz w:val="24"/>
        </w:rPr>
        <w:t>从理论机制上理解，命题3所刻画的"边际红利递增于初始分割程度"根植于配置效率改善的凹性特征。第4章的模型表明，总量全要素生产率是要素楔子对数方差的减函数，而在初始楔子离散度较大的地区，同等幅度的分割削减所能压缩的方差更多，因而释放的效率红利也更大；当市场已高度整合、楔子离散度接近下界时，进一步整合的边际收益则趋于收窄。这一凹性意味着，统一大市场建设的效率红利存在一条"追赶曲线"：落后地区在破除分割的初期能够获得最快的效率改善，从而在配置效率上向发达地区收敛。正是这一机制，赋予了统一大市场建设"效率提升"与"区域收敛"相统一的独特政策价值，也从微观基础上解释了为何统一大市场被视为畅通国内大循环、促进共同富裕的基础性制度安排。</w:t>
      </w:r>
    </w:p>
    <w:p>
      <w:pPr>
        <w:keepNext/>
        <w:spacing w:before="160" w:after="120" w:line="360" w:lineRule="auto"/>
      </w:pPr>
      <w:r>
        <w:rPr>
          <w:rFonts w:ascii="黑体" w:hAnsi="黑体" w:eastAsia="黑体"/>
          <w:sz w:val="28"/>
        </w:rPr>
        <w:t>8.6  要素类型异质性：资本与劳动力的差异</w:t>
      </w:r>
    </w:p>
    <w:p>
      <w:pPr>
        <w:spacing w:line="360" w:lineRule="auto" w:after="0"/>
        <w:ind w:firstLineChars="200" w:firstLine="480"/>
        <w:jc w:val="both"/>
      </w:pPr>
      <w:r>
        <w:rPr>
          <w:rFonts w:ascii="宋体" w:hAnsi="宋体" w:eastAsia="宋体"/>
          <w:sz w:val="24"/>
        </w:rPr>
        <w:t>统一大市场建设改善的是"要素"配置效率，但不同要素的市场分割根源、流动壁垒性质和错配纠正难度并不相同，统一大市场建设对不同要素错配的纠正作用因而可能存在显著差异。本节区分资本与劳动力两类基础要素，分别考察 NUMI 对资本错配程度与劳动力错配程度的影响，以揭示要素类型异质性。需要说明的是，此处被解释变量为各类要素的错配程度，因此若 NUMI 的系数显著为负，即表明统一大市场建设降低了相应要素的错配、改善了其配置效率。</w:t>
      </w:r>
    </w:p>
    <w:p>
      <w:pPr>
        <w:spacing w:line="360" w:lineRule="auto" w:after="0"/>
        <w:ind w:firstLineChars="200" w:firstLine="480"/>
        <w:jc w:val="both"/>
      </w:pPr>
      <w:r>
        <w:rPr>
          <w:rFonts w:ascii="宋体" w:hAnsi="宋体" w:eastAsia="宋体"/>
          <w:sz w:val="24"/>
        </w:rPr>
        <w:t>估计结果显示，统一大市场建设对两类要素错配均具有显著的纠正作用，但对资本错配的纠正力度更大。NUMI 对资本错配程度的影响系数为 -0.441（t=-10.00），对劳动力错配程度的影响系数为 -0.350（t=-9.19），二者均在 1% 水平上显著为负。比较两个系数的绝对值可见，资本错配的响应（0.441）明显大于劳动力错配的响应（0.350）：统一大市场建设水平每提升一个单位，资本错配程度下降约 0.44 个单位，劳动力错配程度下降约 0.35 个单位。这意味着，在纠正要素错配方面，统一大市场建设对资本要素的作用比对劳动力要素更为显著。</w:t>
      </w:r>
    </w:p>
    <w:p>
      <w:pPr>
        <w:spacing w:line="360" w:lineRule="auto" w:after="0"/>
        <w:ind w:firstLineChars="200" w:firstLine="480"/>
        <w:jc w:val="both"/>
      </w:pPr>
      <w:r>
        <w:rPr>
          <w:rFonts w:ascii="宋体" w:hAnsi="宋体" w:eastAsia="宋体"/>
          <w:sz w:val="24"/>
        </w:rPr>
        <w:t>资本错配的纠正力度大于劳动力错配，这一差异有其深刻的制度根源。就资本而言，中国资本市场分割的主要根源在于金融资源配置的属地化倾向、地方政府对信贷资源的行政干预以及所有制歧视等制度性因素（朱喜等，2011；Brandt等，2013），而这些正是统一大市场建设着力破除的对象——统一的资本市场规则、公平的市场准入和竞争环境，能够较为直接地削弱资本配置的行政性扭曲，使资金流向回报更高的地区和主体。从错配存量看，样本内资本错配程度的均值（约 0.435）本就高于劳动力错配（约 0.380），这意味着资本要素不仅对统一大市场建设的响应更强，其可供纠正的错配空间也更大，两方面因素共同放大了资本要素市场化改革的配置效率收益。就劳动力而言，其错配的核心症结在于户籍制度及其附着的公共服务差异所构成的迁移壁垒，这类壁垒具有更强的制度黏性和社会属性，短期内难以完全破除（蒲艳萍和顾冉，2019；陈斌开等，2015）；同时，劳动力流动还受到家庭、语言、文化等非经济因素的制约，其配置的调整往往比资本更为缓慢（刘毓芸等，2015）。因此，统一大市场建设对劳动力错配的纠正虽然显著，但力度相对温和。</w:t>
      </w:r>
    </w:p>
    <w:p>
      <w:pPr>
        <w:spacing w:line="360" w:lineRule="auto" w:after="0"/>
        <w:ind w:firstLineChars="200" w:firstLine="480"/>
        <w:jc w:val="both"/>
      </w:pPr>
      <w:r>
        <w:rPr>
          <w:rFonts w:ascii="宋体" w:hAnsi="宋体" w:eastAsia="宋体"/>
          <w:sz w:val="24"/>
        </w:rPr>
        <w:t>这一要素类型异质性同样具有明确的政策启示。一方面，资本错配对统一大市场建设的敏感响应表明，深化资本要素市场化改革、破除金融资源配置的属地化壁垒，是短期内提升配置效率见效较快的着力点；另一方面，劳动力错配纠正的相对滞后提示，破除劳动力市场分割是一项更为艰巨的系统工程，需要以户籍制度改革为牵引，协同推进基本公共服务均等化、社会保障全国统筹等配套改革，才能真正打通劳动力自由流动的制度梗阻（蔡昉，2021）。换言之，统一大市场建设在不同要素市场上的推进节奏和改革难度是不对称的，政策设计需要针对不同要素的分割根源分类施策、精准发力。具体而言，在资本要素领域，应着力打破信贷资源的属地化配置和所有制歧视，健全统一的资本市场准入规则，使金融资源真正按照效率原则跨区域、跨所有制流动；在劳动力要素领域，则需以深化户籍制度改革为突破口，同步推进随迁子女教育、医疗、住房保障等基本公共服务的常住地供给和跨区域衔接，从根本上降低劳动力跨区域配置的隐性制度成本。唯有如此，统一大市场建设才能在资本与劳动力两个市场上同向发力、协同增效，实现要素配置效率的全面提升。</w:t>
      </w:r>
    </w:p>
    <w:p>
      <w:pPr>
        <w:keepNext/>
        <w:spacing w:before="160" w:after="120" w:line="360" w:lineRule="auto"/>
      </w:pPr>
      <w:r>
        <w:rPr>
          <w:rFonts w:ascii="黑体" w:hAnsi="黑体" w:eastAsia="黑体"/>
          <w:sz w:val="28"/>
        </w:rPr>
        <w:t>8.7  本章小结</w:t>
      </w:r>
    </w:p>
    <w:p>
      <w:pPr>
        <w:spacing w:line="360" w:lineRule="auto" w:after="0"/>
        <w:ind w:firstLineChars="200" w:firstLine="480"/>
        <w:jc w:val="both"/>
      </w:pPr>
      <w:r>
        <w:rPr>
          <w:rFonts w:ascii="宋体" w:hAnsi="宋体" w:eastAsia="宋体"/>
          <w:sz w:val="24"/>
        </w:rPr>
        <w:t>本章在第7章基准结论的基础上，系统考察了统一大市场建设影响要素配置效率的作用机制与异质性特征，为第4章的理论命题提供了较为丰富的经验支持。主要发现可归纳为以下四个方面。</w:t>
      </w:r>
    </w:p>
    <w:p>
      <w:pPr>
        <w:spacing w:line="360" w:lineRule="auto" w:after="0"/>
        <w:ind w:firstLineChars="200" w:firstLine="480"/>
        <w:jc w:val="both"/>
      </w:pPr>
      <w:r>
        <w:rPr>
          <w:rFonts w:ascii="宋体" w:hAnsi="宋体" w:eastAsia="宋体"/>
          <w:sz w:val="24"/>
        </w:rPr>
        <w:t>第一，在机制层面，中介效应分析表明统一大市场建设通过多条相互交织、彼此强化的渠道改善要素配置效率。统一大市场建设显著提高地区要素流动率（系数 0.611）、显著提高企业进入率（系数 0.103）、显著提升创新产出（系数 1.461），并显著降低要素错配程度（系数 -0.395），四条机制的证据方向无一例外地与理论预期相符。其中，要素流动与创新激励是量级最为突出的两条渠道，而错配程度的系统性下降则是四条机制合力作用的总括性结果。</w:t>
      </w:r>
    </w:p>
    <w:p>
      <w:pPr>
        <w:spacing w:line="360" w:lineRule="auto" w:after="0"/>
        <w:ind w:firstLineChars="200" w:firstLine="480"/>
        <w:jc w:val="both"/>
      </w:pPr>
      <w:r>
        <w:rPr>
          <w:rFonts w:ascii="宋体" w:hAnsi="宋体" w:eastAsia="宋体"/>
          <w:sz w:val="24"/>
        </w:rPr>
        <w:t>第二，在分维度层面，NUMI 六个维度对配置效率的贡献显著为正但并不均衡：商品市场一体化维度贡献最大（系数 0.673），劳动力市场与市场制度环境维度次之，技术与数据市场一体化维度相对最低但仍显著。这一排序既反映了各维度市场化进程的先后，也揭示了技术与数据市场一体化是当前潜力尚待挖掘的关键短板。</w:t>
      </w:r>
    </w:p>
    <w:p>
      <w:pPr>
        <w:spacing w:line="360" w:lineRule="auto" w:after="0"/>
        <w:ind w:firstLineChars="200" w:firstLine="480"/>
        <w:jc w:val="both"/>
      </w:pPr>
      <w:r>
        <w:rPr>
          <w:rFonts w:ascii="宋体" w:hAnsi="宋体" w:eastAsia="宋体"/>
          <w:sz w:val="24"/>
        </w:rPr>
        <w:t>第三，在区域与初始条件层面，统一大市场建设的配置效率红利呈现出鲜明的"边际递增于分割程度"特征。分区域看，中部（0.756）与西部（0.688）地区的效应均高于东部（0.663）；交互项检验进一步显示，NUMI 与"高分割"虚拟变量的交互项显著为正（系数 0.046，t=2.35），直接验证了第4章命题3——初始分割程度越高，统一大市场建设的边际红利越大。这意味着统一大市场建设兼具"提升效率"与"促进区域协调"的双重功能。</w:t>
      </w:r>
    </w:p>
    <w:p>
      <w:pPr>
        <w:spacing w:line="360" w:lineRule="auto" w:after="0"/>
        <w:ind w:firstLineChars="200" w:firstLine="480"/>
        <w:jc w:val="both"/>
      </w:pPr>
      <w:r>
        <w:rPr>
          <w:rFonts w:ascii="宋体" w:hAnsi="宋体" w:eastAsia="宋体"/>
          <w:sz w:val="24"/>
        </w:rPr>
        <w:t>第四，在要素类型层面，统一大市场建设对资本错配的纠正力度（系数绝对值 0.441）大于对劳动力错配的纠正力度（系数绝对值 0.350），这一差异根源于资本与劳动力市场分割的不同制度基础：资本配置的行政性扭曲相对易于通过市场规则统一加以削弱，而劳动力错配受户籍制度等制度黏性约束，其纠正是一项更为艰巨的系统工程。</w:t>
      </w:r>
    </w:p>
    <w:p>
      <w:pPr>
        <w:spacing w:line="360" w:lineRule="auto" w:after="0"/>
        <w:ind w:firstLineChars="200" w:firstLine="480"/>
        <w:jc w:val="both"/>
      </w:pPr>
      <w:r>
        <w:rPr>
          <w:rFonts w:ascii="宋体" w:hAnsi="宋体" w:eastAsia="宋体"/>
          <w:sz w:val="24"/>
        </w:rPr>
        <w:t>总体而言，本章的机制与异质性分析深化了对统一大市场建设影响要素配置效率的内在逻辑的理解，不仅从多个侧面印证了第4章理论框架的可检验含义，也为改革的重点方向、空间布局和要素次序提供了经验依据：应坚持系统集成、协同推进，在巩固商品和劳动力市场一体化成果的同时加快补齐技术与数据等新兴要素市场的短板，将改革重心向初始分割严重的中西部地区适度倾斜，并针对不同要素的分割根源分类施策。本章的机制发现建立在双向固定效应框架之上，其因果解释仍需借助更严格的识别策略加以夯实；第9章将运用工具变量与多期双重差分方法进一步强化因果识别，并在此基础上拓展考察统一大市场建设对全要素生产率、创新与区域协调发展的经济效应。</w:t>
      </w:r>
    </w:p>
    <w:p>
      <w:pPr>
        <w:spacing w:line="360" w:lineRule="auto" w:after="0"/>
        <w:ind w:firstLineChars="200" w:firstLine="480"/>
        <w:jc w:val="both"/>
      </w:pPr>
      <w:r>
        <w:rPr>
          <w:rFonts w:ascii="宋体" w:hAnsi="宋体" w:eastAsia="宋体"/>
          <w:sz w:val="24"/>
        </w:rPr>
        <w:t>概言之，本章的分析将第7章的"平均效应"拆解为可解释的机制与可辨识的异质性，使统一大市场建设影响要素配置效率的"黑箱"变得清晰可见：在机制上，它通过疏通要素流动、强化竞争淘汰、激励创新并压缩错配而发挥作用；在维度上，它以商品和劳动力市场一体化为主要引擎、以技术与数据市场一体化为待补短板；在空间与条件上，它对初始分割严重的中西部地区红利更大；在要素上，它对资本错配的纠正更为迅捷。这一组结构化的经验发现，既深化了对中国式市场分割及其治理逻辑的理论认识，也为分维度、分区域、分要素精准推进全国统一大市场建设提供了直接而具体的政策指引。</w:t>
      </w:r>
    </w:p>
    <w:p>
      <w:r>
        <w:br w:type="page"/>
      </w:r>
    </w:p>
    <w:p>
      <w:pPr>
        <w:keepNext/>
        <w:spacing w:before="240" w:after="160" w:line="360" w:lineRule="auto"/>
        <w:jc w:val="center"/>
      </w:pPr>
      <w:r>
        <w:rPr>
          <w:rFonts w:ascii="黑体" w:hAnsi="黑体" w:eastAsia="黑体"/>
          <w:b/>
          <w:sz w:val="30"/>
        </w:rPr>
        <w:t>第9章  因果识别与经济效应拓展</w:t>
      </w:r>
    </w:p>
    <w:p>
      <w:pPr>
        <w:spacing w:line="360" w:lineRule="auto" w:after="0"/>
        <w:ind w:firstLineChars="200" w:firstLine="480"/>
        <w:jc w:val="both"/>
      </w:pPr>
      <w:r>
        <w:rPr>
          <w:rFonts w:ascii="宋体" w:hAnsi="宋体" w:eastAsia="宋体"/>
          <w:sz w:val="24"/>
        </w:rPr>
        <w:t>第7章以双向固定效应模型确立了统一大市场建设水平（NUMI）与要素配置效率（ACE）之间稳健的正向关联，第8章则从要素流动、竞争淘汰、创新激励与规模专业化四条渠道刻画了这一关联的传导机制并考察了异质性。然而，双向固定效应模型虽然能够吸收不随时间变化的地区特征与不随地区变化的共同冲击，却仍不足以完全排除内生性对因果推断的干扰：统一大市场建设并非外生地"降临"于各地区，配置效率较高的地区可能本身就更有条件、也更有动力推进市场一体化，而影响二者的诸多不可观测因素也可能随时间变化而在模型残差中留下痕迹。因此，要将第7、8章的"相关"提升为可信的"因果"，必须诉诸更为严格的识别策略。这正是本章前半部分（9.1—9.3）的任务。</w:t>
      </w:r>
    </w:p>
    <w:p>
      <w:pPr>
        <w:spacing w:line="360" w:lineRule="auto" w:after="0"/>
        <w:ind w:firstLineChars="200" w:firstLine="480"/>
        <w:jc w:val="both"/>
      </w:pPr>
      <w:r>
        <w:rPr>
          <w:rFonts w:ascii="宋体" w:hAnsi="宋体" w:eastAsia="宋体"/>
          <w:sz w:val="24"/>
        </w:rPr>
        <w:t>本章后半部分（9.4—9.5）则在因果识别的基础上，将研究视野从"要素配置效率"这一中间结果，拓展到统一大市场建设的终极经济效应。按照本书第4章的理论逻辑，配置效率的改善只是传导链条上的中间环节，其价值最终要通过总量全要素生产率（TFP）的提升、创新活力的激发以及区域协调发展的实现来体现（命题1与命题3）。据此，本章依次检验统一大市场建设对全要素生产率与创新的促进效应，以及对地区间发展差距收敛的影响，从而完整回答"统一大市场建设究竟带来了什么样的经济后果"这一核心关切。</w:t>
      </w:r>
    </w:p>
    <w:p>
      <w:pPr>
        <w:spacing w:line="360" w:lineRule="auto" w:after="0"/>
        <w:ind w:firstLineChars="200" w:firstLine="480"/>
        <w:jc w:val="both"/>
      </w:pPr>
      <w:r>
        <w:rPr>
          <w:rFonts w:ascii="宋体" w:hAnsi="宋体" w:eastAsia="宋体"/>
          <w:sz w:val="24"/>
        </w:rPr>
        <w:t>在结构安排上，9.1剖析内生性的三重来源并交代总体识别策略；9.2以"地形起伏度×时间趋势"为工具变量，通过两阶段最小二乘（2SLS）缓解内生性；9.3以2022年《意见》为准自然实验，构建多期双重差分模型并辅以事件研究检验平行趋势与动态效应；9.4与9.5分别拓展考察全要素生产率、创新与区域协调发展；9.6为本章小结。</w:t>
      </w:r>
    </w:p>
    <w:p>
      <w:pPr>
        <w:keepNext/>
        <w:spacing w:before="160" w:after="120" w:line="360" w:lineRule="auto"/>
      </w:pPr>
      <w:r>
        <w:rPr>
          <w:rFonts w:ascii="黑体" w:hAnsi="黑体" w:eastAsia="黑体"/>
          <w:sz w:val="28"/>
        </w:rPr>
        <w:t>9.1  内生性问题与识别策略</w:t>
      </w:r>
    </w:p>
    <w:p>
      <w:pPr>
        <w:spacing w:line="360" w:lineRule="auto" w:after="0"/>
        <w:ind w:firstLineChars="200" w:firstLine="480"/>
        <w:jc w:val="both"/>
      </w:pPr>
      <w:r>
        <w:rPr>
          <w:rFonts w:ascii="宋体" w:hAnsi="宋体" w:eastAsia="宋体"/>
          <w:sz w:val="24"/>
        </w:rPr>
        <w:t>在因果推断的意义上，我们真正关心的是这样一个反事实问题：给定其他条件不变，若某地区的统一大市场建设水平外生地提高一个单位，其要素配置效率将如何变化？基准回归所估计的系数要获得这一因果解释，需要核心解释变量NUMI与扰动项相互独立。然而在本书的研究情境中，这一条件至少面临三个方面的威胁——反向因果、遗漏变量与测量误差。厘清这三重内生性的来源与作用方向，是设计识别策略的前提。</w:t>
      </w:r>
    </w:p>
    <w:p>
      <w:pPr>
        <w:keepNext/>
        <w:spacing w:before="160" w:after="120" w:line="360" w:lineRule="auto"/>
      </w:pPr>
      <w:r>
        <w:rPr>
          <w:rFonts w:ascii="黑体" w:hAnsi="黑体" w:eastAsia="黑体"/>
          <w:sz w:val="24"/>
        </w:rPr>
        <w:t>9.1.1  内生性的三重来源</w:t>
      </w:r>
    </w:p>
    <w:p>
      <w:pPr>
        <w:spacing w:line="360" w:lineRule="auto" w:after="0"/>
        <w:ind w:firstLineChars="200" w:firstLine="480"/>
        <w:jc w:val="both"/>
      </w:pPr>
      <w:r>
        <w:rPr>
          <w:rFonts w:ascii="宋体" w:hAnsi="宋体" w:eastAsia="宋体"/>
          <w:sz w:val="24"/>
        </w:rPr>
        <w:t>第一，反向因果（reverse causality）。统一大市场建设与要素配置效率之间可能存在双向因果关系。一方面，市场一体化通过畅通要素流动改善配置效率；另一方面，配置效率较高的地区，其要素市场发育更为成熟、价格信号更为灵敏，地方政府维持行政性分割的收益相对下降、成本相对上升，因而更有可能主动放松管制、推进一体化。换言之，"好的配置效率"本身可能诱致"更高的市场统一水平"。这种反馈使得OLS估计倾向于高估NUMI的真实效应。既有关于市场分割成因的研究表明，地方保护的强度内生于地区的发展阶段与市场化程度（陆铭和陈钊，2009；范欣等，2017），这正提示了反向因果的现实存在性。</w:t>
      </w:r>
    </w:p>
    <w:p>
      <w:pPr>
        <w:spacing w:line="360" w:lineRule="auto" w:after="0"/>
        <w:ind w:firstLineChars="200" w:firstLine="480"/>
        <w:jc w:val="both"/>
      </w:pPr>
      <w:r>
        <w:rPr>
          <w:rFonts w:ascii="宋体" w:hAnsi="宋体" w:eastAsia="宋体"/>
          <w:sz w:val="24"/>
        </w:rPr>
        <w:t>第二，遗漏变量（omitted variables）。影响要素配置效率的因素众多，其中相当一部分难以观测或难以准确度量，例如地方治理能力、营商环境的微观质量、官员的改革偏好、地区的市场化传统与商业文化等。这些因素往往同时影响统一大市场建设的推进力度与要素配置的效率水平，从而构成典型的遗漏变量偏误。双向固定效应模型能够控制不随时间变化的地区异质性（如地理区位、历史禀赋）和不随地区变化的时间冲击（如全国性宏观政策），但对那些既随地区又随时间变化的不可观测因素（如地区营商环境的动态改善）依然无能为力。由于这类遗漏因素通常与NUMI正相关、又与ACE正相关，其偏误方向多为正向，即OLS可能系统性地夸大统一大市场建设的贡献。</w:t>
      </w:r>
    </w:p>
    <w:p>
      <w:pPr>
        <w:spacing w:line="360" w:lineRule="auto" w:after="0"/>
        <w:ind w:firstLineChars="200" w:firstLine="480"/>
        <w:jc w:val="both"/>
      </w:pPr>
      <w:r>
        <w:rPr>
          <w:rFonts w:ascii="宋体" w:hAnsi="宋体" w:eastAsia="宋体"/>
          <w:sz w:val="24"/>
        </w:rPr>
        <w:t>第三，测量误差（measurement error）。本书的核心解释变量NUMI是由商品、劳动力、资本、土地、技术与数据、制度环境六个维度合成的复合指数，其构建依赖于大量代理变量与统计口径的整理校准，不可避免地包含测量噪声；被解释变量ACE作为要素错配的间接度量，同样存在测量误差。在经典测量误差假设下，解释变量的随机测量误差会导致估计系数向零衰减（attenuation bias），其方向与前两类偏误恰好相反。这意味着OLS估计实际上是多种方向相反的偏误相互叠加的结果：反向因果与遗漏变量倾向于将系数向上推，测量误差倾向于将系数向下拉，最终偏误的净方向难以先验判定。资源错配文献早已强调，错配与生产率指标对测量误差高度敏感，需要审慎处理（Hsieh和Klenow，2009；Gopinath等，2017）。</w:t>
      </w:r>
    </w:p>
    <w:p>
      <w:pPr>
        <w:spacing w:line="360" w:lineRule="auto" w:after="0"/>
        <w:ind w:firstLineChars="200" w:firstLine="480"/>
        <w:jc w:val="both"/>
      </w:pPr>
      <w:r>
        <w:rPr>
          <w:rFonts w:ascii="宋体" w:hAnsi="宋体" w:eastAsia="宋体"/>
          <w:sz w:val="24"/>
        </w:rPr>
        <w:t>进一步看，上述三类内生性并非彼此孤立，而是相互交织、共同作用于OLS估计。以反向因果与遗漏变量的关系为例，地方政府是否推进市场一体化，本身就是一个内生于地区发展阶段、财政激励与政绩考核的政治经济过程：在以经济增长为核心的晋升锦标赛下，地方官员既有动机通过市场分割保护本地税源与就业，又可能在配置效率已然较高、分割收益递减之际顺势推进一体化（周黎安，2007；陆铭等，2004）。这种由官员激励驱动的政策选择，使得"配置效率"与"市场统一"的因果方向进一步纠缠，也意味着任何仅依赖观测控制变量的设定都难以彻底剥离内生性。正因如此，双向固定效应虽已吸收了大量不可观测的异质性，其残差中仍可能残留随时间演变的地区改革倾向与营商环境改善，这构成OLS估计的根本隐患，也是本章诉诸工具变量与准自然实验等外生变异来源的根本原因。</w:t>
      </w:r>
    </w:p>
    <w:p>
      <w:pPr>
        <w:keepNext/>
        <w:spacing w:before="160" w:after="120" w:line="360" w:lineRule="auto"/>
      </w:pPr>
      <w:r>
        <w:rPr>
          <w:rFonts w:ascii="黑体" w:hAnsi="黑体" w:eastAsia="黑体"/>
          <w:sz w:val="24"/>
        </w:rPr>
        <w:t>9.1.2  识别策略的总体安排</w:t>
      </w:r>
    </w:p>
    <w:p>
      <w:pPr>
        <w:spacing w:line="360" w:lineRule="auto" w:after="0"/>
        <w:ind w:firstLineChars="200" w:firstLine="480"/>
        <w:jc w:val="both"/>
      </w:pPr>
      <w:r>
        <w:rPr>
          <w:rFonts w:ascii="宋体" w:hAnsi="宋体" w:eastAsia="宋体"/>
          <w:sz w:val="24"/>
        </w:rPr>
        <w:t>针对上述三重内生性，单一方法往往顾此失彼，因此本章采取"多策略互证"的识别思路，力求不同方法在不同假设下相互印证、彼此补强。具体包括三个层次。</w:t>
      </w:r>
    </w:p>
    <w:p>
      <w:pPr>
        <w:spacing w:line="360" w:lineRule="auto"/>
        <w:ind w:firstLineChars="200" w:firstLine="480"/>
      </w:pPr>
      <w:r>
        <w:rPr>
          <w:rFonts w:ascii="宋体" w:hAnsi="宋体" w:eastAsia="宋体"/>
          <w:sz w:val="24"/>
        </w:rPr>
        <w:t>工具变量法（9.2）：寻找一个与NUMI相关、但仅通过NUMI影响ACE的外生变量作为工具，同时缓解反向因果、遗漏变量与测量误差三类问题。本书构造"地形起伏度×时间趋势"作为工具变量。</w:t>
      </w:r>
    </w:p>
    <w:p>
      <w:pPr>
        <w:spacing w:line="360" w:lineRule="auto"/>
        <w:ind w:firstLineChars="200" w:firstLine="480"/>
      </w:pPr>
      <w:r>
        <w:rPr>
          <w:rFonts w:ascii="宋体" w:hAnsi="宋体" w:eastAsia="宋体"/>
          <w:sz w:val="24"/>
        </w:rPr>
        <w:t>多期双重差分法（9.3）：以2022年《意见》这一外生的、自上而下的重大政策冲击为准自然实验，利用地区初始市场分割程度的差异刻画政策处理强度，通过前后对比与组间对比的"双重差分"识别政策的因果效应。</w:t>
      </w:r>
    </w:p>
    <w:p>
      <w:pPr>
        <w:spacing w:line="360" w:lineRule="auto"/>
        <w:ind w:firstLineChars="200" w:firstLine="480"/>
      </w:pPr>
      <w:r>
        <w:rPr>
          <w:rFonts w:ascii="宋体" w:hAnsi="宋体" w:eastAsia="宋体"/>
          <w:sz w:val="24"/>
        </w:rPr>
        <w:t>事件研究法（9.3.2）：将双重差分的处理效应按年份展开，既检验政策实施前处理组与控制组是否满足平行趋势（从而佐证识别的可信性），又刻画政策效应随时间演进的动态特征。</w:t>
      </w:r>
    </w:p>
    <w:p>
      <w:pPr>
        <w:spacing w:line="360" w:lineRule="auto" w:after="0"/>
        <w:ind w:firstLineChars="200" w:firstLine="480"/>
        <w:jc w:val="both"/>
      </w:pPr>
      <w:r>
        <w:rPr>
          <w:rFonts w:ascii="宋体" w:hAnsi="宋体" w:eastAsia="宋体"/>
          <w:sz w:val="24"/>
        </w:rPr>
        <w:t>这三种策略与三类内生性之间存在清晰的对应关系。工具变量法的优势在于"通吃"——只要工具满足相关性与外生性，它便能同时缓解反向因果（工具外生于ACE，切断了配置效率反向决定市场统一的反馈）、遗漏变量（工具与不可观测混淆因素无关，从而剥离其干扰）与测量误差（合格工具可校正经典测量误差引致的衰减偏误）三类问题，是最为全面的一种识别手段，但其代价是所依赖的外生性假设最强、也最难被数据直接检验。双重差分法主要针对反向因果与随时间变化的遗漏变量：借助自上而下的政策冲击，处理时点外生于地区自身状况，而"差分再差分"的操作又消去了不随时间变化的地区异质性与不随地区变化的共同冲击。事件研究法则专门服务于对遗漏"趋势性"因素的甄别——若存在与处理强度相关的既有趋势（即那种既随地区又随时间变化的遗漏变量），它将在政策前的动态系数中显形。三种策略各有侧重、互为补充，恰好从不同角度覆盖了三类内生性的不同侧面，这正是"多策略互证"设计的内在逻辑。</w:t>
      </w:r>
    </w:p>
    <w:p>
      <w:pPr>
        <w:spacing w:line="360" w:lineRule="auto" w:after="0"/>
        <w:ind w:firstLineChars="200" w:firstLine="480"/>
        <w:jc w:val="both"/>
      </w:pPr>
      <w:r>
        <w:rPr>
          <w:rFonts w:ascii="宋体" w:hAnsi="宋体" w:eastAsia="宋体"/>
          <w:sz w:val="24"/>
        </w:rPr>
        <w:t>三种策略的识别假设各不相同：工具变量法依赖工具的外生性与排他性，双重差分法依赖平行趋势假设，事件研究法则将平行趋势假设本身置于可检验的位置。若三者给出方向一致、量级可比的结论，则统一大市场建设改善要素配置效率的因果解释便获得了较为坚实的经验支撑。这一"三角互证"的思路，在近年考察制度改革与市场一体化效应的实证研究中已被广泛采用（胡增玺和马述忠，2023；毕青苗等，2018）。</w:t>
      </w:r>
    </w:p>
    <w:p>
      <w:pPr>
        <w:spacing w:line="360" w:lineRule="auto" w:after="0"/>
        <w:ind w:firstLineChars="200" w:firstLine="480"/>
        <w:jc w:val="both"/>
      </w:pPr>
      <w:r>
        <w:rPr>
          <w:rFonts w:ascii="宋体" w:hAnsi="宋体" w:eastAsia="宋体"/>
          <w:sz w:val="24"/>
        </w:rPr>
        <w:t>需要强调的是，采取多策略互证而非仅仅依赖某一"最优"识别方法，源于对经验研究局限性的清醒认识。任何单一识别策略都建立在无法被数据完全检验的假设之上：工具变量的排他性约束在本质上不可直接证伪，双重差分的平行趋势即便在事前成立也无法保证事后反事实趋势的平行，准自然实验的"自然"程度也总是相对的。正因如此，稳健的因果推断更依赖于不同方法之间的相互印证——当基于不同外生变异来源、依赖不同识别假设的多种方法都指向同一结论时，任何单一假设失效导致全部结论翻转的可能性便大大降低。这种"证据三角"的稳健性，正是本章在工具变量之外还引入双重差分与事件研究、并始终以OLS基准作为参照系加以对照的方法论用意所在。</w:t>
      </w:r>
    </w:p>
    <w:p>
      <w:pPr>
        <w:keepNext/>
        <w:spacing w:before="160" w:after="120" w:line="360" w:lineRule="auto"/>
      </w:pPr>
      <w:r>
        <w:rPr>
          <w:rFonts w:ascii="黑体" w:hAnsi="黑体" w:eastAsia="黑体"/>
          <w:sz w:val="28"/>
        </w:rPr>
        <w:t>9.2  工具变量法</w:t>
      </w:r>
    </w:p>
    <w:p>
      <w:pPr>
        <w:keepNext/>
        <w:spacing w:before="160" w:after="120" w:line="360" w:lineRule="auto"/>
      </w:pPr>
      <w:r>
        <w:rPr>
          <w:rFonts w:ascii="黑体" w:hAnsi="黑体" w:eastAsia="黑体"/>
          <w:sz w:val="24"/>
        </w:rPr>
        <w:t>9.2.1  工具变量构造与外生性论证</w:t>
      </w:r>
    </w:p>
    <w:p>
      <w:pPr>
        <w:spacing w:line="360" w:lineRule="auto" w:after="0"/>
        <w:ind w:firstLineChars="200" w:firstLine="480"/>
        <w:jc w:val="both"/>
      </w:pPr>
      <w:r>
        <w:rPr>
          <w:rFonts w:ascii="宋体" w:hAnsi="宋体" w:eastAsia="宋体"/>
          <w:sz w:val="24"/>
        </w:rPr>
        <w:t>一个合格的工具变量须同时满足两个条件：其一是相关性，即工具变量与内生解释变量NUMI显著相关；其二是外生性（排他性约束），即工具变量只能通过NUMI这一唯一渠道影响被解释变量ACE，而不能直接作用于ACE或通过其他渠道间接作用于ACE。本书借鉴新经济地理与交通基础设施文献的思路，构造"地形起伏度×时间趋势"作为NUMI的工具变量。其中，地形起伏度（terrain ruggedness）刻画一个地区地表的崎岖程度，是由自然地理条件决定的、不随时间变化的外生变量；将其与时间趋势相乘，则生成一个随地区与时间共同变化、可被面板模型利用的工具。</w:t>
      </w:r>
    </w:p>
    <w:p>
      <w:pPr>
        <w:spacing w:line="360" w:lineRule="auto" w:after="0"/>
        <w:ind w:firstLineChars="200" w:firstLine="480"/>
        <w:jc w:val="both"/>
      </w:pPr>
      <w:r>
        <w:rPr>
          <w:rFonts w:ascii="宋体" w:hAnsi="宋体" w:eastAsia="宋体"/>
          <w:sz w:val="24"/>
        </w:rPr>
        <w:t>就相关性而言，地形起伏度通过影响一体化的"推进难度"与"推进节奏"而与NUMI相关。地形平坦的地区，铁路、高速公路等联通性基础设施的铺设成本更低、推进更快，更容易被纳入全国统一的商品与要素市场网络；地形崎岖的地区则联通成本高、市场一体化推进相对迟缓。随着国家层面统一大市场建设的持续推进和交通网络的不断加密，不同地形条件的地区在市场一体化进程上呈现出系统性的差异化轨迹，这为工具变量提供了充分的解释力。交通基础设施改变地区市场准入（market access）、进而重塑经济地理的机制，已被大量研究所证实（Donaldson，2018；Faber，2014）；Baum-Snow等，2017关于交通网络重塑中国城市与区域格局的研究，以及Banerjee等，2020关于交通可达性影响地区经济活动的证据，都表明地形所塑造的联通条件是市场一体化进程的重要前定因素。</w:t>
      </w:r>
    </w:p>
    <w:p>
      <w:pPr>
        <w:spacing w:line="360" w:lineRule="auto" w:after="0"/>
        <w:ind w:firstLineChars="200" w:firstLine="480"/>
        <w:jc w:val="both"/>
      </w:pPr>
      <w:r>
        <w:rPr>
          <w:rFonts w:ascii="宋体" w:hAnsi="宋体" w:eastAsia="宋体"/>
          <w:sz w:val="24"/>
        </w:rPr>
        <w:t>就外生性而言，地形起伏度作为自然地理禀赋，显然独立于当代的要素配置效率水平，不存在ACE反向决定地形的可能，从根本上切断了反向因果链条。需要审慎论证的是排他性约束，即地形是否会绕开NUMI而直接影响ACE。对此，本书从两个方面加以处理。一方面，地形可能通过农业适宜性、产业结构或运输成本直接影响生产率，为此在回归中控制了产业结构、人均GDP、交通密度等一系列变量，以剥离这些直接渠道；另一方面，工具变量采用"地形起伏度×时间趋势"的交互形式，地形的水平效应已被地区固定效应完全吸收，真正被利用的是"地形差异在统一大市场建设进程中所对应的一体化推进速度差异"这一时变成分，其对ACE的影响更集中地经由市场一体化渠道实现。当然，与所有工具变量策略一样，排他性约束在严格意义上不可完全检验，我们只能通过控制变量与设定的精心设计使其尽可能可信（Faber，2014）。</w:t>
      </w:r>
    </w:p>
    <w:p>
      <w:pPr>
        <w:spacing w:line="360" w:lineRule="auto" w:after="0"/>
        <w:ind w:firstLineChars="200" w:firstLine="480"/>
        <w:jc w:val="both"/>
      </w:pPr>
      <w:r>
        <w:rPr>
          <w:rFonts w:ascii="宋体" w:hAnsi="宋体" w:eastAsia="宋体"/>
          <w:sz w:val="24"/>
        </w:rPr>
        <w:t>将地形起伏度作为识别市场一体化外生变异的工具，是对既有识别策略的一种拓展。在考察市场分割与一体化的因果效应时，文献先后发展出多类工具变量思路：一是以历史地理为工具，如利用历史驿道网络、明清行政边界等前定的地理制度变量；二是以交通基础设施为工具，如利用高速公路、高速铁路的通车作为市场一体化的外生冲击，范欣等，2017即发现基础设施建设显著打破了国内市场分割；三是以份额移动（Bartik）思路构造需求或政策强度的外生变异。本书所采用的"地形起伏度×时间趋势"兼具地理外生性与面板时变性的优点，其内在逻辑与交通可达性、市场准入影响地区经济的一系列研究相通（Donaldson，2018；Baum-Snow等，2017）：地形通过塑造联通性基础设施的铺设难度，调节了各地区被卷入全国统一市场的速度，从而为NUMI提供了可信的外生变异来源。</w:t>
      </w:r>
    </w:p>
    <w:p>
      <w:pPr>
        <w:keepNext/>
        <w:spacing w:before="160" w:after="120" w:line="360" w:lineRule="auto"/>
      </w:pPr>
      <w:r>
        <w:rPr>
          <w:rFonts w:ascii="宋体" w:hAnsi="宋体" w:eastAsia="宋体"/>
          <w:b/>
          <w:sz w:val="24"/>
        </w:rPr>
        <w:t>9.2.1.1  排他性约束的可能质疑与回应</w:t>
      </w:r>
    </w:p>
    <w:p>
      <w:pPr>
        <w:spacing w:line="360" w:lineRule="auto" w:after="0"/>
        <w:ind w:firstLineChars="200" w:firstLine="480"/>
        <w:jc w:val="both"/>
      </w:pPr>
      <w:r>
        <w:rPr>
          <w:rFonts w:ascii="宋体" w:hAnsi="宋体" w:eastAsia="宋体"/>
          <w:sz w:val="24"/>
        </w:rPr>
        <w:t>尽管上文已就外生性作了初步论证，排他性约束作为工具变量识别的"阿基里斯之踵"，仍有必要针对几类具体质疑逐一回应。第一类质疑是，地形起伏度可能通过农业生产条件直接影响地区生产率与配置效率：崎岖地区耕地细碎、农业机械化困难，或导致要素配置格局的系统性差异，从而绕开市场一体化渠道直接作用于ACE。对此的回应有二：其一，本书在回归中控制了产业结构与人均GDP等变量，已在很大程度上吸收了农业适宜性经由产业结构传导的直接效应；其二，也是更关键的一点，工具采用"地形起伏度×时间趋势"的时变形式，而农业地理条件对生产率的直接效应主要体现为不随时间变化的水平差异，已被地区固定效应完全吸收，真正被利用的仅是其时变成分。</w:t>
      </w:r>
    </w:p>
    <w:p>
      <w:pPr>
        <w:spacing w:line="360" w:lineRule="auto" w:after="0"/>
        <w:ind w:firstLineChars="200" w:firstLine="480"/>
        <w:jc w:val="both"/>
      </w:pPr>
      <w:r>
        <w:rPr>
          <w:rFonts w:ascii="宋体" w:hAnsi="宋体" w:eastAsia="宋体"/>
          <w:sz w:val="24"/>
        </w:rPr>
        <w:t>第二类质疑是，地形可能通过运输成本直接影响贸易与专业化分工，而非仅通过市场一体化影响配置效率。交通与运输成本文献确实表明，地形通过塑造基础设施铺设成本深刻影响地区市场准入与经济地理格局（Donaldson，2018；Baum-Snow等，2017）。但需要辨明的是，运输成本对配置效率的影响，本身正是"市场一体化"这一渠道的题中之义——地形通过抬高运输成本延缓市场统一、进而抑制要素跨区配置，恰恰是本书所要识别的因果链条，而非需要排除的"其他渠道"。真正需要警惕的，是地形绕开市场一体化、直接作用于生产技术的那部分残余效应；对此，在控制交通密度与产业结构之后，其残余已相当有限，这一处理思路与利用地理条件识别交通经济效应的经典研究一脉相承（Faber，2014；Banerjee等，2020）。</w:t>
      </w:r>
    </w:p>
    <w:p>
      <w:pPr>
        <w:spacing w:line="360" w:lineRule="auto" w:after="0"/>
        <w:ind w:firstLineChars="200" w:firstLine="480"/>
        <w:jc w:val="both"/>
      </w:pPr>
      <w:r>
        <w:rPr>
          <w:rFonts w:ascii="宋体" w:hAnsi="宋体" w:eastAsia="宋体"/>
          <w:sz w:val="24"/>
        </w:rPr>
        <w:t>第三类质疑指向"时间趋势"这一构造成分：地形与时间趋势的交互，是否可能仅仅捕捉了崎岖地区与平坦地区在其他方面（如城镇化、数字化进程）的差异化时间轨迹，从而违反排他性约束？对此，本书一方面在第二阶段控制了城镇化率、数字经济等随时间变化的变量，使这些平行发生的时间趋势被显式剥离；另一方面，第一阶段极高的F统计量表明，地形×时间趋势对NUMI的解释力异常强劲，即便存在少量其他渠道的干扰，其相对于市场一体化这一主渠道的权重也微乎其微。综合三类回应，本书认为排他性约束虽在严格意义上不可能被完全证明，但在现有控制变量与设定的精心设计下，已具备足够的可信度，足以支撑2SLS估计的因果解释。</w:t>
      </w:r>
    </w:p>
    <w:p>
      <w:pPr>
        <w:keepNext/>
        <w:spacing w:before="160" w:after="120" w:line="360" w:lineRule="auto"/>
      </w:pPr>
      <w:r>
        <w:rPr>
          <w:rFonts w:ascii="黑体" w:hAnsi="黑体" w:eastAsia="黑体"/>
          <w:sz w:val="24"/>
        </w:rPr>
        <w:t>9.2.2  第一阶段与弱工具变量检验</w:t>
      </w:r>
    </w:p>
    <w:p>
      <w:pPr>
        <w:spacing w:line="360" w:lineRule="auto" w:after="0"/>
        <w:ind w:firstLineChars="200" w:firstLine="480"/>
        <w:jc w:val="both"/>
      </w:pPr>
      <w:r>
        <w:rPr>
          <w:rFonts w:ascii="宋体" w:hAnsi="宋体" w:eastAsia="宋体"/>
          <w:sz w:val="24"/>
        </w:rPr>
        <w:t xml:space="preserve">两阶段最小二乘的第一阶段，是将内生解释变量NUMI对工具变量及全部控制变量、地区与年份固定效应进行回归，设定为 </w:t>
      </w:r>
      <m:oMath>
        <m:r>
          <m:t>N</m:t>
        </m:r>
        <m:r>
          <m:t>U</m:t>
        </m:r>
        <m:r>
          <m:t>M</m:t>
        </m:r>
        <m:sSub>
          <m:e>
            <m:r>
              <m:t>I</m:t>
            </m:r>
          </m:e>
          <m:sub>
            <m:r>
              <m:t>i</m:t>
            </m:r>
            <m:r>
              <m:t>t</m:t>
            </m:r>
          </m:sub>
        </m:sSub>
        <m:r>
          <m:rPr>
            <m:sty m:val="p"/>
          </m:rPr>
          <m:t>=</m:t>
        </m:r>
        <m:r>
          <m:t>π</m:t>
        </m:r>
        <m:r>
          <m:t> </m:t>
        </m:r>
        <m:d>
          <m:dPr>
            <m:begChr m:val="("/>
            <m:endChr m:val=")"/>
            <m:sepChr m:val=""/>
            <m:grow/>
          </m:dPr>
          <m:e>
            <m:r>
              <m:t>R</m:t>
            </m:r>
            <m:r>
              <m:t>u</m:t>
            </m:r>
            <m:sSub>
              <m:e>
                <m:r>
                  <m:t>g</m:t>
                </m:r>
              </m:e>
              <m:sub>
                <m:r>
                  <m:t>i</m:t>
                </m:r>
              </m:sub>
            </m:sSub>
            <m:r>
              <m:rPr>
                <m:sty m:val="p"/>
              </m:rPr>
              <m:t>×</m:t>
            </m:r>
            <m:r>
              <m:t>t</m:t>
            </m:r>
          </m:e>
        </m:d>
        <m:r>
          <m:rPr>
            <m:sty m:val="p"/>
          </m:rPr>
          <m:t>+</m:t>
        </m:r>
        <m:r>
          <m:t>ϕ</m:t>
        </m:r>
        <m:r>
          <m:rPr>
            <m:sty m:val="p"/>
          </m:rPr>
          <m:t>′</m:t>
        </m:r>
        <m:sSub>
          <m:e>
            <m:r>
              <m:t>X</m:t>
            </m:r>
          </m:e>
          <m:sub>
            <m:r>
              <m:t>i</m:t>
            </m:r>
            <m:r>
              <m:t>t</m:t>
            </m:r>
          </m:sub>
        </m:sSub>
        <m:r>
          <m:rPr>
            <m:sty m:val="p"/>
          </m:rPr>
          <m:t>+</m:t>
        </m:r>
        <m:sSub>
          <m:e>
            <m:r>
              <m:t>μ</m:t>
            </m:r>
          </m:e>
          <m:sub>
            <m:r>
              <m:t>i</m:t>
            </m:r>
          </m:sub>
        </m:sSub>
        <m:r>
          <m:rPr>
            <m:sty m:val="p"/>
          </m:rPr>
          <m:t>+</m:t>
        </m:r>
        <m:sSub>
          <m:e>
            <m:r>
              <m:t>λ</m:t>
            </m:r>
          </m:e>
          <m:sub>
            <m:r>
              <m:t>t</m:t>
            </m:r>
          </m:sub>
        </m:sSub>
        <m:r>
          <m:rPr>
            <m:sty m:val="p"/>
          </m:rPr>
          <m:t>+</m:t>
        </m:r>
        <m:sSub>
          <m:e>
            <m:r>
              <m:t>v</m:t>
            </m:r>
          </m:e>
          <m:sub>
            <m:r>
              <m:t>i</m:t>
            </m:r>
            <m:r>
              <m:t>t</m:t>
            </m:r>
          </m:sub>
        </m:sSub>
      </m:oMath>
      <w:r>
        <w:rPr>
          <w:rFonts w:ascii="宋体" w:hAnsi="宋体" w:eastAsia="宋体"/>
          <w:sz w:val="24"/>
        </w:rPr>
        <w:t>，其核心是检验工具变量对NUMI的解释力是否充分。若工具与内生变量仅存在弱相关（弱工具变量），2SLS估计将出现严重偏误且推断失效，因此第一阶段的强度检验至关重要。</w:t>
      </w:r>
    </w:p>
    <w:p>
      <w:pPr>
        <w:spacing w:line="360" w:lineRule="auto" w:after="0"/>
        <w:ind w:firstLineChars="200" w:firstLine="480"/>
        <w:jc w:val="both"/>
      </w:pPr>
      <w:r>
        <w:rPr>
          <w:rFonts w:ascii="宋体" w:hAnsi="宋体" w:eastAsia="宋体"/>
          <w:sz w:val="24"/>
        </w:rPr>
        <w:t>估计结果显示，工具变量"地形起伏度×时间趋势"对NUMI具有高度显著的解释力，第一阶段系数为0.229，对应的t值高达12.85，在1%的水平上显著，表明地形条件所塑造的一体化推进节奏差异确实是NUMI的重要决定因素。更为关键的弱工具变量检验方面，第一阶段的F统计量为165.21，不仅远高于Staiger与Stock提出的"经验法则"临界值10，也大幅超过Stock-Yogo弱工具变量检验在10%最大名义显著性水平下的临界值。这一结果有力地拒绝了弱工具变量的担忧，表明本书所构造的工具变量是强工具，为第二阶段估计的可靠性奠定了基础。</w:t>
      </w:r>
    </w:p>
    <w:p>
      <w:pPr>
        <w:spacing w:line="360" w:lineRule="auto" w:after="0"/>
        <w:ind w:firstLineChars="200" w:firstLine="480"/>
        <w:jc w:val="both"/>
      </w:pPr>
      <w:r>
        <w:rPr>
          <w:rFonts w:ascii="宋体" w:hAnsi="宋体" w:eastAsia="宋体"/>
          <w:sz w:val="24"/>
        </w:rPr>
        <w:t>第一阶段系数的正号也具有明确的经济解释。随着全国交通网络的持续加密与统一市场规则的逐步覆盖，地形条件所造成的一体化障碍被不断削弱，原本因地形制约而一体化滞后的地区加快融入全国市场，使得地形起伏度与时间趋势的交互项对NUMI呈现稳定的正向解释力。这一模式与本书第5章刻画的NUMI时空演变高度吻合：样本期内各地区NUMI普遍上升，且初始滞后地区的追赶速度更快。换言之，工具变量的强相关性并非统计上的偶然，而是深深植根于中国统一大市场建设"以联通促统一、以基础设施破分割"的现实进程之中，这也从侧面增强了工具变量策略的说服力。</w:t>
      </w:r>
    </w:p>
    <w:p>
      <w:pPr>
        <w:keepNext/>
        <w:spacing w:before="160" w:after="120" w:line="360" w:lineRule="auto"/>
      </w:pPr>
      <w:r>
        <w:rPr>
          <w:rFonts w:ascii="黑体" w:hAnsi="黑体" w:eastAsia="黑体"/>
          <w:sz w:val="24"/>
        </w:rPr>
        <w:t>9.2.3  2SLS估计结果</w:t>
      </w:r>
    </w:p>
    <w:p>
      <w:pPr>
        <w:spacing w:line="360" w:lineRule="auto" w:after="0"/>
        <w:ind w:firstLineChars="200" w:firstLine="480"/>
        <w:jc w:val="both"/>
      </w:pPr>
      <w:r>
        <w:rPr>
          <w:rFonts w:ascii="宋体" w:hAnsi="宋体" w:eastAsia="宋体"/>
          <w:sz w:val="24"/>
        </w:rPr>
        <w:t xml:space="preserve">在确认工具变量满足强相关性之后，第二阶段将第一阶段拟合得到的NUMI预测值代入配置效率方程，设定为 </w:t>
      </w:r>
      <m:oMath>
        <m:r>
          <m:t>A</m:t>
        </m:r>
        <m:r>
          <m:t>C</m:t>
        </m:r>
        <m:sSub>
          <m:e>
            <m:r>
              <m:t>E</m:t>
            </m:r>
          </m:e>
          <m:sub>
            <m:r>
              <m:t>i</m:t>
            </m:r>
            <m:r>
              <m:t>t</m:t>
            </m:r>
          </m:sub>
        </m:sSub>
        <m:r>
          <m:rPr>
            <m:sty m:val="p"/>
          </m:rPr>
          <m:t>=</m:t>
        </m:r>
        <m:r>
          <m:t>β</m:t>
        </m:r>
        <m:r>
          <m:t> </m:t>
        </m:r>
        <m:sSub>
          <m:e>
            <m:acc>
              <m:accPr>
                <m:chr m:val="̂"/>
              </m:accPr>
              <m:e>
                <m:r>
                  <m:t>N</m:t>
                </m:r>
                <m:r>
                  <m:t>U</m:t>
                </m:r>
                <m:r>
                  <m:t>M</m:t>
                </m:r>
                <m:r>
                  <m:t>I</m:t>
                </m:r>
              </m:e>
            </m:acc>
          </m:e>
          <m:sub>
            <m:r>
              <m:t>i</m:t>
            </m:r>
            <m:r>
              <m:t>t</m:t>
            </m:r>
          </m:sub>
        </m:sSub>
        <m:r>
          <m:rPr>
            <m:sty m:val="p"/>
          </m:rPr>
          <m:t>+</m:t>
        </m:r>
        <m:r>
          <m:t>γ</m:t>
        </m:r>
        <m:r>
          <m:rPr>
            <m:sty m:val="p"/>
          </m:rPr>
          <m:t>′</m:t>
        </m:r>
        <m:sSub>
          <m:e>
            <m: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w:r>
        <w:rPr>
          <w:rFonts w:ascii="宋体" w:hAnsi="宋体" w:eastAsia="宋体"/>
          <w:sz w:val="24"/>
        </w:rPr>
        <w:t xml:space="preserve">，所得系数 </w:t>
      </w:r>
      <m:oMath>
        <m:r>
          <m:t>β</m:t>
        </m:r>
      </m:oMath>
      <w:r>
        <w:rPr>
          <w:rFonts w:ascii="宋体" w:hAnsi="宋体" w:eastAsia="宋体"/>
          <w:sz w:val="24"/>
        </w:rPr>
        <w:t xml:space="preserve"> 即为剥离内生性之后统一大市场建设对要素配置效率的因果效应估计。表9.1报告了2SLS的估计结果，并与第7章的OLS基准估计对照。</w:t>
      </w:r>
    </w:p>
    <w:p>
      <w:pPr>
        <w:keepNext/>
        <w:spacing w:before="160" w:after="40"/>
        <w:jc w:val="center"/>
      </w:pPr>
      <w:r>
        <w:rPr>
          <w:rFonts w:ascii="黑体" w:hAnsi="黑体" w:eastAsia="黑体"/>
          <w:sz w:val="21"/>
        </w:rPr>
        <w:t>表9.1  工具变量法（2SLS）估计结果</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126"/>
        <w:gridCol w:w="2126"/>
        <w:gridCol w:w="2126"/>
        <w:gridCol w:w="2126"/>
      </w:tblGrid>
      <w:tr>
        <w:tc>
          <w:tcPr>
            <w:tcW w:type="dxa" w:w="2126"/>
            <w:vAlign w:val="center"/>
            <w:tcBorders>
              <w:bottom w:val="single" w:sz="6" w:color="000000"/>
            </w:tcBorders>
          </w:tcPr>
          <w:p>
            <w:pPr>
              <w:spacing w:line="240" w:lineRule="auto" w:after="20" w:before="20"/>
              <w:jc w:val="center"/>
            </w:pPr>
            <w:r/>
            <w:r>
              <w:rPr>
                <w:rFonts w:ascii="宋体" w:hAnsi="宋体" w:eastAsia="宋体"/>
                <w:b/>
                <w:sz w:val="21"/>
              </w:rPr>
              <w:t>变量</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OLS基准</w:t>
              <w:br/>
              <w:t>（ACE）</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第一阶段</w:t>
              <w:br/>
              <w:t>（NUMI）</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2SLS第二阶段</w:t>
              <w:br/>
              <w:t>（ACE）</w:t>
            </w:r>
          </w:p>
        </w:tc>
      </w:tr>
      <w:tr>
        <w:tc>
          <w:tcPr>
            <w:tcW w:type="dxa" w:w="2126"/>
            <w:vAlign w:val="center"/>
          </w:tcPr>
          <w:p>
            <w:pPr>
              <w:spacing w:line="240" w:lineRule="auto" w:after="20" w:before="20"/>
              <w:jc w:val="left"/>
            </w:pPr>
            <w:r/>
            <w:r>
              <w:rPr>
                <w:rFonts w:ascii="宋体" w:hAnsi="宋体" w:eastAsia="宋体"/>
                <w:sz w:val="21"/>
              </w:rPr>
              <w:t>地形起伏度×时间趋势</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0.229***</w:t>
              <w:br/>
              <w:t>(0.018)</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r>
              <w:rPr>
                <w:rFonts w:ascii="宋体" w:hAnsi="宋体" w:eastAsia="宋体"/>
                <w:sz w:val="21"/>
              </w:rPr>
              <w:t>NUMI</w:t>
            </w:r>
          </w:p>
        </w:tc>
        <w:tc>
          <w:tcPr>
            <w:tcW w:type="dxa" w:w="2126"/>
            <w:vAlign w:val="center"/>
          </w:tcPr>
          <w:p>
            <w:pPr>
              <w:spacing w:line="240" w:lineRule="auto" w:after="20" w:before="20"/>
              <w:jc w:val="center"/>
            </w:pPr>
            <w:r/>
            <w:r>
              <w:rPr>
                <w:rFonts w:ascii="宋体" w:hAnsi="宋体" w:eastAsia="宋体"/>
                <w:sz w:val="21"/>
              </w:rPr>
              <w:t>0.831***</w:t>
              <w:br/>
              <w:t>(0.058)</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0.815***</w:t>
              <w:br/>
              <w:t>(0.039)</w:t>
            </w:r>
          </w:p>
        </w:tc>
      </w:tr>
      <w:tr>
        <w:tc>
          <w:tcPr>
            <w:tcW w:type="dxa" w:w="2126"/>
            <w:vAlign w:val="center"/>
          </w:tcPr>
          <w:p>
            <w:pPr>
              <w:spacing w:line="240" w:lineRule="auto" w:after="20" w:before="20"/>
              <w:jc w:val="left"/>
            </w:pPr>
            <w:r/>
            <w:r>
              <w:rPr>
                <w:rFonts w:ascii="宋体" w:hAnsi="宋体" w:eastAsia="宋体"/>
                <w:sz w:val="21"/>
              </w:rPr>
              <w:t>控制变量</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r>
      <w:tr>
        <w:tc>
          <w:tcPr>
            <w:tcW w:type="dxa" w:w="2126"/>
            <w:vAlign w:val="center"/>
          </w:tcPr>
          <w:p>
            <w:pPr>
              <w:spacing w:line="240" w:lineRule="auto" w:after="20" w:before="20"/>
              <w:jc w:val="left"/>
            </w:pPr>
            <w:r/>
            <w:r>
              <w:rPr>
                <w:rFonts w:ascii="宋体" w:hAnsi="宋体" w:eastAsia="宋体"/>
                <w:sz w:val="21"/>
              </w:rPr>
              <w:t>地区固定效应</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r>
      <w:tr>
        <w:tc>
          <w:tcPr>
            <w:tcW w:type="dxa" w:w="2126"/>
            <w:vAlign w:val="center"/>
          </w:tcPr>
          <w:p>
            <w:pPr>
              <w:spacing w:line="240" w:lineRule="auto" w:after="20" w:before="20"/>
              <w:jc w:val="left"/>
            </w:pPr>
            <w:r/>
            <w:r>
              <w:rPr>
                <w:rFonts w:ascii="宋体" w:hAnsi="宋体" w:eastAsia="宋体"/>
                <w:sz w:val="21"/>
              </w:rPr>
              <w:t>年份固定效应</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c>
          <w:tcPr>
            <w:tcW w:type="dxa" w:w="2126"/>
            <w:vAlign w:val="center"/>
          </w:tcPr>
          <w:p>
            <w:pPr>
              <w:spacing w:line="240" w:lineRule="auto" w:after="20" w:before="20"/>
              <w:jc w:val="center"/>
            </w:pPr>
            <w:r/>
            <w:r>
              <w:rPr>
                <w:rFonts w:ascii="宋体" w:hAnsi="宋体" w:eastAsia="宋体"/>
                <w:sz w:val="21"/>
              </w:rPr>
              <w:t>是</w:t>
            </w:r>
          </w:p>
        </w:tc>
      </w:tr>
      <w:tr>
        <w:tc>
          <w:tcPr>
            <w:tcW w:type="dxa" w:w="2126"/>
            <w:vAlign w:val="center"/>
          </w:tcPr>
          <w:p>
            <w:pPr>
              <w:spacing w:line="240" w:lineRule="auto" w:after="20" w:before="20"/>
              <w:jc w:val="left"/>
            </w:pPr>
            <w:r/>
            <w:r>
              <w:rPr>
                <w:rFonts w:ascii="宋体" w:hAnsi="宋体" w:eastAsia="宋体"/>
                <w:sz w:val="21"/>
              </w:rPr>
              <w:t>第一阶段F值</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165.21</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r>
              <w:rPr>
                <w:rFonts w:ascii="宋体" w:hAnsi="宋体" w:eastAsia="宋体"/>
                <w:sz w:val="21"/>
              </w:rPr>
              <w:t>样本量</w:t>
            </w:r>
          </w:p>
        </w:tc>
        <w:tc>
          <w:tcPr>
            <w:tcW w:type="dxa" w:w="2126"/>
            <w:vAlign w:val="center"/>
          </w:tcPr>
          <w:p>
            <w:pPr>
              <w:spacing w:line="240" w:lineRule="auto" w:after="20" w:before="20"/>
              <w:jc w:val="center"/>
            </w:pPr>
            <w:r/>
            <w:r>
              <w:rPr>
                <w:rFonts w:ascii="宋体" w:hAnsi="宋体" w:eastAsia="宋体"/>
                <w:sz w:val="21"/>
              </w:rPr>
              <w:t>558</w:t>
            </w:r>
          </w:p>
        </w:tc>
        <w:tc>
          <w:tcPr>
            <w:tcW w:type="dxa" w:w="2126"/>
            <w:vAlign w:val="center"/>
          </w:tcPr>
          <w:p>
            <w:pPr>
              <w:spacing w:line="240" w:lineRule="auto" w:after="20" w:before="20"/>
              <w:jc w:val="center"/>
            </w:pPr>
            <w:r/>
            <w:r>
              <w:rPr>
                <w:rFonts w:ascii="宋体" w:hAnsi="宋体" w:eastAsia="宋体"/>
                <w:sz w:val="21"/>
              </w:rPr>
              <w:t>558</w:t>
            </w:r>
          </w:p>
        </w:tc>
        <w:tc>
          <w:tcPr>
            <w:tcW w:type="dxa" w:w="2126"/>
            <w:vAlign w:val="center"/>
          </w:tcPr>
          <w:p>
            <w:pPr>
              <w:spacing w:line="240" w:lineRule="auto" w:after="20" w:before="20"/>
              <w:jc w:val="center"/>
            </w:pPr>
            <w:r/>
            <w:r>
              <w:rPr>
                <w:rFonts w:ascii="宋体" w:hAnsi="宋体" w:eastAsia="宋体"/>
                <w:sz w:val="21"/>
              </w:rPr>
              <w:t>558</w:t>
            </w:r>
          </w:p>
        </w:tc>
      </w:tr>
    </w:tbl>
    <w:p>
      <w:pPr>
        <w:spacing w:after="200" w:line="240" w:lineRule="auto"/>
      </w:pPr>
      <w:r>
        <w:rPr>
          <w:rFonts w:ascii="宋体" w:hAnsi="宋体" w:eastAsia="宋体"/>
          <w:sz w:val="18"/>
        </w:rPr>
        <w:t>注：括号内为标准误；*</w:t>
      </w:r>
      <w:r>
        <w:rPr>
          <w:rFonts w:ascii="宋体" w:hAnsi="宋体" w:eastAsia="宋体"/>
          <w:b/>
          <w:sz w:val="18"/>
        </w:rPr>
        <w:t>、</w:t>
      </w:r>
      <w:r>
        <w:rPr>
          <w:rFonts w:ascii="宋体" w:hAnsi="宋体" w:eastAsia="宋体"/>
          <w:sz w:val="18"/>
        </w:rPr>
        <w:t>、* 分别表示在1%、5%、10%的水平上显著。第一阶段被解释变量为NUMI，第二阶段与OLS基准的被解释变量为要素配置效率ACE。控制变量包含人均GDP（对数）、产业结构、城镇化率、数字经济、交通密度、财政分权、对外开放与人力资本等。</w:t>
      </w:r>
    </w:p>
    <w:p>
      <w:pPr>
        <w:spacing w:line="360" w:lineRule="auto" w:after="0"/>
        <w:ind w:firstLineChars="200" w:firstLine="480"/>
        <w:jc w:val="both"/>
      </w:pPr>
      <w:r>
        <w:rPr>
          <w:rFonts w:ascii="宋体" w:hAnsi="宋体" w:eastAsia="宋体"/>
          <w:sz w:val="24"/>
        </w:rPr>
        <w:t>2SLS第二阶段的核心结果表明，NUMI的估计系数为0.815（标准误0.039，t值21.07），在1%的水平上高度显著，且符号为正。这意味着在利用工具变量剥离了反向因果与遗漏变量等内生性干扰之后，统一大市场建设对要素配置效率的正向因果效应依然稳健成立，第7章的基准结论并非内生性所致的伪相关。</w:t>
      </w:r>
    </w:p>
    <w:p>
      <w:pPr>
        <w:spacing w:line="360" w:lineRule="auto" w:after="0"/>
        <w:ind w:firstLineChars="200" w:firstLine="480"/>
        <w:jc w:val="both"/>
      </w:pPr>
      <w:r>
        <w:rPr>
          <w:rFonts w:ascii="宋体" w:hAnsi="宋体" w:eastAsia="宋体"/>
          <w:sz w:val="24"/>
        </w:rPr>
        <w:t>尤为值得关注的是2SLS估计与OLS估计的对比。OLS基准中NUMI的系数为0.831，2SLS估计为0.815，两者量级十分接近，工具变量估计仅略低于OLS估计。这一"IV与OLS高度吻合"的模式具有两重含义。其一，从稳健性看，因果效应估计对识别方法的选择不敏感，进一步增强了结论的可信度。其二，从偏误方向看，2SLS估计略低于OLS，暗示反向因果与遗漏变量所导致的向上偏误在净效应上略占上风，即OLS对统一大市场建设效应存在轻微的高估；但这一高估幅度相当有限，说明本书第7章通过双向固定效应与丰富控制变量的设定，已在很大程度上抑制了内生性偏误。综合而言，工具变量法从因果识别的角度确证：统一大市场建设是要素配置效率提升的真实原因，而非仅仅是其伴随现象。</w:t>
      </w:r>
    </w:p>
    <w:p>
      <w:pPr>
        <w:spacing w:line="360" w:lineRule="auto" w:after="0"/>
        <w:ind w:firstLineChars="200" w:firstLine="480"/>
        <w:jc w:val="both"/>
      </w:pPr>
      <w:r>
        <w:rPr>
          <w:rFonts w:ascii="宋体" w:hAnsi="宋体" w:eastAsia="宋体"/>
          <w:sz w:val="24"/>
        </w:rPr>
        <w:t>为进一步确认2SLS结果的稳健性，可从三个方面加以佐证。其一，从统计推断看，第二阶段NUMI系数的t值高达21.07，标准误（0.039）甚至小于OLS估计的标准误，说明强工具变量并未以牺牲估计精度为代价，这与第一阶段F值极高的结果相互一致。其二，从工具的替换看，若分别以历史交通网络密度、地形坡度等替代性地理变量与时间趋势的交互作为工具，第二阶段结论在方向与显著性上保持一致，表明结果并不依赖于工具的特定构造方式。其三，从识别的经济逻辑看，2SLS所利用的是"地形差异对应的一体化速度差异"这一局部处理效应（LATE），其经济含义清晰：那些因地形条件而在联通性基础设施完善过程中一体化进程更快的地区，其配置效率也随之更快改善。这一局部效应虽不必然等同于全样本的平均处理效应，但对于评估交通联通与市场统一的政策价值而言，恰恰是最具政策相关性的估计对象。</w:t>
      </w:r>
    </w:p>
    <w:p>
      <w:pPr>
        <w:keepNext/>
        <w:spacing w:before="160" w:after="120" w:line="360" w:lineRule="auto"/>
      </w:pPr>
      <w:r>
        <w:rPr>
          <w:rFonts w:ascii="黑体" w:hAnsi="黑体" w:eastAsia="黑体"/>
          <w:sz w:val="24"/>
        </w:rPr>
        <w:t>9.2.4  工具变量法的局限与适用边界</w:t>
      </w:r>
    </w:p>
    <w:p>
      <w:pPr>
        <w:spacing w:line="360" w:lineRule="auto" w:after="0"/>
        <w:ind w:firstLineChars="200" w:firstLine="480"/>
        <w:jc w:val="both"/>
      </w:pPr>
      <w:r>
        <w:rPr>
          <w:rFonts w:ascii="宋体" w:hAnsi="宋体" w:eastAsia="宋体"/>
          <w:sz w:val="24"/>
        </w:rPr>
        <w:t>工具变量法在缓解内生性方面的效力，是以一系列不可回避的局限为代价的，客观认识这些局限，有助于准确界定2SLS估计的适用边界，避免对其因果解释作过度推广。首要局限在于估计对象的性质。在处理效应存在异质性的一般情形下，2SLS所识别的并非全样本的平均处理效应（ATE），而是"服从者"（compliers）子群体上的局部平均处理效应（LATE）——即那些一体化进程确实因地形条件而被加速或延缓的地区。就本书情境而言，LATE刻画的是"因地形所塑造的联通条件差异而在市场一体化速度上产生分化的地区"其配置效率的响应；这一子群体虽不必然代表全部地区，却恰恰是交通联通与市场统一政策最直接的作用对象，因而其估计具有突出的政策相关性。</w:t>
      </w:r>
    </w:p>
    <w:p>
      <w:pPr>
        <w:spacing w:line="360" w:lineRule="auto" w:after="0"/>
        <w:ind w:firstLineChars="200" w:firstLine="480"/>
        <w:jc w:val="both"/>
      </w:pPr>
      <w:r>
        <w:rPr>
          <w:rFonts w:ascii="宋体" w:hAnsi="宋体" w:eastAsia="宋体"/>
          <w:sz w:val="24"/>
        </w:rPr>
        <w:t>LATE的有效识别还依赖单调性假设，即工具对内生变量的作用方向在所有个体上保持一致——不存在地形越崎岖反而一体化越快的"逆行者"。就本书而言，地形崎岖普遍抬高联通成本、延缓一体化，单调性在经济逻辑上大体成立，但仍无法先验排除个别地区因特殊政策倾斜而偏离这一模式。此外，工具变量估计的有限样本表现对工具强度高度敏感，弱工具会同时放大偏误与推断失真；所幸本书第一阶段F值高达165.21，远在安全阈值之上，弱工具担忧基本可以排除，这也使得基于常规渐近理论的推断在此情形下是可靠的。</w:t>
      </w:r>
    </w:p>
    <w:p>
      <w:pPr>
        <w:spacing w:line="360" w:lineRule="auto" w:after="0"/>
        <w:ind w:firstLineChars="200" w:firstLine="480"/>
        <w:jc w:val="both"/>
      </w:pPr>
      <w:r>
        <w:rPr>
          <w:rFonts w:ascii="宋体" w:hAnsi="宋体" w:eastAsia="宋体"/>
          <w:sz w:val="24"/>
        </w:rPr>
        <w:t>最后需要指出，任何单一工具都无法穷尽内生性的全部来源，工具变量估计的可信度终究取决于外生性这一不可直接检验的先验假设。正因如此，本书并不将2SLS视为唯一的"黄金标准"，而是将其嵌入"工具变量—双重差分—事件研究"的多策略互证框架之中：当依赖地形外生变异的IV估计，与依赖政策冲击外生性的DID估计给出方向一致、量级可比的结果时，任何单一识别假设失效而颠覆全部结论的风险便被降至最低。这正是下一节转向以2022年《意见》为准自然实验的方法论动因所在。</w:t>
      </w:r>
    </w:p>
    <w:p>
      <w:pPr>
        <w:keepNext/>
        <w:spacing w:before="160" w:after="120" w:line="360" w:lineRule="auto"/>
      </w:pPr>
      <w:r>
        <w:rPr>
          <w:rFonts w:ascii="黑体" w:hAnsi="黑体" w:eastAsia="黑体"/>
          <w:sz w:val="28"/>
        </w:rPr>
        <w:t>9.3  多期双重差分与事件研究</w:t>
      </w:r>
    </w:p>
    <w:p>
      <w:pPr>
        <w:spacing w:line="360" w:lineRule="auto" w:after="0"/>
        <w:ind w:firstLineChars="200" w:firstLine="480"/>
        <w:jc w:val="both"/>
      </w:pPr>
      <w:r>
        <w:rPr>
          <w:rFonts w:ascii="宋体" w:hAnsi="宋体" w:eastAsia="宋体"/>
          <w:sz w:val="24"/>
        </w:rPr>
        <w:t>工具变量法从"外生变异"的角度缓解内生性，双重差分法则从"外生冲击"的角度提供另一条互补的识别路径。2022年4月《中共中央 国务院关于加快建设全国统一大市场的意见》的出台，是一次自上而下、覆盖全国的重大制度冲击，为识别统一大市场建设的因果效应提供了难得的准自然实验契机。本节以此为切入点，构建多期双重差分模型，并通过事件研究检验其识别前提。</w:t>
      </w:r>
    </w:p>
    <w:p>
      <w:pPr>
        <w:spacing w:line="360" w:lineRule="auto" w:after="0"/>
        <w:ind w:firstLineChars="200" w:firstLine="480"/>
        <w:jc w:val="both"/>
      </w:pPr>
      <w:r>
        <w:rPr>
          <w:rFonts w:ascii="宋体" w:hAnsi="宋体" w:eastAsia="宋体"/>
          <w:sz w:val="24"/>
        </w:rPr>
        <w:t>将2022年《意见》视为准自然实验，具有三方面的合理性。其一，外生性。《意见》由中共中央、国务院自上而下统一部署，其出台时点与力度取决于国家层面对构建新发展格局、畅通国内大循环的战略考量，而非由某个地区的配置效率状况所决定，因而对单个地区而言具有外生性。其二，冲击的显著性。《意见》系统提出"五统一"的重点任务——市场基础制度规则统一、市场设施高标准联通、要素和资源市场统一、商品和服务市场高水平统一、市场监管公平统一，并明确要求打破地方保护和市场分割，是改革开放以来针对统一大市场建设最为系统、最具约束力的顶层设计，构成了一次可识别的政策断点。其三，处理强度的可度量性。政策虽面向全国，但其对不同地区的实际约束力取决于各地区改革前的分割程度，这为构造连续处理强度、识别政策的边际异质性效应提供了自然的切入口。</w:t>
      </w:r>
    </w:p>
    <w:p>
      <w:pPr>
        <w:keepNext/>
        <w:spacing w:before="160" w:after="120" w:line="360" w:lineRule="auto"/>
      </w:pPr>
      <w:r>
        <w:rPr>
          <w:rFonts w:ascii="黑体" w:hAnsi="黑体" w:eastAsia="黑体"/>
          <w:sz w:val="24"/>
        </w:rPr>
        <w:t>9.3.1  以2022年《意见》为准自然实验的双重差分设定</w:t>
      </w:r>
    </w:p>
    <w:p>
      <w:pPr>
        <w:spacing w:line="360" w:lineRule="auto" w:after="0"/>
        <w:ind w:firstLineChars="200" w:firstLine="480"/>
        <w:jc w:val="both"/>
      </w:pPr>
      <w:r>
        <w:rPr>
          <w:rFonts w:ascii="宋体" w:hAnsi="宋体" w:eastAsia="宋体"/>
          <w:sz w:val="24"/>
        </w:rPr>
        <w:t xml:space="preserve">与传统的"处理组—控制组"二元划分不同，2022年《意见》是一项面向全国所有地区同步实施的政策，并不存在完全不受影响的"纯控制组"。但政策的实际冲击强度在地区间存在系统性差异：按照本书第4章命题3的理论预期，统一大市场建设的配置效率红利随初始分割程度递增，即初始市场分割越严重的地区，破除分割、推进统一所释放的改善空间越大，政策的"处理强度"也越高。据此，本书采用连续处理强度的双重差分设定，以地区初始市场分割程度（标准化后）度量处理强度 </w:t>
      </w:r>
      <m:oMath>
        <m:r>
          <m:t>T</m:t>
        </m:r>
        <m:r>
          <m:t>r</m:t>
        </m:r>
        <m:r>
          <m:t>e</m:t>
        </m:r>
        <m:r>
          <m:t>a</m:t>
        </m:r>
        <m:sSub>
          <m:e>
            <m:r>
              <m:t>t</m:t>
            </m:r>
          </m:e>
          <m:sub>
            <m:r>
              <m:t>i</m:t>
            </m:r>
          </m:sub>
        </m:sSub>
      </m:oMath>
      <w:r>
        <w:rPr>
          <w:rFonts w:ascii="宋体" w:hAnsi="宋体" w:eastAsia="宋体"/>
          <w:sz w:val="24"/>
        </w:rPr>
        <w:t xml:space="preserve">，以2022年及以后取值为1的时间虚拟变量刻画政策冲击 </w:t>
      </w:r>
      <m:oMath>
        <m:r>
          <m:t>P</m:t>
        </m:r>
        <m:r>
          <m:t>o</m:t>
        </m:r>
        <m:r>
          <m:t>s</m:t>
        </m:r>
        <m:sSub>
          <m:e>
            <m:r>
              <m:t>t</m:t>
            </m:r>
          </m:e>
          <m:sub>
            <m:r>
              <m:t>t</m:t>
            </m:r>
          </m:sub>
        </m:sSub>
      </m:oMath>
      <w:r>
        <w:rPr>
          <w:rFonts w:ascii="宋体" w:hAnsi="宋体" w:eastAsia="宋体"/>
          <w:sz w:val="24"/>
        </w:rPr>
        <w:t>，二者的交互项即为双重差分的核心识别项。模型设定如式(9-1)所示。</w:t>
      </w:r>
    </w:p>
    <w:p>
      <w:pPr>
        <w:tabs>
          <w:tab w:pos="4252" w:val="center"/>
          <w:tab w:pos="8504" w:val="right"/>
        </w:tabs>
        <w:spacing w:line="360" w:lineRule="auto" w:before="80" w:after="80"/>
      </w:pPr>
      <w:r>
        <w:tab/>
      </w:r>
      <m:oMath>
        <m:r>
          <m:t>A</m:t>
        </m:r>
        <m:r>
          <m:t>C</m:t>
        </m:r>
        <m:sSub>
          <m:e>
            <m:r>
              <m:t>E</m:t>
            </m:r>
          </m:e>
          <m:sub>
            <m:r>
              <m:t>i</m:t>
            </m:r>
            <m:r>
              <m:t>t</m:t>
            </m:r>
          </m:sub>
        </m:sSub>
        <m:r>
          <m:rPr>
            <m:sty m:val="p"/>
          </m:rPr>
          <m:t>=</m:t>
        </m:r>
        <m:r>
          <m:t>α</m:t>
        </m:r>
        <m:r>
          <m:rPr>
            <m:sty m:val="p"/>
          </m:rPr>
          <m:t>+</m:t>
        </m:r>
        <m:r>
          <m:t>δ</m:t>
        </m:r>
        <m:r>
          <m:t> </m:t>
        </m:r>
        <m:d>
          <m:dPr>
            <m:begChr m:val="("/>
            <m:endChr m:val=")"/>
            <m:sepChr m:val=""/>
            <m:grow/>
          </m:dPr>
          <m:e>
            <m:r>
              <m:t>P</m:t>
            </m:r>
            <m:r>
              <m:t>o</m:t>
            </m:r>
            <m:r>
              <m:t>s</m:t>
            </m:r>
            <m:sSub>
              <m:e>
                <m:r>
                  <m:t>t</m:t>
                </m:r>
              </m:e>
              <m:sub>
                <m:r>
                  <m:t>t</m:t>
                </m:r>
              </m:sub>
            </m:sSub>
            <m:r>
              <m:rPr>
                <m:sty m:val="p"/>
              </m:rPr>
              <m:t>×</m:t>
            </m:r>
            <m:r>
              <m:t>T</m:t>
            </m:r>
            <m:r>
              <m:t>r</m:t>
            </m:r>
            <m:r>
              <m:t>e</m:t>
            </m:r>
            <m:r>
              <m:t>a</m:t>
            </m:r>
            <m:sSub>
              <m:e>
                <m:r>
                  <m:t>t</m:t>
                </m:r>
              </m:e>
              <m:sub>
                <m:r>
                  <m:t>i</m:t>
                </m:r>
              </m:sub>
            </m:sSub>
          </m:e>
        </m:d>
        <m:r>
          <m:rPr>
            <m:sty m:val="p"/>
          </m:rPr>
          <m:t>+</m:t>
        </m:r>
        <m:r>
          <m:t>γ</m:t>
        </m:r>
        <m:r>
          <m:rPr>
            <m:sty m:val="p"/>
          </m:rPr>
          <m:t>′</m:t>
        </m:r>
        <m:sSub>
          <m:e>
            <m: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w:r>
        <w:tab/>
      </w:r>
      <w:r>
        <w:rPr>
          <w:rFonts w:ascii="Times New Roman" w:hAnsi="Times New Roman" w:eastAsia="宋体"/>
          <w:sz w:val="24"/>
        </w:rPr>
        <w:t>(9-1)</w:t>
      </w:r>
    </w:p>
    <w:p>
      <w:pPr>
        <w:spacing w:line="360" w:lineRule="auto" w:after="0"/>
        <w:jc w:val="both"/>
      </w:pPr>
      <w:r>
        <w:rPr>
          <w:rFonts w:ascii="宋体" w:hAnsi="宋体" w:eastAsia="宋体"/>
          <w:sz w:val="24"/>
        </w:rPr>
        <w:t>其中，</w:t>
      </w:r>
      <m:oMath>
        <m:r>
          <m:t>A</m:t>
        </m:r>
        <m:r>
          <m:t>C</m:t>
        </m:r>
        <m:sSub>
          <m:e>
            <m:r>
              <m:t>E</m:t>
            </m:r>
          </m:e>
          <m:sub>
            <m:r>
              <m:t>i</m:t>
            </m:r>
            <m:r>
              <m:t>t</m:t>
            </m:r>
          </m:sub>
        </m:sSub>
      </m:oMath>
      <w:r>
        <w:rPr>
          <w:rFonts w:ascii="宋体" w:hAnsi="宋体" w:eastAsia="宋体"/>
          <w:sz w:val="24"/>
        </w:rPr>
        <w:t xml:space="preserve"> 为地区 </w:t>
      </w:r>
      <m:oMath>
        <m:r>
          <m:t>i</m:t>
        </m:r>
      </m:oMath>
      <w:r>
        <w:rPr>
          <w:rFonts w:ascii="宋体" w:hAnsi="宋体" w:eastAsia="宋体"/>
          <w:sz w:val="24"/>
        </w:rPr>
        <w:t xml:space="preserve"> 在 </w:t>
      </w:r>
      <m:oMath>
        <m:r>
          <m:t>t</m:t>
        </m:r>
      </m:oMath>
      <w:r>
        <w:rPr>
          <w:rFonts w:ascii="宋体" w:hAnsi="宋体" w:eastAsia="宋体"/>
          <w:sz w:val="24"/>
        </w:rPr>
        <w:t xml:space="preserve"> 年的要素配置效率；</w:t>
      </w:r>
      <m:oMath>
        <m:r>
          <m:t>P</m:t>
        </m:r>
        <m:r>
          <m:t>o</m:t>
        </m:r>
        <m:r>
          <m:t>s</m:t>
        </m:r>
        <m:sSub>
          <m:e>
            <m:r>
              <m:t>t</m:t>
            </m:r>
          </m:e>
          <m:sub>
            <m:r>
              <m:t>t</m:t>
            </m:r>
          </m:sub>
        </m:sSub>
      </m:oMath>
      <w:r>
        <w:rPr>
          <w:rFonts w:ascii="宋体" w:hAnsi="宋体" w:eastAsia="宋体"/>
          <w:sz w:val="24"/>
        </w:rPr>
        <w:t xml:space="preserve"> 为政策时间虚拟变量（</w:t>
      </w:r>
      <m:oMath>
        <m:r>
          <m:t>t</m:t>
        </m:r>
        <m:r>
          <m:rPr>
            <m:sty m:val="p"/>
          </m:rPr>
          <m:t>≥</m:t>
        </m:r>
        <m:r>
          <m:t>2022</m:t>
        </m:r>
      </m:oMath>
      <w:r>
        <w:rPr>
          <w:rFonts w:ascii="宋体" w:hAnsi="宋体" w:eastAsia="宋体"/>
          <w:sz w:val="24"/>
        </w:rPr>
        <w:t xml:space="preserve"> 时取1，否则取0）；</w:t>
      </w:r>
      <m:oMath>
        <m:r>
          <m:t>T</m:t>
        </m:r>
        <m:r>
          <m:t>r</m:t>
        </m:r>
        <m:r>
          <m:t>e</m:t>
        </m:r>
        <m:r>
          <m:t>a</m:t>
        </m:r>
        <m:sSub>
          <m:e>
            <m:r>
              <m:t>t</m:t>
            </m:r>
          </m:e>
          <m:sub>
            <m:r>
              <m:t>i</m:t>
            </m:r>
          </m:sub>
        </m:sSub>
      </m:oMath>
      <w:r>
        <w:rPr>
          <w:rFonts w:ascii="宋体" w:hAnsi="宋体" w:eastAsia="宋体"/>
          <w:sz w:val="24"/>
        </w:rPr>
        <w:t xml:space="preserve"> 为以初始市场分割程度度量的处理强度；</w:t>
      </w:r>
      <m:oMath>
        <m:sSub>
          <m:e>
            <m:r>
              <m:t>X</m:t>
            </m:r>
          </m:e>
          <m:sub>
            <m:r>
              <m:t>i</m:t>
            </m:r>
            <m:r>
              <m:t>t</m:t>
            </m:r>
          </m:sub>
        </m:sSub>
      </m:oMath>
      <w:r>
        <w:rPr>
          <w:rFonts w:ascii="宋体" w:hAnsi="宋体" w:eastAsia="宋体"/>
          <w:sz w:val="24"/>
        </w:rPr>
        <w:t xml:space="preserve"> 为控制变量向量；</w:t>
      </w:r>
      <m:oMath>
        <m:sSub>
          <m:e>
            <m:r>
              <m:t>μ</m:t>
            </m:r>
          </m:e>
          <m:sub>
            <m:r>
              <m:t>i</m:t>
            </m:r>
          </m:sub>
        </m:sSub>
      </m:oMath>
      <w:r>
        <w:rPr>
          <w:rFonts w:ascii="宋体" w:hAnsi="宋体" w:eastAsia="宋体"/>
          <w:sz w:val="24"/>
        </w:rPr>
        <w:t xml:space="preserve"> 与 </w:t>
      </w:r>
      <m:oMath>
        <m:sSub>
          <m:e>
            <m:r>
              <m:t>λ</m:t>
            </m:r>
          </m:e>
          <m:sub>
            <m:r>
              <m:t>t</m:t>
            </m:r>
          </m:sub>
        </m:sSub>
      </m:oMath>
      <w:r>
        <w:rPr>
          <w:rFonts w:ascii="宋体" w:hAnsi="宋体" w:eastAsia="宋体"/>
          <w:sz w:val="24"/>
        </w:rPr>
        <w:t xml:space="preserve"> 分别为地区与年份固定效应；</w:t>
      </w:r>
      <m:oMath>
        <m:sSub>
          <m:e>
            <m:r>
              <m:t>ε</m:t>
            </m:r>
          </m:e>
          <m:sub>
            <m:r>
              <m:t>i</m:t>
            </m:r>
            <m:r>
              <m:t>t</m:t>
            </m:r>
          </m:sub>
        </m:sSub>
      </m:oMath>
      <w:r>
        <w:rPr>
          <w:rFonts w:ascii="宋体" w:hAnsi="宋体" w:eastAsia="宋体"/>
          <w:sz w:val="24"/>
        </w:rPr>
        <w:t xml:space="preserve"> 为随机扰动项。系数 </w:t>
      </w:r>
      <m:oMath>
        <m:r>
          <m:t>δ</m:t>
        </m:r>
      </m:oMath>
      <w:r>
        <w:rPr>
          <w:rFonts w:ascii="宋体" w:hAnsi="宋体" w:eastAsia="宋体"/>
          <w:sz w:val="24"/>
        </w:rPr>
        <w:t xml:space="preserve"> 是本模型的关键，衡量政策冲击后处理强度更高的地区相对于处理强度更低的地区，其要素配置效率的差异性变化，即统一大市场建设加速推进的因果效应。</w:t>
      </w:r>
    </w:p>
    <w:p>
      <w:pPr>
        <w:spacing w:line="360" w:lineRule="auto" w:after="0"/>
        <w:ind w:firstLineChars="200" w:firstLine="480"/>
        <w:jc w:val="both"/>
      </w:pPr>
      <w:r>
        <w:rPr>
          <w:rFonts w:ascii="宋体" w:hAnsi="宋体" w:eastAsia="宋体"/>
          <w:sz w:val="24"/>
        </w:rPr>
        <w:t xml:space="preserve">表9.2报告了式(9-1)的估计结果。双重差分交互项的系数 </w:t>
      </w:r>
      <m:oMath>
        <m:r>
          <m:t>δ</m:t>
        </m:r>
      </m:oMath>
      <w:r>
        <w:rPr>
          <w:rFonts w:ascii="宋体" w:hAnsi="宋体" w:eastAsia="宋体"/>
          <w:sz w:val="24"/>
        </w:rPr>
        <w:t xml:space="preserve"> 为0.018（标准误0.007，t值2.55），在5%的水平上显著为正**。这表明2022年《意见》出台之后，初始市场分割程度更高的地区，其要素配置效率相对提升更为明显。这一结果具有双重意义：一方面，它从政策冲击的角度再次确认了统一大市场建设对配置效率的正向因果效应；另一方面，处理强度以初始分割程度度量、且系数显著为正，恰好为第4章命题3"配置效率红利随初始分割程度递增"的边际异质性判断提供了直接的经验支持——统一大市场建设对那些"欠账最多"的地区，恰恰能够释放最大的改革红利。</w:t>
      </w:r>
    </w:p>
    <w:p>
      <w:pPr>
        <w:keepNext/>
        <w:spacing w:before="160" w:after="40"/>
        <w:jc w:val="center"/>
      </w:pPr>
      <w:r>
        <w:rPr>
          <w:rFonts w:ascii="黑体" w:hAnsi="黑体" w:eastAsia="黑体"/>
          <w:sz w:val="21"/>
        </w:rPr>
        <w:t>表9.2  多期双重差分估计结果</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4252"/>
        <w:gridCol w:w="4252"/>
      </w:tblGrid>
      <w:tr>
        <w:tc>
          <w:tcPr>
            <w:tcW w:type="dxa" w:w="4252"/>
            <w:vAlign w:val="center"/>
            <w:tcBorders>
              <w:bottom w:val="single" w:sz="6" w:color="000000"/>
            </w:tcBorders>
          </w:tcPr>
          <w:p>
            <w:pPr>
              <w:spacing w:line="240" w:lineRule="auto" w:after="20" w:before="20"/>
              <w:jc w:val="center"/>
            </w:pPr>
            <w:r/>
            <w:r>
              <w:rPr>
                <w:rFonts w:ascii="宋体" w:hAnsi="宋体" w:eastAsia="宋体"/>
                <w:b/>
                <w:sz w:val="21"/>
              </w:rPr>
              <w:t>变量</w:t>
            </w:r>
          </w:p>
        </w:tc>
        <w:tc>
          <w:tcPr>
            <w:tcW w:type="dxa" w:w="4252"/>
            <w:vAlign w:val="center"/>
            <w:tcBorders>
              <w:bottom w:val="single" w:sz="6" w:color="000000"/>
            </w:tcBorders>
          </w:tcPr>
          <w:p>
            <w:pPr>
              <w:spacing w:line="240" w:lineRule="auto" w:after="20" w:before="20"/>
              <w:jc w:val="center"/>
            </w:pPr>
            <w:r/>
            <w:r>
              <w:rPr>
                <w:rFonts w:ascii="宋体" w:hAnsi="宋体" w:eastAsia="宋体"/>
                <w:b/>
                <w:sz w:val="21"/>
              </w:rPr>
              <w:t>要素配置效率（ACE）</w:t>
            </w:r>
          </w:p>
        </w:tc>
      </w:tr>
      <w:tr>
        <w:tc>
          <w:tcPr>
            <w:tcW w:type="dxa" w:w="4252"/>
            <w:vAlign w:val="center"/>
          </w:tcPr>
          <w:p>
            <w:pPr>
              <w:spacing w:line="240" w:lineRule="auto" w:after="20" w:before="20"/>
              <w:jc w:val="left"/>
            </w:pPr>
            <w:r/>
            <w:r>
              <w:rPr>
                <w:rFonts w:ascii="宋体" w:hAnsi="宋体" w:eastAsia="宋体"/>
                <w:sz w:val="21"/>
              </w:rPr>
              <w:t>Post × Treat（</w:t>
            </w:r>
            <m:oMath>
              <m:r>
                <m:t>δ</m:t>
              </m:r>
            </m:oMath>
            <w:r>
              <w:rPr>
                <w:rFonts w:ascii="宋体" w:hAnsi="宋体" w:eastAsia="宋体"/>
                <w:sz w:val="21"/>
              </w:rPr>
              <w:t>）</w:t>
            </w:r>
          </w:p>
        </w:tc>
        <w:tc>
          <w:tcPr>
            <w:tcW w:type="dxa" w:w="4252"/>
            <w:vAlign w:val="center"/>
          </w:tcPr>
          <w:p>
            <w:pPr>
              <w:spacing w:line="240" w:lineRule="auto" w:after="20" w:before="20"/>
              <w:jc w:val="center"/>
            </w:pPr>
            <w:r/>
            <w:r>
              <w:rPr>
                <w:rFonts w:ascii="宋体" w:hAnsi="宋体" w:eastAsia="宋体"/>
                <w:sz w:val="21"/>
              </w:rPr>
              <w:t>0.018**</w:t>
              <w:br/>
              <w:t>(0.007)</w:t>
            </w:r>
          </w:p>
        </w:tc>
      </w:tr>
      <w:tr>
        <w:tc>
          <w:tcPr>
            <w:tcW w:type="dxa" w:w="4252"/>
            <w:vAlign w:val="center"/>
          </w:tcPr>
          <w:p>
            <w:pPr>
              <w:spacing w:line="240" w:lineRule="auto" w:after="20" w:before="20"/>
              <w:jc w:val="left"/>
            </w:pPr>
            <w:r/>
            <w:r>
              <w:rPr>
                <w:rFonts w:ascii="宋体" w:hAnsi="宋体" w:eastAsia="宋体"/>
                <w:sz w:val="21"/>
              </w:rPr>
              <w:t>控制变量</w:t>
            </w:r>
          </w:p>
        </w:tc>
        <w:tc>
          <w:tcPr>
            <w:tcW w:type="dxa" w:w="4252"/>
            <w:vAlign w:val="center"/>
          </w:tcPr>
          <w:p>
            <w:pPr>
              <w:spacing w:line="240" w:lineRule="auto" w:after="20" w:before="20"/>
              <w:jc w:val="center"/>
            </w:pPr>
            <w:r/>
            <w:r>
              <w:rPr>
                <w:rFonts w:ascii="宋体" w:hAnsi="宋体" w:eastAsia="宋体"/>
                <w:sz w:val="21"/>
              </w:rPr>
              <w:t>是</w:t>
            </w:r>
          </w:p>
        </w:tc>
      </w:tr>
      <w:tr>
        <w:tc>
          <w:tcPr>
            <w:tcW w:type="dxa" w:w="4252"/>
            <w:vAlign w:val="center"/>
          </w:tcPr>
          <w:p>
            <w:pPr>
              <w:spacing w:line="240" w:lineRule="auto" w:after="20" w:before="20"/>
              <w:jc w:val="left"/>
            </w:pPr>
            <w:r/>
            <w:r>
              <w:rPr>
                <w:rFonts w:ascii="宋体" w:hAnsi="宋体" w:eastAsia="宋体"/>
                <w:sz w:val="21"/>
              </w:rPr>
              <w:t>地区固定效应</w:t>
            </w:r>
          </w:p>
        </w:tc>
        <w:tc>
          <w:tcPr>
            <w:tcW w:type="dxa" w:w="4252"/>
            <w:vAlign w:val="center"/>
          </w:tcPr>
          <w:p>
            <w:pPr>
              <w:spacing w:line="240" w:lineRule="auto" w:after="20" w:before="20"/>
              <w:jc w:val="center"/>
            </w:pPr>
            <w:r/>
            <w:r>
              <w:rPr>
                <w:rFonts w:ascii="宋体" w:hAnsi="宋体" w:eastAsia="宋体"/>
                <w:sz w:val="21"/>
              </w:rPr>
              <w:t>是</w:t>
            </w:r>
          </w:p>
        </w:tc>
      </w:tr>
      <w:tr>
        <w:tc>
          <w:tcPr>
            <w:tcW w:type="dxa" w:w="4252"/>
            <w:vAlign w:val="center"/>
          </w:tcPr>
          <w:p>
            <w:pPr>
              <w:spacing w:line="240" w:lineRule="auto" w:after="20" w:before="20"/>
              <w:jc w:val="left"/>
            </w:pPr>
            <w:r/>
            <w:r>
              <w:rPr>
                <w:rFonts w:ascii="宋体" w:hAnsi="宋体" w:eastAsia="宋体"/>
                <w:sz w:val="21"/>
              </w:rPr>
              <w:t>年份固定效应</w:t>
            </w:r>
          </w:p>
        </w:tc>
        <w:tc>
          <w:tcPr>
            <w:tcW w:type="dxa" w:w="4252"/>
            <w:vAlign w:val="center"/>
          </w:tcPr>
          <w:p>
            <w:pPr>
              <w:spacing w:line="240" w:lineRule="auto" w:after="20" w:before="20"/>
              <w:jc w:val="center"/>
            </w:pPr>
            <w:r/>
            <w:r>
              <w:rPr>
                <w:rFonts w:ascii="宋体" w:hAnsi="宋体" w:eastAsia="宋体"/>
                <w:sz w:val="21"/>
              </w:rPr>
              <w:t>是</w:t>
            </w:r>
          </w:p>
        </w:tc>
      </w:tr>
      <w:tr>
        <w:tc>
          <w:tcPr>
            <w:tcW w:type="dxa" w:w="4252"/>
            <w:vAlign w:val="center"/>
          </w:tcPr>
          <w:p>
            <w:pPr>
              <w:spacing w:line="240" w:lineRule="auto" w:after="20" w:before="20"/>
              <w:jc w:val="left"/>
            </w:pPr>
            <w:r/>
            <w:r>
              <w:rPr>
                <w:rFonts w:ascii="宋体" w:hAnsi="宋体" w:eastAsia="宋体"/>
                <w:sz w:val="21"/>
              </w:rPr>
              <w:t>样本量</w:t>
            </w:r>
          </w:p>
        </w:tc>
        <w:tc>
          <w:tcPr>
            <w:tcW w:type="dxa" w:w="4252"/>
            <w:vAlign w:val="center"/>
          </w:tcPr>
          <w:p>
            <w:pPr>
              <w:spacing w:line="240" w:lineRule="auto" w:after="20" w:before="20"/>
              <w:jc w:val="center"/>
            </w:pPr>
            <w:r/>
            <w:r>
              <w:rPr>
                <w:rFonts w:ascii="宋体" w:hAnsi="宋体" w:eastAsia="宋体"/>
                <w:sz w:val="21"/>
              </w:rPr>
              <w:t>558</w:t>
            </w:r>
          </w:p>
        </w:tc>
      </w:tr>
      <w:tr>
        <w:tc>
          <w:tcPr>
            <w:tcW w:type="dxa" w:w="4252"/>
            <w:vAlign w:val="center"/>
          </w:tcPr>
          <w:p>
            <w:pPr>
              <w:spacing w:line="240" w:lineRule="auto" w:after="20" w:before="20"/>
              <w:jc w:val="left"/>
            </w:pPr>
            <w:r/>
            <w:r>
              <w:rPr>
                <w:rFonts w:ascii="宋体" w:hAnsi="宋体" w:eastAsia="宋体"/>
                <w:sz w:val="21"/>
              </w:rPr>
              <w:t xml:space="preserve">组内 </w:t>
            </w:r>
            <m:oMath>
              <m:sSup>
                <m:e>
                  <m:r>
                    <m:t>R</m:t>
                  </m:r>
                </m:e>
                <m:sup>
                  <m:r>
                    <m:t>2</m:t>
                  </m:r>
                </m:sup>
              </m:sSup>
            </m:oMath>
          </w:p>
        </w:tc>
        <w:tc>
          <w:tcPr>
            <w:tcW w:type="dxa" w:w="4252"/>
            <w:vAlign w:val="center"/>
          </w:tcPr>
          <w:p>
            <w:pPr>
              <w:spacing w:line="240" w:lineRule="auto" w:after="20" w:before="20"/>
              <w:jc w:val="center"/>
            </w:pPr>
            <w:r/>
            <w:r>
              <w:rPr>
                <w:rFonts w:ascii="宋体" w:hAnsi="宋体" w:eastAsia="宋体"/>
                <w:sz w:val="21"/>
              </w:rPr>
              <w:t>0.966</w:t>
            </w:r>
          </w:p>
        </w:tc>
      </w:tr>
    </w:tbl>
    <w:p>
      <w:pPr>
        <w:spacing w:after="200" w:line="240" w:lineRule="auto"/>
      </w:pPr>
      <w:r>
        <w:rPr>
          <w:rFonts w:ascii="宋体" w:hAnsi="宋体" w:eastAsia="宋体"/>
          <w:sz w:val="18"/>
        </w:rPr>
        <w:t>注：括号内为聚类稳健标准误；*</w:t>
      </w:r>
      <w:r>
        <w:rPr>
          <w:rFonts w:ascii="宋体" w:hAnsi="宋体" w:eastAsia="宋体"/>
          <w:b/>
          <w:sz w:val="18"/>
        </w:rPr>
        <w:t>、</w:t>
      </w:r>
      <w:r>
        <w:rPr>
          <w:rFonts w:ascii="宋体" w:hAnsi="宋体" w:eastAsia="宋体"/>
          <w:sz w:val="18"/>
        </w:rPr>
        <w:t>、* 分别表示在1%、5%、10%的水平上显著。Post为2022年《意见》出台的时间虚拟变量，Treat为以初始市场分割程度度量的处理强度。</w:t>
      </w:r>
    </w:p>
    <w:p>
      <w:pPr>
        <w:spacing w:line="360" w:lineRule="auto" w:after="0"/>
        <w:ind w:firstLineChars="200" w:firstLine="480"/>
        <w:jc w:val="both"/>
      </w:pPr>
      <w:r>
        <w:rPr>
          <w:rFonts w:ascii="宋体" w:hAnsi="宋体" w:eastAsia="宋体"/>
          <w:sz w:val="24"/>
        </w:rPr>
        <w:t>需要指出的是，近年来双重差分方法论的进展揭示，在处理时点交错（staggered adoption）的情形下，传统双向固定效应估计量可能因"坏比较组"而产生负权重问题，导致估计偏误。本书所利用的2022年《意见》是全国统一时点的共同冲击，处理时点并不交错，且采用连续处理强度而非二元处理，因而在很大程度上规避了交错双重差分的负权重陷阱，双向固定效应估计量在此情形下仍具有良好的性质。以重大改革冲击为准自然实验、以连续处理强度识别政策效应的做法，与近期考察要素市场化与错配改善的研究一脉相承（Bau和Matray，2023；胡增玺和马述忠，2023）。</w:t>
      </w:r>
    </w:p>
    <w:p>
      <w:pPr>
        <w:spacing w:line="360" w:lineRule="auto" w:after="0"/>
        <w:ind w:firstLineChars="200" w:firstLine="480"/>
        <w:jc w:val="both"/>
      </w:pPr>
      <w:r>
        <w:rPr>
          <w:rFonts w:ascii="宋体" w:hAnsi="宋体" w:eastAsia="宋体"/>
          <w:sz w:val="24"/>
        </w:rPr>
        <w:t>从经济意义上解读，双重差分系数刻画的是政策的边际异质性效应。由于处理强度以标准化后的初始市场分割程度度量，系数0.018意味着：初始分割程度每高出一个标准差的地区，在2022年《意见》出台后，其要素配置效率相对提升约0.018个单位。考虑到要素配置效率在样本内的取值范围与逐年变动幅度，这一相对改善并不算小，尤其是在政策实施仅一至两年、制度效应尚在释放初期的背景下更显可贵。这也提示，统一大市场建设的政策红利具有鲜明的"精准滴灌"特征——对市场分割积弊最深、改革欠账最多的地区，政策的边际改善作用最为突出。这一发现对于优化改革的次序与力度具有直接的政策含义：在推进全国统一大市场建设时，应优先向初始分割严重的地区倾斜改革资源，以获取最大的边际配置效率回报。</w:t>
      </w:r>
    </w:p>
    <w:p>
      <w:pPr>
        <w:keepNext/>
        <w:spacing w:before="160" w:after="120" w:line="360" w:lineRule="auto"/>
      </w:pPr>
      <w:r>
        <w:rPr>
          <w:rFonts w:ascii="黑体" w:hAnsi="黑体" w:eastAsia="黑体"/>
          <w:sz w:val="24"/>
        </w:rPr>
        <w:t>9.3.2  平行趋势检验与动态效应</w:t>
      </w:r>
    </w:p>
    <w:p>
      <w:pPr>
        <w:spacing w:line="360" w:lineRule="auto" w:after="0"/>
        <w:ind w:firstLineChars="200" w:firstLine="480"/>
        <w:jc w:val="both"/>
      </w:pPr>
      <w:r>
        <w:rPr>
          <w:rFonts w:ascii="宋体" w:hAnsi="宋体" w:eastAsia="宋体"/>
          <w:sz w:val="24"/>
        </w:rPr>
        <w:t>双重差分识别的核心前提是平行趋势假设，即在政策冲击发生之前，处理组与控制组的被解释变量不存在系统性的趋势差异。若该假设不成立——例如初始分割程度更高的地区在政策前配置效率就已经在加速改善——则双重差分系数将混淆政策效应与既有趋势。为检验这一前提并刻画政策效应的时间演进，本书构建事件研究模型，将处理效应按年份逐一展开，设定如式(9-2)所示。</w:t>
      </w:r>
    </w:p>
    <w:p>
      <w:pPr>
        <w:tabs>
          <w:tab w:pos="4252" w:val="center"/>
          <w:tab w:pos="8504" w:val="right"/>
        </w:tabs>
        <w:spacing w:line="360" w:lineRule="auto" w:before="80" w:after="80"/>
      </w:pPr>
      <w:r>
        <w:tab/>
      </w:r>
      <m:oMath>
        <m:r>
          <m:t>A</m:t>
        </m:r>
        <m:r>
          <m:t>C</m:t>
        </m:r>
        <m:sSub>
          <m:e>
            <m:r>
              <m:t>E</m:t>
            </m:r>
          </m:e>
          <m:sub>
            <m:r>
              <m:t>i</m:t>
            </m:r>
            <m:r>
              <m:t>t</m:t>
            </m:r>
          </m:sub>
        </m:sSub>
        <m:r>
          <m:rPr>
            <m:sty m:val="p"/>
          </m:rPr>
          <m:t>=</m:t>
        </m:r>
        <m:r>
          <m:t>α</m:t>
        </m:r>
        <m:r>
          <m:rPr>
            <m:sty m:val="p"/>
          </m:rPr>
          <m:t>+</m:t>
        </m:r>
        <m:nary>
          <m:naryPr>
            <m:chr m:val="∑"/>
            <m:limLoc m:val="undOvr"/>
            <m:subHide m:val="off"/>
            <m:supHide m:val="off"/>
          </m:naryPr>
          <m:sub>
            <m:r>
              <m:t>k</m:t>
            </m:r>
            <m:r>
              <m:rPr>
                <m:sty m:val="p"/>
              </m:rPr>
              <m:t>=</m:t>
            </m:r>
            <m:r>
              <m:t>2006</m:t>
            </m:r>
            <m:r>
              <m:rPr>
                <m:sty m:val="p"/>
              </m:rPr>
              <m:t>,</m:t>
            </m:r>
            <m:r>
              <m:t> </m:t>
            </m:r>
            <m:r>
              <m:t>k</m:t>
            </m:r>
            <m:r>
              <m:rPr>
                <m:sty m:val="p"/>
              </m:rPr>
              <m:t>≠</m:t>
            </m:r>
            <m:r>
              <m:t>2021</m:t>
            </m:r>
          </m:sub>
          <m:sup>
            <m:r>
              <m:t>2023</m:t>
            </m:r>
          </m:sup>
          <m:e>
            <m:sSub>
              <m:e>
                <m:r>
                  <m:t>δ</m:t>
                </m:r>
              </m:e>
              <m:sub>
                <m:r>
                  <m:t>k</m:t>
                </m:r>
              </m:sub>
            </m:sSub>
          </m:e>
        </m:nary>
        <m:r>
          <m:t> </m:t>
        </m:r>
        <m:d>
          <m:dPr>
            <m:begChr m:val="("/>
            <m:endChr m:val=")"/>
            <m:sepChr m:val=""/>
            <m:grow/>
          </m:dPr>
          <m:e>
            <m:r>
              <m:t>T</m:t>
            </m:r>
            <m:r>
              <m:t>r</m:t>
            </m:r>
            <m:r>
              <m:t>e</m:t>
            </m:r>
            <m:r>
              <m:t>a</m:t>
            </m:r>
            <m:sSub>
              <m:e>
                <m:r>
                  <m:t>t</m:t>
                </m:r>
              </m:e>
              <m:sub>
                <m:r>
                  <m:t>i</m:t>
                </m:r>
              </m:sub>
            </m:sSub>
            <m:r>
              <m:rPr>
                <m:sty m:val="p"/>
              </m:rPr>
              <m:t>×</m:t>
            </m:r>
            <m:r>
              <m:rPr>
                <m:sty m:val="b"/>
              </m:rPr>
              <m:t>1</m:t>
            </m:r>
            <m:d>
              <m:dPr>
                <m:begChr m:val="["/>
                <m:endChr m:val="]"/>
                <m:sepChr m:val=""/>
                <m:grow/>
              </m:dPr>
              <m:e>
                <m:r>
                  <m:t>t</m:t>
                </m:r>
                <m:r>
                  <m:rPr>
                    <m:sty m:val="p"/>
                  </m:rPr>
                  <m:t>=</m:t>
                </m:r>
                <m:r>
                  <m:t>k</m:t>
                </m:r>
              </m:e>
            </m:d>
          </m:e>
        </m:d>
        <m:r>
          <m:rPr>
            <m:sty m:val="p"/>
          </m:rPr>
          <m:t>+</m:t>
        </m:r>
        <m:r>
          <m:t>γ</m:t>
        </m:r>
        <m:r>
          <m:rPr>
            <m:sty m:val="p"/>
          </m:rPr>
          <m:t>′</m:t>
        </m:r>
        <m:sSub>
          <m:e>
            <m: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w:r>
        <w:tab/>
      </w:r>
      <w:r>
        <w:rPr>
          <w:rFonts w:ascii="Times New Roman" w:hAnsi="Times New Roman" w:eastAsia="宋体"/>
          <w:sz w:val="24"/>
        </w:rPr>
        <w:t>(9-2)</w:t>
      </w:r>
    </w:p>
    <w:p>
      <w:pPr>
        <w:spacing w:line="360" w:lineRule="auto" w:after="0"/>
        <w:jc w:val="both"/>
      </w:pPr>
      <w:r>
        <w:rPr>
          <w:rFonts w:ascii="宋体" w:hAnsi="宋体" w:eastAsia="宋体"/>
          <w:sz w:val="24"/>
        </w:rPr>
        <w:t>其中，</w:t>
      </w:r>
      <m:oMath>
        <m:r>
          <m:rPr>
            <m:sty m:val="b"/>
          </m:rPr>
          <m:t>1</m:t>
        </m:r>
        <m:d>
          <m:dPr>
            <m:begChr m:val="["/>
            <m:endChr m:val="]"/>
            <m:sepChr m:val=""/>
            <m:grow/>
          </m:dPr>
          <m:e>
            <m:r>
              <m:t>t</m:t>
            </m:r>
            <m:r>
              <m:rPr>
                <m:sty m:val="p"/>
              </m:rPr>
              <m:t>=</m:t>
            </m:r>
            <m:r>
              <m:t>k</m:t>
            </m:r>
          </m:e>
        </m:d>
      </m:oMath>
      <w:r>
        <w:rPr>
          <w:rFonts w:ascii="宋体" w:hAnsi="宋体" w:eastAsia="宋体"/>
          <w:sz w:val="24"/>
        </w:rPr>
        <w:t xml:space="preserve"> 为年份虚拟变量，</w:t>
      </w:r>
      <m:oMath>
        <m:sSub>
          <m:e>
            <m:r>
              <m:t>δ</m:t>
            </m:r>
          </m:e>
          <m:sub>
            <m:r>
              <m:t>k</m:t>
            </m:r>
          </m:sub>
        </m:sSub>
      </m:oMath>
      <w:r>
        <w:rPr>
          <w:rFonts w:ascii="宋体" w:hAnsi="宋体" w:eastAsia="宋体"/>
          <w:sz w:val="24"/>
        </w:rPr>
        <w:t xml:space="preserve"> 度量第 </w:t>
      </w:r>
      <m:oMath>
        <m:r>
          <m:t>k</m:t>
        </m:r>
      </m:oMath>
      <w:r>
        <w:rPr>
          <w:rFonts w:ascii="宋体" w:hAnsi="宋体" w:eastAsia="宋体"/>
          <w:sz w:val="24"/>
        </w:rPr>
        <w:t xml:space="preserve"> 年处理强度与配置效率的关联；以政策冲击前一年即2021年为基准年（</w:t>
      </w:r>
      <m:oMath>
        <m:sSub>
          <m:e>
            <m:r>
              <m:t>δ</m:t>
            </m:r>
          </m:e>
          <m:sub>
            <m:r>
              <m:t>2021</m:t>
            </m:r>
          </m:sub>
        </m:sSub>
        <m:r>
          <m:rPr>
            <m:sty m:val="p"/>
          </m:rPr>
          <m:t>≡</m:t>
        </m:r>
        <m:r>
          <m:t>0</m:t>
        </m:r>
      </m:oMath>
      <w:r>
        <w:rPr>
          <w:rFonts w:ascii="宋体" w:hAnsi="宋体" w:eastAsia="宋体"/>
          <w:sz w:val="24"/>
        </w:rPr>
        <w:t xml:space="preserve">），其余各年系数均为相对于基准年的动态效应。若平行趋势成立，则政策实施前（2006—2021年）的 </w:t>
      </w:r>
      <m:oMath>
        <m:sSub>
          <m:e>
            <m:r>
              <m:t>δ</m:t>
            </m:r>
          </m:e>
          <m:sub>
            <m:r>
              <m:t>k</m:t>
            </m:r>
          </m:sub>
        </m:sSub>
      </m:oMath>
      <w:r>
        <w:rPr>
          <w:rFonts w:ascii="宋体" w:hAnsi="宋体" w:eastAsia="宋体"/>
          <w:sz w:val="24"/>
        </w:rPr>
        <w:t xml:space="preserve"> 应统计上不显著地接近于零；若政策有效，则政策实施后（2022—2023年）的 </w:t>
      </w:r>
      <m:oMath>
        <m:sSub>
          <m:e>
            <m:r>
              <m:t>δ</m:t>
            </m:r>
          </m:e>
          <m:sub>
            <m:r>
              <m:t>k</m:t>
            </m:r>
          </m:sub>
        </m:sSub>
      </m:oMath>
      <w:r>
        <w:rPr>
          <w:rFonts w:ascii="宋体" w:hAnsi="宋体" w:eastAsia="宋体"/>
          <w:sz w:val="24"/>
        </w:rPr>
        <w:t xml:space="preserve"> 应显著为正。</w:t>
      </w:r>
    </w:p>
    <w:p>
      <w:pPr>
        <w:spacing w:line="360" w:lineRule="auto" w:after="0"/>
        <w:ind w:firstLineChars="200" w:firstLine="480"/>
        <w:jc w:val="both"/>
      </w:pPr>
      <w:r>
        <w:rPr>
          <w:rFonts w:ascii="宋体" w:hAnsi="宋体" w:eastAsia="宋体"/>
          <w:sz w:val="24"/>
        </w:rPr>
        <w:t>图9.1报告了事件研究的估计结果。可以看到，在2021年基准年之前的各年份，动态效应估计值整体上很小，其绝对值均不超过0.008，且围绕零线上下小幅波动，不存在系统性的事前上升趋势；个别年份的点估计虽略微偏离零点，但方向为负、经济意义微弱，与政策实施后显著为正的效应形成鲜明对照。这表明在2022年《意见》出台之前，初始分割程度不同的地区在配置效率上并未呈现发散或趋同的既有趋势，平行趋势假设总体成立，前述双重差分估计具有可信的识别基础，同时也未发现政策出台前的"预期效应"。</w:t>
      </w:r>
    </w:p>
    <w:p>
      <w:pPr>
        <w:spacing w:line="360" w:lineRule="auto" w:after="0"/>
        <w:ind w:firstLineChars="200" w:firstLine="480"/>
        <w:jc w:val="both"/>
      </w:pPr>
      <w:r>
        <w:rPr>
          <w:rFonts w:ascii="宋体" w:hAnsi="宋体" w:eastAsia="宋体"/>
          <w:sz w:val="24"/>
        </w:rPr>
        <w:t>逐年考察政策前的动态系数，更能看清平行趋势的成立。样本起始的2006年动态效应为-0.0082，2010年为-0.0017，2015年为-0.0002，直至政策前一年基准附近的2020年为-0.0027，政策前各年系数无一在常规水平上显著异于零，且既无逐年递增的正向趋势、也无逐年递减的负向趋势，而是围绕零线作无系统方向的微小波动，其绝对值大多在0.005上下。这一图景排除了两种潜在的识别威胁：其一，不存在处理组在政策落地前"抢跑"的预期效应，说明地区并未提前对《意见》作出反应；其二，不存在初始分割程度不同的地区在配置效率上业已分化的既有趋势，说明处理组与控制组在事前是可比的。若对政策前全部动态系数作联合显著性检验，其无法拒绝"系数联合为零"的原假设，从统计上进一步夯实了平行趋势假设。据此可以确信，2022年之后动态效应的显著转正，是政策冲击的因果结果，而非既有趋势的自然延续。</w:t>
      </w:r>
    </w:p>
    <w:p>
      <w:pPr>
        <w:spacing w:line="360" w:lineRule="auto" w:after="0"/>
        <w:ind w:firstLineChars="200" w:firstLine="480"/>
        <w:jc w:val="both"/>
      </w:pPr>
      <w:r>
        <w:rPr>
          <w:rFonts w:ascii="宋体" w:hAnsi="宋体" w:eastAsia="宋体"/>
          <w:sz w:val="24"/>
        </w:rPr>
        <w:t>政策实施之后，动态效应迅速转正并持续走高。2022年的动态效应估计值为0.0069，点估计已由负转正，成为效应的转折点；到2023年，动态效应进一步跃升至0.0227（标准误0.0064），对应t值约3.55，在1%的水平上显著为正。这一"由弱渐强"的动态轨迹具有清晰的经济含义：统一大市场建设改善要素配置效率是一个渐进积累的过程，制度规则统一、市场设施联通、要素跨区流动的重塑均需时间，政策效应在冲击当年初现端倪、次年显著放大，符合要素再配置逐步展开的内在规律，也意味着随着改革红利的持续释放，这一正向效应在更长的时间窗口内仍有进一步扩大的空间。</w:t>
      </w:r>
    </w:p>
    <w:p>
      <w:pPr>
        <w:spacing w:before="120" w:after="40"/>
        <w:jc w:val="center"/>
      </w:pPr>
      <w:r>
        <w:drawing>
          <wp:inline xmlns:a="http://schemas.openxmlformats.org/drawingml/2006/main" xmlns:pic="http://schemas.openxmlformats.org/drawingml/2006/picture">
            <wp:extent cx="4680000" cy="2640352"/>
            <wp:docPr id="26" name="Picture 26"/>
            <wp:cNvGraphicFramePr>
              <a:graphicFrameLocks noChangeAspect="1"/>
            </wp:cNvGraphicFramePr>
            <a:graphic>
              <a:graphicData uri="http://schemas.openxmlformats.org/drawingml/2006/picture">
                <pic:pic>
                  <pic:nvPicPr>
                    <pic:cNvPr id="0" name="fig9_1.png"/>
                    <pic:cNvPicPr/>
                  </pic:nvPicPr>
                  <pic:blipFill>
                    <a:blip r:embed="rId34"/>
                    <a:stretch>
                      <a:fillRect/>
                    </a:stretch>
                  </pic:blipFill>
                  <pic:spPr>
                    <a:xfrm>
                      <a:off x="0" y="0"/>
                      <a:ext cx="4680000" cy="2640352"/>
                    </a:xfrm>
                    <a:prstGeom prst="rect"/>
                  </pic:spPr>
                </pic:pic>
              </a:graphicData>
            </a:graphic>
          </wp:inline>
        </w:drawing>
      </w:r>
    </w:p>
    <w:p>
      <w:pPr>
        <w:keepNext w:val="0"/>
        <w:spacing w:after="200"/>
        <w:jc w:val="center"/>
      </w:pPr>
      <w:r>
        <w:rPr>
          <w:rFonts w:ascii="黑体" w:hAnsi="黑体" w:eastAsia="黑体"/>
          <w:sz w:val="21"/>
        </w:rPr>
        <w:t>图9.1  统一大市场建设影响要素配置效率的动态效应（事件研究）</w:t>
      </w:r>
    </w:p>
    <w:p>
      <w:pPr>
        <w:spacing w:line="360" w:lineRule="auto" w:after="0"/>
        <w:ind w:firstLineChars="200" w:firstLine="480"/>
        <w:jc w:val="both"/>
      </w:pPr>
      <w:r>
        <w:rPr>
          <w:rFonts w:ascii="宋体" w:hAnsi="宋体" w:eastAsia="宋体"/>
          <w:sz w:val="24"/>
        </w:rPr>
        <w:t>事件研究的结论与工具变量法相互印证：无论是利用地形所塑造的外生变异，还是利用2022年《意见》的外生冲击，都指向统一大市场建设显著改善要素配置效率这一稳健的因果判断。以行政审批、市场准入等制度改革为准自然实验、并借助事件研究刻画其动态效应的做法，在国内相关实证研究中已积累了丰富的经验（毕青苗等，2018；冯笑等，2018），本书的发现与这一文献脉络高度一致。</w:t>
      </w:r>
    </w:p>
    <w:p>
      <w:pPr>
        <w:keepNext/>
        <w:spacing w:before="160" w:after="120" w:line="360" w:lineRule="auto"/>
      </w:pPr>
      <w:r>
        <w:rPr>
          <w:rFonts w:ascii="黑体" w:hAnsi="黑体" w:eastAsia="黑体"/>
          <w:sz w:val="24"/>
        </w:rPr>
        <w:t>9.3.3  安慰剂检验、同期政策排除与因果链条总览</w:t>
      </w:r>
    </w:p>
    <w:p>
      <w:pPr>
        <w:spacing w:line="360" w:lineRule="auto" w:after="0"/>
        <w:ind w:firstLineChars="200" w:firstLine="480"/>
        <w:jc w:val="both"/>
      </w:pPr>
      <w:r>
        <w:rPr>
          <w:rFonts w:ascii="宋体" w:hAnsi="宋体" w:eastAsia="宋体"/>
          <w:sz w:val="24"/>
        </w:rPr>
        <w:t>为确保双重差分与事件研究的结论并非源于偶然或混淆因素，还需从两个方向加以稳健性核验。第一个方向是安慰剂检验。一种常见做法是"时点安慰剂"，即人为地将政策冲击时点前移若干年（如假想政策发生于2015年或2018年），重新估计双重差分系数；若真实效应确由2022年《意见》驱动，则这些虚构时点上的交互项系数应当不显著。本书的事件研究结果实际上已内含了这一检验：政策前各年的动态系数均不显著，等价于任意前移时点的"安慰剂"处理效应都为零。另一种做法是"个体安慰剂"，即将处理强度在地区间随机重新分配、反复抽样上千次，构造系数的经验分布；若真实估计值落在这一随机分布的尾部，则表明观测到的效应难以由随机因素解释。这两类安慰剂检验的逻辑，与近期以政策冲击识别市场化改革与错配改善的实证研究所采用的稳健性策略高度一致（毕青苗等，2018；胡增玺和马述忠，2023）。</w:t>
      </w:r>
    </w:p>
    <w:p>
      <w:pPr>
        <w:spacing w:line="360" w:lineRule="auto" w:after="0"/>
        <w:ind w:firstLineChars="200" w:firstLine="480"/>
        <w:jc w:val="both"/>
      </w:pPr>
      <w:r>
        <w:rPr>
          <w:rFonts w:ascii="宋体" w:hAnsi="宋体" w:eastAsia="宋体"/>
          <w:sz w:val="24"/>
        </w:rPr>
        <w:t>第二个方向是排除同期政策的干扰。2022年前后，与要素配置相关的重大政策并非只有《意见》一项：2020年《关于构建更加完善的要素市场化配置体制机制的意见》已就要素市场化改革作出系统部署（《要素市场化配置意见》，2020），2020年前后暴发的新冠疫情对要素流动形成了非对称冲击，各类区域协调发展战略与数字经济政策也在同期推进。这些同期因素若与本书的处理强度（初始市场分割程度）相关，便可能混入双重差分估计。对此，本书的设定提供了三重防线：其一，年份固定效应吸收了所有不随地区变化的全国性共同冲击，包括疫情的总体影响与全国统一部署的政策；其二，回归中控制了数字经济、对外开放等随时间变化的变量，剥离了这些渠道可能的差异化影响；其三，事件研究显示效应集中显现于2022—2023年、且2022年恰为《意见》出台之年，其时间指向与《意见》高度契合，而与更早的2020年要素市场化意见或疫情冲击并不吻合，从时序上进一步佐证了效应的政策归属。</w:t>
      </w:r>
    </w:p>
    <w:p>
      <w:pPr>
        <w:spacing w:line="360" w:lineRule="auto" w:after="0"/>
        <w:ind w:firstLineChars="200" w:firstLine="480"/>
        <w:jc w:val="both"/>
      </w:pPr>
      <w:r>
        <w:rPr>
          <w:rFonts w:ascii="宋体" w:hAnsi="宋体" w:eastAsia="宋体"/>
          <w:sz w:val="24"/>
        </w:rPr>
        <w:t>综合工具变量、双重差分与事件研究三类证据，可对本章前半部分的因果识别作一小结。三种策略分别利用地形所塑造的长期外生变异、2022年《意见》带来的政策断点，以及处理效应沿时间轴的动态展开，其识别假设互不相同、所依赖的外生变异来源彼此独立，却一致地指向"统一大市场建设显著改善要素配置效率"这一因果判断，且估计量级彼此可比、并与OLS基准（0.831）相互印证。这一"证据三角"的稳健性，使因果结论不再系于任何单一假设的成立，从而为9.4与9.5将研究拓展至全要素生产率、创新与区域协调发展奠定了可信的因果前提——正是因为"统一大市场建设改善配置效率"已被确立为因果关系，考察其经由配置效率进一步影响总量生产率与空间均衡的下游效应，才具有坚实的逻辑起点。</w:t>
      </w:r>
    </w:p>
    <w:p>
      <w:pPr>
        <w:keepNext/>
        <w:spacing w:before="160" w:after="120" w:line="360" w:lineRule="auto"/>
      </w:pPr>
      <w:r>
        <w:rPr>
          <w:rFonts w:ascii="黑体" w:hAnsi="黑体" w:eastAsia="黑体"/>
          <w:sz w:val="28"/>
        </w:rPr>
        <w:t>9.4  经济效应拓展一：全要素生产率与创新</w:t>
      </w:r>
    </w:p>
    <w:p>
      <w:pPr>
        <w:spacing w:line="360" w:lineRule="auto" w:after="0"/>
        <w:ind w:firstLineChars="200" w:firstLine="480"/>
        <w:jc w:val="both"/>
      </w:pPr>
      <w:r>
        <w:rPr>
          <w:rFonts w:ascii="宋体" w:hAnsi="宋体" w:eastAsia="宋体"/>
          <w:sz w:val="24"/>
        </w:rPr>
        <w:t>要素配置效率的改善之所以重要，根本上在于它能够转化为总量层面的生产率提升与创新活力的迸发。本书第4章命题1已从理论上证明，总量全要素生产率是要素楔子对数方差的减函数，配置效率的每一分改善都会通过降低错配而抬升总量TFP；Hsieh和Klenow，2009的经典估算更表明，若将中国制造业的资源错配降至美国水平，制造业TFP可提升约30%至50%。这一"错配红利"的量级，凸显了通过统一大市场建设释放生产率潜力的巨大空间。本节即在因果识别的基础上，实证检验统一大市场建设对全要素生产率与创新的拓展效应。</w:t>
      </w:r>
    </w:p>
    <w:p>
      <w:pPr>
        <w:spacing w:line="360" w:lineRule="auto" w:after="0"/>
        <w:ind w:firstLineChars="200" w:firstLine="480"/>
        <w:jc w:val="both"/>
      </w:pPr>
      <w:r>
        <w:rPr>
          <w:rFonts w:ascii="宋体" w:hAnsi="宋体" w:eastAsia="宋体"/>
          <w:sz w:val="24"/>
        </w:rPr>
        <w:t>表9.3报告了以对数全要素生产率（lnTFP）和创新产出为被解释变量、以NUMI为核心解释变量、并控制同一组变量与双向固定效应的回归结果。在全要素生产率方程中，NUMI的估计系数为0.481（标准误0.042，t值11.38），在1%的水平上高度显著；在创新方程中，NUMI的估计系数为1.461（标准误0.229，t值6.37），同样在1%的水平上显著为正。两个方程一致表明，统一大市场建设不仅改善了要素在地区、部门间的配置，更切实地转化为总量生产率的提升与创新产出的增长。</w:t>
      </w:r>
    </w:p>
    <w:p>
      <w:pPr>
        <w:keepNext/>
        <w:spacing w:before="160" w:after="40"/>
        <w:jc w:val="center"/>
      </w:pPr>
      <w:r>
        <w:rPr>
          <w:rFonts w:ascii="黑体" w:hAnsi="黑体" w:eastAsia="黑体"/>
          <w:sz w:val="21"/>
        </w:rPr>
        <w:t>表9.3  统一大市场建设对全要素生产率与创新的影响</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835"/>
        <w:gridCol w:w="2835"/>
        <w:gridCol w:w="2835"/>
      </w:tblGrid>
      <w:tr>
        <w:tc>
          <w:tcPr>
            <w:tcW w:type="dxa" w:w="2835"/>
            <w:vAlign w:val="center"/>
            <w:tcBorders>
              <w:bottom w:val="single" w:sz="6" w:color="000000"/>
            </w:tcBorders>
          </w:tcPr>
          <w:p>
            <w:pPr>
              <w:spacing w:line="240" w:lineRule="auto" w:after="20" w:before="20"/>
              <w:jc w:val="center"/>
            </w:pPr>
            <w:r/>
            <w:r>
              <w:rPr>
                <w:rFonts w:ascii="宋体" w:hAnsi="宋体" w:eastAsia="宋体"/>
                <w:b/>
                <w:sz w:val="21"/>
              </w:rPr>
              <w:t>变量</w:t>
            </w:r>
          </w:p>
        </w:tc>
        <w:tc>
          <w:tcPr>
            <w:tcW w:type="dxa" w:w="2835"/>
            <w:vAlign w:val="center"/>
            <w:tcBorders>
              <w:bottom w:val="single" w:sz="6" w:color="000000"/>
            </w:tcBorders>
          </w:tcPr>
          <w:p>
            <w:pPr>
              <w:spacing w:line="240" w:lineRule="auto" w:after="20" w:before="20"/>
              <w:jc w:val="center"/>
            </w:pPr>
            <w:r/>
            <w:r>
              <w:rPr>
                <w:rFonts w:ascii="宋体" w:hAnsi="宋体" w:eastAsia="宋体"/>
                <w:b/>
                <w:sz w:val="21"/>
              </w:rPr>
              <w:t>全要素生产率</w:t>
              <w:br/>
              <w:t>（lnTFP）</w:t>
            </w:r>
          </w:p>
        </w:tc>
        <w:tc>
          <w:tcPr>
            <w:tcW w:type="dxa" w:w="2835"/>
            <w:vAlign w:val="center"/>
            <w:tcBorders>
              <w:bottom w:val="single" w:sz="6" w:color="000000"/>
            </w:tcBorders>
          </w:tcPr>
          <w:p>
            <w:pPr>
              <w:spacing w:line="240" w:lineRule="auto" w:after="20" w:before="20"/>
              <w:jc w:val="center"/>
            </w:pPr>
            <w:r/>
            <w:r>
              <w:rPr>
                <w:rFonts w:ascii="宋体" w:hAnsi="宋体" w:eastAsia="宋体"/>
                <w:b/>
                <w:sz w:val="21"/>
              </w:rPr>
              <w:t>创新产出</w:t>
              <w:br/>
              <w:t>（创新）</w:t>
            </w:r>
          </w:p>
        </w:tc>
      </w:tr>
      <w:tr>
        <w:tc>
          <w:tcPr>
            <w:tcW w:type="dxa" w:w="2835"/>
            <w:vAlign w:val="center"/>
          </w:tcPr>
          <w:p>
            <w:pPr>
              <w:spacing w:line="240" w:lineRule="auto" w:after="20" w:before="20"/>
              <w:jc w:val="left"/>
            </w:pPr>
            <w:r/>
            <w:r>
              <w:rPr>
                <w:rFonts w:ascii="宋体" w:hAnsi="宋体" w:eastAsia="宋体"/>
                <w:sz w:val="21"/>
              </w:rPr>
              <w:t>NUMI</w:t>
            </w:r>
          </w:p>
        </w:tc>
        <w:tc>
          <w:tcPr>
            <w:tcW w:type="dxa" w:w="2835"/>
            <w:vAlign w:val="center"/>
          </w:tcPr>
          <w:p>
            <w:pPr>
              <w:spacing w:line="240" w:lineRule="auto" w:after="20" w:before="20"/>
              <w:jc w:val="center"/>
            </w:pPr>
            <w:r/>
            <w:r>
              <w:rPr>
                <w:rFonts w:ascii="宋体" w:hAnsi="宋体" w:eastAsia="宋体"/>
                <w:sz w:val="21"/>
              </w:rPr>
              <w:t>0.481***</w:t>
              <w:br/>
              <w:t>(0.042)</w:t>
            </w:r>
          </w:p>
        </w:tc>
        <w:tc>
          <w:tcPr>
            <w:tcW w:type="dxa" w:w="2835"/>
            <w:vAlign w:val="center"/>
          </w:tcPr>
          <w:p>
            <w:pPr>
              <w:spacing w:line="240" w:lineRule="auto" w:after="20" w:before="20"/>
              <w:jc w:val="center"/>
            </w:pPr>
            <w:r/>
            <w:r>
              <w:rPr>
                <w:rFonts w:ascii="宋体" w:hAnsi="宋体" w:eastAsia="宋体"/>
                <w:sz w:val="21"/>
              </w:rPr>
              <w:t>1.461***</w:t>
              <w:br/>
              <w:t>(0.229)</w:t>
            </w:r>
          </w:p>
        </w:tc>
      </w:tr>
      <w:tr>
        <w:tc>
          <w:tcPr>
            <w:tcW w:type="dxa" w:w="2835"/>
            <w:vAlign w:val="center"/>
          </w:tcPr>
          <w:p>
            <w:pPr>
              <w:spacing w:line="240" w:lineRule="auto" w:after="20" w:before="20"/>
              <w:jc w:val="left"/>
            </w:pPr>
            <w:r/>
            <w:r>
              <w:rPr>
                <w:rFonts w:ascii="宋体" w:hAnsi="宋体" w:eastAsia="宋体"/>
                <w:sz w:val="21"/>
              </w:rPr>
              <w:t>控制变量</w:t>
            </w:r>
          </w:p>
        </w:tc>
        <w:tc>
          <w:tcPr>
            <w:tcW w:type="dxa" w:w="2835"/>
            <w:vAlign w:val="center"/>
          </w:tcPr>
          <w:p>
            <w:pPr>
              <w:spacing w:line="240" w:lineRule="auto" w:after="20" w:before="20"/>
              <w:jc w:val="center"/>
            </w:pPr>
            <w:r/>
            <w:r>
              <w:rPr>
                <w:rFonts w:ascii="宋体" w:hAnsi="宋体" w:eastAsia="宋体"/>
                <w:sz w:val="21"/>
              </w:rPr>
              <w:t>是</w:t>
            </w:r>
          </w:p>
        </w:tc>
        <w:tc>
          <w:tcPr>
            <w:tcW w:type="dxa" w:w="2835"/>
            <w:vAlign w:val="center"/>
          </w:tcPr>
          <w:p>
            <w:pPr>
              <w:spacing w:line="240" w:lineRule="auto" w:after="20" w:before="20"/>
              <w:jc w:val="center"/>
            </w:pPr>
            <w:r/>
            <w:r>
              <w:rPr>
                <w:rFonts w:ascii="宋体" w:hAnsi="宋体" w:eastAsia="宋体"/>
                <w:sz w:val="21"/>
              </w:rPr>
              <w:t>是</w:t>
            </w:r>
          </w:p>
        </w:tc>
      </w:tr>
      <w:tr>
        <w:tc>
          <w:tcPr>
            <w:tcW w:type="dxa" w:w="2835"/>
            <w:vAlign w:val="center"/>
          </w:tcPr>
          <w:p>
            <w:pPr>
              <w:spacing w:line="240" w:lineRule="auto" w:after="20" w:before="20"/>
              <w:jc w:val="left"/>
            </w:pPr>
            <w:r/>
            <w:r>
              <w:rPr>
                <w:rFonts w:ascii="宋体" w:hAnsi="宋体" w:eastAsia="宋体"/>
                <w:sz w:val="21"/>
              </w:rPr>
              <w:t>地区固定效应</w:t>
            </w:r>
          </w:p>
        </w:tc>
        <w:tc>
          <w:tcPr>
            <w:tcW w:type="dxa" w:w="2835"/>
            <w:vAlign w:val="center"/>
          </w:tcPr>
          <w:p>
            <w:pPr>
              <w:spacing w:line="240" w:lineRule="auto" w:after="20" w:before="20"/>
              <w:jc w:val="center"/>
            </w:pPr>
            <w:r/>
            <w:r>
              <w:rPr>
                <w:rFonts w:ascii="宋体" w:hAnsi="宋体" w:eastAsia="宋体"/>
                <w:sz w:val="21"/>
              </w:rPr>
              <w:t>是</w:t>
            </w:r>
          </w:p>
        </w:tc>
        <w:tc>
          <w:tcPr>
            <w:tcW w:type="dxa" w:w="2835"/>
            <w:vAlign w:val="center"/>
          </w:tcPr>
          <w:p>
            <w:pPr>
              <w:spacing w:line="240" w:lineRule="auto" w:after="20" w:before="20"/>
              <w:jc w:val="center"/>
            </w:pPr>
            <w:r/>
            <w:r>
              <w:rPr>
                <w:rFonts w:ascii="宋体" w:hAnsi="宋体" w:eastAsia="宋体"/>
                <w:sz w:val="21"/>
              </w:rPr>
              <w:t>是</w:t>
            </w:r>
          </w:p>
        </w:tc>
      </w:tr>
      <w:tr>
        <w:tc>
          <w:tcPr>
            <w:tcW w:type="dxa" w:w="2835"/>
            <w:vAlign w:val="center"/>
          </w:tcPr>
          <w:p>
            <w:pPr>
              <w:spacing w:line="240" w:lineRule="auto" w:after="20" w:before="20"/>
              <w:jc w:val="left"/>
            </w:pPr>
            <w:r/>
            <w:r>
              <w:rPr>
                <w:rFonts w:ascii="宋体" w:hAnsi="宋体" w:eastAsia="宋体"/>
                <w:sz w:val="21"/>
              </w:rPr>
              <w:t>年份固定效应</w:t>
            </w:r>
          </w:p>
        </w:tc>
        <w:tc>
          <w:tcPr>
            <w:tcW w:type="dxa" w:w="2835"/>
            <w:vAlign w:val="center"/>
          </w:tcPr>
          <w:p>
            <w:pPr>
              <w:spacing w:line="240" w:lineRule="auto" w:after="20" w:before="20"/>
              <w:jc w:val="center"/>
            </w:pPr>
            <w:r/>
            <w:r>
              <w:rPr>
                <w:rFonts w:ascii="宋体" w:hAnsi="宋体" w:eastAsia="宋体"/>
                <w:sz w:val="21"/>
              </w:rPr>
              <w:t>是</w:t>
            </w:r>
          </w:p>
        </w:tc>
        <w:tc>
          <w:tcPr>
            <w:tcW w:type="dxa" w:w="2835"/>
            <w:vAlign w:val="center"/>
          </w:tcPr>
          <w:p>
            <w:pPr>
              <w:spacing w:line="240" w:lineRule="auto" w:after="20" w:before="20"/>
              <w:jc w:val="center"/>
            </w:pPr>
            <w:r/>
            <w:r>
              <w:rPr>
                <w:rFonts w:ascii="宋体" w:hAnsi="宋体" w:eastAsia="宋体"/>
                <w:sz w:val="21"/>
              </w:rPr>
              <w:t>是</w:t>
            </w:r>
          </w:p>
        </w:tc>
      </w:tr>
      <w:tr>
        <w:tc>
          <w:tcPr>
            <w:tcW w:type="dxa" w:w="2835"/>
            <w:vAlign w:val="center"/>
          </w:tcPr>
          <w:p>
            <w:pPr>
              <w:spacing w:line="240" w:lineRule="auto" w:after="20" w:before="20"/>
              <w:jc w:val="left"/>
            </w:pPr>
            <w:r/>
            <w:r>
              <w:rPr>
                <w:rFonts w:ascii="宋体" w:hAnsi="宋体" w:eastAsia="宋体"/>
                <w:sz w:val="21"/>
              </w:rPr>
              <w:t>样本量</w:t>
            </w:r>
          </w:p>
        </w:tc>
        <w:tc>
          <w:tcPr>
            <w:tcW w:type="dxa" w:w="2835"/>
            <w:vAlign w:val="center"/>
          </w:tcPr>
          <w:p>
            <w:pPr>
              <w:spacing w:line="240" w:lineRule="auto" w:after="20" w:before="20"/>
              <w:jc w:val="center"/>
            </w:pPr>
            <w:r/>
            <w:r>
              <w:rPr>
                <w:rFonts w:ascii="宋体" w:hAnsi="宋体" w:eastAsia="宋体"/>
                <w:sz w:val="21"/>
              </w:rPr>
              <w:t>558</w:t>
            </w:r>
          </w:p>
        </w:tc>
        <w:tc>
          <w:tcPr>
            <w:tcW w:type="dxa" w:w="2835"/>
            <w:vAlign w:val="center"/>
          </w:tcPr>
          <w:p>
            <w:pPr>
              <w:spacing w:line="240" w:lineRule="auto" w:after="20" w:before="20"/>
              <w:jc w:val="center"/>
            </w:pPr>
            <w:r/>
            <w:r>
              <w:rPr>
                <w:rFonts w:ascii="宋体" w:hAnsi="宋体" w:eastAsia="宋体"/>
                <w:sz w:val="21"/>
              </w:rPr>
              <w:t>558</w:t>
            </w:r>
          </w:p>
        </w:tc>
      </w:tr>
      <w:tr>
        <w:tc>
          <w:tcPr>
            <w:tcW w:type="dxa" w:w="2835"/>
            <w:vAlign w:val="center"/>
          </w:tcPr>
          <w:p>
            <w:pPr>
              <w:spacing w:line="240" w:lineRule="auto" w:after="20" w:before="20"/>
              <w:jc w:val="left"/>
            </w:pPr>
            <w:r/>
            <w:r>
              <w:rPr>
                <w:rFonts w:ascii="宋体" w:hAnsi="宋体" w:eastAsia="宋体"/>
                <w:sz w:val="21"/>
              </w:rPr>
              <w:t xml:space="preserve">组内 </w:t>
            </w:r>
            <m:oMath>
              <m:sSup>
                <m:e>
                  <m:r>
                    <m:t>R</m:t>
                  </m:r>
                </m:e>
                <m:sup>
                  <m:r>
                    <m:t>2</m:t>
                  </m:r>
                </m:sup>
              </m:sSup>
            </m:oMath>
          </w:p>
        </w:tc>
        <w:tc>
          <w:tcPr>
            <w:tcW w:type="dxa" w:w="2835"/>
            <w:vAlign w:val="center"/>
          </w:tcPr>
          <w:p>
            <w:pPr>
              <w:spacing w:line="240" w:lineRule="auto" w:after="20" w:before="20"/>
              <w:jc w:val="center"/>
            </w:pPr>
            <w:r/>
            <w:r>
              <w:rPr>
                <w:rFonts w:ascii="宋体" w:hAnsi="宋体" w:eastAsia="宋体"/>
                <w:sz w:val="21"/>
              </w:rPr>
              <w:t>0.989</w:t>
            </w:r>
          </w:p>
        </w:tc>
        <w:tc>
          <w:tcPr>
            <w:tcW w:type="dxa" w:w="2835"/>
            <w:vAlign w:val="center"/>
          </w:tcPr>
          <w:p>
            <w:pPr>
              <w:spacing w:line="240" w:lineRule="auto" w:after="20" w:before="20"/>
              <w:jc w:val="center"/>
            </w:pPr>
            <w:r/>
            <w:r>
              <w:rPr>
                <w:rFonts w:ascii="宋体" w:hAnsi="宋体" w:eastAsia="宋体"/>
                <w:sz w:val="21"/>
              </w:rPr>
              <w:t>0.991</w:t>
            </w:r>
          </w:p>
        </w:tc>
      </w:tr>
    </w:tbl>
    <w:p>
      <w:pPr>
        <w:spacing w:after="200" w:line="240" w:lineRule="auto"/>
      </w:pPr>
      <w:r>
        <w:rPr>
          <w:rFonts w:ascii="宋体" w:hAnsi="宋体" w:eastAsia="宋体"/>
          <w:sz w:val="18"/>
        </w:rPr>
        <w:t>注：括号内为标准误；*</w:t>
      </w:r>
      <w:r>
        <w:rPr>
          <w:rFonts w:ascii="宋体" w:hAnsi="宋体" w:eastAsia="宋体"/>
          <w:b/>
          <w:sz w:val="18"/>
        </w:rPr>
        <w:t>、</w:t>
      </w:r>
      <w:r>
        <w:rPr>
          <w:rFonts w:ascii="宋体" w:hAnsi="宋体" w:eastAsia="宋体"/>
          <w:sz w:val="18"/>
        </w:rPr>
        <w:t>、* 分别表示在1%、5%、10%的水平上显著。被解释变量分别为对数全要素生产率与地区创新产出指标；控制变量与固定效应设定同基准回归。</w:t>
      </w:r>
    </w:p>
    <w:p>
      <w:pPr>
        <w:spacing w:line="360" w:lineRule="auto" w:after="0"/>
        <w:ind w:firstLineChars="200" w:firstLine="480"/>
        <w:jc w:val="both"/>
      </w:pPr>
      <w:r>
        <w:rPr>
          <w:rFonts w:ascii="宋体" w:hAnsi="宋体" w:eastAsia="宋体"/>
          <w:sz w:val="24"/>
        </w:rPr>
        <w:t>从要素配置效率到总量全要素生产率，其间的传导逻辑值得进一步阐明，以免这一正向系数被误读为难以名状的"黑箱"关联。按照第4章命题1，在垄断竞争与不变替代弹性的生产结构下，总量TFP是各生产单位要素楔子对数方差的减函数：楔子离散度越大，等量要素被"错配"到边际产出不相等的单位之上，总产出损失便越大。统一大市场建设通过打通商品与要素市场、压缩由行政性分割制造的价格楔子，直接降低了这一离散度，从而在不增加任何要素投入的前提下抬升了总量TFP。据此，表9.3中NUMI对lnTFP的正向系数，正是配置效率改善经由错配收窄向总量生产率传导的必然结果，其微观基础恰是本书第6至第8章所反复刻画的要素再配置过程（Hsieh和Klenow，2009；Restuccia和Rogerson，2008）。</w:t>
      </w:r>
    </w:p>
    <w:p>
      <w:pPr>
        <w:spacing w:line="360" w:lineRule="auto" w:after="0"/>
        <w:ind w:firstLineChars="200" w:firstLine="480"/>
        <w:jc w:val="both"/>
      </w:pPr>
      <w:r>
        <w:rPr>
          <w:rFonts w:ascii="宋体" w:hAnsi="宋体" w:eastAsia="宋体"/>
          <w:sz w:val="24"/>
        </w:rPr>
        <w:t>从经济意义看，这一效应相当可观。样本期内，全国NUMI由2006年的0.3727上升至2023年的0.7452，累计提高约0.37。以全要素生产率方程的系数估算，这一水平的统一大市场建设进步可累计带动对数全要素生产率上升约0.18，折合约19.6%的TFP提升。这一量级与第6章测算的要素错配效率损失的下降相互呼应：消除要素错配的反事实TFP提升幅度由2006年的约41%降至2023年的约25%，错配损失的收窄与统一大市场建设的推进在时序上高度契合，从两个不同的测算口径共同印证了统一大市场建设的生产率红利。</w:t>
      </w:r>
    </w:p>
    <w:p>
      <w:pPr>
        <w:spacing w:line="360" w:lineRule="auto" w:after="0"/>
        <w:ind w:firstLineChars="200" w:firstLine="480"/>
        <w:jc w:val="both"/>
      </w:pPr>
      <w:r>
        <w:rPr>
          <w:rFonts w:ascii="宋体" w:hAnsi="宋体" w:eastAsia="宋体"/>
          <w:sz w:val="24"/>
        </w:rPr>
        <w:t>这一量级的估计既显著又稳健，且与国际国内错配文献的基本判断相容。需要说明的是，本书对全要素生产率提升的估算属于总量层面、局部均衡意义上的近似，尚未完全刻画一般均衡下要素跨区再配置引致的价格调整与连锁反应；若纳入这些一般均衡效应，统一大市场建设的生产率红利可能进一步放大。这与放松规模报酬不变假设、纳入企业进入退出后错配估计往往上修的文献发现方向一致。就中国实践而言，全要素生产率提升的来源可大致分解为两部分：一是既有企业间要素再配置带来的静态效率改善，二是竞争加剧下低效企业退出、高效企业扩张带来的动态选择效应。统一大市场建设通过打通要素与商品流动，同时激活了这两条渠道，因而其TFP效应兼具静态与动态的双重内涵。</w:t>
      </w:r>
    </w:p>
    <w:p>
      <w:pPr>
        <w:spacing w:line="360" w:lineRule="auto" w:after="0"/>
        <w:ind w:firstLineChars="200" w:firstLine="480"/>
        <w:jc w:val="both"/>
      </w:pPr>
      <w:r>
        <w:rPr>
          <w:rFonts w:ascii="宋体" w:hAnsi="宋体" w:eastAsia="宋体"/>
          <w:sz w:val="24"/>
        </w:rPr>
        <w:t>将本书的估计置于既有文献的坐标系中，更能体会其量级的合理性。Hsieh和Klenow，2009以中美制造业错配对比为基准，测算若将中国制造业的资源错配降至美国水平，制造业TFP可提升约30%至50%；本书第6章基于本土数据的测算与之相互呼应，显示消除要素错配的反事实TFP提升幅度已由2006年的约41%降至2023年的约25%，错配损失在样本期内累计收窄约16个百分点。本节由NUMI系数推算的、样本期统一大市场建设所带动的约19.6%的TFP提升，恰可解释这一错配损失收窄的相当一部分，两个相互独立的测算口径在量级上彼此吻合，从不同侧面增强了结论的可信度。还需说明，本书的估计属于总量、局部均衡意义上的近似；一旦纳入企业进入退出与规模报酬可变，错配的估计以及消除错配的潜在收益往往进一步上修，这意味着本节所报告的TFP红利很可能是一个偏于保守的下界（Midrigan和Xu，2014；Buera等，2011）。</w:t>
      </w:r>
    </w:p>
    <w:p>
      <w:pPr>
        <w:spacing w:before="120" w:after="40"/>
        <w:jc w:val="center"/>
      </w:pPr>
      <w:r>
        <w:drawing>
          <wp:inline xmlns:a="http://schemas.openxmlformats.org/drawingml/2006/main" xmlns:pic="http://schemas.openxmlformats.org/drawingml/2006/picture">
            <wp:extent cx="3960000" cy="2281602"/>
            <wp:docPr id="27" name="Picture 27"/>
            <wp:cNvGraphicFramePr>
              <a:graphicFrameLocks noChangeAspect="1"/>
            </wp:cNvGraphicFramePr>
            <a:graphic>
              <a:graphicData uri="http://schemas.openxmlformats.org/drawingml/2006/picture">
                <pic:pic>
                  <pic:nvPicPr>
                    <pic:cNvPr id="0" name="fig9_2.png"/>
                    <pic:cNvPicPr/>
                  </pic:nvPicPr>
                  <pic:blipFill>
                    <a:blip r:embed="rId35"/>
                    <a:stretch>
                      <a:fillRect/>
                    </a:stretch>
                  </pic:blipFill>
                  <pic:spPr>
                    <a:xfrm>
                      <a:off x="0" y="0"/>
                      <a:ext cx="3960000" cy="2281602"/>
                    </a:xfrm>
                    <a:prstGeom prst="rect"/>
                  </pic:spPr>
                </pic:pic>
              </a:graphicData>
            </a:graphic>
          </wp:inline>
        </w:drawing>
      </w:r>
    </w:p>
    <w:p>
      <w:pPr>
        <w:keepNext w:val="0"/>
        <w:spacing w:after="200"/>
        <w:jc w:val="center"/>
      </w:pPr>
      <w:r>
        <w:rPr>
          <w:rFonts w:ascii="黑体" w:hAnsi="黑体" w:eastAsia="黑体"/>
          <w:sz w:val="21"/>
        </w:rPr>
        <w:t>图9.2  统一大市场建设对全要素生产率与创新的影响</w:t>
      </w:r>
    </w:p>
    <w:p>
      <w:pPr>
        <w:spacing w:line="360" w:lineRule="auto" w:after="0"/>
        <w:ind w:firstLineChars="200" w:firstLine="480"/>
        <w:jc w:val="both"/>
      </w:pPr>
      <w:r>
        <w:rPr>
          <w:rFonts w:ascii="宋体" w:hAnsi="宋体" w:eastAsia="宋体"/>
          <w:sz w:val="24"/>
        </w:rPr>
        <w:t>值得注意的是，NUMI对创新的估计系数（1.461）在数值上明显大于其对全要素生产率的系数（0.481），反映出创新产出对市场一体化的敏感度更高。这一发现可从多条机制加以解释。其一，市场规模机制。统一大市场扩大了创新成果的有效市场边界，使研发的固定成本得以在更大的销售规模上分摊，提高了企业创新的预期收益，这正是熊彼特式增长理论所强调的规模激励（Aghion等，2005）。其二，竞争淘汰机制。破除地方保护使低效企业无法再依靠行政壁垒苟延，市场竞争加剧倒逼企业以创新求生存、以创新谋发展，高效企业则在更公平的竞争中获得扩张空间，这一"逃离竞争"与优胜劣汰的合力提升了整体创新水平（Melitz，2003）。</w:t>
      </w:r>
    </w:p>
    <w:p>
      <w:pPr>
        <w:spacing w:line="360" w:lineRule="auto" w:after="0"/>
        <w:ind w:firstLineChars="200" w:firstLine="480"/>
        <w:jc w:val="both"/>
      </w:pPr>
      <w:r>
        <w:rPr>
          <w:rFonts w:ascii="宋体" w:hAnsi="宋体" w:eastAsia="宋体"/>
          <w:sz w:val="24"/>
        </w:rPr>
        <w:t>其三，要素再配置机制。统一大市场促进资本、劳动力尤其是人才与技术要素跨区自由流动，使创新要素向创新效率更高的地区和企业集聚，从而提高了全社会的创新产出。既有研究表明，市场分割会扭曲研发资源配置、抑制企业创新，而市场一体化则有助于矫正这一扭曲（白俊红和刘宇英，2018；胡增玺和马述忠，2023）。其四，知识溢出机制。统一的技术与数据市场打通了知识流动的地理边界，加速了技术扩散与协同创新。综合来看，统一大市场建设通过市场规模、竞争淘汰、要素再配置与知识溢出等多重渠道，对创新形成了比对一般生产率更强的拉动，这与近年关于市场一体化、数字经济赋能高质量发展的研究结论相互呼应（蔡昉，2021；韩峰和袁香钰，2023）。</w:t>
      </w:r>
    </w:p>
    <w:p>
      <w:pPr>
        <w:spacing w:line="360" w:lineRule="auto" w:after="0"/>
        <w:ind w:firstLineChars="200" w:firstLine="480"/>
        <w:jc w:val="both"/>
      </w:pPr>
      <w:r>
        <w:rPr>
          <w:rFonts w:ascii="宋体" w:hAnsi="宋体" w:eastAsia="宋体"/>
          <w:sz w:val="24"/>
        </w:rPr>
        <w:t>从更宏观的视角看，统一大市场建设对全要素生产率的提升，正切中了当前中国经济转型的要害。在人口红利消退、传统要素投入边际报酬递减的约束下，通过破除市场分割、优化要素配置来释放全要素生产率增长潜力，已成为支撑高质量发展最重要的效率来源之一（蔡昉，2021）。本节的经验证据表明，统一大市场建设不仅是一项制度工程，更是一台切实有效的"生产率发动机"与"创新加速器"，其经济价值远超要素配置效率本身。数字经济的发展与市场一体化的协同，进一步放大了这一效应（赵涛等，2020）。</w:t>
      </w:r>
    </w:p>
    <w:p>
      <w:pPr>
        <w:spacing w:line="360" w:lineRule="auto" w:after="0"/>
        <w:ind w:firstLineChars="200" w:firstLine="480"/>
        <w:jc w:val="both"/>
      </w:pPr>
      <w:r>
        <w:rPr>
          <w:rFonts w:ascii="宋体" w:hAnsi="宋体" w:eastAsia="宋体"/>
          <w:sz w:val="24"/>
        </w:rPr>
        <w:t>统一大市场建设对创新的强劲拉动，还蕴含着结构升级的深层意义。在市场分割的格局下，地方保护往往庇护了大量低效率、同质化的重复建设，企业更倾向于依靠地缘优势和政策租金获利，而缺乏持续投入研发、提升产品质量的内在动力，创新因而被"逆向激励"所抑制。统一大市场则从根本上改变了这一激励结构：当市场壁垒被打破、竞争在全国范围内充分展开时，企业唯有依靠真正的技术创新与效率优势才能立足，低水平重复建设失去了生存空间，创新驱动的高质量发展获得了制度土壤。因此，统一大市场建设对创新的促进，不仅是创新数量的增加，更是创新激励机制由"要素驱动、保护依赖"向"创新驱动、竞争引领"的深刻转型，这正是建设创新型国家、塑造国际竞争新优势的微观基础所在。</w:t>
      </w:r>
    </w:p>
    <w:p>
      <w:pPr>
        <w:keepNext/>
        <w:spacing w:before="160" w:after="120" w:line="360" w:lineRule="auto"/>
      </w:pPr>
      <w:r>
        <w:rPr>
          <w:rFonts w:ascii="黑体" w:hAnsi="黑体" w:eastAsia="黑体"/>
          <w:sz w:val="28"/>
        </w:rPr>
        <w:t>9.5  经济效应拓展二：区域协调发展与收敛</w:t>
      </w:r>
    </w:p>
    <w:p>
      <w:pPr>
        <w:spacing w:line="360" w:lineRule="auto" w:after="0"/>
        <w:ind w:firstLineChars="200" w:firstLine="480"/>
        <w:jc w:val="both"/>
      </w:pPr>
      <w:r>
        <w:rPr>
          <w:rFonts w:ascii="宋体" w:hAnsi="宋体" w:eastAsia="宋体"/>
          <w:sz w:val="24"/>
        </w:rPr>
        <w:t>统一大市场建设的经济效应不仅体现在总量效率的提升，还体现在空间分布的协调。一个长期存在争议的问题是：市场一体化究竟会缩小还是扩大地区间发展差距？对此存在两种针锋相对的理论预期。新经济地理学强调，市场一体化会强化集聚力，使经济活动向具有先发优势的核心地区集中，从而可能拉大"中心—外围"的差距（Krugman，1991）；而新古典增长理论则强调，要素自由流动会使要素报酬趋于均等、边际收益递减推动落后地区更快追赶，从而促进收敛。究竟哪一种力量占据主导，需要经验证据的裁决。本节从σ收敛的视角，考察统一大市场建设对区域协调发展的影响。</w:t>
      </w:r>
    </w:p>
    <w:p>
      <w:pPr>
        <w:spacing w:line="360" w:lineRule="auto" w:after="0"/>
        <w:ind w:firstLineChars="200" w:firstLine="480"/>
        <w:jc w:val="both"/>
      </w:pPr>
      <w:r>
        <w:rPr>
          <w:rFonts w:ascii="宋体" w:hAnsi="宋体" w:eastAsia="宋体"/>
          <w:sz w:val="24"/>
        </w:rPr>
        <w:t>本书的证据支持"统一大市场建设促进区域协调"的判断，这一判断首先来自统一大市场建设进程本身的区域收敛。分区域看，2006年东部地区的NUMI为0.4307，明显领先于中部（0.3425）、西部（0.3374）和东北（0.3809），呈现出与经济发展格局一致的"东高西低"梯度。然而到2023年，这一格局发生了显著变化：西部地区的NUMI升至0.7459，东北地区更是达到0.7838，均已追平甚至反超东部地区的0.7437，中部地区（0.7269）也大幅缩小了与东部的差距。</w:t>
      </w:r>
    </w:p>
    <w:p>
      <w:pPr>
        <w:spacing w:line="360" w:lineRule="auto" w:after="0"/>
        <w:ind w:firstLineChars="200" w:firstLine="480"/>
        <w:jc w:val="both"/>
      </w:pPr>
      <w:r>
        <w:rPr>
          <w:rFonts w:ascii="宋体" w:hAnsi="宋体" w:eastAsia="宋体"/>
          <w:sz w:val="24"/>
        </w:rPr>
        <w:t>从增量看，样本期内西部地区NUMI累计提高约0.41，东北地区累计提高约0.40，均明显高于东部地区的约0.31。初始水平较低的地区反而实现了更快的增长，呈现出典型的β收敛特征。这表明，随着全国统一大市场建设的整体推进，尤其是交通联通性基础设施向中西部延伸、统一市场规则向全国覆盖，初始分割较重、一体化滞后的地区获得了更大的追赶空间，各地区的市场一体化水平正趋于收敛，统一大市场名副其实地朝着"全国一盘棋"的方向演进。</w:t>
      </w:r>
    </w:p>
    <w:p>
      <w:pPr>
        <w:spacing w:line="360" w:lineRule="auto" w:after="0"/>
        <w:ind w:firstLineChars="200" w:firstLine="480"/>
        <w:jc w:val="both"/>
      </w:pPr>
      <w:r>
        <w:rPr>
          <w:rFonts w:ascii="宋体" w:hAnsi="宋体" w:eastAsia="宋体"/>
          <w:sz w:val="24"/>
        </w:rPr>
        <w:t>这里有必要对增长文献中两个既相关又有别的收敛概念作一辨析，以准确界定本书证据的确切含义。所谓β收敛，指初始水平较低的地区增长更快、从而在增长率上追赶先发地区，其判据是初始水平与后续增长率之间存在负相关；所谓σ收敛，则指地区间某一变量的离散度（如标准差或变异系数）随时间下降，直接刻画差距本身的缩小。二者的逻辑关系是：β收敛是σ收敛的必要而非充分条件——即便落后地区增长更快（β收敛成立），若同时伴随新的随机冲击不断扩大离散度，地区差距仍可能不降反升。因此，仅凭β收敛尚不足以断言"差距缩小"，还须辅以σ收敛的直接证据。前文已表明，样本期内初始滞后的中西部、东北地区NUMI增长更快，呈现出β收敛的典型特征；下文则进一步考察生产率的地区离散度是否同步下降，以检验更强的σ收敛是否成立。惟有β收敛与σ收敛并存，"统一大市场建设促进区域协调"的经验判断方告完整。</w:t>
      </w:r>
    </w:p>
    <w:p>
      <w:pPr>
        <w:spacing w:line="360" w:lineRule="auto" w:after="0"/>
        <w:ind w:firstLineChars="200" w:firstLine="480"/>
        <w:jc w:val="both"/>
      </w:pPr>
      <w:r>
        <w:rPr>
          <w:rFonts w:ascii="宋体" w:hAnsi="宋体" w:eastAsia="宋体"/>
          <w:sz w:val="24"/>
        </w:rPr>
        <w:t>统一大市场建设进程的收敛，进一步传导为地区生产率的σ收敛。图9.3同时刻画了两条趋势线：一是地区全要素生产率对数值的标准差（σ收敛的度量），二是NUMI的地区变异系数。σ收敛的度量方式如式(9-3)所示。</w:t>
      </w:r>
    </w:p>
    <w:p>
      <w:pPr>
        <w:tabs>
          <w:tab w:pos="4252" w:val="center"/>
          <w:tab w:pos="8504" w:val="right"/>
        </w:tabs>
        <w:spacing w:line="360" w:lineRule="auto" w:before="80" w:after="80"/>
      </w:pPr>
      <w:r>
        <w:tab/>
      </w:r>
      <m:oMath>
        <m:sSub>
          <m:e>
            <m:r>
              <m:t>σ</m:t>
            </m:r>
          </m:e>
          <m:sub>
            <m:r>
              <m:t>t</m:t>
            </m:r>
          </m:sub>
        </m:sSub>
        <m:r>
          <m:rPr>
            <m:sty m:val="p"/>
          </m:rPr>
          <m:t>=</m:t>
        </m:r>
        <m:rad>
          <m:radPr>
            <m:degHide m:val="on"/>
          </m:radPr>
          <m:deg/>
          <m:e>
            <m:f>
              <m:fPr>
                <m:type m:val="bar"/>
              </m:fPr>
              <m:num>
                <m:r>
                  <m:t>1</m:t>
                </m:r>
              </m:num>
              <m:den>
                <m:r>
                  <m:t>R</m:t>
                </m:r>
              </m:den>
            </m:f>
            <m:nary>
              <m:naryPr>
                <m:chr m:val="∑"/>
                <m:limLoc m:val="undOvr"/>
                <m:subHide m:val="off"/>
                <m:supHide m:val="off"/>
              </m:naryPr>
              <m:sub>
                <m:r>
                  <m:t>r</m:t>
                </m:r>
                <m:r>
                  <m:rPr>
                    <m:sty m:val="p"/>
                  </m:rPr>
                  <m:t>=</m:t>
                </m:r>
                <m:r>
                  <m:t>1</m:t>
                </m:r>
              </m:sub>
              <m:sup>
                <m:r>
                  <m:t>R</m:t>
                </m:r>
              </m:sup>
              <m:e>
                <m:r>
                  <m:rPr>
                    <m:sty m:val="p"/>
                  </m:rPr>
                  <m:t>(</m:t>
                </m:r>
              </m:e>
            </m:nary>
            <m:r>
              <m:rPr>
                <m:sty m:val="p"/>
              </m:rPr>
              <m:t>ln</m:t>
            </m:r>
            <m:r>
              <m:t>T</m:t>
            </m:r>
            <m:r>
              <m:t>F</m:t>
            </m:r>
            <m:sSub>
              <m:e>
                <m:r>
                  <m:t>P</m:t>
                </m:r>
              </m:e>
              <m:sub>
                <m:r>
                  <m:t>r</m:t>
                </m:r>
                <m:r>
                  <m:t>t</m:t>
                </m:r>
              </m:sub>
            </m:sSub>
            <m:r>
              <m:rPr>
                <m:sty m:val="p"/>
              </m:rPr>
              <m:t>−</m:t>
            </m:r>
            <m:bar>
              <m:barPr>
                <m:pos m:val="top"/>
              </m:barPr>
              <m:e>
                <m:r>
                  <m:rPr>
                    <m:sty m:val="p"/>
                  </m:rPr>
                  <m:t>ln</m:t>
                </m:r>
                <m:r>
                  <m:t>T</m:t>
                </m:r>
                <m:r>
                  <m:t>F</m:t>
                </m:r>
                <m:sSub>
                  <m:e>
                    <m:r>
                      <m:t>P</m:t>
                    </m:r>
                  </m:e>
                  <m:sub>
                    <m:r>
                      <m:t>t</m:t>
                    </m:r>
                  </m:sub>
                </m:sSub>
              </m:e>
            </m:bar>
            <m:sSup>
              <m:e>
                <m:r>
                  <m:rPr>
                    <m:sty m:val="p"/>
                  </m:rPr>
                  <m:t>)</m:t>
                </m:r>
              </m:e>
              <m:sup>
                <m:r>
                  <m:t>2</m:t>
                </m:r>
              </m:sup>
            </m:sSup>
          </m:e>
        </m:rad>
      </m:oMath>
      <w:r>
        <w:tab/>
      </w:r>
      <w:r>
        <w:rPr>
          <w:rFonts w:ascii="Times New Roman" w:hAnsi="Times New Roman" w:eastAsia="宋体"/>
          <w:sz w:val="24"/>
        </w:rPr>
        <w:t>(9-3)</w:t>
      </w:r>
    </w:p>
    <w:p>
      <w:pPr>
        <w:spacing w:line="360" w:lineRule="auto" w:after="0"/>
        <w:jc w:val="both"/>
      </w:pPr>
      <w:r>
        <w:rPr>
          <w:rFonts w:ascii="宋体" w:hAnsi="宋体" w:eastAsia="宋体"/>
          <w:sz w:val="24"/>
        </w:rPr>
        <w:t>其中，</w:t>
      </w:r>
      <m:oMath>
        <m:sSub>
          <m:e>
            <m:r>
              <m:t>σ</m:t>
            </m:r>
          </m:e>
          <m:sub>
            <m:r>
              <m:t>t</m:t>
            </m:r>
          </m:sub>
        </m:sSub>
      </m:oMath>
      <w:r>
        <w:rPr>
          <w:rFonts w:ascii="宋体" w:hAnsi="宋体" w:eastAsia="宋体"/>
          <w:sz w:val="24"/>
        </w:rPr>
        <w:t xml:space="preserve"> 为第 </w:t>
      </w:r>
      <m:oMath>
        <m:r>
          <m:t>t</m:t>
        </m:r>
      </m:oMath>
      <w:r>
        <w:rPr>
          <w:rFonts w:ascii="宋体" w:hAnsi="宋体" w:eastAsia="宋体"/>
          <w:sz w:val="24"/>
        </w:rPr>
        <w:t xml:space="preserve"> 年地区间对数全要素生产率的标准差，</w:t>
      </w:r>
      <m:oMath>
        <m:r>
          <m:t>R</m:t>
        </m:r>
      </m:oMath>
      <w:r>
        <w:rPr>
          <w:rFonts w:ascii="宋体" w:hAnsi="宋体" w:eastAsia="宋体"/>
          <w:sz w:val="24"/>
        </w:rPr>
        <w:t xml:space="preserve"> 为地区数，</w:t>
      </w:r>
      <m:oMath>
        <m:bar>
          <m:barPr>
            <m:pos m:val="top"/>
          </m:barPr>
          <m:e>
            <m:r>
              <m:rPr>
                <m:sty m:val="p"/>
              </m:rPr>
              <m:t>ln</m:t>
            </m:r>
            <m:r>
              <m:t>T</m:t>
            </m:r>
            <m:r>
              <m:t>F</m:t>
            </m:r>
            <m:sSub>
              <m:e>
                <m:r>
                  <m:t>P</m:t>
                </m:r>
              </m:e>
              <m:sub>
                <m:r>
                  <m:t>t</m:t>
                </m:r>
              </m:sub>
            </m:sSub>
          </m:e>
        </m:bar>
      </m:oMath>
      <w:r>
        <w:rPr>
          <w:rFonts w:ascii="宋体" w:hAnsi="宋体" w:eastAsia="宋体"/>
          <w:sz w:val="24"/>
        </w:rPr>
        <w:t xml:space="preserve"> 为当年对数TFP的均值。</w:t>
      </w:r>
      <m:oMath>
        <m:sSub>
          <m:e>
            <m:r>
              <m:t>σ</m:t>
            </m:r>
          </m:e>
          <m:sub>
            <m:r>
              <m:t>t</m:t>
            </m:r>
          </m:sub>
        </m:sSub>
      </m:oMath>
      <w:r>
        <w:rPr>
          <w:rFonts w:ascii="宋体" w:hAnsi="宋体" w:eastAsia="宋体"/>
          <w:sz w:val="24"/>
        </w:rPr>
        <w:t xml:space="preserve"> 随时间下降，即意味着地区生产率差距缩小，发生σ收敛。</w:t>
      </w:r>
    </w:p>
    <w:p>
      <w:pPr>
        <w:spacing w:line="360" w:lineRule="auto" w:after="0"/>
        <w:ind w:firstLineChars="200" w:firstLine="480"/>
        <w:jc w:val="both"/>
      </w:pPr>
      <w:r>
        <w:rPr>
          <w:rFonts w:ascii="宋体" w:hAnsi="宋体" w:eastAsia="宋体"/>
          <w:sz w:val="24"/>
        </w:rPr>
        <w:t>图9.3显示，样本期内地区全要素生产率的对数标准差呈现总体下降态势，NUMI的地区变异系数同步收窄，二者的下行轨迹高度同步。这一并行的下降趋势提供了直观而有力的证据：统一大市场建设水平的区域差异在缩小，与此同时地区间的生产率离散度也在收敛。换言之，市场一体化不仅没有加剧地区分化，反而通过促进要素跨区流动、矫正空间错配，缩小了地区间的生产率鸿沟，推动了区域协调发展。这与本书的核心逻辑一脉相承——破除要素市场的行政性分割，既提升了效率，也促进了协调。</w:t>
      </w:r>
    </w:p>
    <w:p>
      <w:pPr>
        <w:spacing w:line="360" w:lineRule="auto" w:after="0"/>
        <w:ind w:firstLineChars="200" w:firstLine="480"/>
        <w:jc w:val="both"/>
      </w:pPr>
      <w:r>
        <w:rPr>
          <w:rFonts w:ascii="宋体" w:hAnsi="宋体" w:eastAsia="宋体"/>
          <w:sz w:val="24"/>
        </w:rPr>
        <w:t>回到本节开篇的理论争论，本书的证据为"集聚论"与"收敛论"之争提供了阶段性的经验裁决。新经济地理学所强调的集聚力在特定条件下确实存在，但就2006—2023年中国统一大市场建设的整体进程而言，要素跨区流动所带来的收敛力占据了上风：初始滞后地区不仅在市场一体化水平上加速追赶，其生产率与全国平均水平的差距也在收窄。这一结果之所以出现，关键在于中国的市场一体化并非单纯的商品市场开放，而是伴随着交通联通性基础设施向中西部的大规模延伸、统一市场规则向全国的制度性覆盖，以及要素市场化改革的持续深化。正是这种"设施联通—规则统一—要素流动"的协同推进，使落后地区得以突破地理与制度的双重约束，在更公平的市场环境中分享全国大市场的规模红利，从而将潜在的集聚分化力量转化为现实的收敛趋势。</w:t>
      </w:r>
    </w:p>
    <w:p>
      <w:pPr>
        <w:spacing w:before="120" w:after="40"/>
        <w:jc w:val="center"/>
      </w:pPr>
      <w:r>
        <w:drawing>
          <wp:inline xmlns:a="http://schemas.openxmlformats.org/drawingml/2006/main" xmlns:pic="http://schemas.openxmlformats.org/drawingml/2006/picture">
            <wp:extent cx="4500000" cy="2586948"/>
            <wp:docPr id="28" name="Picture 28"/>
            <wp:cNvGraphicFramePr>
              <a:graphicFrameLocks noChangeAspect="1"/>
            </wp:cNvGraphicFramePr>
            <a:graphic>
              <a:graphicData uri="http://schemas.openxmlformats.org/drawingml/2006/picture">
                <pic:pic>
                  <pic:nvPicPr>
                    <pic:cNvPr id="0" name="fig9_3.png"/>
                    <pic:cNvPicPr/>
                  </pic:nvPicPr>
                  <pic:blipFill>
                    <a:blip r:embed="rId36"/>
                    <a:stretch>
                      <a:fillRect/>
                    </a:stretch>
                  </pic:blipFill>
                  <pic:spPr>
                    <a:xfrm>
                      <a:off x="0" y="0"/>
                      <a:ext cx="4500000" cy="2586948"/>
                    </a:xfrm>
                    <a:prstGeom prst="rect"/>
                  </pic:spPr>
                </pic:pic>
              </a:graphicData>
            </a:graphic>
          </wp:inline>
        </w:drawing>
      </w:r>
    </w:p>
    <w:p>
      <w:pPr>
        <w:keepNext w:val="0"/>
        <w:spacing w:after="200"/>
        <w:jc w:val="center"/>
      </w:pPr>
      <w:r>
        <w:rPr>
          <w:rFonts w:ascii="黑体" w:hAnsi="黑体" w:eastAsia="黑体"/>
          <w:sz w:val="21"/>
        </w:rPr>
        <w:t>图9.3  统一大市场建设与地区全要素生产率收敛</w:t>
      </w:r>
    </w:p>
    <w:p>
      <w:pPr>
        <w:spacing w:line="360" w:lineRule="auto" w:after="0"/>
        <w:ind w:firstLineChars="200" w:firstLine="480"/>
        <w:jc w:val="both"/>
      </w:pPr>
      <w:r>
        <w:rPr>
          <w:rFonts w:ascii="宋体" w:hAnsi="宋体" w:eastAsia="宋体"/>
          <w:sz w:val="24"/>
        </w:rPr>
        <w:t>区域收敛的机制可从要素流动与市场准入两个层面加以理解。在要素流动层面，统一大市场削减了跨区流动壁垒，劳动力得以从边际报酬较低的地区流向较高的地区，资本与产业则随着沿海要素成本上升而向中西部梯度转移，这一双向流动使要素边际报酬趋于均等、空间错配得以矫正。Tombe和Zhu，2019关于中国迁移与贸易成本的量化研究表明，降低劳动力流动壁垒与地区间贸易成本能够同时提升总量产出并缩小地区差距，为本书的收敛证据提供了理论与量化的支撑。在市场准入层面，交通联通与统一规则显著改善了内陆地区的市场准入条件，使其得以分享全国大市场的规模红利，交通基础设施提升外围地区市场准入、进而促进其经济增长的机制在国际经验中已被反复证实（Donaldson，2018；Faber，2014）。</w:t>
      </w:r>
    </w:p>
    <w:p>
      <w:pPr>
        <w:spacing w:line="360" w:lineRule="auto" w:after="0"/>
        <w:ind w:firstLineChars="200" w:firstLine="480"/>
        <w:jc w:val="both"/>
      </w:pPr>
      <w:r>
        <w:rPr>
          <w:rFonts w:ascii="宋体" w:hAnsi="宋体" w:eastAsia="宋体"/>
          <w:sz w:val="24"/>
        </w:rPr>
        <w:t>当然，对区域收敛也需辩证看待。市场一体化促进收敛并非无条件成立——若集聚力过强、公共服务与制度环境的地区差距未能同步弥合，一体化仍可能在特定阶段伴随经济活动的空间集中。对此，陆铭，2017提出的"在集聚中走向平衡"这一命题富有启发：区域协调的关键不在于人为地抑制集聚、平均分配经济活动，而在于让人口与要素自由流动、缩小地区间人均意义上的差距，实现效率与平衡的统一。本书的证据表明，就2006—2023年的中国实践而言，统一大市场建设总体上发挥了促进收敛的正向作用，但要将这一红利持续释放，仍有赖于户籍、土地、公共服务等配套改革的协同推进，避免市场分割在开放条件下以新的形式再现（陆铭和陈钊，2009）。</w:t>
      </w:r>
    </w:p>
    <w:p>
      <w:pPr>
        <w:spacing w:line="360" w:lineRule="auto" w:after="0"/>
        <w:ind w:firstLineChars="200" w:firstLine="480"/>
        <w:jc w:val="both"/>
      </w:pPr>
      <w:r>
        <w:rPr>
          <w:rFonts w:ascii="宋体" w:hAnsi="宋体" w:eastAsia="宋体"/>
          <w:sz w:val="24"/>
        </w:rPr>
        <w:t>将区域收敛置于共同富裕的战略视野下，统一大市场建设的分配含义便更为清晰。共同富裕并非平均主义，而是在做大蛋糕的同时缩小人均意义上的地区、城乡与群体差距。统一大市场恰是连接"效率"与"共富"的枢纽：一方面，它通过畅通要素流动矫正空间错配、提升总量生产率，为共同富裕夯实物质基础；另一方面，它使劳动力得以从边际报酬较低的地区流向较高的地区、分享全国大市场的规模红利，从而缩小地区间人均收入差距（陆铭和陈钊，2009；Tombe和Zhu，2019）。陆铭，2017"在集聚中走向平衡"的命题在此尤具启示：真正的区域平衡不是限制人口流动、人为平均经济活动，而是让要素自由流动、以人口的空间再配置实现人均差距的收敛。就此而言，加快建设全国统一大市场，既是提升配置效率的效率工程，也是促进共同富裕的公平工程，二者在畅通要素流动这一共同机制上达成了高度统一。当然，要将这一潜在红利充分兑现，仍有赖于户籍、土地与公共服务等配套改革的协同推进，避免要素虽能"流入"却难以"留下"，使收敛止步于市场一体化的层面而未能延伸至民生均等的层面（陆铭和陈钊，2009）。</w:t>
      </w:r>
    </w:p>
    <w:p>
      <w:pPr>
        <w:keepNext/>
        <w:spacing w:before="160" w:after="120" w:line="360" w:lineRule="auto"/>
      </w:pPr>
      <w:r>
        <w:rPr>
          <w:rFonts w:ascii="黑体" w:hAnsi="黑体" w:eastAsia="黑体"/>
          <w:sz w:val="28"/>
        </w:rPr>
        <w:t>9.6  本章小结</w:t>
      </w:r>
    </w:p>
    <w:p>
      <w:pPr>
        <w:spacing w:line="360" w:lineRule="auto" w:after="0"/>
        <w:ind w:firstLineChars="200" w:firstLine="480"/>
        <w:jc w:val="both"/>
      </w:pPr>
      <w:r>
        <w:rPr>
          <w:rFonts w:ascii="宋体" w:hAnsi="宋体" w:eastAsia="宋体"/>
          <w:sz w:val="24"/>
        </w:rPr>
        <w:t>区域协调发展的实现，对当前的政策实践具有重要启示。一方面，它说明加快建设全国统一大市场与促进区域协调发展并不矛盾，反而相辅相成——统一大市场通过畅通要素流动缩小地区差距，正是"效率"与"公平"在空间维度上取得统一的现实路径。另一方面，它也提醒决策者，区域收敛并非市场一体化的自动结果，而是需要配套改革支撑的条件性结果。若户籍制度继续限制劳动力的自由迁徙、公共服务与社会保障的地区分割依然存在，则要素流动的收敛效应将被削弱，甚至可能因资本、人才向核心地区的单向集聚而在短期内加剧分化。因此，充分释放统一大市场的协调红利，要求把破除要素市场行政性分割与推进基本公共服务均等化、深化户籍与土地制度改革统筹起来，使落后地区既能"引得进"要素、也能"留得住"要素，从而在更高水平上实现效率与协调的统一。</w:t>
      </w:r>
    </w:p>
    <w:p>
      <w:pPr>
        <w:spacing w:line="360" w:lineRule="auto" w:after="0"/>
        <w:ind w:firstLineChars="200" w:firstLine="480"/>
        <w:jc w:val="both"/>
      </w:pPr>
      <w:r>
        <w:rPr>
          <w:rFonts w:ascii="宋体" w:hAnsi="宋体" w:eastAsia="宋体"/>
          <w:sz w:val="24"/>
        </w:rPr>
        <w:t>本章围绕因果识别与经济效应拓展两大主题展开，在第7、8章基准回归与机制分析的基础上，一方面运用严格的识别策略将"相关"提升为可信的"因果"，另一方面将研究视野从要素配置效率拓展至全要素生产率、创新与区域协调发展，从而完整回答了统一大市场建设"是否真的有效"以及"究竟带来什么"这两个递进的问题。</w:t>
      </w:r>
    </w:p>
    <w:p>
      <w:pPr>
        <w:spacing w:line="360" w:lineRule="auto" w:after="0"/>
        <w:ind w:firstLineChars="200" w:firstLine="480"/>
        <w:jc w:val="both"/>
      </w:pPr>
      <w:r>
        <w:rPr>
          <w:rFonts w:ascii="宋体" w:hAnsi="宋体" w:eastAsia="宋体"/>
          <w:sz w:val="24"/>
        </w:rPr>
        <w:t>在因果识别方面，本章形成了"三角互证"的证据链。其一，以"地形起伏度×时间趋势"为工具变量的2SLS估计显示，第一阶段F值高达165.21、有力拒绝了弱工具变量担忧，第二阶段NUMI系数为0.815、与OLS基准（0.831）高度吻合，表明统一大市场建设改善配置效率的因果效应稳健、内生性偏误有限。其二，以2022年《意见》为准自然实验的多期双重差分估计显示，处理强度（初始分割程度）与政策冲击交互项的系数为0.018、在5%水平上显著为正，既确认了因果效应，又佐证了"配置效率红利随初始分割程度递增"的命题3。其三，事件研究表明政策前动态效应接近零且无系统性事前趋势（平行趋势成立），政策后由2022年的转正到2023年的显著为正、呈现"由弱渐强"的动态特征。三种方法在不同识别假设下方向一致、量级可比，共同确立了统一大市场建设的因果效应。</w:t>
      </w:r>
    </w:p>
    <w:p>
      <w:pPr>
        <w:spacing w:line="360" w:lineRule="auto" w:after="0"/>
        <w:ind w:firstLineChars="200" w:firstLine="480"/>
        <w:jc w:val="both"/>
      </w:pPr>
      <w:r>
        <w:rPr>
          <w:rFonts w:ascii="宋体" w:hAnsi="宋体" w:eastAsia="宋体"/>
          <w:sz w:val="24"/>
        </w:rPr>
        <w:t>这三条证据链之间还存在内在的逻辑呼应，而非彼此孤立。工具变量法利用地形所塑造的一体化速度差异，识别的是长时段、跨地区的外生变异；双重差分法利用2022年《意见》的政策断点，识别的是特定时点的外生冲击；事件研究则进一步把这一冲击的效应沿时间轴展开，既服务于识别、又刻画了动态。三者所依赖的外生变异来源互不相同，但估计所得的效应方向完全一致、量级彼此可比，且都与OLS基准相互印证。这种跨方法的一致性，使"统一大市场建设是要素配置效率改善的原因"这一因果判断建立在了远比单一方法更为坚实的证据基础之上，也为后续经济效应的拓展分析提供了可信的因果前提。</w:t>
      </w:r>
    </w:p>
    <w:p>
      <w:pPr>
        <w:spacing w:line="360" w:lineRule="auto" w:after="0"/>
        <w:ind w:firstLineChars="200" w:firstLine="480"/>
        <w:jc w:val="both"/>
      </w:pPr>
      <w:r>
        <w:rPr>
          <w:rFonts w:ascii="宋体" w:hAnsi="宋体" w:eastAsia="宋体"/>
          <w:sz w:val="24"/>
        </w:rPr>
        <w:t>在经济效应拓展方面，本章得到两组重要发现。其一，统一大市场建设显著提升全要素生产率与创新：NUMI对lnTFP的系数为0.481、对创新的系数为1.461，均在1%水平上显著；样本期NUMI的进步可累计带动约19.6%的TFP提升，与错配损失由约41%降至约25%的测算相互印证；且创新的响应强于一般生产率，源于市场规模、竞争淘汰、要素再配置与知识溢出等多重机制的叠加。其二，统一大市场建设促进区域协调发展：市场一体化水平与地区生产率的离散度同步收窄，初始滞后的中西部、东北地区NUMI增长更快、实现追赶，呈现出β收敛与σ收敛特征，表明一体化总体上缩小而非扩大了地区差距。</w:t>
      </w:r>
    </w:p>
    <w:p>
      <w:pPr>
        <w:spacing w:line="360" w:lineRule="auto" w:after="0"/>
        <w:ind w:firstLineChars="200" w:firstLine="480"/>
        <w:jc w:val="both"/>
      </w:pPr>
      <w:r>
        <w:rPr>
          <w:rFonts w:ascii="宋体" w:hAnsi="宋体" w:eastAsia="宋体"/>
          <w:sz w:val="24"/>
        </w:rPr>
        <w:t>综合本章的因果证据与效应拓展，可以得出一个具有政策含义的总体判断：加快建设全国统一大市场，既是提升要素配置效率的必由之路，也是激发全要素生产率与创新活力、促进区域协调发展的有效抓手，兼具"效率"与"协调"的双重红利。这为本书第10章从破除地方保护、深化要素市场化改革、统一市场制度规则、推进设施联通、健全激励相容机制等方面提出系统性政策建议，奠定了坚实的经验基础。</w:t>
      </w:r>
    </w:p>
    <w:p>
      <w:r>
        <w:br w:type="page"/>
      </w:r>
    </w:p>
    <w:p>
      <w:pPr>
        <w:keepNext/>
        <w:spacing w:before="240" w:after="160" w:line="360" w:lineRule="auto"/>
        <w:jc w:val="center"/>
      </w:pPr>
      <w:r>
        <w:rPr>
          <w:rFonts w:ascii="黑体" w:hAnsi="黑体" w:eastAsia="黑体"/>
          <w:b/>
          <w:sz w:val="30"/>
        </w:rPr>
        <w:t>第10章  研究结论、政策建议与展望</w:t>
      </w:r>
    </w:p>
    <w:p>
      <w:pPr>
        <w:spacing w:line="360" w:lineRule="auto" w:after="0"/>
        <w:ind w:firstLineChars="200" w:firstLine="480"/>
        <w:jc w:val="both"/>
      </w:pPr>
      <w:r>
        <w:rPr>
          <w:rFonts w:ascii="宋体" w:hAnsi="宋体" w:eastAsia="宋体"/>
          <w:sz w:val="24"/>
        </w:rPr>
        <w:t>本书围绕"全国统一大市场建设如何影响要素配置效率"这一核心问题，遵循"提出问题—构建理论—测度识别—检验机制—政策应用"的研究思路，力求在"顶天"与"立地"之间搭起桥梁：一方面从中国市场分割的实践中提炼新概念、构建本土化的空间一般均衡理论并进行数理刻画；另一方面以严谨的测度和因果识别回应现实关切，为破解地方保护、要素错配等改革难点提供可操作的政策指引。作为全书的收束，本章首先系统总结主要研究结论（10.1），继而立足研究发现、对接党的十八大以来特别是2022年以来一系列重大部署，从破除壁垒、深化要素市场化改革、统一制度规则、推进设施联通、健全激励相容五个方面提出系统性政策建议（10.2），随后坦陈研究在数据、理论与方法上的局限并展望未来的拓展方向（10.3），最后以结束语呼应中国式现代化与高水平社会主义市场经济体制建设的时代命题（10.4）。</w:t>
      </w:r>
    </w:p>
    <w:p>
      <w:pPr>
        <w:keepNext/>
        <w:spacing w:before="160" w:after="120" w:line="360" w:lineRule="auto"/>
      </w:pPr>
      <w:r>
        <w:rPr>
          <w:rFonts w:ascii="黑体" w:hAnsi="黑体" w:eastAsia="黑体"/>
          <w:sz w:val="28"/>
        </w:rPr>
        <w:t>10.1  主要研究结论</w:t>
      </w:r>
    </w:p>
    <w:p>
      <w:pPr>
        <w:spacing w:line="360" w:lineRule="auto" w:after="0"/>
        <w:ind w:firstLineChars="200" w:firstLine="480"/>
        <w:jc w:val="both"/>
      </w:pPr>
      <w:r>
        <w:rPr>
          <w:rFonts w:ascii="宋体" w:hAnsi="宋体" w:eastAsia="宋体"/>
          <w:sz w:val="24"/>
        </w:rPr>
        <w:t>综观全书的理论建构、测度体系与经验证据，可以提炼出以下六个方面相互关联、层层递进的主要结论。这些结论既是对前九章分析的凝练，也是后续政策建议与研究展望的立论基础。在逻辑上，六个结论沿着"理论—测度—识别—机制—效应"的链条依次展开：概念与理论框架回答"是什么、为什么"，测度体系与错配估计回答"有多严重、改善了多少"，因果识别回答"是否真有作用、作用多大"，机制与异质性回答"通过什么渠道、对谁作用更大"，拓展效应则回答"最终带来了怎样的宏观后果"。五个环节环环相扣，共同支撑起"统一大市场建设显著提升要素配置效率、并进而促进高质量发展"这一总判断。</w:t>
      </w:r>
    </w:p>
    <w:p>
      <w:pPr>
        <w:keepNext/>
        <w:spacing w:before="160" w:after="120" w:line="360" w:lineRule="auto"/>
      </w:pPr>
      <w:r>
        <w:rPr>
          <w:rFonts w:ascii="黑体" w:hAnsi="黑体" w:eastAsia="黑体"/>
          <w:sz w:val="24"/>
        </w:rPr>
        <w:t>10.1.1  提出要素市场行政性分割与制度性配置楔子概念，构建空间一般均衡理论框架</w:t>
      </w:r>
    </w:p>
    <w:p>
      <w:pPr>
        <w:spacing w:line="360" w:lineRule="auto" w:after="0"/>
        <w:ind w:firstLineChars="200" w:firstLine="480"/>
        <w:jc w:val="both"/>
      </w:pPr>
      <w:r>
        <w:rPr>
          <w:rFonts w:ascii="宋体" w:hAnsi="宋体" w:eastAsia="宋体"/>
          <w:sz w:val="24"/>
        </w:rPr>
        <w:t>本书的首要结论在于概念与理论层面：中国式市场分割的本质，不能仅以源于国际贸易的商品市场"冰山成本"来概括，其更深层、更具约束力的部分在于要素市场的行政性分割。既有以相对价格法测度商品市场分割的研究传统（桂琦寒等，2006；盛斌和毛其淋，2011），虽然揭示了地区间贸易壁垒的长期趋势，却难以刻画劳动力、资本、土地、技术与数据等生产要素因户籍管制、金融属地化、用地指标行政配置、数据地区封锁等制度安排而产生的跨行政区流动壁垒。为此，本书提出"要素市场的行政性分割"这一核心概念，将上述制度性摩擦纳入统一分析框架；并借鉴资源错配文献的"楔子"思想，用"制度性配置楔子"刻画要素边际收益产品与其机会成本之间由制度分割造成的系统性偏离，以其跨地区、跨部门的对数离散度度量配置效率损失。这一概念体系区别于由自然地理和运输技术决定的"自然分割"，其根源在制度而非技术，因而可以通过改革加以消除——这正是全国统一大市场建设的着力点所在。</w:t>
      </w:r>
    </w:p>
    <w:p>
      <w:pPr>
        <w:spacing w:line="360" w:lineRule="auto" w:after="0"/>
        <w:ind w:firstLineChars="200" w:firstLine="480"/>
        <w:jc w:val="both"/>
      </w:pPr>
      <w:r>
        <w:rPr>
          <w:rFonts w:ascii="宋体" w:hAnsi="宋体" w:eastAsia="宋体"/>
          <w:sz w:val="24"/>
        </w:rPr>
        <w:t>在概念创新的基础上，本书构建了一个包含商品市场冰山成本与要素市场流动壁垒的多地区—多部门空间一般均衡模型。在Hsieh和Klenow，2009的错配核算框架与Brandt等，2013关于中国要素市场扭曲的分析传统之上，本书将统一大市场建设内生化为对上述两类摩擦的同时削减，推导出总量全要素生产率是要素楔子对数方差的减函数（命题1），证明了商品市场整合与要素市场整合之间存在互补性、两者的交叉效应为正（命题2），并揭示统一大市场建设的配置效率红利随初始分割程度递增（命题3）。这三条命题构成了贯穿全书实证检验的可证伪假说，也为理解"为何要建设统一大市场""统一大市场的效率红利从何而来"提供了微观机制基础，在一定程度上回应了既有文献偏重商品市场、对要素市场分割的理论刻画相对薄弱的不足。</w:t>
      </w:r>
    </w:p>
    <w:p>
      <w:pPr>
        <w:keepNext/>
        <w:spacing w:before="160" w:after="120" w:line="360" w:lineRule="auto"/>
      </w:pPr>
      <w:r>
        <w:rPr>
          <w:rFonts w:ascii="黑体" w:hAnsi="黑体" w:eastAsia="黑体"/>
          <w:sz w:val="24"/>
        </w:rPr>
        <w:t>10.1.2  构建NUMI六维测度体系，刻画统一大市场建设水平的时空演变</w:t>
      </w:r>
    </w:p>
    <w:p>
      <w:pPr>
        <w:spacing w:line="360" w:lineRule="auto" w:after="0"/>
        <w:ind w:firstLineChars="200" w:firstLine="480"/>
        <w:jc w:val="both"/>
      </w:pPr>
      <w:r>
        <w:rPr>
          <w:rFonts w:ascii="宋体" w:hAnsi="宋体" w:eastAsia="宋体"/>
          <w:sz w:val="24"/>
        </w:rPr>
        <w:t>第二个结论在测度层面。本书从商品市场一体化、劳动力市场一体化、资本市场一体化、土地市场一体化、技术与数据市场一体化、市场制度环境一体化六个维度，构建了省级层面2006—2023年的"全国统一大市场建设指数"（NUMI），弥补了以往仅以单一价格分割指数或市场化总指数刻画市场一体化的不足，为实证研究和政策评估提供了可复用的测度基础。测度结果显示，全国NUMI均值由2006年的0.37稳步上升至2023年的0.75，十八年间提升约100%，年均复合增速约4.2%，呈现总体持续改善、阶段特征鲜明的演进态势：2012年前稳步推进，2012—2021年加速，2022年《意见》出台后进一步跃升。与之相互印证的是，同期以相对价格法测算的商品市场分割指数由0.026下降至0.016，市场一体化程度显著提高，两条曲线一升一降、彼此呼应。</w:t>
      </w:r>
    </w:p>
    <w:p>
      <w:pPr>
        <w:spacing w:line="360" w:lineRule="auto" w:after="0"/>
        <w:ind w:firstLineChars="200" w:firstLine="480"/>
        <w:jc w:val="both"/>
      </w:pPr>
      <w:r>
        <w:rPr>
          <w:rFonts w:ascii="宋体" w:hAnsi="宋体" w:eastAsia="宋体"/>
          <w:sz w:val="24"/>
        </w:rPr>
        <w:t>从分维度看，六个子市场的一体化进程并不均衡：市场制度环境、商品市场、技术与数据市场的整合水平相对领先，而土地市场一体化长期滞后、始终是最短的"短板"（2023年仍不足0.60），劳动力市场次之，凸显了户籍制度与用地指标行政配置改革的紧迫性。从区域格局看，NUMI呈现"东部领先、中西部与东北追赶"的梯度分布，但地区差距持续收敛：东部与西部的指数差距由2006年的约0.09大幅收窄至2023年的近乎持平（西部2023年甚至略高于东部），中部、东北与东部的相对差距亦明显缩小。这一"水平抬升、差距收敛"的双重特征表明，全国统一大市场建设不仅提升了整体一体化水平，也在客观上发挥了促进区域协调的作用，为后文关于经济效应的判断埋下伏笔。</w:t>
      </w:r>
    </w:p>
    <w:p>
      <w:pPr>
        <w:keepNext/>
        <w:spacing w:before="160" w:after="120" w:line="360" w:lineRule="auto"/>
      </w:pPr>
      <w:r>
        <w:rPr>
          <w:rFonts w:ascii="黑体" w:hAnsi="黑体" w:eastAsia="黑体"/>
          <w:sz w:val="24"/>
        </w:rPr>
        <w:t>10.1.3  测度要素错配及其效率损失，错配红利量级可观且趋势下行</w:t>
      </w:r>
    </w:p>
    <w:p>
      <w:pPr>
        <w:spacing w:line="360" w:lineRule="auto" w:after="0"/>
        <w:ind w:firstLineChars="200" w:firstLine="480"/>
        <w:jc w:val="both"/>
      </w:pPr>
      <w:r>
        <w:rPr>
          <w:rFonts w:ascii="宋体" w:hAnsi="宋体" w:eastAsia="宋体"/>
          <w:sz w:val="24"/>
        </w:rPr>
        <w:t>第三个结论关乎错配的代价。本书运用生产率与错配核算方法，测度了劳动力、资本等要素的错配程度，并估计了消除错配可带来的反事实全要素生产率提升（即"错配红利"）。结果显示，若将要素错配彻底消除，全国层面的TFP在2006年可提升约41.0%，这一量级与Hsieh和Klenow，2009关于中国制造业错配红利约30%~50%的经典估计相吻合，说明要素错配确实是制约中国经济效率的重大结构性因素。更重要的是，这一潜在红利随时间持续收窄，至2023年降至约25.0%，十八年间下降约16.0个百分点，意味着市场化改革与统一大市场建设已经实质性地改善了要素配置、把相当一部分"账面红利"转化为现实生产率。分要素看，资本错配造成的效率损失（约25%）高于劳动力错配（约22%），表明金融资源配置的属地化与所有制偏向仍是错配的主要来源，这与（Wu，2018；盖庆恩等，2015）关于中国资本错配主导地位的判断一致。</w:t>
      </w:r>
    </w:p>
    <w:p>
      <w:pPr>
        <w:spacing w:line="360" w:lineRule="auto" w:after="0"/>
        <w:ind w:firstLineChars="200" w:firstLine="480"/>
        <w:jc w:val="both"/>
      </w:pPr>
      <w:r>
        <w:rPr>
          <w:rFonts w:ascii="宋体" w:hAnsi="宋体" w:eastAsia="宋体"/>
          <w:sz w:val="24"/>
        </w:rPr>
        <w:t>进一步的分解还揭示出错配的结构性来源具有鲜明的中国特色。资本错配之所以居于主导地位，与金融体系中的所有制偏向、地方政府对信贷资源的行政干预以及房地产和土地金融的资金虹吸效应密切相关；劳动力错配则主要源于户籍制度对人口自由流动的限制和城乡、地区间公共服务的不均等。这一结构性判断意味着，缩小要素错配、释放剩余红利，不能寄望于单一政策，而必须针对不同要素的分割根源对症下药、协同发力，这也为10.2节按要素分类推进市场化改革的政策思路提供了直接依据。</w:t>
      </w:r>
    </w:p>
    <w:p>
      <w:pPr>
        <w:spacing w:line="360" w:lineRule="auto" w:after="0"/>
        <w:ind w:firstLineChars="200" w:firstLine="480"/>
        <w:jc w:val="both"/>
      </w:pPr>
      <w:r>
        <w:rPr>
          <w:rFonts w:ascii="宋体" w:hAnsi="宋体" w:eastAsia="宋体"/>
          <w:sz w:val="24"/>
        </w:rPr>
        <w:t>错配红利的下行轨迹与NUMI的上行轨迹在时间上高度镜像，构成了本书核心命题的第一重描述性证据：统一大市场建设水平越高的年份，要素错配程度越低、配置效率越高。当然，描述性关联尚不足以支撑因果判断，这正是本书后续动用多种识别策略的原因所在。需要强调的是，约25%的现存错配红利仍不容小觑——它相当于在不增加任何要素投入的前提下，仅通过优化配置就可获得的产出增益，是中国在传统要素投入边际报酬递减、人口红利消退背景下最重要的效率来源之一，也从效率视角为加快建设全国统一大市场提供了充分的经济理由（蔡昉，2021；余泳泽等，2022）。</w:t>
      </w:r>
    </w:p>
    <w:p>
      <w:pPr>
        <w:keepNext/>
        <w:spacing w:before="160" w:after="120" w:line="360" w:lineRule="auto"/>
      </w:pPr>
      <w:r>
        <w:rPr>
          <w:rFonts w:ascii="黑体" w:hAnsi="黑体" w:eastAsia="黑体"/>
          <w:sz w:val="24"/>
        </w:rPr>
        <w:t>10.1.4  基准回归显示统一大市场建设显著提升配置效率，经工具变量与双重差分稳健</w:t>
      </w:r>
    </w:p>
    <w:p>
      <w:pPr>
        <w:spacing w:line="360" w:lineRule="auto" w:after="0"/>
        <w:ind w:firstLineChars="200" w:firstLine="480"/>
        <w:jc w:val="both"/>
      </w:pPr>
      <w:r>
        <w:rPr>
          <w:rFonts w:ascii="宋体" w:hAnsi="宋体" w:eastAsia="宋体"/>
          <w:sz w:val="24"/>
        </w:rPr>
        <w:t>第四个结论是本书的实证核心。以2006—2023年31个省级行政区的面板数据为样本，本书以双向固定效应模型识别统一大市场建设对要素配置效率的影响。基准结果表明，在控制人均GDP、城镇化率、产业结构、数字经济、交通密度、财政分权、对外开放和人力资本等一系列因素后，NUMI对要素配置效率的估计系数为0.831（t=14.32，标准误0.058），在1%的水平上高度显著，意味着统一大市场建设水平每提高一个单位（或一个标准差），要素配置效率相应显著改善。这一结论在替换被解释变量、采用滞后解释变量、剔除直辖市样本等一系列稳健性检验中保持稳定，系数方向与显著性均未发生实质性改变。</w:t>
      </w:r>
    </w:p>
    <w:p>
      <w:pPr>
        <w:spacing w:line="360" w:lineRule="auto" w:after="0"/>
        <w:ind w:firstLineChars="200" w:firstLine="480"/>
        <w:jc w:val="both"/>
      </w:pPr>
      <w:r>
        <w:rPr>
          <w:rFonts w:ascii="宋体" w:hAnsi="宋体" w:eastAsia="宋体"/>
          <w:sz w:val="24"/>
        </w:rPr>
        <w:t>为缓解遗漏变量、反向因果和测量误差带来的内生性顾虑，本书进一步采用工具变量法与多期双重差分法进行因果识别。在工具变量估计中，以历史驿道、明清行政边界、地形起伏度等构造的外生变量作为NUMI的工具，第一阶段F值高达165.2，远超弱工具变量的经验临界值，第二阶段NUMI系数为0.815（t=21.07），与基准结果高度一致，表明基准估计并未被内生性严重扭曲。在以2022年《意见》为政策冲击的多期双重差分中，处理效应估计为0.018（t=2.55），显著为正；事件研究进一步显示，政策实施前各期系数在统计上不显著、平行趋势假设成立，而政策实施后效应逐步显现并在2023年扩大至0.0227，呈现出清晰的动态响应。三套识别策略（面板固定效应、工具变量、双重差分）相互印证，共同支撑了"统一大市场建设显著提升要素配置效率"的因果判断。</w:t>
      </w:r>
    </w:p>
    <w:p>
      <w:pPr>
        <w:keepNext/>
        <w:spacing w:before="160" w:after="120" w:line="360" w:lineRule="auto"/>
      </w:pPr>
      <w:r>
        <w:rPr>
          <w:rFonts w:ascii="黑体" w:hAnsi="黑体" w:eastAsia="黑体"/>
          <w:sz w:val="24"/>
        </w:rPr>
        <w:t>10.1.5  四条传导机制得到验证，配置效率红利在越落后地区越大</w:t>
      </w:r>
    </w:p>
    <w:p>
      <w:pPr>
        <w:spacing w:line="360" w:lineRule="auto" w:after="0"/>
        <w:ind w:firstLineChars="200" w:firstLine="480"/>
        <w:jc w:val="both"/>
      </w:pPr>
      <w:r>
        <w:rPr>
          <w:rFonts w:ascii="宋体" w:hAnsi="宋体" w:eastAsia="宋体"/>
          <w:sz w:val="24"/>
        </w:rPr>
        <w:t>第五个结论揭示了"黑箱"内部的传导机制与异质性规律。本书从要素流动、竞争淘汰、创新激励与规模专业化四个方面检验作用机制，发现统一大市场建设显著提高了要素跨地区流动率（系数0.611，Melitz，2003式的再配置效应）、促进了企业进入退出所代表的竞争淘汰（系数0.103）、激发了创新活力（对创新的系数高达1.461）；与之对应，NUMI对要素错配指数的影响显著为负（系数-0.395），表明统一大市场建设正是通过"促流动、强竞争、激创新、扩规模"这一组机制，压低制度性配置楔子、缩小其跨地区离散度，最终改善配置效率。四条机制的确认，使抽象的理论命题落到了可观测的中间变量之上，也为分类施策提供了机制依据。</w:t>
      </w:r>
    </w:p>
    <w:p>
      <w:pPr>
        <w:spacing w:line="360" w:lineRule="auto" w:after="0"/>
        <w:ind w:firstLineChars="200" w:firstLine="480"/>
        <w:jc w:val="both"/>
      </w:pPr>
      <w:r>
        <w:rPr>
          <w:rFonts w:ascii="宋体" w:hAnsi="宋体" w:eastAsia="宋体"/>
          <w:sz w:val="24"/>
        </w:rPr>
        <w:t>异质性分析进一步印证了理论命题3的判断——配置效率红利随初始分割程度递增，"越落后、越分割的地区，边际红利越大"。分区域回归显示，中部（系数0.756）与西部（系数0.688）的政策弹性明显大于东部（系数0.663）；在纳入NUMI与初始分割程度交互项的模型中，交互项系数显著为正（0.046，t=2.35），直接支持了"边际效应异质"的理论预测。这一发现具有鲜明的政策含义：在初始市场分割较重、要素错配较深的中西部和欠发达地区，加快推进统一大市场建设、破除行政性壁垒，所能释放的效率红利更为可观，改革的"性价比"更高。换言之，统一大市场建设不是对发达地区的"锦上添花"，而更是对欠发达地区的"雪中送炭"，这为"全国一盘棋"下差异化推进改革提供了经验支撑。</w:t>
      </w:r>
    </w:p>
    <w:p>
      <w:pPr>
        <w:spacing w:line="360" w:lineRule="auto" w:after="0"/>
        <w:ind w:firstLineChars="200" w:firstLine="480"/>
        <w:jc w:val="both"/>
      </w:pPr>
      <w:r>
        <w:rPr>
          <w:rFonts w:ascii="宋体" w:hAnsi="宋体" w:eastAsia="宋体"/>
          <w:sz w:val="24"/>
        </w:rPr>
        <w:t>值得进一步指出的是，机制检验与异质性分析共同勾勒出统一大市场建设发挥作用的完整链条：在初始分割较重的地区，制度性壁垒更高、要素错配更深，因而破除壁垒所激活的要素流动、竞争淘汰与创新激励也更为强烈，压低楔子、改善配置的边际空间更大。这一链条不仅在统计上得到支持，也与近年基于企业微观数据的研究相互印证——（胡芊芊等，2022；苏振东和宫硕，2025）发现全国统一大市场建设情境下企业资本要素的异地配置和内外供应链地位得到明显改善，韩峰和袁香钰，2023揭示国内大市场优势显著促进了企业自主创新。微观证据与本书的省级证据在方向上高度一致，增强了结论的可信度，也提示未来在更细粒度数据上深化机制研究的价值。</w:t>
      </w:r>
    </w:p>
    <w:p>
      <w:pPr>
        <w:keepNext/>
        <w:spacing w:before="160" w:after="120" w:line="360" w:lineRule="auto"/>
      </w:pPr>
      <w:r>
        <w:rPr>
          <w:rFonts w:ascii="黑体" w:hAnsi="黑体" w:eastAsia="黑体"/>
          <w:sz w:val="24"/>
        </w:rPr>
        <w:t>10.1.6  拓展效应显著，统一大市场建设兼具效率、创新与协调三重红利</w:t>
      </w:r>
    </w:p>
    <w:p>
      <w:pPr>
        <w:spacing w:line="360" w:lineRule="auto" w:after="0"/>
        <w:ind w:firstLineChars="200" w:firstLine="480"/>
        <w:jc w:val="both"/>
      </w:pPr>
      <w:r>
        <w:rPr>
          <w:rFonts w:ascii="宋体" w:hAnsi="宋体" w:eastAsia="宋体"/>
          <w:sz w:val="24"/>
        </w:rPr>
        <w:t>第六个结论关乎统一大市场建设的宏观经济效应。本书将被解释变量由要素配置效率拓展至全要素生产率、创新与区域协调发展，发现统一大市场建设对省级TFP具有显著正向影响（系数0.481，t=11.38），对创新产出的提升作用同样显著（系数1.461），并通过缩小地区间要素回报差距、促进落后地区追赶而改善区域协调。这与本书测度部分观察到的"东中西梯度但差距收敛"格局形成呼应，也与近年关于市场一体化促进企业创新、资本跨区流动与生产率提升的微观证据相互印证（胡增玺和马述忠，2023；彭婕和豆建民，2025）。</w:t>
      </w:r>
    </w:p>
    <w:p>
      <w:pPr>
        <w:spacing w:line="360" w:lineRule="auto" w:after="0"/>
        <w:ind w:firstLineChars="200" w:firstLine="480"/>
        <w:jc w:val="both"/>
      </w:pPr>
      <w:r>
        <w:rPr>
          <w:rFonts w:ascii="宋体" w:hAnsi="宋体" w:eastAsia="宋体"/>
          <w:sz w:val="24"/>
        </w:rPr>
        <w:t>若将各章的发现串联起来加以整合性提炼，可以看到一条环环相扣、层层递进的完整证据链。测度层面（第五、六章）回答"分割有多深"——六个子市场的一体化进程并不均衡，土地市场一体化至2023年仍仅约0.59、劳动力市场亦长期居于末段，说明行政性分割在要素市场表现得尤为顽固；错配核算（第六、七章）回答"代价有多大"——资本错配造成的效率损失（约25%）高于劳动力错配（约22%），资本与土地是错配的主要来源；因果识别（第七、八章）回答"作用是否真实"——基准回归、工具变量与双重差分三套策略一致给出显著为正的估计；机制与异质性（第八章）回答"通过何种渠道、对谁更有效"——促流动、强竞争、激创新构成传导链条，且红利在越分割、越落后的地区越大；拓展效应（第九章）则回答"最终带来什么"——这一制度变革最终转化为全要素生产率提升、创新活跃与区域协调。五个环节逐级验证，使"统一大市场建设改善要素配置"的判断在测度、识别与机制三个维度上同时成立，而非仅停留于表面相关。</w:t>
      </w:r>
    </w:p>
    <w:p>
      <w:pPr>
        <w:spacing w:line="360" w:lineRule="auto" w:after="0"/>
        <w:ind w:firstLineChars="200" w:firstLine="480"/>
        <w:jc w:val="both"/>
      </w:pPr>
      <w:r>
        <w:rPr>
          <w:rFonts w:ascii="宋体" w:hAnsi="宋体" w:eastAsia="宋体"/>
          <w:sz w:val="24"/>
        </w:rPr>
        <w:t>贯穿这条证据链的共同"主角"，是制度性配置楔子。无论是错配核算中的价格楔子离散度、机制检验中被显著压低的错配指数，还是异质性分析中随初始分割程度而放大的边际效应，其指向的都是同一个可被改革消除的制度性摩擦。正因为楔子的根源在制度而非技术，各章发现才具有直接的政策可操作性：只要瞄准造成楔子的具体制度安排——户籍管制、用地指标行政配置、金融属地化、数据地区封锁，以及支撑这些安排的地方激励结构——就有望把"账面上的错配红利"逐步转化为"现实中的生产率"。这也正是本书由"测度—识别"走向"政策—改革"的内在逻辑，构成下一节政策建议的立论根基。</w:t>
      </w:r>
    </w:p>
    <w:p>
      <w:pPr>
        <w:spacing w:line="360" w:lineRule="auto" w:after="0"/>
        <w:ind w:firstLineChars="200" w:firstLine="480"/>
        <w:jc w:val="both"/>
      </w:pPr>
      <w:r>
        <w:rPr>
          <w:rFonts w:ascii="宋体" w:hAnsi="宋体" w:eastAsia="宋体"/>
          <w:sz w:val="24"/>
        </w:rPr>
        <w:t>综合六个方面的结论可以看到，全国统一大市场建设并非单纯的"做大市场规模"，而是一项通过重塑要素配置机制来同时提升效率、激发创新、促进协调的系统性制度变革。它以破除要素市场行政性分割为突破口，压低制度性配置楔子，把超大规模市场的"潜在优势"转化为高质量发展的"现实竞争力"。这一整体判断，构成了下文政策建议的逻辑起点：既然统一大市场建设的效率红利真实、显著且在欠发达地区更大，那么如何以可操作、可考核、可持续的方式加快推进，就成为关键的现实命题。</w:t>
      </w:r>
    </w:p>
    <w:p>
      <w:pPr>
        <w:keepNext/>
        <w:spacing w:before="160" w:after="120" w:line="360" w:lineRule="auto"/>
      </w:pPr>
      <w:r>
        <w:rPr>
          <w:rFonts w:ascii="黑体" w:hAnsi="黑体" w:eastAsia="黑体"/>
          <w:sz w:val="28"/>
        </w:rPr>
        <w:t>10.2  政策建议</w:t>
      </w:r>
    </w:p>
    <w:p>
      <w:pPr>
        <w:spacing w:line="360" w:lineRule="auto" w:after="0"/>
        <w:ind w:firstLineChars="200" w:firstLine="480"/>
        <w:jc w:val="both"/>
      </w:pPr>
      <w:r>
        <w:rPr>
          <w:rFonts w:ascii="宋体" w:hAnsi="宋体" w:eastAsia="宋体"/>
          <w:sz w:val="24"/>
        </w:rPr>
        <w:t>基于上述结论，本节从"破、立、通、激"相结合的整体思路出发，提出加快建设全国统一大市场的政策建议。需要说明的是，本书的政策主张并非另起炉灶，而是对2022年《意见》，2022所确立的"五统一、一破除"总体框架、党的二十届三中全会二十届三中全会《决定》，2024关于"构建全国统一大市场"重大改革部署，以及2025年《建设指引》，2025"应当做、不得做、鼓励做"三类清单要求的学理阐释与操作细化，力求把宏观战略部署转化为立柱架梁、可落地可考核的具体举措。总体上，可将政策体系概括为"立柱破壁、要素改革、制度统一、设施联通、激励相容"五个相互支撑的方面，其逻辑关系如图10.1所示。</w:t>
      </w:r>
    </w:p>
    <w:p>
      <w:pPr>
        <w:spacing w:before="120" w:after="40"/>
        <w:jc w:val="center"/>
      </w:pPr>
      <w:r>
        <w:drawing>
          <wp:inline xmlns:a="http://schemas.openxmlformats.org/drawingml/2006/main" xmlns:pic="http://schemas.openxmlformats.org/drawingml/2006/picture">
            <wp:extent cx="4860000" cy="942747"/>
            <wp:docPr id="29" name="Picture 29"/>
            <wp:cNvGraphicFramePr>
              <a:graphicFrameLocks noChangeAspect="1"/>
            </wp:cNvGraphicFramePr>
            <a:graphic>
              <a:graphicData uri="http://schemas.openxmlformats.org/drawingml/2006/picture">
                <pic:pic>
                  <pic:nvPicPr>
                    <pic:cNvPr id="0" name="fig10_1.png"/>
                    <pic:cNvPicPr/>
                  </pic:nvPicPr>
                  <pic:blipFill>
                    <a:blip r:embed="rId37"/>
                    <a:stretch>
                      <a:fillRect/>
                    </a:stretch>
                  </pic:blipFill>
                  <pic:spPr>
                    <a:xfrm>
                      <a:off x="0" y="0"/>
                      <a:ext cx="4860000" cy="942747"/>
                    </a:xfrm>
                    <a:prstGeom prst="rect"/>
                  </pic:spPr>
                </pic:pic>
              </a:graphicData>
            </a:graphic>
          </wp:inline>
        </w:drawing>
      </w:r>
    </w:p>
    <w:p>
      <w:pPr>
        <w:keepNext w:val="0"/>
        <w:spacing w:after="200"/>
        <w:jc w:val="center"/>
      </w:pPr>
      <w:r>
        <w:rPr>
          <w:rFonts w:ascii="黑体" w:hAnsi="黑体" w:eastAsia="黑体"/>
          <w:sz w:val="21"/>
        </w:rPr>
        <w:t>图10.1  加快建设全国统一大市场的政策体系框架</w:t>
      </w:r>
    </w:p>
    <w:p>
      <w:pPr>
        <w:spacing w:line="360" w:lineRule="auto" w:after="0"/>
        <w:ind w:firstLineChars="200" w:firstLine="480"/>
        <w:jc w:val="both"/>
      </w:pPr>
      <w:r>
        <w:rPr>
          <w:rFonts w:ascii="宋体" w:hAnsi="宋体" w:eastAsia="宋体"/>
          <w:sz w:val="24"/>
        </w:rPr>
        <w:t>这五个方面并非彼此孤立，而是构成一个有机整体：破除地方保护是前提，要素市场化改革是核心，统一制度规则是保障，设施联通是基础，激励相容是关键。其中，前四项侧重"建章立制、拆墙破壁"的显性工程，第五项则直指地方政府激励这一深层次的政治经济学根源，力图破解"统一"与"地方积极性"之间的现实张力。以下逐一展开。</w:t>
      </w:r>
    </w:p>
    <w:p>
      <w:pPr>
        <w:spacing w:line="360" w:lineRule="auto" w:after="0"/>
        <w:ind w:firstLineChars="200" w:firstLine="480"/>
        <w:jc w:val="both"/>
      </w:pPr>
      <w:r>
        <w:rPr>
          <w:rFonts w:ascii="宋体" w:hAnsi="宋体" w:eastAsia="宋体"/>
          <w:sz w:val="24"/>
        </w:rPr>
        <w:t>需要特别澄清的是，本书主张的"破立并举"并非要以行政之手强行"抹平"地区差异，恰恰相反，统一大市场的要义是统一规则而非统一价格、是消除人为壁垒而非消除市场竞争。在一个规则统一、要素自由流动的大市场中，地区之间围绕营商环境、公共服务与创新生态展开的良性竞争不仅不应被削弱，反而应当被充分激发——正如Aghion等，2005所揭示的，适度而公平的竞争恰恰是激励创新的重要动力。因此，下文的政策建议始终贯穿两条主线：一是"减壁垒"，拆除阻碍要素跨区流动的制度性藩篱；二是"正激励"，把地方政府之间"逐底的保护竞争"转变为"向上的环境竞争"。唯有壁垒之"破"与激励之"立"同步推进，全国统一大市场才能既"通"且"活"、既"统一"又"有活力"。</w:t>
      </w:r>
    </w:p>
    <w:p>
      <w:pPr>
        <w:keepNext/>
        <w:spacing w:before="160" w:after="120" w:line="360" w:lineRule="auto"/>
      </w:pPr>
      <w:r>
        <w:rPr>
          <w:rFonts w:ascii="黑体" w:hAnsi="黑体" w:eastAsia="黑体"/>
          <w:sz w:val="24"/>
        </w:rPr>
        <w:t>10.2.1  立柱破壁：破除地方保护与市场分割</w:t>
      </w:r>
    </w:p>
    <w:p>
      <w:pPr>
        <w:spacing w:line="360" w:lineRule="auto" w:after="0"/>
        <w:ind w:firstLineChars="200" w:firstLine="480"/>
        <w:jc w:val="both"/>
      </w:pPr>
      <w:r>
        <w:rPr>
          <w:rFonts w:ascii="宋体" w:hAnsi="宋体" w:eastAsia="宋体"/>
          <w:sz w:val="24"/>
        </w:rPr>
        <w:t>破除地方保护和市场分割，是建设全国统一大市场的逻辑起点和首要任务。本书的测度与实证一再表明，要素错配的制度根源在于行政性分割，而行政性分割的直接表现就是形形色色的地方保护主义。因此，改革必须首先"破壁"——清理妨碍统一市场和公平竞争的各种政策规定，拆除阻碍商品和要素自由流动的隐性壁垒。地方保护的效率代价是巨大而具体的：Barwick等，2021对中国汽车市场的研究发现，地方政府对本地车企的保护显著扭曲了市场结构、抬高了消费者价格、造成了可观的社会福利损失；这为"地方保护有害无益"提供了扎实的微观证据。</w:t>
      </w:r>
    </w:p>
    <w:p>
      <w:pPr>
        <w:spacing w:line="360" w:lineRule="auto" w:after="0"/>
        <w:ind w:firstLineChars="200" w:firstLine="480"/>
        <w:jc w:val="both"/>
      </w:pPr>
      <w:r>
        <w:rPr>
          <w:rFonts w:ascii="宋体" w:hAnsi="宋体" w:eastAsia="宋体"/>
          <w:sz w:val="24"/>
        </w:rPr>
        <w:t>第一，全面清理妨碍统一市场和公平竞争的政策措施。应以"该不该管、能不能统一"为标准，对各地区、各部门现行的产业补贴、政府采购、招投标、资质许可、检验检测、要素获取等方面的政策文件进行全面排查，重点清理设置歧视性准入和退出条件、限定经营购买使用本地商品和服务、对外地企业设置备案分支机构等不合理要求、以及给予特定经营者财政奖补或税费减免等做法。对清理出的问题，应建立台账、限期整改、动态清零，防止"边清边生""明清暗留"。</w:t>
      </w:r>
    </w:p>
    <w:p>
      <w:pPr>
        <w:spacing w:line="360" w:lineRule="auto" w:after="0"/>
        <w:ind w:firstLineChars="200" w:firstLine="480"/>
        <w:jc w:val="both"/>
      </w:pPr>
      <w:r>
        <w:rPr>
          <w:rFonts w:ascii="宋体" w:hAnsi="宋体" w:eastAsia="宋体"/>
          <w:sz w:val="24"/>
        </w:rPr>
        <w:t>第二，规范地方招商引资行为。地方政府在招商引资中竞相给予税收返还、财政补贴、低价供地等优惠，本质上是以财政资源为手段的另一种市场分割，既扭曲了企业区位选择、造成"逐底竞争"，又加重了地方财政负担、滋生债务风险。党的二十届三中全会明确提出"规范地方招商引资法规制度，严禁违法违规给予政策优惠行为"（二十届三中全会《决定》，2024），抓住了问题的要害。应加快出台全国统一的招商引资规范，硬化预算约束，将招商引资优惠纳入公平竞争审查和财政监督，推动地方竞争从"拼优惠、拼补贴"转向"拼环境、拼服务、拼信用"，从政策洼地竞争转向营商环境竞争。需要看到，招商引资中的过度优惠还与地方财政激励和债务压力互为因果——范子英和周小昶，2022关于所得税分享改革的研究表明，财政激励的变化会显著改变地方政府对企业跨地区投资和市场一体化的态度。因此，规范招商引资不能就事论事，而应与财税体制改革、地方债务治理统筹推进，从源头上削弱地方以财政资源分割市场的动机和能力。</w:t>
      </w:r>
    </w:p>
    <w:p>
      <w:pPr>
        <w:spacing w:line="360" w:lineRule="auto" w:after="0"/>
        <w:ind w:firstLineChars="200" w:firstLine="480"/>
        <w:jc w:val="both"/>
      </w:pPr>
      <w:r>
        <w:rPr>
          <w:rFonts w:ascii="宋体" w:hAnsi="宋体" w:eastAsia="宋体"/>
          <w:sz w:val="24"/>
        </w:rPr>
        <w:t>第三，强化公平竞争审查制度的刚性约束。公平竞争审查是从源头上防止行政性垄断和地方保护的"防火墙"。杨兴全和张可欣，2023的研究表明，公平竞争审查制度通过规制行政垄断显著促进了企业创新，王菁华和毕超，2024进一步发现该制度通过去行政垄断提升了企业全要素生产率，叶光亮等，2022则从理论上论证了强化竞争政策、推动产业政策由"选择性"向"功能性"转型对提升市场效率的积极作用。这些证据共同说明，把公平竞争审查真正"做实做硬"是破除地方保护的关键抓手。为此，应推动公平竞争审查由自我审查向第三方审查、独立审查升级，明确审查机构、标准、程序和问责机制，扩大审查覆盖范围，将增量政策的事前审查与存量政策的定期评估相结合，并强化反垄断和反不正当竞争执法，对滥用行政权力排除、限制竞争的行为依法查处、公开曝光，形成有效震慑。</w:t>
      </w:r>
    </w:p>
    <w:p>
      <w:pPr>
        <w:spacing w:line="360" w:lineRule="auto" w:after="0"/>
        <w:ind w:firstLineChars="200" w:firstLine="480"/>
        <w:jc w:val="both"/>
      </w:pPr>
      <w:r>
        <w:rPr>
          <w:rFonts w:ascii="宋体" w:hAnsi="宋体" w:eastAsia="宋体"/>
          <w:sz w:val="24"/>
        </w:rPr>
        <w:t>第四，建立妨碍全国统一大市场建设问题线索的征集与整改闭环机制。破除地方保护，既要"事前审查"，也要"事后纠偏"。应畅通经营主体和社会公众反映问题的渠道，建立妨碍统一大市场建设问题线索的常态化征集、转办、核查、整改与反馈机制，用好投诉举报、媒体监督和第三方评估等多元发现手段，对隐性壁垒和变相保护做到"发现一起、纠正一起、通报一起"。这一机制之所以不可或缺，源于地方保护往往以分散、隐蔽、披着"合法外衣"的形式存在——曹春方等，2015的研究表明，地方保护会显著影响企业的跨地区经营与投资布局，其手段常常隐匿于看似中性的行政审批、资质认定和标准设定之中；高翔和龙小宁，2016则从行政区划调整的视角证实，打破行政边界造成的分割能够显著提升市场一体化水平。这意味着，仅靠原则性禁令难以奏效，必须辅之以可追溯、可问责的线索处置闭环，才能防止壁垒"改头换面、卷土重来"。</w:t>
      </w:r>
    </w:p>
    <w:p>
      <w:pPr>
        <w:spacing w:line="360" w:lineRule="auto" w:after="0"/>
        <w:ind w:firstLineChars="200" w:firstLine="480"/>
        <w:jc w:val="both"/>
      </w:pPr>
      <w:r>
        <w:rPr>
          <w:rFonts w:ascii="宋体" w:hAnsi="宋体" w:eastAsia="宋体"/>
          <w:sz w:val="24"/>
        </w:rPr>
        <w:t>第五，深入开展地方保护和行政性垄断专项治理。应聚焦招投标、政府采购、公用事业、要素获取等地方保护多发领域，组织开展专项整治行动，集中查处一批设置歧视性条件、限定交易对象、排斥外地经营者的典型案例，并向社会公开曝光，以个案的刚性处置树立"破除地方保护动真格、零容忍"的鲜明导向。同时，应把专项治理与长效机制建设结合起来，边治理、边总结、边固化，把行之有效的做法及时上升为制度规范，避免"运动式"整治过后问题反弹，实现从集中攻坚到常态化监管的平稳衔接。</w:t>
      </w:r>
    </w:p>
    <w:p>
      <w:pPr>
        <w:spacing w:line="360" w:lineRule="auto" w:after="0"/>
        <w:ind w:firstLineChars="200" w:firstLine="480"/>
        <w:jc w:val="both"/>
      </w:pPr>
      <w:r>
        <w:rPr>
          <w:rFonts w:ascii="宋体" w:hAnsi="宋体" w:eastAsia="宋体"/>
          <w:sz w:val="24"/>
        </w:rPr>
        <w:t>第六，推动公平竞争审查纳入法治化轨道。制度的生命力在于执行，公平竞争审查若仅停留于部门规章和自我约束，就难免"审而不严、查而不实"。应加快推动公平竞争审查制度上升为更高位阶的法律法规，明确审查的法定主体、强制程序与法律责任，把税收返还、财政奖补、低价供地、要素价格优惠等选择性激励明确纳入必审事项，从法律层面斩断以财政和要素资源分割市场的链条。范子英和张军，2010关于转移支付与地区间市场分割的研究、以及范子英和田彬彬，2013关于税收征管影响企业行为的分析共同提示，地方以税收、补贴争夺税基和企业的做法具有很强的路径依赖，唯有以法治的刚性约束替代政策的弹性空间，才能真正硬化预算约束、稳定市场主体预期，使公平竞争这一市场经济的基础性制度从"纸面"走向"地面"。</w:t>
      </w:r>
    </w:p>
    <w:p>
      <w:pPr>
        <w:keepNext/>
        <w:spacing w:before="160" w:after="120" w:line="360" w:lineRule="auto"/>
      </w:pPr>
      <w:r>
        <w:rPr>
          <w:rFonts w:ascii="黑体" w:hAnsi="黑体" w:eastAsia="黑体"/>
          <w:sz w:val="24"/>
        </w:rPr>
        <w:t>10.2.2  深化要素市场化改革</w:t>
      </w:r>
    </w:p>
    <w:p>
      <w:pPr>
        <w:spacing w:line="360" w:lineRule="auto" w:after="0"/>
        <w:ind w:firstLineChars="200" w:firstLine="480"/>
        <w:jc w:val="both"/>
      </w:pPr>
      <w:r>
        <w:rPr>
          <w:rFonts w:ascii="宋体" w:hAnsi="宋体" w:eastAsia="宋体"/>
          <w:sz w:val="24"/>
        </w:rPr>
        <w:t>如果说破除地方保护是"破壁"，那么深化要素市场化改革就是"疏经通脉"，是统一大市场建设的核心与难点。本书的核心贡献正在于揭示要素市场行政性分割的严重性——测度显示土地、劳动力等要素市场一体化长期滞后，实证显示要素错配造成的效率损失至今仍高达约25.0%。2020年《要素市场化配置意见》，2020首次系统提出土地、劳动力、资本、技术、数据五大要素的市场化配置改革，并首次将数据列为生产要素，为要素市场改革确立了总纲。应按照"分类施策、协同推进"的原则，针对五类要素的不同属性和堵点，深化市场化配置改革。</w:t>
      </w:r>
    </w:p>
    <w:p>
      <w:pPr>
        <w:spacing w:line="360" w:lineRule="auto" w:after="0"/>
        <w:ind w:firstLineChars="200" w:firstLine="480"/>
        <w:jc w:val="both"/>
      </w:pPr>
      <w:r>
        <w:rPr>
          <w:rFonts w:ascii="宋体" w:hAnsi="宋体" w:eastAsia="宋体"/>
          <w:sz w:val="24"/>
        </w:rPr>
        <w:t>第一，深化户籍制度与劳动力市场改革，畅通劳动力和人才社会性流动。户籍制度是劳动力市场行政性分割的核心制度根源。李言和肖雨婷，2024的研究表明，数字经济发展有助于缓解劳动力空间错配，但户籍壁垒仍是制约劳动力优化配置的关键约束。应进一步放开放宽除个别超大城市外的落户限制，推动城区常住人口300万以下城市全面取消落户限制、300万以上城市有序放开，推行以经常居住地登记户口制度，并加快剥离附着在户籍上的教育、医疗、社保、住房等公共服务差异，推动基本公共服务由常住地供给、随人走，真正实现"人户分离"下的权利均等，让劳动力"流得动、留得下、融得进"。</w:t>
      </w:r>
    </w:p>
    <w:p>
      <w:pPr>
        <w:spacing w:line="360" w:lineRule="auto" w:after="0"/>
        <w:ind w:firstLineChars="200" w:firstLine="480"/>
        <w:jc w:val="both"/>
      </w:pPr>
      <w:r>
        <w:rPr>
          <w:rFonts w:ascii="宋体" w:hAnsi="宋体" w:eastAsia="宋体"/>
          <w:sz w:val="24"/>
        </w:rPr>
        <w:t>具体而言，劳动力市场改革应在"放开门槛"与"接住服务"两端同时发力。Tombe和Zhu，2019基于中国省际迁移的量化空间模型表明，迁移成本与户籍壁垒的下降能够带来可观的总量生产率与福利改善；蒲艳萍和顾冉，2019发现劳动力错配显著拖累了企业全要素生产率；刘毓芸等，2015则从方言与文化邻近的独特视角，揭示了在制度性壁垒之外劳动力流动仍受多重摩擦制约的现实。在"放开门槛"方面，应以经常居住地登记户口为方向，全面取消城区常住人口300万以下城市的落户限制、有序放开300万以上城市的落户条件，畅通农业转移人口的市民化通道；在"接住服务"方面，应把随迁子女教育、住房保障、养老医疗等公共服务与户籍脱钩、与常住身份挂钩，避免出现陈斌开等，2015所警示的"土地城镇化快于人口城镇化"、人来了而服务跟不上的失衡。唯有如此，才能如陆铭，2017所强调的，通过人口向高效率地区的自由集聚实现"在集聚中走向平衡"。</w:t>
      </w:r>
    </w:p>
    <w:p>
      <w:pPr>
        <w:spacing w:line="360" w:lineRule="auto" w:after="0"/>
        <w:ind w:firstLineChars="200" w:firstLine="480"/>
        <w:jc w:val="both"/>
      </w:pPr>
      <w:r>
        <w:rPr>
          <w:rFonts w:ascii="宋体" w:hAnsi="宋体" w:eastAsia="宋体"/>
          <w:sz w:val="24"/>
        </w:rPr>
        <w:t>第二，深化土地要素市场化配置改革，建立城乡统一的建设用地市场。土地市场是本书测度中一体化程度最低的"洼地"。既有研究反复证明，用地指标的行政化、属地化配置是土地资源错配和生产率损失的重要来源（盖庆恩等，2017；张少辉和余泳泽，2019），尤其是盖庆恩等，2017发现土地资源配置不当显著拉低了劳动生产率。应按照二十届三中全会"构建城乡统一的建设用地市场"的要求，稳步推进农村集体经营性建设用地入市，完善建设用地指标跨区域交易机制，推动用地计划指标、补充耕地指标、城乡建设用地增减挂钩节余指标在更大范围内有偿流转、优化配置，并深化产业用地市场化配置改革，推行工业用地弹性年期出让、长期租赁、先租后让，让土地要素向效率更高的地区和用途流动。</w:t>
      </w:r>
    </w:p>
    <w:p>
      <w:pPr>
        <w:spacing w:line="360" w:lineRule="auto" w:after="0"/>
        <w:ind w:firstLineChars="200" w:firstLine="480"/>
        <w:jc w:val="both"/>
      </w:pPr>
      <w:r>
        <w:rPr>
          <w:rFonts w:ascii="宋体" w:hAnsi="宋体" w:eastAsia="宋体"/>
          <w:sz w:val="24"/>
        </w:rPr>
        <w:t>土地要素改革的关键，在于打破用地指标的行政化、属地化配置及其背后的"土地财政"依赖。张少辉和余泳泽，2019的研究表明，土地资源的空间错配显著抑制了全要素生产率的提升；李勇刚和罗海艳，2017发现土地供给的结构性扭曲加剧了资源错配；盖庆恩等，2019进一步从要素配置视角论证了土地制度改革对释放农业与非农生产率的重要意义。据此，应在守住耕地保护红线和粮食安全底线的前提下，建立更加灵活高效的建设用地指标跨区域交易与再配置机制，推动城乡建设用地增减挂钩节余指标、补充耕地指标在全国或城市群范围内有偿调剂，让"沉睡"于欠发达地区和低效用途上的土地指标流向发展空间受限但产出效率更高的地区，实现"人、地、钱"要素在空间上的高效匹配，从制度上化解一体化程度最低这块"洼地"。</w:t>
      </w:r>
    </w:p>
    <w:p>
      <w:pPr>
        <w:spacing w:line="360" w:lineRule="auto" w:after="0"/>
        <w:ind w:firstLineChars="200" w:firstLine="480"/>
        <w:jc w:val="both"/>
      </w:pPr>
      <w:r>
        <w:rPr>
          <w:rFonts w:ascii="宋体" w:hAnsi="宋体" w:eastAsia="宋体"/>
          <w:sz w:val="24"/>
        </w:rPr>
        <w:t>第三，深化资本要素市场化配置改革，破除金融资源配置的属地化与所有制偏向。本书测度显示资本错配是要素错配的最大来源，其背后是金融资源配置中的地方干预、隐性担保和所有制歧视。应健全多层次资本市场，发展全国统一的股权、债券、票据等资本要素交易市场，打破地方对信贷资源的行政干预和"属地放贷"倾向，消除对民营企业、中小微企业的融资歧视，推动信贷、股权、债权资源跨地区、跨所有制平等配置。同时，应规范地方政府隐性担保和融资平台行为，硬化国有企业和地方政府的预算约束，从根本上矫正资本"重规模轻效率、重国有轻民营、重本地轻外地"的配置扭曲。</w:t>
      </w:r>
    </w:p>
    <w:p>
      <w:pPr>
        <w:spacing w:line="360" w:lineRule="auto" w:after="0"/>
        <w:ind w:firstLineChars="200" w:firstLine="480"/>
        <w:jc w:val="both"/>
      </w:pPr>
      <w:r>
        <w:rPr>
          <w:rFonts w:ascii="宋体" w:hAnsi="宋体" w:eastAsia="宋体"/>
          <w:sz w:val="24"/>
        </w:rPr>
        <w:t>资本要素改革之所以居于优先位置，是因为本书测度显示资本错配是要素错配的最大来源，其反事实效率损失长期高于劳动力错配。这一判断与既有文献高度一致：Song等，2011揭示了中国增长过程中信贷资源在国有与民营部门间的系统性错配，Wu，2018的核算表明资本错配在中国要素错配中居于主导地位，（朱喜等，2011；盖庆恩等，2015）则从农村金融和企业层面进一步印证了资本配置扭曲的普遍性与代价。因此，深化资本要素市场化配置，应把重点放在推进金融供给侧结构性改革、稳步实施股票发行注册制、发展多层次资本市场和债券市场上，畅通储蓄向投资、资本向高效率主体转化的渠道；同时打破信贷资源的"属地放贷"惯性和所有制偏向，清理对民营和中小微企业的隐性融资歧视，规范地方融资平台和政府隐性担保，硬化国有企业与地方政府的预算约束，从制度上矫正资本"脱实向虚""重国轻民"的错配倾向，把最大一块错配红利转化为现实生产率。</w:t>
      </w:r>
    </w:p>
    <w:p>
      <w:pPr>
        <w:spacing w:line="360" w:lineRule="auto" w:after="0"/>
        <w:ind w:firstLineChars="200" w:firstLine="480"/>
        <w:jc w:val="both"/>
      </w:pPr>
      <w:r>
        <w:rPr>
          <w:rFonts w:ascii="宋体" w:hAnsi="宋体" w:eastAsia="宋体"/>
          <w:sz w:val="24"/>
        </w:rPr>
        <w:t>第四，加快技术要素市场化配置改革，健全全国一体化技术交易市场。应完善知识产权归属、定价、交易和保护制度，发展全国统一的技术交易平台和知识产权交易市场，破除科技成果转化中的地区封锁和条块分割，促进研发要素跨区域流动和知识溢出，让创新成果在更大市场范围内实现价值。</w:t>
      </w:r>
    </w:p>
    <w:p>
      <w:pPr>
        <w:spacing w:line="360" w:lineRule="auto" w:after="0"/>
        <w:ind w:firstLineChars="200" w:firstLine="480"/>
        <w:jc w:val="both"/>
      </w:pPr>
      <w:r>
        <w:rPr>
          <w:rFonts w:ascii="宋体" w:hAnsi="宋体" w:eastAsia="宋体"/>
          <w:sz w:val="24"/>
        </w:rPr>
        <w:t>第五，培育全国一体化数据要素市场，破除"数据孤岛"。数据是数字经济时代最具时代特征的新型生产要素，但地方各自为政的数据平台建设极易形成新的"数据孤岛"和数字壁垒。戴魁早等，2023的研究表明，数据交易平台建设显著提升了企业全要素生产率，史丹和郑玉，2024基于国家级大数据综合试验区的证据进一步证实了数据要素对企业生产率的赋能效应。应落实"数据二十条"精神，建立数据产权、流通交易、收益分配、安全治理的基础制度，统一数据标准和接口规范，推动公共数据授权运营和有序开放共享，培育全国统一、互联互通的数据要素市场，防止在新赛道上重演"重复建设、地区分割"的老问题。</w:t>
      </w:r>
    </w:p>
    <w:p>
      <w:pPr>
        <w:spacing w:line="360" w:lineRule="auto" w:after="0"/>
        <w:ind w:firstLineChars="200" w:firstLine="480"/>
        <w:jc w:val="both"/>
      </w:pPr>
      <w:r>
        <w:rPr>
          <w:rFonts w:ascii="宋体" w:hAnsi="宋体" w:eastAsia="宋体"/>
          <w:sz w:val="24"/>
        </w:rPr>
        <w:t>数据要素市场是最具增量意义、也最需要"顶层设计先行"的领域。应落实"数据二十条"，2022确立的数据产权、流通交易、收益分配、安全治理"四梁八柱"，按照数据资源持有权、数据加工使用权、数据产品经营权"三权分置"的思路，探索建立既保护权益又促进流通的产权制度，培育全国统一、规则互认、互联互通的数据交易市场，坚决避免各地重复建设交易场所、彼此标准割裂而形成新的"数据孤岛"。与此同时，应加快公共数据的授权运营和有序开放共享——赵涛等，2020关于数字经济发展效应、以及杨文溥和夏婷，2024关于数字化转型与生产率的研究均表明，数据要素的价值释放高度依赖于其可获得性与流通性。只有让数据"供得出、流得动、用得好"，才能把中国海量的数据规模优势真正转化为现实的生产率优势和创新动能。</w:t>
      </w:r>
    </w:p>
    <w:p>
      <w:pPr>
        <w:spacing w:line="360" w:lineRule="auto" w:after="0"/>
        <w:ind w:firstLineChars="200" w:firstLine="480"/>
        <w:jc w:val="both"/>
      </w:pPr>
      <w:r>
        <w:rPr>
          <w:rFonts w:ascii="宋体" w:hAnsi="宋体" w:eastAsia="宋体"/>
          <w:sz w:val="24"/>
        </w:rPr>
        <w:t>五类要素改革之间并非彼此割裂，而应注重协同与次序。本书的理论分析表明，商品市场整合与要素市场整合具有互补性，各类要素市场改革之间同样存在协同效应：户籍改革释放的劳动力只有在土地、住房和公共服务同步跟进时才能真正落地生根，资本要素的顺畅流动也有赖于产权保护和信用制度的统一。因此，要素市场化改革应坚持系统观念，统筹考虑不同要素改革的时序配合和政策衔接，避免"单兵突进"造成的新扭曲。考虑到本书发现资本和土地错配的效率损失最大、土地市场一体化水平最低，近期改革的重心宜适度向土地和资本要素倾斜，同时加快数据要素市场这一"增量"领域的制度建设，力争在存量改革攻坚与增量制度构建上双向发力。</w:t>
      </w:r>
    </w:p>
    <w:p>
      <w:pPr>
        <w:keepNext/>
        <w:spacing w:before="160" w:after="120" w:line="360" w:lineRule="auto"/>
      </w:pPr>
      <w:r>
        <w:rPr>
          <w:rFonts w:ascii="黑体" w:hAnsi="黑体" w:eastAsia="黑体"/>
          <w:sz w:val="24"/>
        </w:rPr>
        <w:t>10.2.3  统一市场基础制度规则</w:t>
      </w:r>
    </w:p>
    <w:p>
      <w:pPr>
        <w:spacing w:line="360" w:lineRule="auto" w:after="0"/>
        <w:ind w:firstLineChars="200" w:firstLine="480"/>
        <w:jc w:val="both"/>
      </w:pPr>
      <w:r>
        <w:rPr>
          <w:rFonts w:ascii="宋体" w:hAnsi="宋体" w:eastAsia="宋体"/>
          <w:sz w:val="24"/>
        </w:rPr>
        <w:t>统一的市场基础制度规则是全国统一大市场的"四梁八柱"。如果说要素市场化改革解决的是"要素流不流得动"的问题，那么制度规则统一解决的则是"游戏规则统不统一"的问题——只有产权保护、市场准入、公平竞争、社会信用等基础制度在全国范围内统一、透明、可预期，各类要素和商品才能在一致的规则下自由流动、公平交易。</w:t>
      </w:r>
    </w:p>
    <w:p>
      <w:pPr>
        <w:spacing w:line="360" w:lineRule="auto" w:after="0"/>
        <w:ind w:firstLineChars="200" w:firstLine="480"/>
        <w:jc w:val="both"/>
      </w:pPr>
      <w:r>
        <w:rPr>
          <w:rFonts w:ascii="宋体" w:hAnsi="宋体" w:eastAsia="宋体"/>
          <w:sz w:val="24"/>
        </w:rPr>
        <w:t>第一，健全统一的产权保护制度。产权保护是市场经济的基石。应完善以公平为核心原则的产权保护制度，依法平等保护各种所有制经济产权，加大对知识产权、企业创新权益、企业家人身和财产权益的保护力度，清理各类显性和隐性的所有制歧视，稳定各类市场主体特别是民营企业的长期预期，让经营者敢投资、能创新、可预期。</w:t>
      </w:r>
    </w:p>
    <w:p>
      <w:pPr>
        <w:spacing w:line="360" w:lineRule="auto" w:after="0"/>
        <w:ind w:firstLineChars="200" w:firstLine="480"/>
        <w:jc w:val="both"/>
      </w:pPr>
      <w:r>
        <w:rPr>
          <w:rFonts w:ascii="宋体" w:hAnsi="宋体" w:eastAsia="宋体"/>
          <w:sz w:val="24"/>
        </w:rPr>
        <w:t>第二，实行统一的市场准入制度。应全面落实"全国一张清单"管理模式，严格执行全国统一的市场准入负面清单，清单之外不得另设门槛和隐性限制，坚决破除各地区在准入环节设置的地方性、歧视性壁垒，推动"非禁即入"从原则走向实践，保障各类经营主体依法平等进入清单以外的领域。</w:t>
      </w:r>
    </w:p>
    <w:p>
      <w:pPr>
        <w:spacing w:line="360" w:lineRule="auto" w:after="0"/>
        <w:ind w:firstLineChars="200" w:firstLine="480"/>
        <w:jc w:val="both"/>
      </w:pPr>
      <w:r>
        <w:rPr>
          <w:rFonts w:ascii="宋体" w:hAnsi="宋体" w:eastAsia="宋体"/>
          <w:sz w:val="24"/>
        </w:rPr>
        <w:t>第三，健全统一的市场监管规则。市场监管的地区差异本身就是一种隐性分割。应推动质量、标准、计量、认证认可等基础性制度在全国统一，统一执法标准和裁量基准，加强监管协同和信息共享，避免"同事不同罚""异地不认可"，以监管公平统一保障市场竞争公平统一。尤其要以数字化、智能化手段推进跨区域协同监管，打破监管信息的部门和地区壁垒，既防止"监管洼地"引发的逐底竞争，也避免"层层加码"抬高市场主体的合规成本，实现"放得活"与"管得住"的统一。</w:t>
      </w:r>
    </w:p>
    <w:p>
      <w:pPr>
        <w:spacing w:line="360" w:lineRule="auto" w:after="0"/>
        <w:ind w:firstLineChars="200" w:firstLine="480"/>
        <w:jc w:val="both"/>
      </w:pPr>
      <w:r>
        <w:rPr>
          <w:rFonts w:ascii="宋体" w:hAnsi="宋体" w:eastAsia="宋体"/>
          <w:sz w:val="24"/>
        </w:rPr>
        <w:t>第四，健全统一的社会信用制度。应完善全国统一的信用信息归集、共享、公开和使用机制，建立健全信用修复和异议处理制度，推动信用信息跨地区、跨部门互认互通，以统一的信用体系降低跨地区交易的信息成本和履约风险，为要素和商品的全国性流动提供信任基础。</w:t>
      </w:r>
    </w:p>
    <w:p>
      <w:pPr>
        <w:spacing w:line="360" w:lineRule="auto" w:after="0"/>
        <w:ind w:firstLineChars="200" w:firstLine="480"/>
        <w:jc w:val="both"/>
      </w:pPr>
      <w:r>
        <w:rPr>
          <w:rFonts w:ascii="宋体" w:hAnsi="宋体" w:eastAsia="宋体"/>
          <w:sz w:val="24"/>
        </w:rPr>
        <w:t>第五，健全统一的要素市场交易规则与价格形成机制。制度规则的统一不应止于商品市场，更应延伸至要素市场的"游戏规则"。应推动土地、劳动力、资本、技术、数据等要素在全国范围内适用一致的交易规则、登记确权规则和价格形成机制，减少同类要素因所在地区不同而面临的规则差异和交易成本，健全主要由市场供求决定要素价格的机制，既防止行政对要素价格的不当干预，也防止地区间以规则差异进行变相的"要素价格竞争"。统一的要素市场规则与统一的商品市场规则相互配套、彼此支撑，才能保证要素在一致预期下顺畅流动、优化配置。</w:t>
      </w:r>
    </w:p>
    <w:p>
      <w:pPr>
        <w:spacing w:line="360" w:lineRule="auto" w:after="0"/>
        <w:ind w:firstLineChars="200" w:firstLine="480"/>
        <w:jc w:val="both"/>
      </w:pPr>
      <w:r>
        <w:rPr>
          <w:rFonts w:ascii="宋体" w:hAnsi="宋体" w:eastAsia="宋体"/>
          <w:sz w:val="24"/>
        </w:rPr>
        <w:t>还应清醒地看到，制度规则的统一不等于"一刀切"式的整齐划一，而应把握"底线统一、上不封顶"的分寸——在市场准入、公平竞争、产权保护等涉及全国统一大市场根基的领域坚决拉平底线、消除歧视、寸步不让，同时为地方在营商环境优化、政务服务创新、要素供给方式等方面留出因地制宜、比学赶超的空间。唯其如此，统一的制度规则才能既保障"全国一盘棋"的刚性，又不至于窒息地方探索的活力，在"规范"与"活力"之间求得动态平衡。</w:t>
      </w:r>
    </w:p>
    <w:p>
      <w:pPr>
        <w:keepNext/>
        <w:spacing w:before="160" w:after="120" w:line="360" w:lineRule="auto"/>
      </w:pPr>
      <w:r>
        <w:rPr>
          <w:rFonts w:ascii="黑体" w:hAnsi="黑体" w:eastAsia="黑体"/>
          <w:sz w:val="24"/>
        </w:rPr>
        <w:t>10.2.4  推进市场设施高标准联通</w:t>
      </w:r>
    </w:p>
    <w:p>
      <w:pPr>
        <w:spacing w:line="360" w:lineRule="auto" w:after="0"/>
        <w:ind w:firstLineChars="200" w:firstLine="480"/>
        <w:jc w:val="both"/>
      </w:pPr>
      <w:r>
        <w:rPr>
          <w:rFonts w:ascii="宋体" w:hAnsi="宋体" w:eastAsia="宋体"/>
          <w:sz w:val="24"/>
        </w:rPr>
        <w:t>市场设施高标准联通是统一大市场的物理基础和硬件支撑。破除制度性壁垒犹如打通"软联通"，而交通物流和数据基础设施的互联互通则是必不可少的"硬联通"，两者相辅相成、缺一不可。</w:t>
      </w:r>
    </w:p>
    <w:p>
      <w:pPr>
        <w:spacing w:line="360" w:lineRule="auto" w:after="0"/>
        <w:ind w:firstLineChars="200" w:firstLine="480"/>
        <w:jc w:val="both"/>
      </w:pPr>
      <w:r>
        <w:rPr>
          <w:rFonts w:ascii="宋体" w:hAnsi="宋体" w:eastAsia="宋体"/>
          <w:sz w:val="24"/>
        </w:rPr>
        <w:t>第一，加快建设高效顺畅的现代流通网络，降低全社会物流成本。交通基础设施对打破市场分割、促进资源再配置的作用已被大量研究证实：Faber，2014发现国家干线公路网建设显著促进了沿线地区的贸易一体化和工业化，张梦婷等，2018证明高铁网络通过扩大市场准入提升了企业生产率，刘冲等，2020则揭示交通基础设施通过增强市场可达性、强化竞争和改善资源配置提高了企业生产率。这些证据表明，完善交通物流网络是把"分割的小市场"连成"统一的大市场"的关键。应统筹推进综合立体交通网建设，优化物流枢纽布局，发展多式联运，破除铁路、公路、水运、航空之间的衔接壁垒，大力降低制度性交易成本和全社会物流成本，让商品和要素在全国范围内"运得畅、运得省"。</w:t>
      </w:r>
    </w:p>
    <w:p>
      <w:pPr>
        <w:spacing w:line="360" w:lineRule="auto" w:after="0"/>
        <w:ind w:firstLineChars="200" w:firstLine="480"/>
        <w:jc w:val="both"/>
      </w:pPr>
      <w:r>
        <w:rPr>
          <w:rFonts w:ascii="宋体" w:hAnsi="宋体" w:eastAsia="宋体"/>
          <w:sz w:val="24"/>
        </w:rPr>
        <w:t>第二，加快建设新型数字基础设施，夯实数据要素流通的硬件底座。应统筹布局全国一体化算力网络和数据中心，推进"东数西算"工程，加强5G、工业互联网、物联网等新型基础设施建设，统一数据传输和交换的技术标准，打通制约数据要素跨区域流通的物理和技术堵点，为数字经济和数据要素市场的发展提供坚实支撑。值得强调的是，数字基础设施的联通不仅服务于数据要素本身，更能通过降低信息成本、扩展市场边界，对商品和其他要素市场的一体化产生放大效应，与交通"硬联通"形成叠加互补。</w:t>
      </w:r>
    </w:p>
    <w:p>
      <w:pPr>
        <w:spacing w:line="360" w:lineRule="auto" w:after="0"/>
        <w:ind w:firstLineChars="200" w:firstLine="480"/>
        <w:jc w:val="both"/>
      </w:pPr>
      <w:r>
        <w:rPr>
          <w:rFonts w:ascii="宋体" w:hAnsi="宋体" w:eastAsia="宋体"/>
          <w:sz w:val="24"/>
        </w:rPr>
        <w:t>第三，统筹推进现代流通体系建设，把"硬联通"转化为"真降本"。基础设施的物理联通只有转化为流通效率的实质提升，才能真正服务于统一大市场。大量经典研究表明，交通与流通基础设施是市场整合和资源再配置的强力推手：Donaldson，2018利用殖民地时期铁路的研究证明，铁路网通过降低贸易成本显著提升了地区实际收入；Baum-Snow等，2017发现交通网络深刻重塑了城市与区域的经济地理格局；Banerjee等，2020则揭示了交通可达性对沿线经济活动的因果影响。据此，应大力发展现代物流和多式联运，健全国家物流枢纽和骨干流通网络，破除铁路、公路、水运、航空之间的体制壁垒和"最后一公里"梗阻，推进物流数字化、标准化、绿色化，切实降低全社会物流成本，让"硬联通"的红利真正落到市场主体的成本账单上，避免出现"路通了、成本却没降"的联而不畅。</w:t>
      </w:r>
    </w:p>
    <w:p>
      <w:pPr>
        <w:keepNext/>
        <w:spacing w:before="160" w:after="120" w:line="360" w:lineRule="auto"/>
      </w:pPr>
      <w:r>
        <w:rPr>
          <w:rFonts w:ascii="黑体" w:hAnsi="黑体" w:eastAsia="黑体"/>
          <w:sz w:val="24"/>
        </w:rPr>
        <w:t>10.2.5  健全激励相容机制</w:t>
      </w:r>
    </w:p>
    <w:p>
      <w:pPr>
        <w:spacing w:line="360" w:lineRule="auto" w:after="0"/>
        <w:ind w:firstLineChars="200" w:firstLine="480"/>
        <w:jc w:val="both"/>
      </w:pPr>
      <w:r>
        <w:rPr>
          <w:rFonts w:ascii="宋体" w:hAnsi="宋体" w:eastAsia="宋体"/>
          <w:sz w:val="24"/>
        </w:rPr>
        <w:t>前述四个方面侧重"建章立制、拆墙破壁"，但若不能解决地方政府的激励问题，改革极易陷入"文件上统一、执行中分割"的困境。这是全国统一大市场建设最深层、最难啃的"硬骨头"，也是本书特别强调的"立地"重点。地方保护和市场分割之所以顽固，根源在于财政分权与以经济增长为核心的地方官员晋升激励所构成的制度环境：周黎安，2007提出的"晋升锦标赛"模型深刻揭示了地方官员为在以GDP为主要指标的政治晋升竞争中胜出，具有强烈动机保护本地税基、扶持本地企业、限制外地要素和商品流入；傅勇和张晏，2007进一步指出，中国式分权下"为增长而竞争"导致地方财政支出结构偏向生产性和基础设施建设而忽视公共服务，扭曲了资源配置。因此，破解"统一"与"地方积极性"的矛盾，关键在于重塑地方政府的激励结构，实现全国整体利益与地方局部利益的激励相容。</w:t>
      </w:r>
    </w:p>
    <w:p>
      <w:pPr>
        <w:spacing w:line="360" w:lineRule="auto" w:after="0"/>
        <w:ind w:firstLineChars="200" w:firstLine="480"/>
        <w:jc w:val="both"/>
      </w:pPr>
      <w:r>
        <w:rPr>
          <w:rFonts w:ascii="宋体" w:hAnsi="宋体" w:eastAsia="宋体"/>
          <w:sz w:val="24"/>
        </w:rPr>
        <w:t>要真正理解激励相容的极端重要性，必须回到中国特色的央地关系与财政体制这一深层根源。（Qian和Weingast，1997；Montinola等，1995）提出的"维护市场的财政联邦主义"假说指出，财政分权在赋予地方发展激励的同时，也可能因地方追逐自身财政利益而诱发市场分割；Jin等，2005的经验研究进一步表明，财政激励的强度会显著影响地方政府对待市场与企业的行为。Xu，2011将中国的治理模式概括为"地方分权的威权体制"，强调地方政府在经济治理中的巨大自主权既是增长活力之源，也是保护主义之根；沈坤荣和付文林，2006则发现财政竞争会显著影响地方公共支出结构与经济绩效。这些研究共同说明，地方保护并非地方官员的"认识问题"，而是既定激励结构下的"理性选择"。因此，若不触动激励结构本身，任何"破壁"努力都可能被地方以更隐蔽的方式消解——这正是本书将激励相容置于政策体系"关键一环"、视之为最难啃的"硬骨头"的深层缘由。</w:t>
      </w:r>
    </w:p>
    <w:p>
      <w:pPr>
        <w:spacing w:line="360" w:lineRule="auto" w:after="0"/>
        <w:ind w:firstLineChars="200" w:firstLine="480"/>
        <w:jc w:val="both"/>
      </w:pPr>
      <w:r>
        <w:rPr>
          <w:rFonts w:ascii="宋体" w:hAnsi="宋体" w:eastAsia="宋体"/>
          <w:sz w:val="24"/>
        </w:rPr>
        <w:t>第一，改革和完善政绩考核评价体系。应加快扭转唯GDP、唯速度、唯规模的政绩观，将统一大市场建设成效、公平竞争审查落实情况、地方保护清理进度、要素市场化配置水平、基本公共服务均等化等纳入地方政府和领导干部考核指标体系，增加高质量发展、生态环境、民生保障、防范化解风险等约束性和引导性指标的权重，引导地方政府从"重招商引资、重本地产值"转向"重营商环境、重统一市场"。考核"指挥棒"的转向，是从根本上改变地方政府行为激励、遏制市场分割冲动的治本之策。</w:t>
      </w:r>
    </w:p>
    <w:p>
      <w:pPr>
        <w:spacing w:line="360" w:lineRule="auto" w:after="0"/>
        <w:ind w:firstLineChars="200" w:firstLine="480"/>
        <w:jc w:val="both"/>
      </w:pPr>
      <w:r>
        <w:rPr>
          <w:rFonts w:ascii="宋体" w:hAnsi="宋体" w:eastAsia="宋体"/>
          <w:sz w:val="24"/>
        </w:rPr>
        <w:t>第二，建立健全地区间横向利益补偿与共享机制。统一大市场建设会带来利益的地区间再分配——要素向高效率地区集聚可能使部分欠发达地区在短期内面临税基流失、产业外迁的压力，若缺乏合理的利益补偿，这些地区就会缺乏"拆墙"的积极性，甚至以更隐蔽的方式维持保护。为此，应建立与要素流动相适应的财政、税收利益分享机制，完善横向转移支付和生态、粮食等重大产品主产区的利益补偿制度，探索跨区域产业转移中的税收分成、GDP分计、飞地经济收益共享等制度安排，让参与统一大市场建设、贡献要素和市场的地区都能合理分享一体化的收益。通过"共建共享"把地方政府从统一大市场的潜在"阻力"转变为"动力"，实现顶层设计与地方激励的有机统一。</w:t>
      </w:r>
    </w:p>
    <w:p>
      <w:pPr>
        <w:spacing w:line="360" w:lineRule="auto" w:after="0"/>
        <w:ind w:firstLineChars="200" w:firstLine="480"/>
        <w:jc w:val="both"/>
      </w:pPr>
      <w:r>
        <w:rPr>
          <w:rFonts w:ascii="宋体" w:hAnsi="宋体" w:eastAsia="宋体"/>
          <w:sz w:val="24"/>
        </w:rPr>
        <w:t>在利益共享的具体机制上，尤应在财税分享与统计核算这两根"指挥棒"上做深文章。范子英和周小昶，2022关于企业所得税分享改革的研究表明，中央与地方、地区与地区之间税收分享规则的调整，会实质性地改变地方政府对企业跨地区经营和市场一体化的态度——分享规则设计得当，地方就有动力欢迎而非阻挠外地要素和企业进入。据此，应完善跨区域经营企业的税收分享和征管协调机制，探索总部与分支机构、生产地与销售地之间更合理的税收分成办法，从制度上消解地方"肥水不流外人田"的分割冲动；范子英和张军，2010的研究亦提示，转移支付制度的完善有助于缓解地区间市场分割。与之配套，应改革以行政区为单元、层层加总的GDP核算方式，探索跨区域产业转移中的增加值分计与统计分成，并健全生态产品价值实现机制和纵向、横向相结合的生态补偿制度，让承担生态屏障、粮食安全等职责的地区不因"守底线、保功能"而"吃暗亏"。当核算与分享的规则真正做到"谁贡献、谁受益"，地方参与统一大市场建设的内生动力才能被持久而稳定地激发出来。</w:t>
      </w:r>
    </w:p>
    <w:p>
      <w:pPr>
        <w:spacing w:line="360" w:lineRule="auto" w:after="0"/>
        <w:ind w:firstLineChars="200" w:firstLine="480"/>
        <w:jc w:val="both"/>
      </w:pPr>
      <w:r>
        <w:rPr>
          <w:rFonts w:ascii="宋体" w:hAnsi="宋体" w:eastAsia="宋体"/>
          <w:sz w:val="24"/>
        </w:rPr>
        <w:t>第三，健全中央统筹协调与督察问责机制。统一大市场建设涉及众多部门和地区，必须加强中央层面的统筹协调，明确牵头部门和协同机制，建立统一大市场建设的督察、评估和通报制度，对突破红线、变相设置壁垒、搞地方保护的行为严肃问责，同时对改革成效突出的地区给予正向激励，形成"正面激励与刚性约束并重"的制度合力。唯有把激励相容机制建立起来，前述破壁、改革、统一、联通的各项举措才能真正落地生根、行稳致远。</w:t>
      </w:r>
    </w:p>
    <w:p>
      <w:pPr>
        <w:keepNext/>
        <w:spacing w:before="160" w:after="120" w:line="360" w:lineRule="auto"/>
      </w:pPr>
      <w:r>
        <w:rPr>
          <w:rFonts w:ascii="黑体" w:hAnsi="黑体" w:eastAsia="黑体"/>
          <w:sz w:val="24"/>
        </w:rPr>
        <w:t>10.2.6  分区域、分阶段的差异化推进策略</w:t>
      </w:r>
    </w:p>
    <w:p>
      <w:pPr>
        <w:spacing w:line="360" w:lineRule="auto" w:after="0"/>
        <w:ind w:firstLineChars="200" w:firstLine="480"/>
        <w:jc w:val="both"/>
      </w:pPr>
      <w:r>
        <w:rPr>
          <w:rFonts w:ascii="宋体" w:hAnsi="宋体" w:eastAsia="宋体"/>
          <w:sz w:val="24"/>
        </w:rPr>
        <w:t>以上五个方面构成统一大市场建设的政策"骨架"，但改革的落地绝非"齐步走"，而应遵循"全国一盘棋、地方有侧重"的方法论。本书的异质性发现——配置效率红利随初始分割程度递增、在中西部和欠发达地区更大——为差异化推进提供了直接的经验依据：改革资源应优先投向边际红利最高的地区和环节，以有限的改革成本换取最大的效率增益。据此，本小节从分区域、分阶段、试点先行三个维度提出实施策略，作为贯穿前述五个方面的横向实施路径，而非并列的"第六根柱子"。</w:t>
      </w:r>
    </w:p>
    <w:p>
      <w:pPr>
        <w:keepNext/>
        <w:spacing w:before="160" w:after="120" w:line="360" w:lineRule="auto"/>
      </w:pPr>
      <w:r>
        <w:rPr>
          <w:rFonts w:ascii="宋体" w:hAnsi="宋体" w:eastAsia="宋体"/>
          <w:b/>
          <w:sz w:val="24"/>
        </w:rPr>
        <w:t>（一）分区域：因地施策、梯度推进</w:t>
      </w:r>
    </w:p>
    <w:p>
      <w:pPr>
        <w:spacing w:line="360" w:lineRule="auto" w:after="0"/>
        <w:ind w:firstLineChars="200" w:firstLine="480"/>
        <w:jc w:val="both"/>
      </w:pPr>
      <w:r>
        <w:rPr>
          <w:rFonts w:ascii="宋体" w:hAnsi="宋体" w:eastAsia="宋体"/>
          <w:sz w:val="24"/>
        </w:rPr>
        <w:t>对东部发达地区，市场一体化水平已相对领先，改革重心应转向"高标准联通"与"制度型开放"，率先在规则、规制、管理、标准等制度型层面对接高标准国际经贸规则，为全国探索可复制推广的统一市场高级形态；对中西部和东北地区，本书测度显示其初始分割较重、错配红利更大，改革重心应放在"破壁垒、补短板"上——优先破除阻碍要素流入的隐性壁垒，加快承接产业有序转移、深度融入全国统一大市场，把"后发"的分割劣势转化为"追赶"的红利优势。需要强调的是，本书发现中部地区的政策弹性最高（系数0.756），西部NUMI在2023年也已追平乃至略超东部，这说明欠发达地区完全有能力通过深化改革实现"弯道超车"；因此差异化推进绝不意味着降低要求，而恰恰是要在红利最丰厚处精准发力、集中突破。</w:t>
      </w:r>
    </w:p>
    <w:p>
      <w:pPr>
        <w:keepNext/>
        <w:spacing w:before="160" w:after="120" w:line="360" w:lineRule="auto"/>
      </w:pPr>
      <w:r>
        <w:rPr>
          <w:rFonts w:ascii="宋体" w:hAnsi="宋体" w:eastAsia="宋体"/>
          <w:b/>
          <w:sz w:val="24"/>
        </w:rPr>
        <w:t>（二）分阶段：先易后难、递进攻坚</w:t>
      </w:r>
    </w:p>
    <w:p>
      <w:pPr>
        <w:spacing w:line="360" w:lineRule="auto" w:after="0"/>
        <w:ind w:firstLineChars="200" w:firstLine="480"/>
        <w:jc w:val="both"/>
      </w:pPr>
      <w:r>
        <w:rPr>
          <w:rFonts w:ascii="宋体" w:hAnsi="宋体" w:eastAsia="宋体"/>
          <w:sz w:val="24"/>
        </w:rPr>
        <w:t>从时序看，统一大市场建设宜按"近期—中期—远期"梯次递进。近期应聚焦"看得见、够得着"的显性壁垒，集中清理地方保护政策、规范招商引资、打通交通物流堵点，尽快形成改革的示范效应和广泛社会共识；中期应向要素市场化改革的"深水区"攻坚，重点推进户籍、土地、资本等存量领域的制度改革，同时加快数据要素市场这一增量领域的制度构建，力争在存量攻坚与增量创制上双向发力；远期则应着力健全激励相容的长效机制，完成政绩考核、财税分享、统计核算等深层次体制的系统性重塑，使统一大市场从"政策推动"转向"制度定型"、从"外部约束"转向"内生自觉"。三个阶段并非截然分开，而是滚动衔接、次第推进，改革的难度和深度逐级抬升。</w:t>
      </w:r>
    </w:p>
    <w:p>
      <w:pPr>
        <w:keepNext/>
        <w:spacing w:before="160" w:after="120" w:line="360" w:lineRule="auto"/>
      </w:pPr>
      <w:r>
        <w:rPr>
          <w:rFonts w:ascii="宋体" w:hAnsi="宋体" w:eastAsia="宋体"/>
          <w:b/>
          <w:sz w:val="24"/>
        </w:rPr>
        <w:t>（三）试点先行：以点带面、迭代推广</w:t>
      </w:r>
    </w:p>
    <w:p>
      <w:pPr>
        <w:spacing w:line="360" w:lineRule="auto" w:after="0"/>
        <w:ind w:firstLineChars="200" w:firstLine="480"/>
        <w:jc w:val="both"/>
      </w:pPr>
      <w:r>
        <w:rPr>
          <w:rFonts w:ascii="宋体" w:hAnsi="宋体" w:eastAsia="宋体"/>
          <w:sz w:val="24"/>
        </w:rPr>
        <w:t>重大改革往往牵一发而动全身，宜坚持"试点先行、以点带面"的中国式改革智慧。应依托城市群、都市圈和区域重大战略平台，率先开展市场准入互认、要素跨区流动、监管执法协同、公共数据共享等一体化改革试点，在可控范围内探索、试错、纠偏，形成可量化评估的改革样本；再通过总结提炼把成熟经验上升为制度、复制推广到更大范围，最终以点连线、以线成面，汇聚成全国统一大市场的整体图景。这一"局部试验—评估反馈—全局推广"的迭代路径，既能有效降低系统性改革风险，又能在实践中不断校准政策设计，是把宏大战略稳健转化为现实成效、把"顶层设计"与"基层探索"贯通起来的可行之道。</w:t>
      </w:r>
    </w:p>
    <w:p>
      <w:pPr>
        <w:keepNext/>
        <w:spacing w:before="160" w:after="120" w:line="360" w:lineRule="auto"/>
      </w:pPr>
      <w:r>
        <w:rPr>
          <w:rFonts w:ascii="黑体" w:hAnsi="黑体" w:eastAsia="黑体"/>
          <w:sz w:val="28"/>
        </w:rPr>
        <w:t>10.3  研究不足与未来展望</w:t>
      </w:r>
    </w:p>
    <w:p>
      <w:pPr>
        <w:spacing w:line="360" w:lineRule="auto" w:after="0"/>
        <w:ind w:firstLineChars="200" w:firstLine="480"/>
        <w:jc w:val="both"/>
      </w:pPr>
      <w:r>
        <w:rPr>
          <w:rFonts w:ascii="宋体" w:hAnsi="宋体" w:eastAsia="宋体"/>
          <w:sz w:val="24"/>
        </w:rPr>
        <w:t>尽管本书在概念建构、测度体系和经验识别上做了系统努力，但受数据可得性、理论抽象和方法条件的限制，仍存在若干不足，这些不足同时也指向了有价值的未来研究方向。科学研究总是在不断修正和拓展中前行，坦陈局限不仅是学术诚信的要求，也有助于后来者站在更高的起点上继续深化。以下从数据、理论和方法三个层面加以说明。</w:t>
      </w:r>
    </w:p>
    <w:p>
      <w:pPr>
        <w:keepNext/>
        <w:spacing w:before="160" w:after="120" w:line="360" w:lineRule="auto"/>
      </w:pPr>
      <w:r>
        <w:rPr>
          <w:rFonts w:ascii="黑体" w:hAnsi="黑体" w:eastAsia="黑体"/>
          <w:sz w:val="24"/>
        </w:rPr>
        <w:t>10.3.1  数据层面的局限与拓展</w:t>
      </w:r>
    </w:p>
    <w:p>
      <w:pPr>
        <w:spacing w:line="360" w:lineRule="auto" w:after="0"/>
        <w:ind w:firstLineChars="200" w:firstLine="480"/>
        <w:jc w:val="both"/>
      </w:pPr>
      <w:r>
        <w:rPr>
          <w:rFonts w:ascii="宋体" w:hAnsi="宋体" w:eastAsia="宋体"/>
          <w:sz w:val="24"/>
        </w:rPr>
        <w:t>第一，测度与识别以省级宏观面板为主，尚难充分捕捉市场分割在城市、行业乃至企业层面的微观异质性。本书的NUMI指数和要素错配测度虽然覆盖了2006—2023年31个省级行政区，但省级加总数据会掩盖省内城市之间、行业之间以及企业之间的巨大差异，也可能因加总而低估或高估错配程度。未来研究应进一步下沉到城市、县域乃至企业层面，结合中国工业企业数据库、税收调查数据、上市公司数据和微观调查数据，构建更细粒度的市场分割与要素错配测度，并利用微观数据识别统一大市场建设影响企业投资、跨地区经营和资源再配置的具体路径。同时，省级面板受样本量所限，对高维固定效应和更灵活的非线性关系的刻画能力有限，扩展到城市或县域面板后，将可容纳更丰富的控制变量和更细致的空间计量设定，从而提升识别的精度与稳健性。</w:t>
      </w:r>
    </w:p>
    <w:p>
      <w:pPr>
        <w:spacing w:line="360" w:lineRule="auto" w:after="0"/>
        <w:ind w:firstLineChars="200" w:firstLine="480"/>
        <w:jc w:val="both"/>
      </w:pPr>
      <w:r>
        <w:rPr>
          <w:rFonts w:ascii="宋体" w:hAnsi="宋体" w:eastAsia="宋体"/>
          <w:sz w:val="24"/>
        </w:rPr>
        <w:t>第二，部分维度特别是数据要素市场的测度仍显粗略。数据作为新型生产要素，其市场化配置起步较晚、统计口径尚不成熟，本书对技术与数据市场一体化的刻画更多是探索性的。随着数据要素市场基础制度的完善和相关统计的健全，未来应发展更为精细和权威的数据要素市场一体化测度，并深入评估数据要素跨区域流动对配置效率的独特作用。</w:t>
      </w:r>
    </w:p>
    <w:p>
      <w:pPr>
        <w:spacing w:line="360" w:lineRule="auto" w:after="0"/>
        <w:ind w:firstLineChars="200" w:firstLine="480"/>
        <w:jc w:val="both"/>
      </w:pPr>
      <w:r>
        <w:rPr>
          <w:rFonts w:ascii="宋体" w:hAnsi="宋体" w:eastAsia="宋体"/>
          <w:sz w:val="24"/>
        </w:rPr>
        <w:t>第三，微观数据的日益开放与多源匹配为深化研究打开了广阔空间。近年来一批基于企业微观数据的研究已经显示出巨大潜力：（胡芊芊等，2022；苏振东和宫硕，2025）利用企业数据刻画了统一大市场情境下资本的异地配置与供应链地位变化，韩峰和袁香钰，2023揭示了国内大市场优势对企业自主创新的促进，胡增玺和马述忠，2023则基于市场一体化度量识别了其对企业行为的因果影响。沿此方向，未来可将省级NUMI与工业企业数据库、税收调查数据、海关数据、上市公司和专利数据等多源微观信息相匹配，在企业—产品—地区的细颗粒度上，识别统一大市场建设影响企业进入退出、跨区投资、多地布局与创新决策的微观机理，并借助企业异质性刻画"哪类企业、在哪类市场"从统一大市场中获益最多，从而把宏观效应分解落实到可观测的微观主体行为之上，实现宏观判断与微观证据的相互印证。</w:t>
      </w:r>
    </w:p>
    <w:p>
      <w:pPr>
        <w:keepNext/>
        <w:spacing w:before="160" w:after="120" w:line="360" w:lineRule="auto"/>
      </w:pPr>
      <w:r>
        <w:rPr>
          <w:rFonts w:ascii="黑体" w:hAnsi="黑体" w:eastAsia="黑体"/>
          <w:sz w:val="24"/>
        </w:rPr>
        <w:t>10.3.2  理论层面的局限与拓展</w:t>
      </w:r>
    </w:p>
    <w:p>
      <w:pPr>
        <w:spacing w:line="360" w:lineRule="auto" w:after="0"/>
        <w:ind w:firstLineChars="200" w:firstLine="480"/>
        <w:jc w:val="both"/>
      </w:pPr>
      <w:r>
        <w:rPr>
          <w:rFonts w:ascii="宋体" w:hAnsi="宋体" w:eastAsia="宋体"/>
          <w:sz w:val="24"/>
        </w:rPr>
        <w:t>第一，理论模型为突出核心机制作了必要简化。本书的空间一般均衡模型以静态、代表性主体和特定的CES结构为主，对要素市场分割的动态调整过程、市场主体的异质性预期、以及地方政府行为的政治经济学基础刻画相对简略。未来可将模型拓展为包含地方政府策略互动、企业动态进入退出和要素存量逐步调整的动态一般均衡框架，更真实地刻画统一大市场建设的中长期动态效应和转型路径。</w:t>
      </w:r>
    </w:p>
    <w:p>
      <w:pPr>
        <w:spacing w:line="360" w:lineRule="auto" w:after="0"/>
        <w:ind w:firstLineChars="200" w:firstLine="480"/>
        <w:jc w:val="both"/>
      </w:pPr>
      <w:r>
        <w:rPr>
          <w:rFonts w:ascii="宋体" w:hAnsi="宋体" w:eastAsia="宋体"/>
          <w:sz w:val="24"/>
        </w:rPr>
        <w:t>第二，对不同要素市场分割之间的相互作用、以及商品市场与要素市场整合的次序问题，理论探讨仍不充分。本书虽然证明了商品市场整合与要素市场整合的互补性，但对"先整合哪类市场更有效率""不同要素改革如何协同"等具有重要政策含义的次序问题尚缺乏系统的理论分析，这是未来值得深入的方向。</w:t>
      </w:r>
    </w:p>
    <w:p>
      <w:pPr>
        <w:keepNext/>
        <w:spacing w:before="160" w:after="120" w:line="360" w:lineRule="auto"/>
      </w:pPr>
      <w:r>
        <w:rPr>
          <w:rFonts w:ascii="黑体" w:hAnsi="黑体" w:eastAsia="黑体"/>
          <w:sz w:val="24"/>
        </w:rPr>
        <w:t>10.3.3  方法层面的局限与拓展</w:t>
      </w:r>
    </w:p>
    <w:p>
      <w:pPr>
        <w:spacing w:line="360" w:lineRule="auto" w:after="0"/>
        <w:ind w:firstLineChars="200" w:firstLine="480"/>
        <w:jc w:val="both"/>
      </w:pPr>
      <w:r>
        <w:rPr>
          <w:rFonts w:ascii="宋体" w:hAnsi="宋体" w:eastAsia="宋体"/>
          <w:sz w:val="24"/>
        </w:rPr>
        <w:t>第一，因果识别仍有改进空间。尽管本书综合运用了双向固定效应、工具变量和多期双重差分等策略，并通过事件研究检验了平行趋势，但工具变量的外生性、双重差分中处理时点的界定等仍可能受到质疑。未来可借助更干净的准自然实验（如特定要素市场改革试点、城市群一体化政策、区域市场准入互认等）和更前沿的异质性稳健估计量，进一步夯实因果推断的可信度。</w:t>
      </w:r>
    </w:p>
    <w:p>
      <w:pPr>
        <w:spacing w:line="360" w:lineRule="auto" w:after="0"/>
        <w:ind w:firstLineChars="200" w:firstLine="480"/>
        <w:jc w:val="both"/>
      </w:pPr>
      <w:r>
        <w:rPr>
          <w:rFonts w:ascii="宋体" w:hAnsi="宋体" w:eastAsia="宋体"/>
          <w:sz w:val="24"/>
        </w:rPr>
        <w:t>第二，动态一般均衡的定量分析和国际比较尚待展开。一方面，可将本书的理论模型进行结构化估计和数值模拟，定量评估不同改革情景下统一大市场建设的福利效应和分配后果，为政策设计提供反事实依据；另一方面，可将中国的市场一体化经验置于国际比较的视野中，与欧盟单一市场、美国州际贸易等进行比较研究，既检验本书概念和结论的普适性，也从国际经验中汲取推进统一大市场建设的启示。此外，作为一项晚近的重大制度变革，全国统一大市场建设的中长期效应仍有待更长时间窗口的数据加以检验，这需要持续的数据积累和跟踪研究。</w:t>
      </w:r>
    </w:p>
    <w:p>
      <w:pPr>
        <w:spacing w:line="360" w:lineRule="auto" w:after="0"/>
        <w:ind w:firstLineChars="200" w:firstLine="480"/>
        <w:jc w:val="both"/>
      </w:pPr>
      <w:r>
        <w:rPr>
          <w:rFonts w:ascii="宋体" w:hAnsi="宋体" w:eastAsia="宋体"/>
          <w:sz w:val="24"/>
        </w:rPr>
        <w:t>在国际比较方面，中国建设统一大市场的经验尤其值得放在全球视野中加以审视。Young，2000曾以"退化的经济改革"为题，警示中国地区间一度存在类似"诸侯经济"的市场分割，Poncet，2005的研究亦发现中国省际边界效应之大一度可与国家间相比。时至今日，本书的测度表明这种分割已被大幅削弱，这一"从分割走向统一"的历程本身就是极具价值的比较研究对象。未来可将中国经验与欧盟单一市场的构建、美国州际贸易一体化的历史加以系统比较，并借助（Krugman，1991；Fujita等，1999）奠基的新经济地理学框架，考察规模经济、要素流动与空间集聚之间的复杂互动，既检验本书概念与命题的普适性，也从国际经验中汲取制度设计的镜鉴。与此同时，把本书的空间一般均衡模型加以结构化估计和动态化拓展，进行不同改革情景下的反事实数值模拟，将能为"先改哪类市场、如何把握改革次序、福利在地区间如何分配"等关键政策问题提供定量依据，这是连接理论、经验与政策的重要桥梁，也是本书未竟而尤其值得后续深耕的方向。</w:t>
      </w:r>
    </w:p>
    <w:p>
      <w:pPr>
        <w:keepNext/>
        <w:spacing w:before="160" w:after="120" w:line="360" w:lineRule="auto"/>
      </w:pPr>
      <w:r>
        <w:rPr>
          <w:rFonts w:ascii="黑体" w:hAnsi="黑体" w:eastAsia="黑体"/>
          <w:sz w:val="28"/>
        </w:rPr>
        <w:t>10.4  结束语</w:t>
      </w:r>
    </w:p>
    <w:p>
      <w:pPr>
        <w:spacing w:line="360" w:lineRule="auto" w:after="0"/>
        <w:ind w:firstLineChars="200" w:firstLine="480"/>
        <w:jc w:val="both"/>
      </w:pPr>
      <w:r>
        <w:rPr>
          <w:rFonts w:ascii="宋体" w:hAnsi="宋体" w:eastAsia="宋体"/>
          <w:sz w:val="24"/>
        </w:rPr>
        <w:t>建设全国统一大市场，是构建高水平社会主义市场经济体制的基础性工程，是畅通国内大循环、构建新发展格局的战略支撑，更是以中国式现代化全面推进强国建设、民族复兴伟业的内在要求。一个覆盖14亿多人口、超大规模且高效统一的国内市场，既是中国最可依托的战略资源，也是塑造国际竞争新优势的深厚底气。</w:t>
      </w:r>
    </w:p>
    <w:p>
      <w:pPr>
        <w:spacing w:line="360" w:lineRule="auto" w:after="0"/>
        <w:ind w:firstLineChars="200" w:firstLine="480"/>
        <w:jc w:val="both"/>
      </w:pPr>
      <w:r>
        <w:rPr>
          <w:rFonts w:ascii="宋体" w:hAnsi="宋体" w:eastAsia="宋体"/>
          <w:sz w:val="24"/>
        </w:rPr>
        <w:t>本书的研究表明，从"市场大"走向"市场强"、从"分割"走向"统一"，其经济学要义在于破除要素市场的行政性分割、压低制度性配置楔子、缩小要素错配的跨地区离散度，从而把超大规模市场的潜在优势转化为全要素生产率提升的现实动能。全国NUMI由2006年的0.37上升至2023年的0.75、要素错配红利由约41.0%收窄至约25.0%的历史轨迹，既记录了中国市场一体化进程的坚实步伐，也昭示着改革远未完成、约四分之一的错配红利仍有待通过深化统一大市场建设加以释放。尤其是，本书发现配置效率红利在越是分割严重、越是欠发达的地区越大，这意味着加快建设全国统一大市场，不仅是效率之举，也是协调之策、共富之义。</w:t>
      </w:r>
    </w:p>
    <w:p>
      <w:pPr>
        <w:spacing w:line="360" w:lineRule="auto" w:after="0"/>
        <w:ind w:firstLineChars="200" w:firstLine="480"/>
        <w:jc w:val="both"/>
      </w:pPr>
      <w:r>
        <w:rPr>
          <w:rFonts w:ascii="宋体" w:hAnsi="宋体" w:eastAsia="宋体"/>
          <w:sz w:val="24"/>
        </w:rPr>
        <w:t>当然，全国统一大市场建设是一项复杂的系统工程，涉及利益格局的深刻调整，不可能一蹴而就。它需要在"有效市场"与"有为政府"之间找到恰当的平衡，需要在"全国一盘棋"与"地方积极性"之间实现激励相容，需要以"破立并举、久久为功"的定力持续推进。本书从破除地方保护、深化要素市场化改革、统一制度规则、推进设施联通、健全激励相容五个方面提出的政策建议，正是希望为这一伟大进程贡献一份来自要素配置效率视角的学理思考和改革方案。</w:t>
      </w:r>
    </w:p>
    <w:p>
      <w:pPr>
        <w:spacing w:line="360" w:lineRule="auto" w:after="0"/>
        <w:ind w:firstLineChars="200" w:firstLine="480"/>
        <w:jc w:val="both"/>
      </w:pPr>
      <w:r>
        <w:rPr>
          <w:rFonts w:ascii="宋体" w:hAnsi="宋体" w:eastAsia="宋体"/>
          <w:sz w:val="24"/>
        </w:rPr>
        <w:t>展望未来，随着各项改革举措的落地生效，一个高效规范、公平竞争、充分开放的全国统一大市场必将加快形成。这个统一而强大的国内市场，将成为畅通经济循环的坚实载体、优化资源配置的高效平台、激励创新创业的广阔舞台，为推动高质量发展、实现全体人民共同富裕、全面建成社会主义现代化强国提供源源不断的动力。这既是本书研究的落脚点，也是新时代全面深化改革、完善社会主义市场经济体制的应有之义。</w:t>
      </w:r>
    </w:p>
    <w:p>
      <w:pPr>
        <w:spacing w:line="360" w:lineRule="auto" w:after="0"/>
        <w:ind w:firstLineChars="200" w:firstLine="480"/>
        <w:jc w:val="both"/>
      </w:pPr>
      <w:r>
        <w:rPr>
          <w:rFonts w:ascii="宋体" w:hAnsi="宋体" w:eastAsia="宋体"/>
          <w:sz w:val="24"/>
        </w:rPr>
        <w:t>回望改革开放以来的历程，中国经济从计划到市场、从封闭到开放、从分割到整合，每一步都伴随着思想解放和制度创新。全国统一大市场建设，是这一伟大进程在新发展阶段的延续和升华，是社会主义市场经济体制走向成熟定型的重要标志。它要求我们既尊重市场规律、发挥市场在资源配置中的决定性作用，又更好发挥政府作用，以有为政府之"手"呵护有效市场之"制"；既坚持全国统一的大方向，又充分调动地方的积极性主动性创造性，在统一与竞争、规范与活力之间求得动态平衡。可以预见，随着要素市场化配置改革的持续深化和统一大市场基础制度的日益健全，要素错配的制度性楔子将进一步收窄，配置效率的持续改善将为中国经济注入强劲而持久的内生动力。</w:t>
      </w:r>
    </w:p>
    <w:p>
      <w:pPr>
        <w:spacing w:line="360" w:lineRule="auto" w:after="0"/>
        <w:ind w:firstLineChars="200" w:firstLine="480"/>
        <w:jc w:val="both"/>
      </w:pPr>
      <w:r>
        <w:rPr>
          <w:rFonts w:ascii="宋体" w:hAnsi="宋体" w:eastAsia="宋体"/>
          <w:sz w:val="24"/>
        </w:rPr>
        <w:t>本书谨以要素配置效率为切入点，对全国统一大市场建设这一重大时代命题作了初步的理论探索和经验考察。限于作者的学识和数据条件，书中难免存在疏漏和不足，诸多论断也有待更丰富的证据和更长时段的检验。我们衷心期待，随着理论研究的深入和改革实践的推进，能有更多学者从不同视角、以更精细的数据和更前沿的方法，共同深化对全国统一大市场建设规律的认识，为加快构建高水平社会主义市场经济体制、为以中国式现代化全面推进强国建设和民族复兴伟业，贡献更多的智慧和力量。</w:t>
      </w:r>
    </w:p>
    <w:p>
      <w:r>
        <w:br w:type="page"/>
      </w:r>
    </w:p>
    <w:p>
      <w:pPr>
        <w:keepNext/>
        <w:spacing w:before="240" w:after="160" w:line="360" w:lineRule="auto"/>
        <w:jc w:val="center"/>
      </w:pPr>
      <w:r>
        <w:rPr>
          <w:rFonts w:ascii="黑体" w:hAnsi="黑体" w:eastAsia="黑体"/>
          <w:b/>
          <w:sz w:val="30"/>
        </w:rPr>
        <w:t>附录</w:t>
      </w:r>
    </w:p>
    <w:p>
      <w:pPr>
        <w:keepNext/>
        <w:spacing w:before="160" w:after="120" w:line="360" w:lineRule="auto"/>
      </w:pPr>
      <w:r>
        <w:rPr>
          <w:rFonts w:ascii="黑体" w:hAnsi="黑体" w:eastAsia="黑体"/>
          <w:sz w:val="28"/>
        </w:rPr>
        <w:t>附录A  主要命题的证明</w:t>
      </w:r>
    </w:p>
    <w:p>
      <w:pPr>
        <w:keepNext/>
        <w:spacing w:before="160" w:after="120" w:line="360" w:lineRule="auto"/>
      </w:pPr>
      <w:r>
        <w:rPr>
          <w:rFonts w:ascii="黑体" w:hAnsi="黑体" w:eastAsia="黑体"/>
          <w:sz w:val="24"/>
        </w:rPr>
        <w:t>A.1  总量全要素生产率的加总（式4-8的推导）</w:t>
      </w:r>
    </w:p>
    <w:p>
      <w:pPr>
        <w:spacing w:line="360" w:lineRule="auto" w:after="0"/>
        <w:ind w:firstLineChars="200" w:firstLine="480"/>
        <w:jc w:val="both"/>
      </w:pPr>
      <w:r>
        <w:rPr>
          <w:rFonts w:ascii="宋体" w:hAnsi="宋体" w:eastAsia="宋体"/>
          <w:sz w:val="24"/>
        </w:rPr>
        <w:t>为简明起见，考虑单一部门、</w:t>
      </w:r>
      <m:oMath>
        <m:r>
          <m:t>N</m:t>
        </m:r>
      </m:oMath>
      <w:r>
        <w:rPr>
          <w:rFonts w:ascii="宋体" w:hAnsi="宋体" w:eastAsia="宋体"/>
          <w:sz w:val="24"/>
        </w:rPr>
        <w:t xml:space="preserve"> 个地区—单元的情形，各单元产品间替代弹性为 </w:t>
      </w:r>
      <m:oMath>
        <m:r>
          <m:t>σ</m:t>
        </m:r>
        <m:r>
          <m:rPr>
            <m:sty m:val="p"/>
          </m:rPr>
          <m:t>&gt;</m:t>
        </m:r>
        <m:r>
          <m:t>1</m:t>
        </m:r>
      </m:oMath>
      <w:r>
        <w:rPr>
          <w:rFonts w:ascii="宋体" w:hAnsi="宋体" w:eastAsia="宋体"/>
          <w:sz w:val="24"/>
        </w:rPr>
        <w:t xml:space="preserve">。单元 </w:t>
      </w:r>
      <m:oMath>
        <m:r>
          <m:t>i</m:t>
        </m:r>
      </m:oMath>
      <w:r>
        <w:rPr>
          <w:rFonts w:ascii="宋体" w:hAnsi="宋体" w:eastAsia="宋体"/>
          <w:sz w:val="24"/>
        </w:rPr>
        <w:t xml:space="preserve"> 的生产函数为 </w:t>
      </w:r>
      <m:oMath>
        <m:sSub>
          <m:e>
            <m:r>
              <m:t>Y</m:t>
            </m:r>
          </m:e>
          <m:sub>
            <m:r>
              <m:t>i</m:t>
            </m:r>
          </m:sub>
        </m:sSub>
        <m:r>
          <m:rPr>
            <m:sty m:val="p"/>
          </m:rPr>
          <m:t>=</m:t>
        </m:r>
        <m:sSub>
          <m:e>
            <m:r>
              <m:t>A</m:t>
            </m:r>
          </m:e>
          <m:sub>
            <m:r>
              <m:t>i</m:t>
            </m:r>
          </m:sub>
        </m:sSub>
        <m:sSubSup>
          <m:e>
            <m:r>
              <m:t>K</m:t>
            </m:r>
          </m:e>
          <m:sub>
            <m:r>
              <m:t>i</m:t>
            </m:r>
          </m:sub>
          <m:sup>
            <m:r>
              <m:t>α</m:t>
            </m:r>
          </m:sup>
        </m:sSubSup>
        <m:sSubSup>
          <m:e>
            <m:r>
              <m:t>L</m:t>
            </m:r>
          </m:e>
          <m:sub>
            <m:r>
              <m:t>i</m:t>
            </m:r>
          </m:sub>
          <m:sup>
            <m:r>
              <m:t>1</m:t>
            </m:r>
            <m:r>
              <m:rPr>
                <m:sty m:val="p"/>
              </m:rPr>
              <m:t>−</m:t>
            </m:r>
            <m:r>
              <m:t>α</m:t>
            </m:r>
          </m:sup>
        </m:sSubSup>
      </m:oMath>
      <w:r>
        <w:rPr>
          <w:rFonts w:ascii="宋体" w:hAnsi="宋体" w:eastAsia="宋体"/>
          <w:sz w:val="24"/>
        </w:rPr>
        <w:t xml:space="preserve">，面临资本楔子 </w:t>
      </w:r>
      <m:oMath>
        <m:sSubSup>
          <m:e>
            <m:r>
              <m:t>τ</m:t>
            </m:r>
          </m:e>
          <m:sub>
            <m:r>
              <m:t>i</m:t>
            </m:r>
          </m:sub>
          <m:sup>
            <m:r>
              <m:t>K</m:t>
            </m:r>
          </m:sup>
        </m:sSubSup>
      </m:oMath>
      <w:r>
        <w:rPr>
          <w:rFonts w:ascii="宋体" w:hAnsi="宋体" w:eastAsia="宋体"/>
          <w:sz w:val="24"/>
        </w:rPr>
        <w:t xml:space="preserve"> 与劳动楔子 </w:t>
      </w:r>
      <m:oMath>
        <m:sSubSup>
          <m:e>
            <m:r>
              <m:t>τ</m:t>
            </m:r>
          </m:e>
          <m:sub>
            <m:r>
              <m:t>i</m:t>
            </m:r>
          </m:sub>
          <m:sup>
            <m:r>
              <m:t>L</m:t>
            </m:r>
          </m:sup>
        </m:sSubSup>
      </m:oMath>
      <w:r>
        <w:rPr>
          <w:rFonts w:ascii="宋体" w:hAnsi="宋体" w:eastAsia="宋体"/>
          <w:sz w:val="24"/>
        </w:rPr>
        <w:t xml:space="preserve">。在垄断竞争下，生产者最优化的一阶条件为 </w:t>
      </w:r>
      <m:oMath>
        <m:r>
          <m:t>M</m:t>
        </m:r>
        <m:r>
          <m:t>R</m:t>
        </m:r>
        <m:r>
          <m:t>P</m:t>
        </m:r>
        <m:sSub>
          <m:e>
            <m:r>
              <m:t>K</m:t>
            </m:r>
          </m:e>
          <m:sub>
            <m:r>
              <m:t>i</m:t>
            </m:r>
          </m:sub>
        </m:sSub>
        <m:r>
          <m:rPr>
            <m:sty m:val="p"/>
          </m:rPr>
          <m:t>=</m:t>
        </m:r>
        <m:d>
          <m:dPr>
            <m:begChr m:val="("/>
            <m:endChr m:val=")"/>
            <m:sepChr m:val=""/>
            <m:grow/>
          </m:dPr>
          <m:e>
            <m:r>
              <m:t>1</m:t>
            </m:r>
            <m:r>
              <m:rPr>
                <m:sty m:val="p"/>
              </m:rPr>
              <m:t>+</m:t>
            </m:r>
            <m:sSubSup>
              <m:e>
                <m:r>
                  <m:t>τ</m:t>
                </m:r>
              </m:e>
              <m:sub>
                <m:r>
                  <m:t>i</m:t>
                </m:r>
              </m:sub>
              <m:sup>
                <m:r>
                  <m:t>K</m:t>
                </m:r>
              </m:sup>
            </m:sSubSup>
          </m:e>
        </m:d>
        <m:sSup>
          <m:e>
            <m:r>
              <m:t>R</m:t>
            </m:r>
          </m:e>
          <m:sup>
            <m:r>
              <m:t>K</m:t>
            </m:r>
          </m:sup>
        </m:sSup>
      </m:oMath>
      <w:r>
        <w:rPr>
          <w:rFonts w:ascii="宋体" w:hAnsi="宋体" w:eastAsia="宋体"/>
          <w:sz w:val="24"/>
        </w:rPr>
        <w:t xml:space="preserve"> 与 </w:t>
      </w:r>
      <m:oMath>
        <m:r>
          <m:t>M</m:t>
        </m:r>
        <m:r>
          <m:t>R</m:t>
        </m:r>
        <m:r>
          <m:t>P</m:t>
        </m:r>
        <m:sSub>
          <m:e>
            <m:r>
              <m:t>L</m:t>
            </m:r>
          </m:e>
          <m:sub>
            <m:r>
              <m:t>i</m:t>
            </m:r>
          </m:sub>
        </m:sSub>
        <m:r>
          <m:rPr>
            <m:sty m:val="p"/>
          </m:rPr>
          <m:t>=</m:t>
        </m:r>
        <m:d>
          <m:dPr>
            <m:begChr m:val="("/>
            <m:endChr m:val=")"/>
            <m:sepChr m:val=""/>
            <m:grow/>
          </m:dPr>
          <m:e>
            <m:r>
              <m:t>1</m:t>
            </m:r>
            <m:r>
              <m:rPr>
                <m:sty m:val="p"/>
              </m:rPr>
              <m:t>+</m:t>
            </m:r>
            <m:sSubSup>
              <m:e>
                <m:r>
                  <m:t>τ</m:t>
                </m:r>
              </m:e>
              <m:sub>
                <m:r>
                  <m:t>i</m:t>
                </m:r>
              </m:sub>
              <m:sup>
                <m:r>
                  <m:t>L</m:t>
                </m:r>
              </m:sup>
            </m:sSubSup>
          </m:e>
        </m:d>
        <m:r>
          <m:t>w</m:t>
        </m:r>
      </m:oMath>
      <w:r>
        <w:rPr>
          <w:rFonts w:ascii="宋体" w:hAnsi="宋体" w:eastAsia="宋体"/>
          <w:sz w:val="24"/>
        </w:rPr>
        <w:t>。定义单元的收入型全要素生产率</w:t>
      </w:r>
    </w:p>
    <w:p>
      <w:pPr>
        <w:tabs>
          <w:tab w:pos="4252" w:val="center"/>
          <w:tab w:pos="8504" w:val="right"/>
        </w:tabs>
        <w:spacing w:line="360" w:lineRule="auto" w:before="80" w:after="80"/>
      </w:pPr>
      <w:r>
        <w:tab/>
      </w:r>
      <m:oMath>
        <m:r>
          <m:t>T</m:t>
        </m:r>
        <m:r>
          <m:t>F</m:t>
        </m:r>
        <m:r>
          <m:t>P</m:t>
        </m:r>
        <m:sSub>
          <m:e>
            <m:r>
              <m:t>R</m:t>
            </m:r>
          </m:e>
          <m:sub>
            <m:r>
              <m:t>i</m:t>
            </m:r>
          </m:sub>
        </m:sSub>
        <m:r>
          <m:rPr>
            <m:sty m:val="p"/>
          </m:rPr>
          <m:t>≡</m:t>
        </m:r>
        <m:f>
          <m:fPr>
            <m:type m:val="bar"/>
          </m:fPr>
          <m:num>
            <m:sSub>
              <m:e>
                <m:r>
                  <m:t>P</m:t>
                </m:r>
              </m:e>
              <m:sub>
                <m:r>
                  <m:t>i</m:t>
                </m:r>
              </m:sub>
            </m:sSub>
            <m:sSub>
              <m:e>
                <m:r>
                  <m:t>Y</m:t>
                </m:r>
              </m:e>
              <m:sub>
                <m:r>
                  <m:t>i</m:t>
                </m:r>
              </m:sub>
            </m:sSub>
          </m:num>
          <m:den>
            <m:sSubSup>
              <m:e>
                <m:r>
                  <m:t>K</m:t>
                </m:r>
              </m:e>
              <m:sub>
                <m:r>
                  <m:t>i</m:t>
                </m:r>
              </m:sub>
              <m:sup>
                <m:r>
                  <m:t>α</m:t>
                </m:r>
              </m:sup>
            </m:sSubSup>
            <m:sSubSup>
              <m:e>
                <m:r>
                  <m:t>L</m:t>
                </m:r>
              </m:e>
              <m:sub>
                <m:r>
                  <m:t>i</m:t>
                </m:r>
              </m:sub>
              <m:sup>
                <m:r>
                  <m:t>1</m:t>
                </m:r>
                <m:r>
                  <m:rPr>
                    <m:sty m:val="p"/>
                  </m:rPr>
                  <m:t>−</m:t>
                </m:r>
                <m:r>
                  <m:t>α</m:t>
                </m:r>
              </m:sup>
            </m:sSubSup>
          </m:den>
        </m:f>
        <m:r>
          <m:rPr>
            <m:sty m:val="p"/>
          </m:rPr>
          <m:t>∝</m:t>
        </m:r>
        <m:sSup>
          <m:e>
            <m:d>
              <m:dPr>
                <m:begChr m:val="("/>
                <m:endChr m:val=")"/>
                <m:sepChr m:val=""/>
                <m:grow/>
              </m:dPr>
              <m:e>
                <m:r>
                  <m:t>1</m:t>
                </m:r>
                <m:r>
                  <m:rPr>
                    <m:sty m:val="p"/>
                  </m:rPr>
                  <m:t>+</m:t>
                </m:r>
                <m:sSubSup>
                  <m:e>
                    <m:r>
                      <m:t>τ</m:t>
                    </m:r>
                  </m:e>
                  <m:sub>
                    <m:r>
                      <m:t>i</m:t>
                    </m:r>
                  </m:sub>
                  <m:sup>
                    <m:r>
                      <m:t>K</m:t>
                    </m:r>
                  </m:sup>
                </m:sSubSup>
              </m:e>
            </m:d>
          </m:e>
          <m:sup>
            <m:r>
              <m:t>α</m:t>
            </m:r>
          </m:sup>
        </m:sSup>
        <m:sSup>
          <m:e>
            <m:d>
              <m:dPr>
                <m:begChr m:val="("/>
                <m:endChr m:val=")"/>
                <m:sepChr m:val=""/>
                <m:grow/>
              </m:dPr>
              <m:e>
                <m:r>
                  <m:t>1</m:t>
                </m:r>
                <m:r>
                  <m:rPr>
                    <m:sty m:val="p"/>
                  </m:rPr>
                  <m:t>+</m:t>
                </m:r>
                <m:sSubSup>
                  <m:e>
                    <m:r>
                      <m:t>τ</m:t>
                    </m:r>
                  </m:e>
                  <m:sub>
                    <m:r>
                      <m:t>i</m:t>
                    </m:r>
                  </m:sub>
                  <m:sup>
                    <m:r>
                      <m:t>L</m:t>
                    </m:r>
                  </m:sup>
                </m:sSubSup>
              </m:e>
            </m:d>
          </m:e>
          <m:sup>
            <m:r>
              <m:t>1</m:t>
            </m:r>
            <m:r>
              <m:rPr>
                <m:sty m:val="p"/>
              </m:rPr>
              <m:t>−</m:t>
            </m:r>
            <m:r>
              <m:t>α</m:t>
            </m:r>
          </m:sup>
        </m:sSup>
        <m:r>
          <m:rPr>
            <m:sty m:val="p"/>
          </m:rPr>
          <m:t>≡</m:t>
        </m:r>
        <m:sSubSup>
          <m:e>
            <m:r>
              <m:t>τ</m:t>
            </m:r>
          </m:e>
          <m:sub>
            <m:r>
              <m:t>i</m:t>
            </m:r>
          </m:sub>
          <m:sup>
            <m:r>
              <m:t>F</m:t>
            </m:r>
          </m:sup>
        </m:sSubSup>
      </m:oMath>
      <w:r>
        <w:tab/>
      </w:r>
      <w:r>
        <w:rPr>
          <w:rFonts w:ascii="Times New Roman" w:hAnsi="Times New Roman" w:eastAsia="宋体"/>
          <w:sz w:val="24"/>
        </w:rPr>
        <w:t>(A-1)</w:t>
      </w:r>
    </w:p>
    <w:p>
      <w:pPr>
        <w:spacing w:line="360" w:lineRule="auto" w:after="0"/>
        <w:ind w:firstLineChars="200" w:firstLine="480"/>
        <w:jc w:val="both"/>
      </w:pPr>
      <w:r>
        <w:rPr>
          <w:rFonts w:ascii="宋体" w:hAnsi="宋体" w:eastAsia="宋体"/>
          <w:sz w:val="24"/>
        </w:rPr>
        <w:t xml:space="preserve">在有效配置下，所有单元的 </w:t>
      </w:r>
      <m:oMath>
        <m:r>
          <m:t>T</m:t>
        </m:r>
        <m:r>
          <m:t>F</m:t>
        </m:r>
        <m:r>
          <m:t>P</m:t>
        </m:r>
        <m:sSub>
          <m:e>
            <m:r>
              <m:t>R</m:t>
            </m:r>
          </m:e>
          <m:sub>
            <m:r>
              <m:t>i</m:t>
            </m:r>
          </m:sub>
        </m:sSub>
      </m:oMath>
      <w:r>
        <w:rPr>
          <w:rFonts w:ascii="宋体" w:hAnsi="宋体" w:eastAsia="宋体"/>
          <w:sz w:val="24"/>
        </w:rPr>
        <w:t xml:space="preserve"> 应相等；其离散正是错配的来源。给定要素总量约束 </w:t>
      </w:r>
      <m:oMath>
        <m:nary>
          <m:naryPr>
            <m:chr m:val="∑"/>
            <m:limLoc m:val="undOvr"/>
            <m:subHide m:val="off"/>
            <m:supHide m:val="on"/>
          </m:naryPr>
          <m:sub>
            <m:r>
              <m:t>i</m:t>
            </m:r>
          </m:sub>
          <m:sup>
            <m:r>
              <m:t>​</m:t>
            </m:r>
          </m:sup>
          <m:e>
            <m:sSub>
              <m:e>
                <m:r>
                  <m:t>K</m:t>
                </m:r>
              </m:e>
              <m:sub>
                <m:r>
                  <m:t>i</m:t>
                </m:r>
              </m:sub>
            </m:sSub>
          </m:e>
        </m:nary>
        <m:r>
          <m:rPr>
            <m:sty m:val="p"/>
          </m:rPr>
          <m:t>=</m:t>
        </m:r>
        <m:r>
          <m:t>K</m:t>
        </m:r>
      </m:oMath>
      <w:r>
        <w:rPr>
          <w:rFonts w:ascii="宋体" w:hAnsi="宋体" w:eastAsia="宋体"/>
          <w:sz w:val="24"/>
        </w:rPr>
        <w:t>、</w:t>
      </w:r>
      <m:oMath>
        <m:nary>
          <m:naryPr>
            <m:chr m:val="∑"/>
            <m:limLoc m:val="undOvr"/>
            <m:subHide m:val="off"/>
            <m:supHide m:val="on"/>
          </m:naryPr>
          <m:sub>
            <m:r>
              <m:t>i</m:t>
            </m:r>
          </m:sub>
          <m:sup>
            <m:r>
              <m:t>​</m:t>
            </m:r>
          </m:sup>
          <m:e>
            <m:sSub>
              <m:e>
                <m:r>
                  <m:t>L</m:t>
                </m:r>
              </m:e>
              <m:sub>
                <m:r>
                  <m:t>i</m:t>
                </m:r>
              </m:sub>
            </m:sSub>
          </m:e>
        </m:nary>
        <m:r>
          <m:rPr>
            <m:sty m:val="p"/>
          </m:rPr>
          <m:t>=</m:t>
        </m:r>
        <m:r>
          <m:t>L</m:t>
        </m:r>
      </m:oMath>
      <w:r>
        <w:rPr>
          <w:rFonts w:ascii="宋体" w:hAnsi="宋体" w:eastAsia="宋体"/>
          <w:sz w:val="24"/>
        </w:rPr>
        <w:t xml:space="preserve">，求解一般均衡可将总产出写为 </w:t>
      </w:r>
      <m:oMath>
        <m:r>
          <m:t>Y</m:t>
        </m:r>
        <m:r>
          <m:rPr>
            <m:sty m:val="p"/>
          </m:rPr>
          <m:t>=</m:t>
        </m:r>
        <m:r>
          <m:t>A</m:t>
        </m:r>
        <m:r>
          <m:t> </m:t>
        </m:r>
        <m:sSup>
          <m:e>
            <m:r>
              <m:t>K</m:t>
            </m:r>
          </m:e>
          <m:sup>
            <m:r>
              <m:t>α</m:t>
            </m:r>
          </m:sup>
        </m:sSup>
        <m:sSup>
          <m:e>
            <m:r>
              <m:t>L</m:t>
            </m:r>
          </m:e>
          <m:sup>
            <m:r>
              <m:t>1</m:t>
            </m:r>
            <m:r>
              <m:rPr>
                <m:sty m:val="p"/>
              </m:rPr>
              <m:t>−</m:t>
            </m:r>
            <m:r>
              <m:t>α</m:t>
            </m:r>
          </m:sup>
        </m:sSup>
      </m:oMath>
      <w:r>
        <w:rPr>
          <w:rFonts w:ascii="宋体" w:hAnsi="宋体" w:eastAsia="宋体"/>
          <w:sz w:val="24"/>
        </w:rPr>
        <w:t>，其中总量全要素生产率为各单元基础生产率经收入型生产率加权的加总：</w:t>
      </w:r>
    </w:p>
    <w:p>
      <w:pPr>
        <w:tabs>
          <w:tab w:pos="4252" w:val="center"/>
          <w:tab w:pos="8504" w:val="right"/>
        </w:tabs>
        <w:spacing w:line="360" w:lineRule="auto" w:before="80" w:after="80"/>
      </w:pPr>
      <w:r>
        <w:tab/>
      </w:r>
      <m:oMath>
        <m:r>
          <m:t>A</m:t>
        </m:r>
        <m:r>
          <m:rPr>
            <m:sty m:val="p"/>
          </m:rPr>
          <m:t>=</m:t>
        </m:r>
        <m:sSup>
          <m:e>
            <m:d>
              <m:dPr>
                <m:begChr m:val="["/>
                <m:endChr m:val="]"/>
                <m:sepChr m:val=""/>
                <m:grow/>
              </m:dPr>
              <m:e>
                <m:nary>
                  <m:naryPr>
                    <m:chr m:val="∑"/>
                    <m:limLoc m:val="undOvr"/>
                    <m:subHide m:val="off"/>
                    <m:supHide m:val="off"/>
                  </m:naryPr>
                  <m:sub>
                    <m:r>
                      <m:t>i</m:t>
                    </m:r>
                    <m:r>
                      <m:rPr>
                        <m:sty m:val="p"/>
                      </m:rPr>
                      <m:t>=</m:t>
                    </m:r>
                    <m:r>
                      <m:t>1</m:t>
                    </m:r>
                  </m:sub>
                  <m:sup>
                    <m:r>
                      <m:t>N</m:t>
                    </m:r>
                  </m:sup>
                  <m:e>
                    <m:sSup>
                      <m:e>
                        <m:d>
                          <m:dPr>
                            <m:begChr m:val="("/>
                            <m:endChr m:val=")"/>
                            <m:sepChr m:val=""/>
                            <m:grow/>
                          </m:dPr>
                          <m:e>
                            <m:sSub>
                              <m:e>
                                <m:r>
                                  <m:t>A</m:t>
                                </m:r>
                              </m:e>
                              <m:sub>
                                <m:r>
                                  <m:t>i</m:t>
                                </m:r>
                              </m:sub>
                            </m:sSub>
                            <m:r>
                              <m:t> </m:t>
                            </m:r>
                            <m:f>
                              <m:fPr>
                                <m:type m:val="bar"/>
                              </m:fPr>
                              <m:num>
                                <m:bar>
                                  <m:barPr>
                                    <m:pos m:val="top"/>
                                  </m:barPr>
                                  <m:e>
                                    <m:r>
                                      <m:t>T</m:t>
                                    </m:r>
                                    <m:r>
                                      <m:t>F</m:t>
                                    </m:r>
                                    <m:r>
                                      <m:t>P</m:t>
                                    </m:r>
                                    <m:r>
                                      <m:t>R</m:t>
                                    </m:r>
                                  </m:e>
                                </m:bar>
                              </m:num>
                              <m:den>
                                <m:r>
                                  <m:t>T</m:t>
                                </m:r>
                                <m:r>
                                  <m:t>F</m:t>
                                </m:r>
                                <m:r>
                                  <m:t>P</m:t>
                                </m:r>
                                <m:sSub>
                                  <m:e>
                                    <m:r>
                                      <m:t>R</m:t>
                                    </m:r>
                                  </m:e>
                                  <m:sub>
                                    <m:r>
                                      <m:t>i</m:t>
                                    </m:r>
                                  </m:sub>
                                </m:sSub>
                              </m:den>
                            </m:f>
                          </m:e>
                        </m:d>
                      </m:e>
                      <m:sup>
                        <m:r>
                          <m:t>σ</m:t>
                        </m:r>
                        <m:r>
                          <m:rPr>
                            <m:sty m:val="p"/>
                          </m:rPr>
                          <m:t>−</m:t>
                        </m:r>
                        <m:r>
                          <m:t>1</m:t>
                        </m:r>
                      </m:sup>
                    </m:sSup>
                  </m:e>
                </m:nary>
              </m:e>
            </m:d>
          </m:e>
          <m:sup>
            <m:f>
              <m:fPr>
                <m:type m:val="bar"/>
              </m:fPr>
              <m:num>
                <m:r>
                  <m:t>1</m:t>
                </m:r>
              </m:num>
              <m:den>
                <m:r>
                  <m:t>σ</m:t>
                </m:r>
                <m:r>
                  <m:rPr>
                    <m:sty m:val="p"/>
                  </m:rPr>
                  <m:t>−</m:t>
                </m:r>
                <m:r>
                  <m:t>1</m:t>
                </m:r>
              </m:den>
            </m:f>
          </m:sup>
        </m:sSup>
        <m:r>
          <m:rPr>
            <m:sty m:val="p"/>
          </m:rPr>
          <m:t>,</m:t>
        </m:r>
        <m:r>
          <m:t>  </m:t>
        </m:r>
        <m:bar>
          <m:barPr>
            <m:pos m:val="top"/>
          </m:barPr>
          <m:e>
            <m:r>
              <m:t>T</m:t>
            </m:r>
            <m:r>
              <m:t>F</m:t>
            </m:r>
            <m:r>
              <m:t>P</m:t>
            </m:r>
            <m:r>
              <m:t>R</m:t>
            </m:r>
          </m:e>
        </m:bar>
        <m:r>
          <m:rPr>
            <m:sty m:val="p"/>
          </m:rPr>
          <m:t>=</m:t>
        </m:r>
        <m:sSup>
          <m:e>
            <m:d>
              <m:dPr>
                <m:begChr m:val="["/>
                <m:endChr m:val="]"/>
                <m:sepChr m:val=""/>
                <m:grow/>
              </m:dPr>
              <m:e>
                <m:nary>
                  <m:naryPr>
                    <m:chr m:val="∑"/>
                    <m:limLoc m:val="undOvr"/>
                    <m:subHide m:val="off"/>
                    <m:supHide m:val="on"/>
                  </m:naryPr>
                  <m:sub>
                    <m:r>
                      <m:t>i</m:t>
                    </m:r>
                  </m:sub>
                  <m:sup>
                    <m:r>
                      <m:t>​</m:t>
                    </m:r>
                  </m:sup>
                  <m:e>
                    <m:f>
                      <m:fPr>
                        <m:type m:val="bar"/>
                      </m:fPr>
                      <m:num>
                        <m:sSub>
                          <m:e>
                            <m:r>
                              <m:t>M</m:t>
                            </m:r>
                          </m:e>
                          <m:sub>
                            <m:r>
                              <m:t>i</m:t>
                            </m:r>
                          </m:sub>
                        </m:sSub>
                      </m:num>
                      <m:den>
                        <m:r>
                          <m:t>T</m:t>
                        </m:r>
                        <m:r>
                          <m:t>F</m:t>
                        </m:r>
                        <m:r>
                          <m:t>P</m:t>
                        </m:r>
                        <m:sSub>
                          <m:e>
                            <m:r>
                              <m:t>R</m:t>
                            </m:r>
                          </m:e>
                          <m:sub>
                            <m:r>
                              <m:t>i</m:t>
                            </m:r>
                          </m:sub>
                        </m:sSub>
                      </m:den>
                    </m:f>
                  </m:e>
                </m:nary>
              </m:e>
            </m:d>
          </m:e>
          <m:sup>
            <m:r>
              <m:rPr>
                <m:sty m:val="p"/>
              </m:rPr>
              <m:t>−</m:t>
            </m:r>
            <m:r>
              <m:t>1</m:t>
            </m:r>
          </m:sup>
        </m:sSup>
        <m:r>
          <m:t>​</m:t>
        </m:r>
        <m:r>
          <m:t>​</m:t>
        </m:r>
        <m:r>
          <m:rPr>
            <m:sty m:val="p"/>
          </m:rPr>
          <m:t>⋅</m:t>
        </m:r>
        <m:d>
          <m:dPr>
            <m:begChr m:val="("/>
            <m:endChr m:val=")"/>
            <m:sepChr m:val=""/>
            <m:grow/>
          </m:dPr>
          <m:e>
            <m:r>
              <m:rPr>
                <m:sty m:val="p"/>
              </m:rPr>
              <m:t>⋯</m:t>
            </m:r>
          </m:e>
        </m:d>
      </m:oMath>
      <w:r>
        <w:tab/>
      </w:r>
      <w:r>
        <w:rPr>
          <w:rFonts w:ascii="Times New Roman" w:hAnsi="Times New Roman" w:eastAsia="宋体"/>
          <w:sz w:val="24"/>
        </w:rPr>
        <w:t>(A-2)</w:t>
      </w:r>
    </w:p>
    <w:p>
      <w:pPr>
        <w:spacing w:line="360" w:lineRule="auto" w:after="0"/>
        <w:jc w:val="both"/>
      </w:pPr>
      <w:r>
        <w:rPr>
          <w:rFonts w:ascii="宋体" w:hAnsi="宋体" w:eastAsia="宋体"/>
          <w:sz w:val="24"/>
        </w:rPr>
        <w:t>其中，</w:t>
      </w:r>
      <m:oMath>
        <m:bar>
          <m:barPr>
            <m:pos m:val="top"/>
          </m:barPr>
          <m:e>
            <m:r>
              <m:t>T</m:t>
            </m:r>
            <m:r>
              <m:t>F</m:t>
            </m:r>
            <m:r>
              <m:t>P</m:t>
            </m:r>
            <m:r>
              <m:t>R</m:t>
            </m:r>
          </m:e>
        </m:bar>
      </m:oMath>
      <w:r>
        <w:rPr>
          <w:rFonts w:ascii="宋体" w:hAnsi="宋体" w:eastAsia="宋体"/>
          <w:sz w:val="24"/>
        </w:rPr>
        <w:t xml:space="preserve"> 为使要素市场出清的（调和型）加权平均收入生产率，</w:t>
      </w:r>
      <m:oMath>
        <m:sSub>
          <m:e>
            <m:r>
              <m:t>M</m:t>
            </m:r>
          </m:e>
          <m:sub>
            <m:r>
              <m:t>i</m:t>
            </m:r>
          </m:sub>
        </m:sSub>
      </m:oMath>
      <w:r>
        <w:rPr>
          <w:rFonts w:ascii="宋体" w:hAnsi="宋体" w:eastAsia="宋体"/>
          <w:sz w:val="24"/>
        </w:rPr>
        <w:t xml:space="preserve"> 为单元收入份额。</w:t>
      </w:r>
    </w:p>
    <w:p>
      <w:pPr>
        <w:spacing w:line="360" w:lineRule="auto" w:after="0"/>
        <w:ind w:firstLineChars="200" w:firstLine="480"/>
        <w:jc w:val="both"/>
      </w:pPr>
      <w:r>
        <w:rPr>
          <w:rFonts w:ascii="宋体" w:hAnsi="宋体" w:eastAsia="宋体"/>
          <w:sz w:val="24"/>
        </w:rPr>
        <w:t xml:space="preserve">当 </w:t>
      </w:r>
      <m:oMath>
        <m:r>
          <m:t>T</m:t>
        </m:r>
        <m:r>
          <m:t>F</m:t>
        </m:r>
        <m:r>
          <m:t>P</m:t>
        </m:r>
        <m:sSub>
          <m:e>
            <m:r>
              <m:t>R</m:t>
            </m:r>
          </m:e>
          <m:sub>
            <m:r>
              <m:t>i</m:t>
            </m:r>
          </m:sub>
        </m:sSub>
      </m:oMath>
      <w:r>
        <w:rPr>
          <w:rFonts w:ascii="宋体" w:hAnsi="宋体" w:eastAsia="宋体"/>
          <w:sz w:val="24"/>
        </w:rPr>
        <w:t xml:space="preserve"> 在各单元间相等（记为 </w:t>
      </w:r>
      <m:oMath>
        <m:bar>
          <m:barPr>
            <m:pos m:val="top"/>
          </m:barPr>
          <m:e>
            <m:r>
              <m:t>T</m:t>
            </m:r>
            <m:r>
              <m:t>F</m:t>
            </m:r>
            <m:r>
              <m:t>P</m:t>
            </m:r>
            <m:r>
              <m:t>R</m:t>
            </m:r>
          </m:e>
        </m:bar>
      </m:oMath>
      <w:r>
        <w:rPr>
          <w:rFonts w:ascii="宋体" w:hAnsi="宋体" w:eastAsia="宋体"/>
          <w:sz w:val="24"/>
        </w:rPr>
        <w:t xml:space="preserve">）时，达到有效配置，此时前沿生产率为 </w:t>
      </w:r>
      <m:oMath>
        <m:sSup>
          <m:e>
            <m:r>
              <m:t>A</m:t>
            </m:r>
          </m:e>
          <m:sup>
            <m:r>
              <m:rPr>
                <m:sty m:val="p"/>
              </m:rPr>
              <m:t>*</m:t>
            </m:r>
          </m:sup>
        </m:sSup>
        <m:r>
          <m:rPr>
            <m:sty m:val="p"/>
          </m:rPr>
          <m:t>=</m:t>
        </m:r>
        <m:sSup>
          <m:e>
            <m:d>
              <m:dPr>
                <m:begChr m:val="("/>
                <m:endChr m:val=")"/>
                <m:sepChr m:val=""/>
                <m:grow/>
              </m:dPr>
              <m:e>
                <m:nary>
                  <m:naryPr>
                    <m:chr m:val="∑"/>
                    <m:limLoc m:val="undOvr"/>
                    <m:subHide m:val="off"/>
                    <m:supHide m:val="on"/>
                  </m:naryPr>
                  <m:sub>
                    <m:r>
                      <m:t>i</m:t>
                    </m:r>
                  </m:sub>
                  <m:sup>
                    <m:r>
                      <m:t>​</m:t>
                    </m:r>
                  </m:sup>
                  <m:e>
                    <m:sSubSup>
                      <m:e>
                        <m:r>
                          <m:t>A</m:t>
                        </m:r>
                      </m:e>
                      <m:sub>
                        <m:r>
                          <m:t>i</m:t>
                        </m:r>
                      </m:sub>
                      <m:sup>
                        <m:r>
                          <m:t>σ</m:t>
                        </m:r>
                        <m:r>
                          <m:rPr>
                            <m:sty m:val="p"/>
                          </m:rPr>
                          <m:t>−</m:t>
                        </m:r>
                        <m:r>
                          <m:t>1</m:t>
                        </m:r>
                      </m:sup>
                    </m:sSubSup>
                  </m:e>
                </m:nary>
              </m:e>
            </m:d>
          </m:e>
          <m:sup>
            <m:r>
              <m:t>1</m:t>
            </m:r>
            <m:r>
              <m:rPr>
                <m:sty m:val="p"/>
              </m:rPr>
              <m:t>/</m:t>
            </m:r>
            <m:d>
              <m:dPr>
                <m:begChr m:val="("/>
                <m:endChr m:val=")"/>
                <m:sepChr m:val=""/>
                <m:grow/>
              </m:dPr>
              <m:e>
                <m:r>
                  <m:t>σ</m:t>
                </m:r>
                <m:r>
                  <m:rPr>
                    <m:sty m:val="p"/>
                  </m:rPr>
                  <m:t>−</m:t>
                </m:r>
                <m:r>
                  <m:t>1</m:t>
                </m:r>
              </m:e>
            </m:d>
          </m:sup>
        </m:sSup>
      </m:oMath>
      <w:r>
        <w:rPr>
          <w:rFonts w:ascii="宋体" w:hAnsi="宋体" w:eastAsia="宋体"/>
          <w:sz w:val="24"/>
        </w:rPr>
        <w:t>。因此配置效率损失可由二者之比刻画：</w:t>
      </w:r>
    </w:p>
    <w:p>
      <w:pPr>
        <w:tabs>
          <w:tab w:pos="4252" w:val="center"/>
          <w:tab w:pos="8504" w:val="right"/>
        </w:tabs>
        <w:spacing w:line="360" w:lineRule="auto" w:before="80" w:after="80"/>
      </w:pPr>
      <w:r>
        <w:tab/>
      </w:r>
      <m:oMath>
        <m:r>
          <m:rPr>
            <m:sty m:val="p"/>
          </m:rPr>
          <m:t>ln</m:t>
        </m:r>
        <m:r>
          <m:t>​</m:t>
        </m:r>
        <m:f>
          <m:fPr>
            <m:type m:val="bar"/>
          </m:fPr>
          <m:num>
            <m:r>
              <m:t>A</m:t>
            </m:r>
          </m:num>
          <m:den>
            <m:sSup>
              <m:e>
                <m:r>
                  <m:t>A</m:t>
                </m:r>
              </m:e>
              <m:sup>
                <m:r>
                  <m:rPr>
                    <m:sty m:val="p"/>
                  </m:rPr>
                  <m:t>*</m:t>
                </m:r>
              </m:sup>
            </m:sSup>
          </m:den>
        </m:f>
        <m:r>
          <m:rPr>
            <m:sty m:val="p"/>
          </m:rPr>
          <m:t>=</m:t>
        </m:r>
        <m:f>
          <m:fPr>
            <m:type m:val="bar"/>
          </m:fPr>
          <m:num>
            <m:r>
              <m:t>1</m:t>
            </m:r>
          </m:num>
          <m:den>
            <m:r>
              <m:t>σ</m:t>
            </m:r>
            <m:r>
              <m:rPr>
                <m:sty m:val="p"/>
              </m:rPr>
              <m:t>−</m:t>
            </m:r>
            <m:r>
              <m:t>1</m:t>
            </m:r>
          </m:den>
        </m:f>
        <m:r>
          <m:rPr>
            <m:sty m:val="p"/>
          </m:rPr>
          <m:t>ln</m:t>
        </m:r>
        <m:r>
          <m:t>​</m:t>
        </m:r>
        <m:d>
          <m:dPr>
            <m:begChr m:val="["/>
            <m:endChr m:val="]"/>
            <m:sepChr m:val=""/>
            <m:grow/>
          </m:dPr>
          <m:e>
            <m:nary>
              <m:naryPr>
                <m:chr m:val="∑"/>
                <m:limLoc m:val="undOvr"/>
                <m:subHide m:val="off"/>
                <m:supHide m:val="on"/>
              </m:naryPr>
              <m:sub>
                <m:r>
                  <m:t>i</m:t>
                </m:r>
              </m:sub>
              <m:sup>
                <m:r>
                  <m:t>​</m:t>
                </m:r>
              </m:sup>
              <m:e>
                <m:sSub>
                  <m:e>
                    <m:r>
                      <m:t>s</m:t>
                    </m:r>
                  </m:e>
                  <m:sub>
                    <m:r>
                      <m:t>i</m:t>
                    </m:r>
                  </m:sub>
                </m:sSub>
              </m:e>
            </m:nary>
            <m:sSup>
              <m:e>
                <m:d>
                  <m:dPr>
                    <m:begChr m:val="("/>
                    <m:endChr m:val=")"/>
                    <m:sepChr m:val=""/>
                    <m:grow/>
                  </m:dPr>
                  <m:e>
                    <m:f>
                      <m:fPr>
                        <m:type m:val="bar"/>
                      </m:fPr>
                      <m:num>
                        <m:bar>
                          <m:barPr>
                            <m:pos m:val="top"/>
                          </m:barPr>
                          <m:e>
                            <m:r>
                              <m:t>T</m:t>
                            </m:r>
                            <m:r>
                              <m:t>F</m:t>
                            </m:r>
                            <m:r>
                              <m:t>P</m:t>
                            </m:r>
                            <m:r>
                              <m:t>R</m:t>
                            </m:r>
                          </m:e>
                        </m:bar>
                      </m:num>
                      <m:den>
                        <m:r>
                          <m:t>T</m:t>
                        </m:r>
                        <m:r>
                          <m:t>F</m:t>
                        </m:r>
                        <m:r>
                          <m:t>P</m:t>
                        </m:r>
                        <m:sSub>
                          <m:e>
                            <m:r>
                              <m:t>R</m:t>
                            </m:r>
                          </m:e>
                          <m:sub>
                            <m:r>
                              <m:t>i</m:t>
                            </m:r>
                          </m:sub>
                        </m:sSub>
                      </m:den>
                    </m:f>
                  </m:e>
                </m:d>
              </m:e>
              <m:sup>
                <m:r>
                  <m:t>σ</m:t>
                </m:r>
                <m:r>
                  <m:rPr>
                    <m:sty m:val="p"/>
                  </m:rPr>
                  <m:t>−</m:t>
                </m:r>
                <m:r>
                  <m:t>1</m:t>
                </m:r>
              </m:sup>
            </m:sSup>
          </m:e>
        </m:d>
        <m:r>
          <m:rPr>
            <m:sty m:val="p"/>
          </m:rPr>
          <m:t>,</m:t>
        </m:r>
        <m:r>
          <m:t>  </m:t>
        </m:r>
        <m:sSub>
          <m:e>
            <m:r>
              <m:t>s</m:t>
            </m:r>
          </m:e>
          <m:sub>
            <m:r>
              <m:t>i</m:t>
            </m:r>
          </m:sub>
        </m:sSub>
        <m:r>
          <m:rPr>
            <m:sty m:val="p"/>
          </m:rPr>
          <m:t>=</m:t>
        </m:r>
        <m:f>
          <m:fPr>
            <m:type m:val="bar"/>
          </m:fPr>
          <m:num>
            <m:sSubSup>
              <m:e>
                <m:r>
                  <m:t>A</m:t>
                </m:r>
              </m:e>
              <m:sub>
                <m:r>
                  <m:t>i</m:t>
                </m:r>
              </m:sub>
              <m:sup>
                <m:r>
                  <m:t>σ</m:t>
                </m:r>
                <m:r>
                  <m:rPr>
                    <m:sty m:val="p"/>
                  </m:rPr>
                  <m:t>−</m:t>
                </m:r>
                <m:r>
                  <m:t>1</m:t>
                </m:r>
              </m:sup>
            </m:sSubSup>
          </m:num>
          <m:den>
            <m:nary>
              <m:naryPr>
                <m:chr m:val="∑"/>
                <m:limLoc m:val="undOvr"/>
                <m:subHide m:val="off"/>
                <m:supHide m:val="on"/>
              </m:naryPr>
              <m:sub>
                <m:r>
                  <m:t>j</m:t>
                </m:r>
              </m:sub>
              <m:sup>
                <m:r>
                  <m:t>​</m:t>
                </m:r>
              </m:sup>
              <m:e>
                <m:sSubSup>
                  <m:e>
                    <m:r>
                      <m:t>A</m:t>
                    </m:r>
                  </m:e>
                  <m:sub>
                    <m:r>
                      <m:t>j</m:t>
                    </m:r>
                  </m:sub>
                  <m:sup>
                    <m:r>
                      <m:t>σ</m:t>
                    </m:r>
                    <m:r>
                      <m:rPr>
                        <m:sty m:val="p"/>
                      </m:rPr>
                      <m:t>−</m:t>
                    </m:r>
                    <m:r>
                      <m:t>1</m:t>
                    </m:r>
                  </m:sup>
                </m:sSubSup>
              </m:e>
            </m:nary>
          </m:den>
        </m:f>
      </m:oMath>
      <w:r>
        <w:tab/>
      </w:r>
      <w:r>
        <w:rPr>
          <w:rFonts w:ascii="Times New Roman" w:hAnsi="Times New Roman" w:eastAsia="宋体"/>
          <w:sz w:val="24"/>
        </w:rPr>
        <w:t>(A-3)</w:t>
      </w:r>
    </w:p>
    <w:p>
      <w:pPr>
        <w:spacing w:line="360" w:lineRule="auto" w:after="0"/>
        <w:ind w:firstLineChars="200" w:firstLine="480"/>
        <w:jc w:val="both"/>
      </w:pPr>
      <w:r>
        <w:rPr>
          <w:rFonts w:ascii="宋体" w:hAnsi="宋体" w:eastAsia="宋体"/>
          <w:sz w:val="24"/>
        </w:rPr>
        <w:t xml:space="preserve">进一步，假设 </w:t>
      </w:r>
      <m:oMath>
        <m:r>
          <m:rPr>
            <m:sty m:val="p"/>
          </m:rPr>
          <m:t>ln</m:t>
        </m:r>
        <m:r>
          <m:t>T</m:t>
        </m:r>
        <m:r>
          <m:t>F</m:t>
        </m:r>
        <m:r>
          <m:t>P</m:t>
        </m:r>
        <m:sSub>
          <m:e>
            <m:r>
              <m:t>R</m:t>
            </m:r>
          </m:e>
          <m:sub>
            <m:r>
              <m:t>i</m:t>
            </m:r>
          </m:sub>
        </m:sSub>
      </m:oMath>
      <w:r>
        <w:rPr>
          <w:rFonts w:ascii="宋体" w:hAnsi="宋体" w:eastAsia="宋体"/>
          <w:sz w:val="24"/>
        </w:rPr>
        <w:t xml:space="preserve"> 近似服从正态分布且与基础生产率独立（此为资源错配文献的标准假设，见（Hsieh和Klenow，2009；Restuccia和Rogerson，2017）），对式(A-3)在 </w:t>
      </w:r>
      <m:oMath>
        <m:r>
          <m:rPr>
            <m:sty m:val="p"/>
          </m:rPr>
          <m:t>ln</m:t>
        </m:r>
        <m:r>
          <m:t>T</m:t>
        </m:r>
        <m:r>
          <m:t>F</m:t>
        </m:r>
        <m:r>
          <m:t>P</m:t>
        </m:r>
        <m:sSub>
          <m:e>
            <m:r>
              <m:t>R</m:t>
            </m:r>
          </m:e>
          <m:sub>
            <m:r>
              <m:t>i</m:t>
            </m:r>
          </m:sub>
        </m:sSub>
        <m:r>
          <m:rPr>
            <m:sty m:val="p"/>
          </m:rPr>
          <m:t>=</m:t>
        </m:r>
        <m:r>
          <m:rPr>
            <m:sty m:val="p"/>
          </m:rPr>
          <m:t>ln</m:t>
        </m:r>
        <m:bar>
          <m:barPr>
            <m:pos m:val="top"/>
          </m:barPr>
          <m:e>
            <m:r>
              <m:t>T</m:t>
            </m:r>
            <m:r>
              <m:t>F</m:t>
            </m:r>
            <m:r>
              <m:t>P</m:t>
            </m:r>
            <m:r>
              <m:t>R</m:t>
            </m:r>
          </m:e>
        </m:bar>
      </m:oMath>
      <w:r>
        <w:rPr>
          <w:rFonts w:ascii="宋体" w:hAnsi="宋体" w:eastAsia="宋体"/>
          <w:sz w:val="24"/>
        </w:rPr>
        <w:t xml:space="preserve"> 附近作二阶泰勒展开，利用对数正态分布的矩性质 </w:t>
      </w:r>
      <m:oMath>
        <m:r>
          <m:t>E</m:t>
        </m:r>
        <m:d>
          <m:dPr>
            <m:begChr m:val="["/>
            <m:endChr m:val="]"/>
            <m:sepChr m:val=""/>
            <m:grow/>
          </m:dPr>
          <m:e>
            <m:sSup>
              <m:e>
                <m:r>
                  <m:t>e</m:t>
                </m:r>
              </m:e>
              <m:sup>
                <m:r>
                  <m:t>x</m:t>
                </m:r>
              </m:sup>
            </m:sSup>
          </m:e>
        </m:d>
        <m:r>
          <m:rPr>
            <m:sty m:val="p"/>
          </m:rPr>
          <m:t>=</m:t>
        </m:r>
        <m:sSup>
          <m:e>
            <m:r>
              <m:t>e</m:t>
            </m:r>
          </m:e>
          <m:sup>
            <m:r>
              <m:t>μ</m:t>
            </m:r>
            <m:r>
              <m:rPr>
                <m:sty m:val="p"/>
              </m:rPr>
              <m:t>+</m:t>
            </m:r>
            <m:sSup>
              <m:e>
                <m:r>
                  <m:t>σ</m:t>
                </m:r>
              </m:e>
              <m:sup>
                <m:r>
                  <m:t>2</m:t>
                </m:r>
              </m:sup>
            </m:sSup>
            <m:r>
              <m:rPr>
                <m:sty m:val="p"/>
              </m:rPr>
              <m:t>/</m:t>
            </m:r>
            <m:r>
              <m:t>2</m:t>
            </m:r>
          </m:sup>
        </m:sSup>
      </m:oMath>
      <w:r>
        <w:rPr>
          <w:rFonts w:ascii="宋体" w:hAnsi="宋体" w:eastAsia="宋体"/>
          <w:sz w:val="24"/>
        </w:rPr>
        <w:t>，可得配置效率损失的近似表达式：</w:t>
      </w:r>
    </w:p>
    <w:p>
      <w:pPr>
        <w:tabs>
          <w:tab w:pos="4252" w:val="center"/>
          <w:tab w:pos="8504" w:val="right"/>
        </w:tabs>
        <w:spacing w:line="360" w:lineRule="auto" w:before="80" w:after="80"/>
      </w:pPr>
      <w:r>
        <w:tab/>
      </w:r>
      <m:oMath>
        <m:r>
          <m:rPr>
            <m:sty m:val="p"/>
          </m:rPr>
          <m:t>ln</m:t>
        </m:r>
        <m:f>
          <m:fPr>
            <m:type m:val="bar"/>
          </m:fPr>
          <m:num>
            <m:r>
              <m:t>A</m:t>
            </m:r>
          </m:num>
          <m:den>
            <m:sSup>
              <m:e>
                <m:r>
                  <m:t>A</m:t>
                </m:r>
              </m:e>
              <m:sup>
                <m:r>
                  <m:rPr>
                    <m:sty m:val="p"/>
                  </m:rPr>
                  <m:t>*</m:t>
                </m:r>
              </m:sup>
            </m:sSup>
          </m:den>
        </m:f>
        <m:r>
          <m:rPr>
            <m:sty m:val="p"/>
          </m:rPr>
          <m:t>≈</m:t>
        </m:r>
        <m:r>
          <m:rPr>
            <m:sty m:val="p"/>
          </m:rPr>
          <m:t>−</m:t>
        </m:r>
        <m:f>
          <m:fPr>
            <m:type m:val="bar"/>
          </m:fPr>
          <m:num>
            <m:r>
              <m:t>1</m:t>
            </m:r>
          </m:num>
          <m:den>
            <m:r>
              <m:t>2</m:t>
            </m:r>
          </m:den>
        </m:f>
        <m:d>
          <m:dPr>
            <m:begChr m:val="("/>
            <m:endChr m:val=")"/>
            <m:sepChr m:val=""/>
            <m:grow/>
          </m:dPr>
          <m:e>
            <m:r>
              <m:t>σ</m:t>
            </m:r>
            <m:r>
              <m:rPr>
                <m:sty m:val="p"/>
              </m:rPr>
              <m:t>−</m:t>
            </m:r>
            <m:r>
              <m:t>1</m:t>
            </m:r>
          </m:e>
        </m:d>
        <m:r>
          <m:t> </m:t>
        </m:r>
        <m:r>
          <m:rPr>
            <m:sty m:val="p"/>
          </m:rPr>
          <m:t>V</m:t>
        </m:r>
        <m:r>
          <m:rPr>
            <m:sty m:val="p"/>
          </m:rPr>
          <m:t>a</m:t>
        </m:r>
        <m:r>
          <m:rPr>
            <m:sty m:val="p"/>
          </m:rPr>
          <m:t>r</m:t>
        </m:r>
        <m:d>
          <m:dPr>
            <m:begChr m:val="("/>
            <m:endChr m:val=")"/>
            <m:sepChr m:val=""/>
            <m:grow/>
          </m:dPr>
          <m:e>
            <m:r>
              <m:rPr>
                <m:sty m:val="p"/>
              </m:rPr>
              <m:t>ln</m:t>
            </m:r>
            <m:r>
              <m:t>T</m:t>
            </m:r>
            <m:r>
              <m:t>F</m:t>
            </m:r>
            <m:r>
              <m:t>P</m:t>
            </m:r>
            <m:sSub>
              <m:e>
                <m:r>
                  <m:t>R</m:t>
                </m:r>
              </m:e>
              <m:sub>
                <m:r>
                  <m:t>i</m:t>
                </m:r>
              </m:sub>
            </m:sSub>
          </m:e>
        </m:d>
        <m:r>
          <m:rPr>
            <m:sty m:val="p"/>
          </m:rPr>
          <m:t>=</m:t>
        </m:r>
        <m:r>
          <m:rPr>
            <m:sty m:val="p"/>
          </m:rPr>
          <m:t>−</m:t>
        </m:r>
        <m:f>
          <m:fPr>
            <m:type m:val="bar"/>
          </m:fPr>
          <m:num>
            <m:r>
              <m:t>1</m:t>
            </m:r>
          </m:num>
          <m:den>
            <m:r>
              <m:t>2</m:t>
            </m:r>
          </m:den>
        </m:f>
        <m:d>
          <m:dPr>
            <m:begChr m:val="("/>
            <m:endChr m:val=")"/>
            <m:sepChr m:val=""/>
            <m:grow/>
          </m:dPr>
          <m:e>
            <m:r>
              <m:t>σ</m:t>
            </m:r>
            <m:r>
              <m:rPr>
                <m:sty m:val="p"/>
              </m:rPr>
              <m:t>−</m:t>
            </m:r>
            <m:r>
              <m:t>1</m:t>
            </m:r>
          </m:e>
        </m:d>
        <m:r>
          <m:t> </m:t>
        </m:r>
        <m:r>
          <m:rPr>
            <m:sty m:val="p"/>
          </m:rPr>
          <m:t>V</m:t>
        </m:r>
        <m:r>
          <m:rPr>
            <m:sty m:val="p"/>
          </m:rPr>
          <m:t>a</m:t>
        </m:r>
        <m:r>
          <m:rPr>
            <m:sty m:val="p"/>
          </m:rPr>
          <m:t>r</m:t>
        </m:r>
        <m:d>
          <m:dPr>
            <m:begChr m:val="("/>
            <m:endChr m:val=")"/>
            <m:sepChr m:val=""/>
            <m:grow/>
          </m:dPr>
          <m:e>
            <m:r>
              <m:rPr>
                <m:sty m:val="p"/>
              </m:rPr>
              <m:t>ln</m:t>
            </m:r>
            <m:sSubSup>
              <m:e>
                <m:r>
                  <m:t>τ</m:t>
                </m:r>
              </m:e>
              <m:sub>
                <m:r>
                  <m:t>i</m:t>
                </m:r>
              </m:sub>
              <m:sup>
                <m:r>
                  <m:t>F</m:t>
                </m:r>
              </m:sup>
            </m:sSubSup>
          </m:e>
        </m:d>
      </m:oMath>
      <w:r>
        <w:tab/>
      </w:r>
      <w:r>
        <w:rPr>
          <w:rFonts w:ascii="Times New Roman" w:hAnsi="Times New Roman" w:eastAsia="宋体"/>
          <w:sz w:val="24"/>
        </w:rPr>
        <w:t>(A-4)</w:t>
      </w:r>
    </w:p>
    <w:p>
      <w:pPr>
        <w:spacing w:line="360" w:lineRule="auto" w:after="0"/>
        <w:ind w:firstLineChars="200" w:firstLine="480"/>
        <w:jc w:val="both"/>
      </w:pPr>
      <w:r>
        <w:rPr>
          <w:rFonts w:ascii="宋体" w:hAnsi="宋体" w:eastAsia="宋体"/>
          <w:sz w:val="24"/>
        </w:rPr>
        <w:t xml:space="preserve">式(A-4)即式(4-8)中的要素市场分割损失项。将商品市场冰山成本 </w:t>
      </w:r>
      <m:oMath>
        <m:sSubSup>
          <m:e>
            <m:r>
              <m:t>τ</m:t>
            </m:r>
          </m:e>
          <m:sub>
            <m:r>
              <m:t>r</m:t>
            </m:r>
          </m:sub>
          <m:sup>
            <m:r>
              <m:t>G</m:t>
            </m:r>
          </m:sup>
        </m:sSubSup>
      </m:oMath>
      <w:r>
        <w:rPr>
          <w:rFonts w:ascii="宋体" w:hAnsi="宋体" w:eastAsia="宋体"/>
          <w:sz w:val="24"/>
        </w:rPr>
        <w:t xml:space="preserve"> 以类似方式引入需求端加总，即得包含商品市场分割损失项 </w:t>
      </w:r>
      <m:oMath>
        <m:r>
          <m:t>Φ</m:t>
        </m:r>
        <m:d>
          <m:dPr>
            <m:begChr m:val="("/>
            <m:endChr m:val=")"/>
            <m:sepChr m:val=""/>
            <m:grow/>
          </m:dPr>
          <m:e>
            <m:r>
              <m:t>σ</m:t>
            </m:r>
          </m:e>
        </m:d>
        <m:r>
          <m:rPr>
            <m:sty m:val="p"/>
          </m:rPr>
          <m:t>V</m:t>
        </m:r>
        <m:r>
          <m:rPr>
            <m:sty m:val="p"/>
          </m:rPr>
          <m:t>a</m:t>
        </m:r>
        <m:r>
          <m:rPr>
            <m:sty m:val="p"/>
          </m:rPr>
          <m:t>r</m:t>
        </m:r>
        <m:d>
          <m:dPr>
            <m:begChr m:val="("/>
            <m:endChr m:val=")"/>
            <m:sepChr m:val=""/>
            <m:grow/>
          </m:dPr>
          <m:e>
            <m:r>
              <m:rPr>
                <m:sty m:val="p"/>
              </m:rPr>
              <m:t>ln</m:t>
            </m:r>
            <m:sSup>
              <m:e>
                <m:r>
                  <m:t>τ</m:t>
                </m:r>
              </m:e>
              <m:sup>
                <m:r>
                  <m:t>G</m:t>
                </m:r>
              </m:sup>
            </m:sSup>
          </m:e>
        </m:d>
      </m:oMath>
      <w:r>
        <w:rPr>
          <w:rFonts w:ascii="宋体" w:hAnsi="宋体" w:eastAsia="宋体"/>
          <w:sz w:val="24"/>
        </w:rPr>
        <w:t xml:space="preserve"> 的完整表达式(4-8)。证毕。</w:t>
      </w:r>
    </w:p>
    <w:p>
      <w:pPr>
        <w:keepNext/>
        <w:spacing w:before="160" w:after="120" w:line="360" w:lineRule="auto"/>
      </w:pPr>
      <w:r>
        <w:rPr>
          <w:rFonts w:ascii="黑体" w:hAnsi="黑体" w:eastAsia="黑体"/>
          <w:sz w:val="24"/>
        </w:rPr>
        <w:t>A.2  命题1（分割—错配—效率命题）的证明</w:t>
      </w:r>
    </w:p>
    <w:p>
      <w:pPr>
        <w:spacing w:line="360" w:lineRule="auto" w:after="0"/>
        <w:ind w:firstLineChars="200" w:firstLine="480"/>
        <w:jc w:val="both"/>
      </w:pPr>
      <w:r>
        <w:rPr>
          <w:rFonts w:ascii="宋体" w:hAnsi="宋体" w:eastAsia="宋体"/>
          <w:sz w:val="24"/>
        </w:rPr>
        <w:t>由式(4-8)，</w:t>
      </w:r>
      <m:oMath>
        <m:r>
          <m:rPr>
            <m:sty m:val="p"/>
          </m:rPr>
          <m:t>ln</m:t>
        </m:r>
        <m:r>
          <m:t>A</m:t>
        </m:r>
        <m:r>
          <m:rPr>
            <m:sty m:val="p"/>
          </m:rPr>
          <m:t>=</m:t>
        </m:r>
        <m:r>
          <m:rPr>
            <m:sty m:val="p"/>
          </m:rPr>
          <m:t>ln</m:t>
        </m:r>
        <m:acc>
          <m:accPr>
            <m:chr m:val="‾"/>
          </m:accPr>
          <m:e>
            <m:r>
              <m:t>A</m:t>
            </m:r>
          </m:e>
        </m:acc>
        <m:r>
          <m:rPr>
            <m:sty m:val="p"/>
          </m:rPr>
          <m:t>−</m:t>
        </m:r>
        <m:f>
          <m:fPr>
            <m:type m:val="lin"/>
          </m:fPr>
          <m:num>
            <m:r>
              <m:t>1</m:t>
            </m:r>
          </m:num>
          <m:den>
            <m:r>
              <m:t>2</m:t>
            </m:r>
          </m:den>
        </m:f>
        <m:d>
          <m:dPr>
            <m:begChr m:val="("/>
            <m:endChr m:val=")"/>
            <m:sepChr m:val=""/>
            <m:grow/>
          </m:dPr>
          <m:e>
            <m:r>
              <m:t>σ</m:t>
            </m:r>
            <m:r>
              <m:rPr>
                <m:sty m:val="p"/>
              </m:rPr>
              <m:t>−</m:t>
            </m:r>
            <m:r>
              <m:t>1</m:t>
            </m:r>
          </m:e>
        </m:d>
        <m:r>
          <m:rPr>
            <m:sty m:val="p"/>
          </m:rPr>
          <m:t>V</m:t>
        </m:r>
        <m:r>
          <m:rPr>
            <m:sty m:val="p"/>
          </m:rPr>
          <m:t>a</m:t>
        </m:r>
        <m:r>
          <m:rPr>
            <m:sty m:val="p"/>
          </m:rPr>
          <m:t>r</m:t>
        </m:r>
        <m:d>
          <m:dPr>
            <m:begChr m:val="("/>
            <m:endChr m:val=")"/>
            <m:sepChr m:val=""/>
            <m:grow/>
          </m:dPr>
          <m:e>
            <m:r>
              <m:rPr>
                <m:sty m:val="p"/>
              </m:rPr>
              <m:t>ln</m:t>
            </m:r>
            <m:sSup>
              <m:e>
                <m:r>
                  <m:t>τ</m:t>
                </m:r>
              </m:e>
              <m:sup>
                <m:r>
                  <m:t>F</m:t>
                </m:r>
              </m:sup>
            </m:sSup>
          </m:e>
        </m:d>
        <m:r>
          <m:rPr>
            <m:sty m:val="p"/>
          </m:rPr>
          <m:t>−</m:t>
        </m:r>
        <m:r>
          <m:t>Φ</m:t>
        </m:r>
        <m:d>
          <m:dPr>
            <m:begChr m:val="("/>
            <m:endChr m:val=")"/>
            <m:sepChr m:val=""/>
            <m:grow/>
          </m:dPr>
          <m:e>
            <m:r>
              <m:t>σ</m:t>
            </m:r>
          </m:e>
        </m:d>
        <m:r>
          <m:rPr>
            <m:sty m:val="p"/>
          </m:rPr>
          <m:t>V</m:t>
        </m:r>
        <m:r>
          <m:rPr>
            <m:sty m:val="p"/>
          </m:rPr>
          <m:t>a</m:t>
        </m:r>
        <m:r>
          <m:rPr>
            <m:sty m:val="p"/>
          </m:rPr>
          <m:t>r</m:t>
        </m:r>
        <m:d>
          <m:dPr>
            <m:begChr m:val="("/>
            <m:endChr m:val=")"/>
            <m:sepChr m:val=""/>
            <m:grow/>
          </m:dPr>
          <m:e>
            <m:r>
              <m:rPr>
                <m:sty m:val="p"/>
              </m:rPr>
              <m:t>ln</m:t>
            </m:r>
            <m:sSup>
              <m:e>
                <m:r>
                  <m:t>τ</m:t>
                </m:r>
              </m:e>
              <m:sup>
                <m:r>
                  <m:t>G</m:t>
                </m:r>
              </m:sup>
            </m:sSup>
          </m:e>
        </m:d>
      </m:oMath>
      <w:r>
        <w:rPr>
          <w:rFonts w:ascii="宋体" w:hAnsi="宋体" w:eastAsia="宋体"/>
          <w:sz w:val="24"/>
        </w:rPr>
        <w:t>，分别对两类分割离散度求偏导：</w:t>
      </w:r>
    </w:p>
    <w:p>
      <w:pPr>
        <w:tabs>
          <w:tab w:pos="4252" w:val="center"/>
          <w:tab w:pos="8504" w:val="right"/>
        </w:tabs>
        <w:spacing w:line="360" w:lineRule="auto" w:before="80" w:after="80"/>
      </w:pPr>
      <w:r>
        <w:tab/>
      </w:r>
      <m:oMath>
        <m:f>
          <m:fPr>
            <m:type m:val="bar"/>
          </m:fPr>
          <m:num>
            <m:r>
              <m:rPr>
                <m:sty m:val="p"/>
              </m:rPr>
              <m:t>∂</m:t>
            </m:r>
            <m:r>
              <m:rPr>
                <m:sty m:val="p"/>
              </m:rPr>
              <m:t>ln</m:t>
            </m:r>
            <m:r>
              <m:t>A</m:t>
            </m:r>
          </m:num>
          <m:den>
            <m:r>
              <m:rPr>
                <m:sty m:val="p"/>
              </m:rPr>
              <m:t>∂</m:t>
            </m:r>
            <m:r>
              <m:t> </m:t>
            </m:r>
            <m:r>
              <m:rPr>
                <m:sty m:val="p"/>
              </m:rPr>
              <m:t>V</m:t>
            </m:r>
            <m:r>
              <m:rPr>
                <m:sty m:val="p"/>
              </m:rPr>
              <m:t>a</m:t>
            </m:r>
            <m:r>
              <m:rPr>
                <m:sty m:val="p"/>
              </m:rPr>
              <m:t>r</m:t>
            </m:r>
            <m:d>
              <m:dPr>
                <m:begChr m:val="("/>
                <m:endChr m:val=")"/>
                <m:sepChr m:val=""/>
                <m:grow/>
              </m:dPr>
              <m:e>
                <m:r>
                  <m:rPr>
                    <m:sty m:val="p"/>
                  </m:rPr>
                  <m:t>ln</m:t>
                </m:r>
                <m:sSup>
                  <m:e>
                    <m:r>
                      <m:t>τ</m:t>
                    </m:r>
                  </m:e>
                  <m:sup>
                    <m:r>
                      <m:t>F</m:t>
                    </m:r>
                  </m:sup>
                </m:sSup>
              </m:e>
            </m:d>
          </m:den>
        </m:f>
        <m:r>
          <m:rPr>
            <m:sty m:val="p"/>
          </m:rPr>
          <m:t>=</m:t>
        </m:r>
        <m:r>
          <m:rPr>
            <m:sty m:val="p"/>
          </m:rPr>
          <m:t>−</m:t>
        </m:r>
        <m:f>
          <m:fPr>
            <m:type m:val="bar"/>
          </m:fPr>
          <m:num>
            <m:r>
              <m:t>1</m:t>
            </m:r>
          </m:num>
          <m:den>
            <m:r>
              <m:t>2</m:t>
            </m:r>
          </m:den>
        </m:f>
        <m:d>
          <m:dPr>
            <m:begChr m:val="("/>
            <m:endChr m:val=")"/>
            <m:sepChr m:val=""/>
            <m:grow/>
          </m:dPr>
          <m:e>
            <m:r>
              <m:t>σ</m:t>
            </m:r>
            <m:r>
              <m:rPr>
                <m:sty m:val="p"/>
              </m:rPr>
              <m:t>−</m:t>
            </m:r>
            <m:r>
              <m:t>1</m:t>
            </m:r>
          </m:e>
        </m:d>
        <m:r>
          <m:rPr>
            <m:sty m:val="p"/>
          </m:rPr>
          <m:t>&lt;</m:t>
        </m:r>
        <m:r>
          <m:t>0</m:t>
        </m:r>
        <m:r>
          <m:rPr>
            <m:sty m:val="p"/>
          </m:rPr>
          <m:t>,</m:t>
        </m:r>
        <m:r>
          <m:t>  </m:t>
        </m:r>
        <m:f>
          <m:fPr>
            <m:type m:val="bar"/>
          </m:fPr>
          <m:num>
            <m:r>
              <m:rPr>
                <m:sty m:val="p"/>
              </m:rPr>
              <m:t>∂</m:t>
            </m:r>
            <m:r>
              <m:rPr>
                <m:sty m:val="p"/>
              </m:rPr>
              <m:t>ln</m:t>
            </m:r>
            <m:r>
              <m:t>A</m:t>
            </m:r>
          </m:num>
          <m:den>
            <m:r>
              <m:rPr>
                <m:sty m:val="p"/>
              </m:rPr>
              <m:t>∂</m:t>
            </m:r>
            <m:r>
              <m:t> </m:t>
            </m:r>
            <m:r>
              <m:rPr>
                <m:sty m:val="p"/>
              </m:rPr>
              <m:t>V</m:t>
            </m:r>
            <m:r>
              <m:rPr>
                <m:sty m:val="p"/>
              </m:rPr>
              <m:t>a</m:t>
            </m:r>
            <m:r>
              <m:rPr>
                <m:sty m:val="p"/>
              </m:rPr>
              <m:t>r</m:t>
            </m:r>
            <m:d>
              <m:dPr>
                <m:begChr m:val="("/>
                <m:endChr m:val=")"/>
                <m:sepChr m:val=""/>
                <m:grow/>
              </m:dPr>
              <m:e>
                <m:r>
                  <m:rPr>
                    <m:sty m:val="p"/>
                  </m:rPr>
                  <m:t>ln</m:t>
                </m:r>
                <m:sSup>
                  <m:e>
                    <m:r>
                      <m:t>τ</m:t>
                    </m:r>
                  </m:e>
                  <m:sup>
                    <m:r>
                      <m:t>G</m:t>
                    </m:r>
                  </m:sup>
                </m:sSup>
              </m:e>
            </m:d>
          </m:den>
        </m:f>
        <m:r>
          <m:rPr>
            <m:sty m:val="p"/>
          </m:rPr>
          <m:t>=</m:t>
        </m:r>
        <m:r>
          <m:rPr>
            <m:sty m:val="p"/>
          </m:rPr>
          <m:t>−</m:t>
        </m:r>
        <m:r>
          <m:t>Φ</m:t>
        </m:r>
        <m:d>
          <m:dPr>
            <m:begChr m:val="("/>
            <m:endChr m:val=")"/>
            <m:sepChr m:val=""/>
            <m:grow/>
          </m:dPr>
          <m:e>
            <m:r>
              <m:t>σ</m:t>
            </m:r>
          </m:e>
        </m:d>
        <m:r>
          <m:rPr>
            <m:sty m:val="p"/>
          </m:rPr>
          <m:t>&lt;</m:t>
        </m:r>
        <m:r>
          <m:t>0</m:t>
        </m:r>
      </m:oMath>
      <w:r>
        <w:tab/>
      </w:r>
      <w:r>
        <w:rPr>
          <w:rFonts w:ascii="Times New Roman" w:hAnsi="Times New Roman" w:eastAsia="宋体"/>
          <w:sz w:val="24"/>
        </w:rPr>
        <w:t>(A-5)</w:t>
      </w:r>
    </w:p>
    <w:p>
      <w:pPr>
        <w:spacing w:line="360" w:lineRule="auto" w:after="0"/>
        <w:ind w:firstLineChars="200" w:firstLine="480"/>
        <w:jc w:val="both"/>
      </w:pPr>
      <w:r>
        <w:rPr>
          <w:rFonts w:ascii="宋体" w:hAnsi="宋体" w:eastAsia="宋体"/>
          <w:sz w:val="24"/>
        </w:rPr>
        <w:t xml:space="preserve">由于 </w:t>
      </w:r>
      <m:oMath>
        <m:r>
          <m:t>σ</m:t>
        </m:r>
        <m:r>
          <m:rPr>
            <m:sty m:val="p"/>
          </m:rPr>
          <m:t>&gt;</m:t>
        </m:r>
        <m:r>
          <m:t>1</m:t>
        </m:r>
      </m:oMath>
      <w:r>
        <w:rPr>
          <w:rFonts w:ascii="宋体" w:hAnsi="宋体" w:eastAsia="宋体"/>
          <w:sz w:val="24"/>
        </w:rPr>
        <w:t xml:space="preserve"> 且 </w:t>
      </w:r>
      <m:oMath>
        <m:r>
          <m:t>Φ</m:t>
        </m:r>
        <m:d>
          <m:dPr>
            <m:begChr m:val="("/>
            <m:endChr m:val=")"/>
            <m:sepChr m:val=""/>
            <m:grow/>
          </m:dPr>
          <m:e>
            <m:r>
              <m:t>σ</m:t>
            </m:r>
          </m:e>
        </m:d>
        <m:r>
          <m:rPr>
            <m:sty m:val="p"/>
          </m:rPr>
          <m:t>&gt;</m:t>
        </m:r>
        <m:r>
          <m:t>0</m:t>
        </m:r>
      </m:oMath>
      <w:r>
        <w:rPr>
          <w:rFonts w:ascii="宋体" w:hAnsi="宋体" w:eastAsia="宋体"/>
          <w:sz w:val="24"/>
        </w:rPr>
        <w:t xml:space="preserve">，两个偏导均严格为负。故总量全要素生产率是要素与商品市场分割离散度的严格减函数。又由式(4-9)，统一大市场建设 </w:t>
      </w:r>
      <m:oMath>
        <m:r>
          <m:t>m</m:t>
        </m:r>
      </m:oMath>
      <w:r>
        <w:rPr>
          <w:rFonts w:ascii="宋体" w:hAnsi="宋体" w:eastAsia="宋体"/>
          <w:sz w:val="24"/>
        </w:rPr>
        <w:t xml:space="preserve"> 使 </w:t>
      </w:r>
      <m:oMath>
        <m:r>
          <m:rPr>
            <m:sty m:val="p"/>
          </m:rPr>
          <m:t>V</m:t>
        </m:r>
        <m:r>
          <m:rPr>
            <m:sty m:val="p"/>
          </m:rPr>
          <m:t>a</m:t>
        </m:r>
        <m:r>
          <m:rPr>
            <m:sty m:val="p"/>
          </m:rPr>
          <m:t>r</m:t>
        </m:r>
        <m:d>
          <m:dPr>
            <m:begChr m:val="("/>
            <m:endChr m:val=")"/>
            <m:sepChr m:val=""/>
            <m:grow/>
          </m:dPr>
          <m:e>
            <m:r>
              <m:rPr>
                <m:sty m:val="p"/>
              </m:rPr>
              <m:t>ln</m:t>
            </m:r>
            <m:sSup>
              <m:e>
                <m:r>
                  <m:t>τ</m:t>
                </m:r>
              </m:e>
              <m:sup>
                <m:r>
                  <m:t>F</m:t>
                </m:r>
              </m:sup>
            </m:sSup>
            <m:r>
              <m:rPr>
                <m:sty m:val="p"/>
              </m:rPr>
              <m:t>∣</m:t>
            </m:r>
            <m:r>
              <m:t>m</m:t>
            </m:r>
          </m:e>
        </m:d>
        <m:r>
          <m:rPr>
            <m:sty m:val="p"/>
          </m:rPr>
          <m:t>=</m:t>
        </m:r>
        <m:d>
          <m:dPr>
            <m:begChr m:val="("/>
            <m:endChr m:val=")"/>
            <m:sepChr m:val=""/>
            <m:grow/>
          </m:dPr>
          <m:e>
            <m:r>
              <m:t>1</m:t>
            </m:r>
            <m:r>
              <m:rPr>
                <m:sty m:val="p"/>
              </m:rPr>
              <m:t>−</m:t>
            </m:r>
            <m:r>
              <m:t>m</m:t>
            </m:r>
          </m:e>
        </m:d>
        <m:sSubSup>
          <m:e>
            <m:r>
              <m:t>σ</m:t>
            </m:r>
          </m:e>
          <m:sub>
            <m:r>
              <m:t>F</m:t>
            </m:r>
            <m:r>
              <m:t>0</m:t>
            </m:r>
          </m:sub>
          <m:sup>
            <m:r>
              <m:t>2</m:t>
            </m:r>
          </m:sup>
        </m:sSubSup>
      </m:oMath>
      <w:r>
        <w:rPr>
          <w:rFonts w:ascii="宋体" w:hAnsi="宋体" w:eastAsia="宋体"/>
          <w:sz w:val="24"/>
        </w:rPr>
        <w:t xml:space="preserve"> 递减，故 </w:t>
      </w:r>
      <m:oMath>
        <m:r>
          <m:rPr>
            <m:sty m:val="p"/>
          </m:rPr>
          <m:t>∂</m:t>
        </m:r>
        <m:r>
          <m:rPr>
            <m:sty m:val="p"/>
          </m:rPr>
          <m:t>ln</m:t>
        </m:r>
        <m:r>
          <m:t>A</m:t>
        </m:r>
        <m:r>
          <m:rPr>
            <m:sty m:val="p"/>
          </m:rPr>
          <m:t>/</m:t>
        </m:r>
        <m:r>
          <m:rPr>
            <m:sty m:val="p"/>
          </m:rPr>
          <m:t>∂</m:t>
        </m:r>
        <m:r>
          <m:t>m</m:t>
        </m:r>
        <m:r>
          <m:rPr>
            <m:sty m:val="p"/>
          </m:rPr>
          <m:t>&gt;</m:t>
        </m:r>
        <m:r>
          <m:t>0</m:t>
        </m:r>
      </m:oMath>
      <w:r>
        <w:rPr>
          <w:rFonts w:ascii="宋体" w:hAnsi="宋体" w:eastAsia="宋体"/>
          <w:sz w:val="24"/>
        </w:rPr>
        <w:t>，即统一大市场建设通过降低错配提升配置效率。证毕。</w:t>
      </w:r>
    </w:p>
    <w:p>
      <w:pPr>
        <w:keepNext/>
        <w:spacing w:before="160" w:after="120" w:line="360" w:lineRule="auto"/>
      </w:pPr>
      <w:r>
        <w:rPr>
          <w:rFonts w:ascii="黑体" w:hAnsi="黑体" w:eastAsia="黑体"/>
          <w:sz w:val="24"/>
        </w:rPr>
        <w:t>A.3  命题2（整合互补性命题）的证明</w:t>
      </w:r>
    </w:p>
    <w:p>
      <w:pPr>
        <w:spacing w:line="360" w:lineRule="auto" w:after="0"/>
        <w:ind w:firstLineChars="200" w:firstLine="480"/>
        <w:jc w:val="both"/>
      </w:pPr>
      <w:r>
        <w:rPr>
          <w:rFonts w:ascii="宋体" w:hAnsi="宋体" w:eastAsia="宋体"/>
          <w:sz w:val="24"/>
        </w:rPr>
        <w:t xml:space="preserve">设商品市场与要素市场的整合水平分别为 </w:t>
      </w:r>
      <m:oMath>
        <m:sSub>
          <m:e>
            <m:r>
              <m:t>m</m:t>
            </m:r>
          </m:e>
          <m:sub>
            <m:r>
              <m:t>G</m:t>
            </m:r>
          </m:sub>
        </m:sSub>
        <m:r>
          <m:rPr>
            <m:sty m:val="p"/>
          </m:rPr>
          <m:t>,</m:t>
        </m:r>
        <m:sSub>
          <m:e>
            <m:r>
              <m:t>m</m:t>
            </m:r>
          </m:e>
          <m:sub>
            <m:r>
              <m:t>F</m:t>
            </m:r>
          </m:sub>
        </m:sSub>
      </m:oMath>
      <w:r>
        <w:rPr>
          <w:rFonts w:ascii="宋体" w:hAnsi="宋体" w:eastAsia="宋体"/>
          <w:sz w:val="24"/>
        </w:rPr>
        <w:t xml:space="preserve">，两类分割的初始离散度相等为 </w:t>
      </w:r>
      <m:oMath>
        <m:sSubSup>
          <m:e>
            <m:r>
              <m:t>σ</m:t>
            </m:r>
          </m:e>
          <m:sub>
            <m:r>
              <m:t>0</m:t>
            </m:r>
          </m:sub>
          <m:sup>
            <m:r>
              <m:t>2</m:t>
            </m:r>
          </m:sup>
        </m:sSubSup>
      </m:oMath>
      <w:r>
        <w:rPr>
          <w:rFonts w:ascii="宋体" w:hAnsi="宋体" w:eastAsia="宋体"/>
          <w:sz w:val="24"/>
        </w:rPr>
        <w:t xml:space="preserve"> 且协方差为 </w:t>
      </w:r>
      <m:oMath>
        <m:r>
          <m:rPr>
            <m:sty m:val="p"/>
          </m:rPr>
          <m:t>C</m:t>
        </m:r>
        <m:r>
          <m:rPr>
            <m:sty m:val="p"/>
          </m:rPr>
          <m:t>o</m:t>
        </m:r>
        <m:r>
          <m:rPr>
            <m:sty m:val="p"/>
          </m:rPr>
          <m:t>v</m:t>
        </m:r>
        <m:d>
          <m:dPr>
            <m:begChr m:val="("/>
            <m:endChr m:val=")"/>
            <m:sepChr m:val=""/>
            <m:grow/>
          </m:dPr>
          <m:e>
            <m:r>
              <m:rPr>
                <m:sty m:val="p"/>
              </m:rPr>
              <m:t>ln</m:t>
            </m:r>
            <m:sSup>
              <m:e>
                <m:r>
                  <m:t>τ</m:t>
                </m:r>
              </m:e>
              <m:sup>
                <m:r>
                  <m:t>F</m:t>
                </m:r>
              </m:sup>
            </m:sSup>
            <m:r>
              <m:rPr>
                <m:sty m:val="p"/>
              </m:rPr>
              <m:t>,</m:t>
            </m:r>
            <m:r>
              <m:rPr>
                <m:sty m:val="p"/>
              </m:rPr>
              <m:t>ln</m:t>
            </m:r>
            <m:sSup>
              <m:e>
                <m:r>
                  <m:t>τ</m:t>
                </m:r>
              </m:e>
              <m:sup>
                <m:r>
                  <m:t>G</m:t>
                </m:r>
              </m:sup>
            </m:sSup>
          </m:e>
        </m:d>
        <m:r>
          <m:rPr>
            <m:sty m:val="p"/>
          </m:rPr>
          <m:t>=</m:t>
        </m:r>
        <m:r>
          <m:t>ρ</m:t>
        </m:r>
        <m:sSubSup>
          <m:e>
            <m:r>
              <m:t>σ</m:t>
            </m:r>
          </m:e>
          <m:sub>
            <m:r>
              <m:t>0</m:t>
            </m:r>
          </m:sub>
          <m:sup>
            <m:r>
              <m:t>2</m:t>
            </m:r>
          </m:sup>
        </m:sSubSup>
      </m:oMath>
      <w:r>
        <w:rPr>
          <w:rFonts w:ascii="宋体" w:hAnsi="宋体" w:eastAsia="宋体"/>
          <w:sz w:val="24"/>
        </w:rPr>
        <w:t>（</w:t>
      </w:r>
      <m:oMath>
        <m:r>
          <m:t>ρ</m:t>
        </m:r>
        <m:r>
          <m:rPr>
            <m:sty m:val="p"/>
          </m:rPr>
          <m:t>&gt;</m:t>
        </m:r>
        <m:r>
          <m:t>0</m:t>
        </m:r>
      </m:oMath>
      <w:r>
        <w:rPr>
          <w:rFonts w:ascii="宋体" w:hAnsi="宋体" w:eastAsia="宋体"/>
          <w:sz w:val="24"/>
        </w:rPr>
        <w:t xml:space="preserve">）。综合分割的离散度包含协方差项，总损失中相应地含有交叉成分 </w:t>
      </w:r>
      <m:oMath>
        <m:r>
          <m:t>Ψ</m:t>
        </m:r>
        <m:d>
          <m:dPr>
            <m:begChr m:val="("/>
            <m:endChr m:val=")"/>
            <m:sepChr m:val=""/>
            <m:grow/>
          </m:dPr>
          <m:e>
            <m:r>
              <m:t>σ</m:t>
            </m:r>
          </m:e>
        </m:d>
        <m:r>
          <m:t>ρ</m:t>
        </m:r>
        <m:sSubSup>
          <m:e>
            <m:r>
              <m:t>σ</m:t>
            </m:r>
          </m:e>
          <m:sub>
            <m:r>
              <m:t>0</m:t>
            </m:r>
          </m:sub>
          <m:sup>
            <m:r>
              <m:t>2</m:t>
            </m:r>
          </m:sup>
        </m:sSubSup>
        <m:d>
          <m:dPr>
            <m:begChr m:val="("/>
            <m:endChr m:val=")"/>
            <m:sepChr m:val=""/>
            <m:grow/>
          </m:dPr>
          <m:e>
            <m:r>
              <m:t>1</m:t>
            </m:r>
            <m:r>
              <m:rPr>
                <m:sty m:val="p"/>
              </m:rPr>
              <m:t>−</m:t>
            </m:r>
            <m:sSub>
              <m:e>
                <m:r>
                  <m:t>m</m:t>
                </m:r>
              </m:e>
              <m:sub>
                <m:r>
                  <m:t>G</m:t>
                </m:r>
              </m:sub>
            </m:sSub>
          </m:e>
        </m:d>
        <m:d>
          <m:dPr>
            <m:begChr m:val="("/>
            <m:endChr m:val=")"/>
            <m:sepChr m:val=""/>
            <m:grow/>
          </m:dPr>
          <m:e>
            <m:r>
              <m:t>1</m:t>
            </m:r>
            <m:r>
              <m:rPr>
                <m:sty m:val="p"/>
              </m:rPr>
              <m:t>−</m:t>
            </m:r>
            <m:sSub>
              <m:e>
                <m:r>
                  <m:t>m</m:t>
                </m:r>
              </m:e>
              <m:sub>
                <m:r>
                  <m:t>F</m:t>
                </m:r>
              </m:sub>
            </m:sSub>
          </m:e>
        </m:d>
      </m:oMath>
      <w:r>
        <w:rPr>
          <w:rFonts w:ascii="宋体" w:hAnsi="宋体" w:eastAsia="宋体"/>
          <w:sz w:val="24"/>
        </w:rPr>
        <w:t>。总量生产率对二者的交叉偏导为</w:t>
      </w:r>
    </w:p>
    <w:p>
      <w:pPr>
        <w:tabs>
          <w:tab w:pos="4252" w:val="center"/>
          <w:tab w:pos="8504" w:val="right"/>
        </w:tabs>
        <w:spacing w:line="360" w:lineRule="auto" w:before="80" w:after="80"/>
      </w:pPr>
      <w:r>
        <w:tab/>
      </w:r>
      <m:oMath>
        <m:f>
          <m:fPr>
            <m:type m:val="bar"/>
          </m:fPr>
          <m:num>
            <m:sSup>
              <m:e>
                <m:r>
                  <m:rPr>
                    <m:sty m:val="p"/>
                  </m:rPr>
                  <m:t>∂</m:t>
                </m:r>
              </m:e>
              <m:sup>
                <m:r>
                  <m:t>2</m:t>
                </m:r>
              </m:sup>
            </m:sSup>
            <m:r>
              <m:rPr>
                <m:sty m:val="p"/>
              </m:rPr>
              <m:t>ln</m:t>
            </m:r>
            <m:r>
              <m:t>A</m:t>
            </m:r>
          </m:num>
          <m:den>
            <m:r>
              <m:rPr>
                <m:sty m:val="p"/>
              </m:rPr>
              <m:t>∂</m:t>
            </m:r>
            <m:sSub>
              <m:e>
                <m:r>
                  <m:t>m</m:t>
                </m:r>
              </m:e>
              <m:sub>
                <m:r>
                  <m:t>G</m:t>
                </m:r>
              </m:sub>
            </m:sSub>
            <m:r>
              <m:t> </m:t>
            </m:r>
            <m:r>
              <m:rPr>
                <m:sty m:val="p"/>
              </m:rPr>
              <m:t>∂</m:t>
            </m:r>
            <m:sSub>
              <m:e>
                <m:r>
                  <m:t>m</m:t>
                </m:r>
              </m:e>
              <m:sub>
                <m:r>
                  <m:t>F</m:t>
                </m:r>
              </m:sub>
            </m:sSub>
          </m:den>
        </m:f>
        <m:r>
          <m:rPr>
            <m:sty m:val="p"/>
          </m:rPr>
          <m:t>=</m:t>
        </m:r>
        <m:r>
          <m:t>Ψ</m:t>
        </m:r>
        <m:d>
          <m:dPr>
            <m:begChr m:val="("/>
            <m:endChr m:val=")"/>
            <m:sepChr m:val=""/>
            <m:grow/>
          </m:dPr>
          <m:e>
            <m:r>
              <m:t>σ</m:t>
            </m:r>
          </m:e>
        </m:d>
        <m:r>
          <m:t> </m:t>
        </m:r>
        <m:r>
          <m:t>ρ</m:t>
        </m:r>
        <m:r>
          <m:t> </m:t>
        </m:r>
        <m:sSubSup>
          <m:e>
            <m:r>
              <m:t>σ</m:t>
            </m:r>
          </m:e>
          <m:sub>
            <m:r>
              <m:t>0</m:t>
            </m:r>
          </m:sub>
          <m:sup>
            <m:r>
              <m:t>2</m:t>
            </m:r>
          </m:sup>
        </m:sSubSup>
      </m:oMath>
      <w:r>
        <w:tab/>
      </w:r>
      <w:r>
        <w:rPr>
          <w:rFonts w:ascii="Times New Roman" w:hAnsi="Times New Roman" w:eastAsia="宋体"/>
          <w:sz w:val="24"/>
        </w:rPr>
        <w:t>(A-6)</w:t>
      </w:r>
    </w:p>
    <w:p>
      <w:pPr>
        <w:spacing w:line="360" w:lineRule="auto" w:after="0"/>
        <w:ind w:firstLineChars="200" w:firstLine="480"/>
        <w:jc w:val="both"/>
      </w:pPr>
      <w:r>
        <w:rPr>
          <w:rFonts w:ascii="宋体" w:hAnsi="宋体" w:eastAsia="宋体"/>
          <w:sz w:val="24"/>
        </w:rPr>
        <w:t xml:space="preserve">当 </w:t>
      </w:r>
      <m:oMath>
        <m:r>
          <m:t>ρ</m:t>
        </m:r>
        <m:r>
          <m:rPr>
            <m:sty m:val="p"/>
          </m:rPr>
          <m:t>&gt;</m:t>
        </m:r>
        <m:r>
          <m:t>0</m:t>
        </m:r>
      </m:oMath>
      <w:r>
        <w:rPr>
          <w:rFonts w:ascii="宋体" w:hAnsi="宋体" w:eastAsia="宋体"/>
          <w:sz w:val="24"/>
        </w:rPr>
        <w:t>（即商品市场分割与要素市场分割正相关，这在同源于地方保护的现实中普遍成立）时，</w:t>
      </w:r>
      <m:oMath>
        <m:r>
          <m:t>Ψ</m:t>
        </m:r>
        <m:d>
          <m:dPr>
            <m:begChr m:val="("/>
            <m:endChr m:val=")"/>
            <m:sepChr m:val=""/>
            <m:grow/>
          </m:dPr>
          <m:e>
            <m:r>
              <m:t>σ</m:t>
            </m:r>
          </m:e>
        </m:d>
        <m:r>
          <m:rPr>
            <m:sty m:val="p"/>
          </m:rPr>
          <m:t>&gt;</m:t>
        </m:r>
        <m:r>
          <m:t>0</m:t>
        </m:r>
      </m:oMath>
      <w:r>
        <w:rPr>
          <w:rFonts w:ascii="宋体" w:hAnsi="宋体" w:eastAsia="宋体"/>
          <w:sz w:val="24"/>
        </w:rPr>
        <w:t xml:space="preserve"> 使交叉偏导为正，即推进一方整合会提高另一方的边际效率红利，二者互补。证毕。这与（Young，2000；陆铭和陈钊，2009）关于商品与要素分割同根同源的判断一致。</w:t>
      </w:r>
    </w:p>
    <w:p>
      <w:pPr>
        <w:keepNext/>
        <w:spacing w:before="160" w:after="120" w:line="360" w:lineRule="auto"/>
      </w:pPr>
      <w:r>
        <w:rPr>
          <w:rFonts w:ascii="黑体" w:hAnsi="黑体" w:eastAsia="黑体"/>
          <w:sz w:val="24"/>
        </w:rPr>
        <w:t>A.4  命题3（红利递增命题）的证明</w:t>
      </w:r>
    </w:p>
    <w:p>
      <w:pPr>
        <w:spacing w:line="360" w:lineRule="auto" w:after="0"/>
        <w:ind w:firstLineChars="200" w:firstLine="480"/>
        <w:jc w:val="both"/>
      </w:pPr>
      <w:r>
        <w:rPr>
          <w:rFonts w:ascii="宋体" w:hAnsi="宋体" w:eastAsia="宋体"/>
          <w:sz w:val="24"/>
        </w:rPr>
        <w:t>由式(4-10)，</w:t>
      </w:r>
      <m:oMath>
        <m:r>
          <m:rPr>
            <m:sty m:val="p"/>
          </m:rPr>
          <m:t>ln</m:t>
        </m:r>
        <m:r>
          <m:t>A</m:t>
        </m:r>
        <m:d>
          <m:dPr>
            <m:begChr m:val="("/>
            <m:endChr m:val=")"/>
            <m:sepChr m:val=""/>
            <m:grow/>
          </m:dPr>
          <m:e>
            <m:r>
              <m:t>m</m:t>
            </m:r>
          </m:e>
        </m:d>
        <m:r>
          <m:rPr>
            <m:sty m:val="p"/>
          </m:rPr>
          <m:t>=</m:t>
        </m:r>
        <m:r>
          <m:rPr>
            <m:sty m:val="p"/>
          </m:rPr>
          <m:t>ln</m:t>
        </m:r>
        <m:acc>
          <m:accPr>
            <m:chr m:val="‾"/>
          </m:accPr>
          <m:e>
            <m:r>
              <m:t>A</m:t>
            </m:r>
          </m:e>
        </m:acc>
        <m:r>
          <m:rPr>
            <m:sty m:val="p"/>
          </m:rPr>
          <m:t>−</m:t>
        </m:r>
        <m:f>
          <m:fPr>
            <m:type m:val="lin"/>
          </m:fPr>
          <m:num>
            <m:r>
              <m:t>1</m:t>
            </m:r>
          </m:num>
          <m:den>
            <m:r>
              <m:t>2</m:t>
            </m:r>
          </m:den>
        </m:f>
        <m:d>
          <m:dPr>
            <m:begChr m:val="("/>
            <m:endChr m:val=")"/>
            <m:sepChr m:val=""/>
            <m:grow/>
          </m:dPr>
          <m:e>
            <m:r>
              <m:t>σ</m:t>
            </m:r>
            <m:r>
              <m:rPr>
                <m:sty m:val="p"/>
              </m:rPr>
              <m:t>−</m:t>
            </m:r>
            <m:r>
              <m:t>1</m:t>
            </m:r>
          </m:e>
        </m:d>
        <m:d>
          <m:dPr>
            <m:begChr m:val="("/>
            <m:endChr m:val=")"/>
            <m:sepChr m:val=""/>
            <m:grow/>
          </m:dPr>
          <m:e>
            <m:r>
              <m:t>1</m:t>
            </m:r>
            <m:r>
              <m:rPr>
                <m:sty m:val="p"/>
              </m:rPr>
              <m:t>−</m:t>
            </m:r>
            <m:r>
              <m:t>m</m:t>
            </m:r>
          </m:e>
        </m:d>
        <m:sSubSup>
          <m:e>
            <m:r>
              <m:t>σ</m:t>
            </m:r>
          </m:e>
          <m:sub>
            <m:r>
              <m:t>F</m:t>
            </m:r>
            <m:r>
              <m:t>0</m:t>
            </m:r>
          </m:sub>
          <m:sup>
            <m:r>
              <m:t>2</m:t>
            </m:r>
          </m:sup>
        </m:sSubSup>
        <m:r>
          <m:rPr>
            <m:sty m:val="p"/>
          </m:rPr>
          <m:t>−</m:t>
        </m:r>
        <m:r>
          <m:t>Φ</m:t>
        </m:r>
        <m:d>
          <m:dPr>
            <m:begChr m:val="("/>
            <m:endChr m:val=")"/>
            <m:sepChr m:val=""/>
            <m:grow/>
          </m:dPr>
          <m:e>
            <m:r>
              <m:t>σ</m:t>
            </m:r>
          </m:e>
        </m:d>
        <m:d>
          <m:dPr>
            <m:begChr m:val="("/>
            <m:endChr m:val=")"/>
            <m:sepChr m:val=""/>
            <m:grow/>
          </m:dPr>
          <m:e>
            <m:r>
              <m:t>1</m:t>
            </m:r>
            <m:r>
              <m:rPr>
                <m:sty m:val="p"/>
              </m:rPr>
              <m:t>−</m:t>
            </m:r>
            <m:r>
              <m:t>m</m:t>
            </m:r>
          </m:e>
        </m:d>
        <m:sSubSup>
          <m:e>
            <m:r>
              <m:t>σ</m:t>
            </m:r>
          </m:e>
          <m:sub>
            <m:r>
              <m:t>G</m:t>
            </m:r>
            <m:r>
              <m:t>0</m:t>
            </m:r>
          </m:sub>
          <m:sup>
            <m:r>
              <m:t>2</m:t>
            </m:r>
          </m:sup>
        </m:sSubSup>
      </m:oMath>
      <w:r>
        <w:rPr>
          <w:rFonts w:ascii="宋体" w:hAnsi="宋体" w:eastAsia="宋体"/>
          <w:sz w:val="24"/>
        </w:rPr>
        <w:t xml:space="preserve">。统一大市场建设的边际红利为式(4-11)。将其对初始分割程度 </w:t>
      </w:r>
      <m:oMath>
        <m:sSubSup>
          <m:e>
            <m:r>
              <m:t>σ</m:t>
            </m:r>
          </m:e>
          <m:sub>
            <m:r>
              <m:t>0</m:t>
            </m:r>
          </m:sub>
          <m:sup>
            <m:r>
              <m:t>2</m:t>
            </m:r>
          </m:sup>
        </m:sSubSup>
      </m:oMath>
      <w:r>
        <w:rPr>
          <w:rFonts w:ascii="宋体" w:hAnsi="宋体" w:eastAsia="宋体"/>
          <w:sz w:val="24"/>
        </w:rPr>
        <w:t xml:space="preserve">（令 </w:t>
      </w:r>
      <m:oMath>
        <m:sSubSup>
          <m:e>
            <m:r>
              <m:t>σ</m:t>
            </m:r>
          </m:e>
          <m:sub>
            <m:r>
              <m:t>F</m:t>
            </m:r>
            <m:r>
              <m:t>0</m:t>
            </m:r>
          </m:sub>
          <m:sup>
            <m:r>
              <m:t>2</m:t>
            </m:r>
          </m:sup>
        </m:sSubSup>
        <m:r>
          <m:rPr>
            <m:sty m:val="p"/>
          </m:rPr>
          <m:t>=</m:t>
        </m:r>
        <m:sSubSup>
          <m:e>
            <m:r>
              <m:t>σ</m:t>
            </m:r>
          </m:e>
          <m:sub>
            <m:r>
              <m:t>G</m:t>
            </m:r>
            <m:r>
              <m:t>0</m:t>
            </m:r>
          </m:sub>
          <m:sup>
            <m:r>
              <m:t>2</m:t>
            </m:r>
          </m:sup>
        </m:sSubSup>
        <m:r>
          <m:rPr>
            <m:sty m:val="p"/>
          </m:rPr>
          <m:t>=</m:t>
        </m:r>
        <m:sSubSup>
          <m:e>
            <m:r>
              <m:t>σ</m:t>
            </m:r>
          </m:e>
          <m:sub>
            <m:r>
              <m:t>0</m:t>
            </m:r>
          </m:sub>
          <m:sup>
            <m:r>
              <m:t>2</m:t>
            </m:r>
          </m:sup>
        </m:sSubSup>
      </m:oMath>
      <w:r>
        <w:rPr>
          <w:rFonts w:ascii="宋体" w:hAnsi="宋体" w:eastAsia="宋体"/>
          <w:sz w:val="24"/>
        </w:rPr>
        <w:t>）求偏导：</w:t>
      </w:r>
    </w:p>
    <w:p>
      <w:pPr>
        <w:tabs>
          <w:tab w:pos="4252" w:val="center"/>
          <w:tab w:pos="8504" w:val="right"/>
        </w:tabs>
        <w:spacing w:line="360" w:lineRule="auto" w:before="80" w:after="80"/>
      </w:pPr>
      <w:r>
        <w:tab/>
      </w:r>
      <m:oMath>
        <m:f>
          <m:fPr>
            <m:type m:val="bar"/>
          </m:fPr>
          <m:num>
            <m:sSup>
              <m:e>
                <m:r>
                  <m:rPr>
                    <m:sty m:val="p"/>
                  </m:rPr>
                  <m:t>∂</m:t>
                </m:r>
              </m:e>
              <m:sup>
                <m:r>
                  <m:t>2</m:t>
                </m:r>
              </m:sup>
            </m:sSup>
            <m:r>
              <m:rPr>
                <m:sty m:val="p"/>
              </m:rPr>
              <m:t>ln</m:t>
            </m:r>
            <m:r>
              <m:t>A</m:t>
            </m:r>
          </m:num>
          <m:den>
            <m:r>
              <m:rPr>
                <m:sty m:val="p"/>
              </m:rPr>
              <m:t>∂</m:t>
            </m:r>
            <m:r>
              <m:t>m</m:t>
            </m:r>
            <m:r>
              <m:t> </m:t>
            </m:r>
            <m:r>
              <m:rPr>
                <m:sty m:val="p"/>
              </m:rPr>
              <m:t>∂</m:t>
            </m:r>
            <m:sSubSup>
              <m:e>
                <m:r>
                  <m:t>σ</m:t>
                </m:r>
              </m:e>
              <m:sub>
                <m:r>
                  <m:t>0</m:t>
                </m:r>
              </m:sub>
              <m:sup>
                <m:r>
                  <m:t>2</m:t>
                </m:r>
              </m:sup>
            </m:sSubSup>
          </m:den>
        </m:f>
        <m:r>
          <m:rPr>
            <m:sty m:val="p"/>
          </m:rPr>
          <m:t>=</m:t>
        </m:r>
        <m:f>
          <m:fPr>
            <m:type m:val="bar"/>
          </m:fPr>
          <m:num>
            <m:r>
              <m:t>1</m:t>
            </m:r>
          </m:num>
          <m:den>
            <m:r>
              <m:t>2</m:t>
            </m:r>
          </m:den>
        </m:f>
        <m:d>
          <m:dPr>
            <m:begChr m:val="("/>
            <m:endChr m:val=")"/>
            <m:sepChr m:val=""/>
            <m:grow/>
          </m:dPr>
          <m:e>
            <m:r>
              <m:t>σ</m:t>
            </m:r>
            <m:r>
              <m:rPr>
                <m:sty m:val="p"/>
              </m:rPr>
              <m:t>−</m:t>
            </m:r>
            <m:r>
              <m:t>1</m:t>
            </m:r>
          </m:e>
        </m:d>
        <m:r>
          <m:rPr>
            <m:sty m:val="p"/>
          </m:rPr>
          <m:t>+</m:t>
        </m:r>
        <m:r>
          <m:t>Φ</m:t>
        </m:r>
        <m:d>
          <m:dPr>
            <m:begChr m:val="("/>
            <m:endChr m:val=")"/>
            <m:sepChr m:val=""/>
            <m:grow/>
          </m:dPr>
          <m:e>
            <m:r>
              <m:t>σ</m:t>
            </m:r>
          </m:e>
        </m:d>
        <m:r>
          <m:rPr>
            <m:sty m:val="p"/>
          </m:rPr>
          <m:t>&gt;</m:t>
        </m:r>
        <m:r>
          <m:t>0</m:t>
        </m:r>
      </m:oMath>
      <w:r>
        <w:tab/>
      </w:r>
      <w:r>
        <w:rPr>
          <w:rFonts w:ascii="Times New Roman" w:hAnsi="Times New Roman" w:eastAsia="宋体"/>
          <w:sz w:val="24"/>
        </w:rPr>
        <w:t>(A-7)</w:t>
      </w:r>
    </w:p>
    <w:p>
      <w:pPr>
        <w:spacing w:line="360" w:lineRule="auto" w:after="0"/>
        <w:ind w:firstLineChars="200" w:firstLine="480"/>
        <w:jc w:val="both"/>
      </w:pPr>
      <w:r>
        <w:rPr>
          <w:rFonts w:ascii="宋体" w:hAnsi="宋体" w:eastAsia="宋体"/>
          <w:sz w:val="24"/>
        </w:rPr>
        <w:t>该二阶交叉偏导严格为正，表明统一大市场建设的边际配置效率红利随地区初始市场分割程度递增：初始分割越严重、错配越突出的地区，推进统一大市场建设所能获得的效率改进越大。证毕。这一结论为第8章异质性分析（高分割组、中西部地区效应更强）与第9章双重差分（以初始分割为处理强度）提供了理论预期。</w:t>
      </w:r>
    </w:p>
    <w:p>
      <w:pPr>
        <w:keepNext/>
        <w:spacing w:before="160" w:after="120" w:line="360" w:lineRule="auto"/>
      </w:pPr>
      <w:r>
        <w:rPr>
          <w:rFonts w:ascii="黑体" w:hAnsi="黑体" w:eastAsia="黑体"/>
          <w:sz w:val="28"/>
        </w:rPr>
        <w:t>附录B  变量定义与数据来源</w:t>
      </w:r>
    </w:p>
    <w:p>
      <w:pPr>
        <w:spacing w:line="360" w:lineRule="auto" w:after="0"/>
        <w:ind w:firstLineChars="200" w:firstLine="480"/>
        <w:jc w:val="both"/>
      </w:pPr>
      <w:r>
        <w:rPr>
          <w:rFonts w:ascii="宋体" w:hAnsi="宋体" w:eastAsia="宋体"/>
          <w:sz w:val="24"/>
        </w:rPr>
        <w:t>表B.1报告了本书实证部分主要变量的定义、类型与数据来源。所有连续变量在回归中根据需要取对数或标准化处理；被解释变量要素配置效率与核心解释变量统一大市场指数的构造分别见第6章与第5章。</w:t>
      </w:r>
    </w:p>
    <w:p>
      <w:pPr>
        <w:keepNext/>
        <w:spacing w:before="160" w:after="40"/>
        <w:jc w:val="center"/>
      </w:pPr>
      <w:r>
        <w:rPr>
          <w:rFonts w:ascii="黑体" w:hAnsi="黑体" w:eastAsia="黑体"/>
          <w:sz w:val="21"/>
        </w:rPr>
        <w:t>表B.1  主要变量定义与数据来源</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126"/>
        <w:gridCol w:w="2126"/>
        <w:gridCol w:w="2126"/>
        <w:gridCol w:w="2126"/>
      </w:tblGrid>
      <w:tr>
        <w:tc>
          <w:tcPr>
            <w:tcW w:type="dxa" w:w="2126"/>
            <w:vAlign w:val="center"/>
            <w:tcBorders>
              <w:bottom w:val="single" w:sz="6" w:color="000000"/>
            </w:tcBorders>
          </w:tcPr>
          <w:p>
            <w:pPr>
              <w:spacing w:line="240" w:lineRule="auto" w:after="20" w:before="20"/>
              <w:jc w:val="center"/>
            </w:pPr>
            <w:r/>
            <w:r>
              <w:rPr>
                <w:rFonts w:ascii="宋体" w:hAnsi="宋体" w:eastAsia="宋体"/>
                <w:b/>
                <w:sz w:val="21"/>
              </w:rPr>
              <w:t>变量</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类型</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定义与测度</w:t>
            </w:r>
          </w:p>
        </w:tc>
        <w:tc>
          <w:tcPr>
            <w:tcW w:type="dxa" w:w="2126"/>
            <w:vAlign w:val="center"/>
            <w:tcBorders>
              <w:bottom w:val="single" w:sz="6" w:color="000000"/>
            </w:tcBorders>
          </w:tcPr>
          <w:p>
            <w:pPr>
              <w:spacing w:line="240" w:lineRule="auto" w:after="20" w:before="20"/>
              <w:jc w:val="center"/>
            </w:pPr>
            <w:r/>
            <w:r>
              <w:rPr>
                <w:rFonts w:ascii="宋体" w:hAnsi="宋体" w:eastAsia="宋体"/>
                <w:b/>
                <w:sz w:val="21"/>
              </w:rPr>
              <w:t>数据来源</w:t>
            </w:r>
          </w:p>
        </w:tc>
      </w:tr>
      <w:tr>
        <w:tc>
          <w:tcPr>
            <w:tcW w:type="dxa" w:w="2126"/>
            <w:vAlign w:val="center"/>
          </w:tcPr>
          <w:p>
            <w:pPr>
              <w:spacing w:line="240" w:lineRule="auto" w:after="20" w:before="20"/>
              <w:jc w:val="left"/>
            </w:pPr>
            <w:r/>
            <w:r>
              <w:rPr>
                <w:rFonts w:ascii="宋体" w:hAnsi="宋体" w:eastAsia="宋体"/>
                <w:sz w:val="21"/>
              </w:rPr>
              <w:t>要素配置效率 ACE</w:t>
            </w:r>
          </w:p>
        </w:tc>
        <w:tc>
          <w:tcPr>
            <w:tcW w:type="dxa" w:w="2126"/>
            <w:vAlign w:val="center"/>
          </w:tcPr>
          <w:p>
            <w:pPr>
              <w:spacing w:line="240" w:lineRule="auto" w:after="20" w:before="20"/>
              <w:jc w:val="center"/>
            </w:pPr>
            <w:r/>
            <w:r>
              <w:rPr>
                <w:rFonts w:ascii="宋体" w:hAnsi="宋体" w:eastAsia="宋体"/>
                <w:sz w:val="21"/>
              </w:rPr>
              <w:t>被解释变量</w:t>
            </w:r>
          </w:p>
        </w:tc>
        <w:tc>
          <w:tcPr>
            <w:tcW w:type="dxa" w:w="2126"/>
            <w:vAlign w:val="center"/>
          </w:tcPr>
          <w:p>
            <w:pPr>
              <w:spacing w:line="240" w:lineRule="auto" w:after="20" w:before="20"/>
              <w:jc w:val="left"/>
            </w:pPr>
            <w:r/>
            <w:r>
              <w:rPr>
                <w:rFonts w:ascii="宋体" w:hAnsi="宋体" w:eastAsia="宋体"/>
                <w:sz w:val="21"/>
              </w:rPr>
              <w:t>1减去标准化的地区要素错配指数，取值[0,1]</w:t>
            </w:r>
          </w:p>
        </w:tc>
        <w:tc>
          <w:tcPr>
            <w:tcW w:type="dxa" w:w="2126"/>
            <w:vAlign w:val="center"/>
          </w:tcPr>
          <w:p>
            <w:pPr>
              <w:spacing w:line="240" w:lineRule="auto" w:after="20" w:before="20"/>
              <w:jc w:val="left"/>
            </w:pPr>
            <w:r/>
            <w:r>
              <w:rPr>
                <w:rFonts w:ascii="宋体" w:hAnsi="宋体" w:eastAsia="宋体"/>
                <w:sz w:val="21"/>
              </w:rPr>
              <w:t>作者测算</w:t>
            </w:r>
          </w:p>
        </w:tc>
      </w:tr>
      <w:tr>
        <w:tc>
          <w:tcPr>
            <w:tcW w:type="dxa" w:w="2126"/>
            <w:vAlign w:val="center"/>
          </w:tcPr>
          <w:p>
            <w:pPr>
              <w:spacing w:line="240" w:lineRule="auto" w:after="20" w:before="20"/>
              <w:jc w:val="left"/>
            </w:pPr>
            <w:r/>
            <w:r>
              <w:rPr>
                <w:rFonts w:ascii="宋体" w:hAnsi="宋体" w:eastAsia="宋体"/>
                <w:sz w:val="21"/>
              </w:rPr>
              <w:t>统一大市场指数 NUMI</w:t>
            </w:r>
          </w:p>
        </w:tc>
        <w:tc>
          <w:tcPr>
            <w:tcW w:type="dxa" w:w="2126"/>
            <w:vAlign w:val="center"/>
          </w:tcPr>
          <w:p>
            <w:pPr>
              <w:spacing w:line="240" w:lineRule="auto" w:after="20" w:before="20"/>
              <w:jc w:val="center"/>
            </w:pPr>
            <w:r/>
            <w:r>
              <w:rPr>
                <w:rFonts w:ascii="宋体" w:hAnsi="宋体" w:eastAsia="宋体"/>
                <w:sz w:val="21"/>
              </w:rPr>
              <w:t>核心解释变量</w:t>
            </w:r>
          </w:p>
        </w:tc>
        <w:tc>
          <w:tcPr>
            <w:tcW w:type="dxa" w:w="2126"/>
            <w:vAlign w:val="center"/>
          </w:tcPr>
          <w:p>
            <w:pPr>
              <w:spacing w:line="240" w:lineRule="auto" w:after="20" w:before="20"/>
              <w:jc w:val="left"/>
            </w:pPr>
            <w:r/>
            <w:r>
              <w:rPr>
                <w:rFonts w:ascii="宋体" w:hAnsi="宋体" w:eastAsia="宋体"/>
                <w:sz w:val="21"/>
              </w:rPr>
              <w:t>商品、劳动力、资本、土地、技术数据、制度环境六维合成</w:t>
            </w:r>
          </w:p>
        </w:tc>
        <w:tc>
          <w:tcPr>
            <w:tcW w:type="dxa" w:w="2126"/>
            <w:vAlign w:val="center"/>
          </w:tcPr>
          <w:p>
            <w:pPr>
              <w:spacing w:line="240" w:lineRule="auto" w:after="20" w:before="20"/>
              <w:jc w:val="left"/>
            </w:pPr>
            <w:r/>
            <w:r>
              <w:rPr>
                <w:rFonts w:ascii="宋体" w:hAnsi="宋体" w:eastAsia="宋体"/>
                <w:sz w:val="21"/>
              </w:rPr>
              <w:t>作者测算</w:t>
            </w:r>
          </w:p>
        </w:tc>
      </w:tr>
      <w:tr>
        <w:tc>
          <w:tcPr>
            <w:tcW w:type="dxa" w:w="2126"/>
            <w:vAlign w:val="center"/>
          </w:tcPr>
          <w:p>
            <w:pPr>
              <w:spacing w:line="240" w:lineRule="auto" w:after="20" w:before="20"/>
              <w:jc w:val="left"/>
            </w:pPr>
            <w:r/>
            <w:r>
              <w:rPr>
                <w:rFonts w:ascii="宋体" w:hAnsi="宋体" w:eastAsia="宋体"/>
                <w:sz w:val="21"/>
              </w:rPr>
              <w:t>市场分割指数 seg</w:t>
            </w:r>
          </w:p>
        </w:tc>
        <w:tc>
          <w:tcPr>
            <w:tcW w:type="dxa" w:w="2126"/>
            <w:vAlign w:val="center"/>
          </w:tcPr>
          <w:p>
            <w:pPr>
              <w:spacing w:line="240" w:lineRule="auto" w:after="20" w:before="20"/>
              <w:jc w:val="center"/>
            </w:pPr>
            <w:r/>
            <w:r>
              <w:rPr>
                <w:rFonts w:ascii="宋体" w:hAnsi="宋体" w:eastAsia="宋体"/>
                <w:sz w:val="21"/>
              </w:rPr>
              <w:t>辅助变量</w:t>
            </w:r>
          </w:p>
        </w:tc>
        <w:tc>
          <w:tcPr>
            <w:tcW w:type="dxa" w:w="2126"/>
            <w:vAlign w:val="center"/>
          </w:tcPr>
          <w:p>
            <w:pPr>
              <w:spacing w:line="240" w:lineRule="auto" w:after="20" w:before="20"/>
              <w:jc w:val="left"/>
            </w:pPr>
            <w:r/>
            <w:r>
              <w:rPr>
                <w:rFonts w:ascii="宋体" w:hAnsi="宋体" w:eastAsia="宋体"/>
                <w:sz w:val="21"/>
              </w:rPr>
              <w:t>相对价格法（冰山成本）测度</w:t>
            </w:r>
          </w:p>
        </w:tc>
        <w:tc>
          <w:tcPr>
            <w:tcW w:type="dxa" w:w="2126"/>
            <w:vAlign w:val="center"/>
          </w:tcPr>
          <w:p>
            <w:pPr>
              <w:spacing w:line="240" w:lineRule="auto" w:after="20" w:before="20"/>
              <w:jc w:val="left"/>
            </w:pPr>
            <w:r/>
            <w:r>
              <w:rPr>
                <w:rFonts w:ascii="宋体" w:hAnsi="宋体" w:eastAsia="宋体"/>
                <w:sz w:val="21"/>
              </w:rPr>
              <w:t>桂琦寒等(2006)方法</w:t>
            </w:r>
          </w:p>
        </w:tc>
      </w:tr>
      <w:tr>
        <w:tc>
          <w:tcPr>
            <w:tcW w:type="dxa" w:w="2126"/>
            <w:vAlign w:val="center"/>
          </w:tcPr>
          <w:p>
            <w:pPr>
              <w:spacing w:line="240" w:lineRule="auto" w:after="20" w:before="20"/>
              <w:jc w:val="left"/>
            </w:pPr>
            <w:r/>
            <w:r>
              <w:rPr>
                <w:rFonts w:ascii="宋体" w:hAnsi="宋体" w:eastAsia="宋体"/>
                <w:sz w:val="21"/>
              </w:rPr>
              <w:t>资本错配 miscap</w:t>
            </w:r>
          </w:p>
        </w:tc>
        <w:tc>
          <w:tcPr>
            <w:tcW w:type="dxa" w:w="2126"/>
            <w:vAlign w:val="center"/>
          </w:tcPr>
          <w:p>
            <w:pPr>
              <w:spacing w:line="240" w:lineRule="auto" w:after="20" w:before="20"/>
              <w:jc w:val="center"/>
            </w:pPr>
            <w:r/>
            <w:r>
              <w:rPr>
                <w:rFonts w:ascii="宋体" w:hAnsi="宋体" w:eastAsia="宋体"/>
                <w:sz w:val="21"/>
              </w:rPr>
              <w:t>机制变量</w:t>
            </w:r>
          </w:p>
        </w:tc>
        <w:tc>
          <w:tcPr>
            <w:tcW w:type="dxa" w:w="2126"/>
            <w:vAlign w:val="center"/>
          </w:tcPr>
          <w:p>
            <w:pPr>
              <w:spacing w:line="240" w:lineRule="auto" w:after="20" w:before="20"/>
              <w:jc w:val="left"/>
            </w:pPr>
            <w:r/>
            <w:r>
              <w:rPr>
                <w:rFonts w:ascii="宋体" w:hAnsi="宋体" w:eastAsia="宋体"/>
                <w:sz w:val="21"/>
              </w:rPr>
              <w:t>资本边际收益产品对数离散度</w:t>
            </w:r>
          </w:p>
        </w:tc>
        <w:tc>
          <w:tcPr>
            <w:tcW w:type="dxa" w:w="2126"/>
            <w:vAlign w:val="center"/>
          </w:tcPr>
          <w:p>
            <w:pPr>
              <w:spacing w:line="240" w:lineRule="auto" w:after="20" w:before="20"/>
              <w:jc w:val="left"/>
            </w:pPr>
            <w:r/>
            <w:r>
              <w:rPr>
                <w:rFonts w:ascii="宋体" w:hAnsi="宋体" w:eastAsia="宋体"/>
                <w:sz w:val="21"/>
              </w:rPr>
              <w:t>作者测算</w:t>
            </w:r>
          </w:p>
        </w:tc>
      </w:tr>
      <w:tr>
        <w:tc>
          <w:tcPr>
            <w:tcW w:type="dxa" w:w="2126"/>
            <w:vAlign w:val="center"/>
          </w:tcPr>
          <w:p>
            <w:pPr>
              <w:spacing w:line="240" w:lineRule="auto" w:after="20" w:before="20"/>
              <w:jc w:val="left"/>
            </w:pPr>
            <w:r/>
            <w:r>
              <w:rPr>
                <w:rFonts w:ascii="宋体" w:hAnsi="宋体" w:eastAsia="宋体"/>
                <w:sz w:val="21"/>
              </w:rPr>
              <w:t>劳动力错配 mislab</w:t>
            </w:r>
          </w:p>
        </w:tc>
        <w:tc>
          <w:tcPr>
            <w:tcW w:type="dxa" w:w="2126"/>
            <w:vAlign w:val="center"/>
          </w:tcPr>
          <w:p>
            <w:pPr>
              <w:spacing w:line="240" w:lineRule="auto" w:after="20" w:before="20"/>
              <w:jc w:val="center"/>
            </w:pPr>
            <w:r/>
            <w:r>
              <w:rPr>
                <w:rFonts w:ascii="宋体" w:hAnsi="宋体" w:eastAsia="宋体"/>
                <w:sz w:val="21"/>
              </w:rPr>
              <w:t>机制变量</w:t>
            </w:r>
          </w:p>
        </w:tc>
        <w:tc>
          <w:tcPr>
            <w:tcW w:type="dxa" w:w="2126"/>
            <w:vAlign w:val="center"/>
          </w:tcPr>
          <w:p>
            <w:pPr>
              <w:spacing w:line="240" w:lineRule="auto" w:after="20" w:before="20"/>
              <w:jc w:val="left"/>
            </w:pPr>
            <w:r/>
            <w:r>
              <w:rPr>
                <w:rFonts w:ascii="宋体" w:hAnsi="宋体" w:eastAsia="宋体"/>
                <w:sz w:val="21"/>
              </w:rPr>
              <w:t>劳动边际收益产品对数离散度</w:t>
            </w:r>
          </w:p>
        </w:tc>
        <w:tc>
          <w:tcPr>
            <w:tcW w:type="dxa" w:w="2126"/>
            <w:vAlign w:val="center"/>
          </w:tcPr>
          <w:p>
            <w:pPr>
              <w:spacing w:line="240" w:lineRule="auto" w:after="20" w:before="20"/>
              <w:jc w:val="left"/>
            </w:pPr>
            <w:r/>
            <w:r>
              <w:rPr>
                <w:rFonts w:ascii="宋体" w:hAnsi="宋体" w:eastAsia="宋体"/>
                <w:sz w:val="21"/>
              </w:rPr>
              <w:t>作者测算</w:t>
            </w:r>
          </w:p>
        </w:tc>
      </w:tr>
      <w:tr>
        <w:tc>
          <w:tcPr>
            <w:tcW w:type="dxa" w:w="2126"/>
            <w:vAlign w:val="center"/>
          </w:tcPr>
          <w:p>
            <w:pPr>
              <w:spacing w:line="240" w:lineRule="auto" w:after="20" w:before="20"/>
              <w:jc w:val="left"/>
            </w:pPr>
            <w:r/>
            <w:r>
              <w:rPr>
                <w:rFonts w:ascii="宋体" w:hAnsi="宋体" w:eastAsia="宋体"/>
                <w:sz w:val="21"/>
              </w:rPr>
              <w:t>全要素生产率 tfp</w:t>
            </w:r>
          </w:p>
        </w:tc>
        <w:tc>
          <w:tcPr>
            <w:tcW w:type="dxa" w:w="2126"/>
            <w:vAlign w:val="center"/>
          </w:tcPr>
          <w:p>
            <w:pPr>
              <w:spacing w:line="240" w:lineRule="auto" w:after="20" w:before="20"/>
              <w:jc w:val="center"/>
            </w:pPr>
            <w:r/>
            <w:r>
              <w:rPr>
                <w:rFonts w:ascii="宋体" w:hAnsi="宋体" w:eastAsia="宋体"/>
                <w:sz w:val="21"/>
              </w:rPr>
              <w:t>结果变量</w:t>
            </w:r>
          </w:p>
        </w:tc>
        <w:tc>
          <w:tcPr>
            <w:tcW w:type="dxa" w:w="2126"/>
            <w:vAlign w:val="center"/>
          </w:tcPr>
          <w:p>
            <w:pPr>
              <w:spacing w:line="240" w:lineRule="auto" w:after="20" w:before="20"/>
              <w:jc w:val="left"/>
            </w:pPr>
            <w:r/>
            <w:r>
              <w:rPr>
                <w:rFonts w:ascii="宋体" w:hAnsi="宋体" w:eastAsia="宋体"/>
                <w:sz w:val="21"/>
              </w:rPr>
              <w:t>OP/LP法测算并加总至地区层面</w:t>
            </w:r>
          </w:p>
        </w:tc>
        <w:tc>
          <w:tcPr>
            <w:tcW w:type="dxa" w:w="2126"/>
            <w:vAlign w:val="center"/>
          </w:tcPr>
          <w:p>
            <w:pPr>
              <w:spacing w:line="240" w:lineRule="auto" w:after="20" w:before="20"/>
              <w:jc w:val="left"/>
            </w:pPr>
            <w:r/>
            <w:r>
              <w:rPr>
                <w:rFonts w:ascii="宋体" w:hAnsi="宋体" w:eastAsia="宋体"/>
                <w:sz w:val="21"/>
              </w:rPr>
              <w:t>作者测算</w:t>
            </w:r>
          </w:p>
        </w:tc>
      </w:tr>
      <w:tr>
        <w:tc>
          <w:tcPr>
            <w:tcW w:type="dxa" w:w="2126"/>
            <w:vAlign w:val="center"/>
          </w:tcPr>
          <w:p>
            <w:pPr>
              <w:spacing w:line="240" w:lineRule="auto" w:after="20" w:before="20"/>
              <w:jc w:val="left"/>
            </w:pPr>
            <w:r/>
            <w:r>
              <w:rPr>
                <w:rFonts w:ascii="宋体" w:hAnsi="宋体" w:eastAsia="宋体"/>
                <w:sz w:val="21"/>
              </w:rPr>
              <w:t>人均GDP对数 lnpgdp</w:t>
            </w:r>
          </w:p>
        </w:tc>
        <w:tc>
          <w:tcPr>
            <w:tcW w:type="dxa" w:w="2126"/>
            <w:vAlign w:val="center"/>
          </w:tcPr>
          <w:p>
            <w:pPr>
              <w:spacing w:line="240" w:lineRule="auto" w:after="20" w:before="20"/>
              <w:jc w:val="center"/>
            </w:pPr>
            <w:r/>
            <w:r>
              <w:rPr>
                <w:rFonts w:ascii="宋体" w:hAnsi="宋体" w:eastAsia="宋体"/>
                <w:sz w:val="21"/>
              </w:rPr>
              <w:t>控制变量</w:t>
            </w:r>
          </w:p>
        </w:tc>
        <w:tc>
          <w:tcPr>
            <w:tcW w:type="dxa" w:w="2126"/>
            <w:vAlign w:val="center"/>
          </w:tcPr>
          <w:p>
            <w:pPr>
              <w:spacing w:line="240" w:lineRule="auto" w:after="20" w:before="20"/>
              <w:jc w:val="left"/>
            </w:pPr>
            <w:r/>
            <w:r>
              <w:rPr>
                <w:rFonts w:ascii="宋体" w:hAnsi="宋体" w:eastAsia="宋体"/>
                <w:sz w:val="21"/>
              </w:rPr>
              <w:t>地区生产总值/常住人口，取对数</w:t>
            </w:r>
          </w:p>
        </w:tc>
        <w:tc>
          <w:tcPr>
            <w:tcW w:type="dxa" w:w="2126"/>
            <w:vAlign w:val="center"/>
          </w:tcPr>
          <w:p>
            <w:pPr>
              <w:spacing w:line="240" w:lineRule="auto" w:after="20" w:before="20"/>
              <w:jc w:val="left"/>
            </w:pPr>
            <w:r/>
            <w:r>
              <w:rPr>
                <w:rFonts w:ascii="宋体" w:hAnsi="宋体" w:eastAsia="宋体"/>
                <w:sz w:val="21"/>
              </w:rPr>
              <w:t>中国统计年鉴</w:t>
            </w:r>
          </w:p>
        </w:tc>
      </w:tr>
      <w:tr>
        <w:tc>
          <w:tcPr>
            <w:tcW w:type="dxa" w:w="2126"/>
            <w:vAlign w:val="center"/>
          </w:tcPr>
          <w:p>
            <w:pPr>
              <w:spacing w:line="240" w:lineRule="auto" w:after="20" w:before="20"/>
              <w:jc w:val="left"/>
            </w:pPr>
            <w:r/>
            <w:r>
              <w:rPr>
                <w:rFonts w:ascii="宋体" w:hAnsi="宋体" w:eastAsia="宋体"/>
                <w:sz w:val="21"/>
              </w:rPr>
              <w:t>城镇化率 urban</w:t>
            </w:r>
          </w:p>
        </w:tc>
        <w:tc>
          <w:tcPr>
            <w:tcW w:type="dxa" w:w="2126"/>
            <w:vAlign w:val="center"/>
          </w:tcPr>
          <w:p>
            <w:pPr>
              <w:spacing w:line="240" w:lineRule="auto" w:after="20" w:before="20"/>
              <w:jc w:val="center"/>
            </w:pPr>
            <w:r/>
            <w:r>
              <w:rPr>
                <w:rFonts w:ascii="宋体" w:hAnsi="宋体" w:eastAsia="宋体"/>
                <w:sz w:val="21"/>
              </w:rPr>
              <w:t>控制变量</w:t>
            </w:r>
          </w:p>
        </w:tc>
        <w:tc>
          <w:tcPr>
            <w:tcW w:type="dxa" w:w="2126"/>
            <w:vAlign w:val="center"/>
          </w:tcPr>
          <w:p>
            <w:pPr>
              <w:spacing w:line="240" w:lineRule="auto" w:after="20" w:before="20"/>
              <w:jc w:val="left"/>
            </w:pPr>
            <w:r/>
            <w:r>
              <w:rPr>
                <w:rFonts w:ascii="宋体" w:hAnsi="宋体" w:eastAsia="宋体"/>
                <w:sz w:val="21"/>
              </w:rPr>
              <w:t>城镇常住人口/常住人口</w:t>
            </w:r>
          </w:p>
        </w:tc>
        <w:tc>
          <w:tcPr>
            <w:tcW w:type="dxa" w:w="2126"/>
            <w:vAlign w:val="center"/>
          </w:tcPr>
          <w:p>
            <w:pPr>
              <w:spacing w:line="240" w:lineRule="auto" w:after="20" w:before="20"/>
              <w:jc w:val="left"/>
            </w:pPr>
            <w:r/>
            <w:r>
              <w:rPr>
                <w:rFonts w:ascii="宋体" w:hAnsi="宋体" w:eastAsia="宋体"/>
                <w:sz w:val="21"/>
              </w:rPr>
              <w:t>中国统计年鉴</w:t>
            </w:r>
          </w:p>
        </w:tc>
      </w:tr>
      <w:tr>
        <w:tc>
          <w:tcPr>
            <w:tcW w:type="dxa" w:w="2126"/>
            <w:vAlign w:val="center"/>
          </w:tcPr>
          <w:p>
            <w:pPr>
              <w:spacing w:line="240" w:lineRule="auto" w:after="20" w:before="20"/>
              <w:jc w:val="left"/>
            </w:pPr>
            <w:r/>
            <w:r>
              <w:rPr>
                <w:rFonts w:ascii="宋体" w:hAnsi="宋体" w:eastAsia="宋体"/>
                <w:sz w:val="21"/>
              </w:rPr>
              <w:t>产业结构 indstr</w:t>
            </w:r>
          </w:p>
        </w:tc>
        <w:tc>
          <w:tcPr>
            <w:tcW w:type="dxa" w:w="2126"/>
            <w:vAlign w:val="center"/>
          </w:tcPr>
          <w:p>
            <w:pPr>
              <w:spacing w:line="240" w:lineRule="auto" w:after="20" w:before="20"/>
              <w:jc w:val="center"/>
            </w:pPr>
            <w:r/>
            <w:r>
              <w:rPr>
                <w:rFonts w:ascii="宋体" w:hAnsi="宋体" w:eastAsia="宋体"/>
                <w:sz w:val="21"/>
              </w:rPr>
              <w:t>控制变量</w:t>
            </w:r>
          </w:p>
        </w:tc>
        <w:tc>
          <w:tcPr>
            <w:tcW w:type="dxa" w:w="2126"/>
            <w:vAlign w:val="center"/>
          </w:tcPr>
          <w:p>
            <w:pPr>
              <w:spacing w:line="240" w:lineRule="auto" w:after="20" w:before="20"/>
              <w:jc w:val="left"/>
            </w:pPr>
            <w:r/>
            <w:r>
              <w:rPr>
                <w:rFonts w:ascii="宋体" w:hAnsi="宋体" w:eastAsia="宋体"/>
                <w:sz w:val="21"/>
              </w:rPr>
              <w:t>第二产业增加值/地区生产总值</w:t>
            </w:r>
          </w:p>
        </w:tc>
        <w:tc>
          <w:tcPr>
            <w:tcW w:type="dxa" w:w="2126"/>
            <w:vAlign w:val="center"/>
          </w:tcPr>
          <w:p>
            <w:pPr>
              <w:spacing w:line="240" w:lineRule="auto" w:after="20" w:before="20"/>
              <w:jc w:val="left"/>
            </w:pPr>
            <w:r/>
            <w:r>
              <w:rPr>
                <w:rFonts w:ascii="宋体" w:hAnsi="宋体" w:eastAsia="宋体"/>
                <w:sz w:val="21"/>
              </w:rPr>
              <w:t>中国统计年鉴</w:t>
            </w:r>
          </w:p>
        </w:tc>
      </w:tr>
      <w:tr>
        <w:tc>
          <w:tcPr>
            <w:tcW w:type="dxa" w:w="2126"/>
            <w:vAlign w:val="center"/>
          </w:tcPr>
          <w:p>
            <w:pPr>
              <w:spacing w:line="240" w:lineRule="auto" w:after="20" w:before="20"/>
              <w:jc w:val="left"/>
            </w:pPr>
            <w:r/>
            <w:r>
              <w:rPr>
                <w:rFonts w:ascii="宋体" w:hAnsi="宋体" w:eastAsia="宋体"/>
                <w:sz w:val="21"/>
              </w:rPr>
              <w:t>数字经济 digital</w:t>
            </w:r>
          </w:p>
        </w:tc>
        <w:tc>
          <w:tcPr>
            <w:tcW w:type="dxa" w:w="2126"/>
            <w:vAlign w:val="center"/>
          </w:tcPr>
          <w:p>
            <w:pPr>
              <w:spacing w:line="240" w:lineRule="auto" w:after="20" w:before="20"/>
              <w:jc w:val="center"/>
            </w:pPr>
            <w:r/>
            <w:r>
              <w:rPr>
                <w:rFonts w:ascii="宋体" w:hAnsi="宋体" w:eastAsia="宋体"/>
                <w:sz w:val="21"/>
              </w:rPr>
              <w:t>控制变量</w:t>
            </w:r>
          </w:p>
        </w:tc>
        <w:tc>
          <w:tcPr>
            <w:tcW w:type="dxa" w:w="2126"/>
            <w:vAlign w:val="center"/>
          </w:tcPr>
          <w:p>
            <w:pPr>
              <w:spacing w:line="240" w:lineRule="auto" w:after="20" w:before="20"/>
              <w:jc w:val="left"/>
            </w:pPr>
            <w:r/>
            <w:r>
              <w:rPr>
                <w:rFonts w:ascii="宋体" w:hAnsi="宋体" w:eastAsia="宋体"/>
                <w:sz w:val="21"/>
              </w:rPr>
              <w:t>数字经济增加值/地区生产总值</w:t>
            </w:r>
          </w:p>
        </w:tc>
        <w:tc>
          <w:tcPr>
            <w:tcW w:type="dxa" w:w="2126"/>
            <w:vAlign w:val="center"/>
          </w:tcPr>
          <w:p>
            <w:pPr>
              <w:spacing w:line="240" w:lineRule="auto" w:after="20" w:before="20"/>
              <w:jc w:val="left"/>
            </w:pPr>
            <w:r/>
            <w:r>
              <w:rPr>
                <w:rFonts w:ascii="宋体" w:hAnsi="宋体" w:eastAsia="宋体"/>
                <w:sz w:val="21"/>
              </w:rPr>
              <w:t>中国信息通信研究院</w:t>
            </w:r>
          </w:p>
        </w:tc>
      </w:tr>
      <w:tr>
        <w:tc>
          <w:tcPr>
            <w:tcW w:type="dxa" w:w="2126"/>
            <w:vAlign w:val="center"/>
          </w:tcPr>
          <w:p>
            <w:pPr>
              <w:spacing w:line="240" w:lineRule="auto" w:after="20" w:before="20"/>
              <w:jc w:val="left"/>
            </w:pPr>
            <w:r/>
            <w:r>
              <w:rPr>
                <w:rFonts w:ascii="宋体" w:hAnsi="宋体" w:eastAsia="宋体"/>
                <w:sz w:val="21"/>
              </w:rPr>
              <w:t>交通密度 transport</w:t>
            </w:r>
          </w:p>
        </w:tc>
        <w:tc>
          <w:tcPr>
            <w:tcW w:type="dxa" w:w="2126"/>
            <w:vAlign w:val="center"/>
          </w:tcPr>
          <w:p>
            <w:pPr>
              <w:spacing w:line="240" w:lineRule="auto" w:after="20" w:before="20"/>
              <w:jc w:val="center"/>
            </w:pPr>
            <w:r/>
            <w:r>
              <w:rPr>
                <w:rFonts w:ascii="宋体" w:hAnsi="宋体" w:eastAsia="宋体"/>
                <w:sz w:val="21"/>
              </w:rPr>
              <w:t>控制变量</w:t>
            </w:r>
          </w:p>
        </w:tc>
        <w:tc>
          <w:tcPr>
            <w:tcW w:type="dxa" w:w="2126"/>
            <w:vAlign w:val="center"/>
          </w:tcPr>
          <w:p>
            <w:pPr>
              <w:spacing w:line="240" w:lineRule="auto" w:after="20" w:before="20"/>
              <w:jc w:val="left"/>
            </w:pPr>
            <w:r/>
            <w:r>
              <w:rPr>
                <w:rFonts w:ascii="宋体" w:hAnsi="宋体" w:eastAsia="宋体"/>
                <w:sz w:val="21"/>
              </w:rPr>
              <w:t>公路铁路里程/地区面积（标准化）</w:t>
            </w:r>
          </w:p>
        </w:tc>
        <w:tc>
          <w:tcPr>
            <w:tcW w:type="dxa" w:w="2126"/>
            <w:vAlign w:val="center"/>
          </w:tcPr>
          <w:p>
            <w:pPr>
              <w:spacing w:line="240" w:lineRule="auto" w:after="20" w:before="20"/>
              <w:jc w:val="left"/>
            </w:pPr>
            <w:r/>
            <w:r>
              <w:rPr>
                <w:rFonts w:ascii="宋体" w:hAnsi="宋体" w:eastAsia="宋体"/>
                <w:sz w:val="21"/>
              </w:rPr>
              <w:t>中国统计年鉴</w:t>
            </w:r>
          </w:p>
        </w:tc>
      </w:tr>
      <w:tr>
        <w:tc>
          <w:tcPr>
            <w:tcW w:type="dxa" w:w="2126"/>
            <w:vAlign w:val="center"/>
          </w:tcPr>
          <w:p>
            <w:pPr>
              <w:spacing w:line="240" w:lineRule="auto" w:after="20" w:before="20"/>
              <w:jc w:val="left"/>
            </w:pPr>
            <w:r/>
            <w:r>
              <w:rPr>
                <w:rFonts w:ascii="宋体" w:hAnsi="宋体" w:eastAsia="宋体"/>
                <w:sz w:val="21"/>
              </w:rPr>
              <w:t>财政分权 fiscaldec</w:t>
            </w:r>
          </w:p>
        </w:tc>
        <w:tc>
          <w:tcPr>
            <w:tcW w:type="dxa" w:w="2126"/>
            <w:vAlign w:val="center"/>
          </w:tcPr>
          <w:p>
            <w:pPr>
              <w:spacing w:line="240" w:lineRule="auto" w:after="20" w:before="20"/>
              <w:jc w:val="center"/>
            </w:pPr>
            <w:r/>
            <w:r>
              <w:rPr>
                <w:rFonts w:ascii="宋体" w:hAnsi="宋体" w:eastAsia="宋体"/>
                <w:sz w:val="21"/>
              </w:rPr>
              <w:t>控制变量</w:t>
            </w:r>
          </w:p>
        </w:tc>
        <w:tc>
          <w:tcPr>
            <w:tcW w:type="dxa" w:w="2126"/>
            <w:vAlign w:val="center"/>
          </w:tcPr>
          <w:p>
            <w:pPr>
              <w:spacing w:line="240" w:lineRule="auto" w:after="20" w:before="20"/>
              <w:jc w:val="left"/>
            </w:pPr>
            <w:r/>
            <w:r>
              <w:rPr>
                <w:rFonts w:ascii="宋体" w:hAnsi="宋体" w:eastAsia="宋体"/>
                <w:sz w:val="21"/>
              </w:rPr>
              <w:t>地方本级财政支出/（地方+中央）</w:t>
            </w:r>
          </w:p>
        </w:tc>
        <w:tc>
          <w:tcPr>
            <w:tcW w:type="dxa" w:w="2126"/>
            <w:vAlign w:val="center"/>
          </w:tcPr>
          <w:p>
            <w:pPr>
              <w:spacing w:line="240" w:lineRule="auto" w:after="20" w:before="20"/>
              <w:jc w:val="left"/>
            </w:pPr>
            <w:r/>
            <w:r>
              <w:rPr>
                <w:rFonts w:ascii="宋体" w:hAnsi="宋体" w:eastAsia="宋体"/>
                <w:sz w:val="21"/>
              </w:rPr>
              <w:t>中国财政年鉴</w:t>
            </w:r>
          </w:p>
        </w:tc>
      </w:tr>
      <w:tr>
        <w:tc>
          <w:tcPr>
            <w:tcW w:type="dxa" w:w="2126"/>
            <w:vAlign w:val="center"/>
          </w:tcPr>
          <w:p>
            <w:pPr>
              <w:spacing w:line="240" w:lineRule="auto" w:after="20" w:before="20"/>
              <w:jc w:val="left"/>
            </w:pPr>
            <w:r/>
            <w:r>
              <w:rPr>
                <w:rFonts w:ascii="宋体" w:hAnsi="宋体" w:eastAsia="宋体"/>
                <w:sz w:val="21"/>
              </w:rPr>
              <w:t>对外开放 openness</w:t>
            </w:r>
          </w:p>
        </w:tc>
        <w:tc>
          <w:tcPr>
            <w:tcW w:type="dxa" w:w="2126"/>
            <w:vAlign w:val="center"/>
          </w:tcPr>
          <w:p>
            <w:pPr>
              <w:spacing w:line="240" w:lineRule="auto" w:after="20" w:before="20"/>
              <w:jc w:val="center"/>
            </w:pPr>
            <w:r/>
            <w:r>
              <w:rPr>
                <w:rFonts w:ascii="宋体" w:hAnsi="宋体" w:eastAsia="宋体"/>
                <w:sz w:val="21"/>
              </w:rPr>
              <w:t>控制变量</w:t>
            </w:r>
          </w:p>
        </w:tc>
        <w:tc>
          <w:tcPr>
            <w:tcW w:type="dxa" w:w="2126"/>
            <w:vAlign w:val="center"/>
          </w:tcPr>
          <w:p>
            <w:pPr>
              <w:spacing w:line="240" w:lineRule="auto" w:after="20" w:before="20"/>
              <w:jc w:val="left"/>
            </w:pPr>
            <w:r/>
            <w:r>
              <w:rPr>
                <w:rFonts w:ascii="宋体" w:hAnsi="宋体" w:eastAsia="宋体"/>
                <w:sz w:val="21"/>
              </w:rPr>
              <w:t>进出口总额/地区生产总值</w:t>
            </w:r>
          </w:p>
        </w:tc>
        <w:tc>
          <w:tcPr>
            <w:tcW w:type="dxa" w:w="2126"/>
            <w:vAlign w:val="center"/>
          </w:tcPr>
          <w:p>
            <w:pPr>
              <w:spacing w:line="240" w:lineRule="auto" w:after="20" w:before="20"/>
              <w:jc w:val="left"/>
            </w:pPr>
            <w:r/>
            <w:r>
              <w:rPr>
                <w:rFonts w:ascii="宋体" w:hAnsi="宋体" w:eastAsia="宋体"/>
                <w:sz w:val="21"/>
              </w:rPr>
              <w:t>中国统计年鉴</w:t>
            </w:r>
          </w:p>
        </w:tc>
      </w:tr>
      <w:tr>
        <w:tc>
          <w:tcPr>
            <w:tcW w:type="dxa" w:w="2126"/>
            <w:vAlign w:val="center"/>
          </w:tcPr>
          <w:p>
            <w:pPr>
              <w:spacing w:line="240" w:lineRule="auto" w:after="20" w:before="20"/>
              <w:jc w:val="left"/>
            </w:pPr>
            <w:r/>
            <w:r>
              <w:rPr>
                <w:rFonts w:ascii="宋体" w:hAnsi="宋体" w:eastAsia="宋体"/>
                <w:sz w:val="21"/>
              </w:rPr>
              <w:t>人力资本 humancap</w:t>
            </w:r>
          </w:p>
        </w:tc>
        <w:tc>
          <w:tcPr>
            <w:tcW w:type="dxa" w:w="2126"/>
            <w:vAlign w:val="center"/>
          </w:tcPr>
          <w:p>
            <w:pPr>
              <w:spacing w:line="240" w:lineRule="auto" w:after="20" w:before="20"/>
              <w:jc w:val="center"/>
            </w:pPr>
            <w:r/>
            <w:r>
              <w:rPr>
                <w:rFonts w:ascii="宋体" w:hAnsi="宋体" w:eastAsia="宋体"/>
                <w:sz w:val="21"/>
              </w:rPr>
              <w:t>控制变量</w:t>
            </w:r>
          </w:p>
        </w:tc>
        <w:tc>
          <w:tcPr>
            <w:tcW w:type="dxa" w:w="2126"/>
            <w:vAlign w:val="center"/>
          </w:tcPr>
          <w:p>
            <w:pPr>
              <w:spacing w:line="240" w:lineRule="auto" w:after="20" w:before="20"/>
              <w:jc w:val="left"/>
            </w:pPr>
            <w:r/>
            <w:r>
              <w:rPr>
                <w:rFonts w:ascii="宋体" w:hAnsi="宋体" w:eastAsia="宋体"/>
                <w:sz w:val="21"/>
              </w:rPr>
              <w:t>平均受教育年限（标准化）</w:t>
            </w:r>
          </w:p>
        </w:tc>
        <w:tc>
          <w:tcPr>
            <w:tcW w:type="dxa" w:w="2126"/>
            <w:vAlign w:val="center"/>
          </w:tcPr>
          <w:p>
            <w:pPr>
              <w:spacing w:line="240" w:lineRule="auto" w:after="20" w:before="20"/>
              <w:jc w:val="left"/>
            </w:pPr>
            <w:r/>
            <w:r>
              <w:rPr>
                <w:rFonts w:ascii="宋体" w:hAnsi="宋体" w:eastAsia="宋体"/>
                <w:sz w:val="21"/>
              </w:rPr>
              <w:t>中国人口和就业统计年鉴</w:t>
            </w:r>
          </w:p>
        </w:tc>
      </w:tr>
    </w:tbl>
    <w:p>
      <w:pPr>
        <w:spacing w:after="200" w:line="240" w:lineRule="auto"/>
      </w:pPr>
      <w:r>
        <w:rPr>
          <w:rFonts w:ascii="宋体" w:hAnsi="宋体" w:eastAsia="宋体"/>
          <w:sz w:val="18"/>
        </w:rPr>
        <w:t>注：省级面板样本为31个省级行政区2006—2023年，共558个观测。部分指标经标准化处理。</w:t>
      </w:r>
    </w:p>
    <w:p>
      <w:pPr>
        <w:keepNext/>
        <w:spacing w:before="160" w:after="120" w:line="360" w:lineRule="auto"/>
      </w:pPr>
      <w:r>
        <w:rPr>
          <w:rFonts w:ascii="黑体" w:hAnsi="黑体" w:eastAsia="黑体"/>
          <w:sz w:val="28"/>
        </w:rPr>
        <w:t>附录C  NUMI 指标体系的维度权重</w:t>
      </w:r>
    </w:p>
    <w:p>
      <w:pPr>
        <w:spacing w:line="360" w:lineRule="auto" w:after="0"/>
        <w:ind w:firstLineChars="200" w:firstLine="480"/>
        <w:jc w:val="both"/>
      </w:pPr>
      <w:r>
        <w:rPr>
          <w:rFonts w:ascii="宋体" w:hAnsi="宋体" w:eastAsia="宋体"/>
          <w:sz w:val="24"/>
        </w:rPr>
        <w:t>表C.1报告了全国统一大市场建设指数（NUMI）六个维度的合成权重（基于熵权法测算的近似值）及其主要二级指标。权重反映各维度信息含量的相对大小。稳健性检验表明，改用等权法合成的 NUMI 与熵权法结果相关系数在0.95以上，主要结论不受赋权方法影响。</w:t>
      </w:r>
    </w:p>
    <w:p>
      <w:pPr>
        <w:keepNext/>
        <w:spacing w:before="160" w:after="40"/>
        <w:jc w:val="center"/>
      </w:pPr>
      <w:r>
        <w:rPr>
          <w:rFonts w:ascii="黑体" w:hAnsi="黑体" w:eastAsia="黑体"/>
          <w:sz w:val="21"/>
        </w:rPr>
        <w:t>表C.1  NUMI 六维度合成权重</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none"/>
        </w:tblBorders>
      </w:tblPr>
      <w:tblGrid>
        <w:gridCol w:w="2835"/>
        <w:gridCol w:w="2835"/>
        <w:gridCol w:w="2835"/>
      </w:tblGrid>
      <w:tr>
        <w:tc>
          <w:tcPr>
            <w:tcW w:type="dxa" w:w="2835"/>
            <w:vAlign w:val="center"/>
            <w:tcBorders>
              <w:bottom w:val="single" w:sz="6" w:color="000000"/>
            </w:tcBorders>
          </w:tcPr>
          <w:p>
            <w:pPr>
              <w:spacing w:line="240" w:lineRule="auto" w:after="20" w:before="20"/>
              <w:jc w:val="center"/>
            </w:pPr>
            <w:r/>
            <w:r>
              <w:rPr>
                <w:rFonts w:ascii="宋体" w:hAnsi="宋体" w:eastAsia="宋体"/>
                <w:b/>
                <w:sz w:val="21"/>
              </w:rPr>
              <w:t>维度</w:t>
            </w:r>
          </w:p>
        </w:tc>
        <w:tc>
          <w:tcPr>
            <w:tcW w:type="dxa" w:w="2835"/>
            <w:vAlign w:val="center"/>
            <w:tcBorders>
              <w:bottom w:val="single" w:sz="6" w:color="000000"/>
            </w:tcBorders>
          </w:tcPr>
          <w:p>
            <w:pPr>
              <w:spacing w:line="240" w:lineRule="auto" w:after="20" w:before="20"/>
              <w:jc w:val="center"/>
            </w:pPr>
            <w:r/>
            <w:r>
              <w:rPr>
                <w:rFonts w:ascii="宋体" w:hAnsi="宋体" w:eastAsia="宋体"/>
                <w:b/>
                <w:sz w:val="21"/>
              </w:rPr>
              <w:t>权重</w:t>
            </w:r>
          </w:p>
        </w:tc>
        <w:tc>
          <w:tcPr>
            <w:tcW w:type="dxa" w:w="2835"/>
            <w:vAlign w:val="center"/>
            <w:tcBorders>
              <w:bottom w:val="single" w:sz="6" w:color="000000"/>
            </w:tcBorders>
          </w:tcPr>
          <w:p>
            <w:pPr>
              <w:spacing w:line="240" w:lineRule="auto" w:after="20" w:before="20"/>
              <w:jc w:val="center"/>
            </w:pPr>
            <w:r/>
            <w:r>
              <w:rPr>
                <w:rFonts w:ascii="宋体" w:hAnsi="宋体" w:eastAsia="宋体"/>
                <w:b/>
                <w:sz w:val="21"/>
              </w:rPr>
              <w:t>主要二级指标</w:t>
            </w:r>
          </w:p>
        </w:tc>
      </w:tr>
      <w:tr>
        <w:tc>
          <w:tcPr>
            <w:tcW w:type="dxa" w:w="2835"/>
            <w:vAlign w:val="center"/>
          </w:tcPr>
          <w:p>
            <w:pPr>
              <w:spacing w:line="240" w:lineRule="auto" w:after="20" w:before="20"/>
              <w:jc w:val="left"/>
            </w:pPr>
            <w:r/>
            <w:r>
              <w:rPr>
                <w:rFonts w:ascii="宋体" w:hAnsi="宋体" w:eastAsia="宋体"/>
                <w:sz w:val="21"/>
              </w:rPr>
              <w:t>商品市场一体化</w:t>
            </w:r>
          </w:p>
        </w:tc>
        <w:tc>
          <w:tcPr>
            <w:tcW w:type="dxa" w:w="2835"/>
            <w:vAlign w:val="center"/>
          </w:tcPr>
          <w:p>
            <w:pPr>
              <w:spacing w:line="240" w:lineRule="auto" w:after="20" w:before="20"/>
              <w:jc w:val="center"/>
            </w:pPr>
            <w:r/>
            <w:r>
              <w:rPr>
                <w:rFonts w:ascii="宋体" w:hAnsi="宋体" w:eastAsia="宋体"/>
                <w:sz w:val="21"/>
              </w:rPr>
              <w:t>0.20</w:t>
            </w:r>
          </w:p>
        </w:tc>
        <w:tc>
          <w:tcPr>
            <w:tcW w:type="dxa" w:w="2835"/>
            <w:vAlign w:val="center"/>
          </w:tcPr>
          <w:p>
            <w:pPr>
              <w:spacing w:line="240" w:lineRule="auto" w:after="20" w:before="20"/>
              <w:jc w:val="left"/>
            </w:pPr>
            <w:r/>
            <w:r>
              <w:rPr>
                <w:rFonts w:ascii="宋体" w:hAnsi="宋体" w:eastAsia="宋体"/>
                <w:sz w:val="21"/>
              </w:rPr>
              <w:t>相对价格法分割指数(逆向)、省际贸易强度</w:t>
            </w:r>
          </w:p>
        </w:tc>
      </w:tr>
      <w:tr>
        <w:tc>
          <w:tcPr>
            <w:tcW w:type="dxa" w:w="2835"/>
            <w:vAlign w:val="center"/>
          </w:tcPr>
          <w:p>
            <w:pPr>
              <w:spacing w:line="240" w:lineRule="auto" w:after="20" w:before="20"/>
              <w:jc w:val="left"/>
            </w:pPr>
            <w:r/>
            <w:r>
              <w:rPr>
                <w:rFonts w:ascii="宋体" w:hAnsi="宋体" w:eastAsia="宋体"/>
                <w:sz w:val="21"/>
              </w:rPr>
              <w:t>劳动力市场一体化</w:t>
            </w:r>
          </w:p>
        </w:tc>
        <w:tc>
          <w:tcPr>
            <w:tcW w:type="dxa" w:w="2835"/>
            <w:vAlign w:val="center"/>
          </w:tcPr>
          <w:p>
            <w:pPr>
              <w:spacing w:line="240" w:lineRule="auto" w:after="20" w:before="20"/>
              <w:jc w:val="center"/>
            </w:pPr>
            <w:r/>
            <w:r>
              <w:rPr>
                <w:rFonts w:ascii="宋体" w:hAnsi="宋体" w:eastAsia="宋体"/>
                <w:sz w:val="21"/>
              </w:rPr>
              <w:t>0.18</w:t>
            </w:r>
          </w:p>
        </w:tc>
        <w:tc>
          <w:tcPr>
            <w:tcW w:type="dxa" w:w="2835"/>
            <w:vAlign w:val="center"/>
          </w:tcPr>
          <w:p>
            <w:pPr>
              <w:spacing w:line="240" w:lineRule="auto" w:after="20" w:before="20"/>
              <w:jc w:val="left"/>
            </w:pPr>
            <w:r/>
            <w:r>
              <w:rPr>
                <w:rFonts w:ascii="宋体" w:hAnsi="宋体" w:eastAsia="宋体"/>
                <w:sz w:val="21"/>
              </w:rPr>
              <w:t>跨省流动人口占比、工资收敛、户籍开放度</w:t>
            </w:r>
          </w:p>
        </w:tc>
      </w:tr>
      <w:tr>
        <w:tc>
          <w:tcPr>
            <w:tcW w:type="dxa" w:w="2835"/>
            <w:vAlign w:val="center"/>
          </w:tcPr>
          <w:p>
            <w:pPr>
              <w:spacing w:line="240" w:lineRule="auto" w:after="20" w:before="20"/>
              <w:jc w:val="left"/>
            </w:pPr>
            <w:r/>
            <w:r>
              <w:rPr>
                <w:rFonts w:ascii="宋体" w:hAnsi="宋体" w:eastAsia="宋体"/>
                <w:sz w:val="21"/>
              </w:rPr>
              <w:t>资本市场一体化</w:t>
            </w:r>
          </w:p>
        </w:tc>
        <w:tc>
          <w:tcPr>
            <w:tcW w:type="dxa" w:w="2835"/>
            <w:vAlign w:val="center"/>
          </w:tcPr>
          <w:p>
            <w:pPr>
              <w:spacing w:line="240" w:lineRule="auto" w:after="20" w:before="20"/>
              <w:jc w:val="center"/>
            </w:pPr>
            <w:r/>
            <w:r>
              <w:rPr>
                <w:rFonts w:ascii="宋体" w:hAnsi="宋体" w:eastAsia="宋体"/>
                <w:sz w:val="21"/>
              </w:rPr>
              <w:t>0.18</w:t>
            </w:r>
          </w:p>
        </w:tc>
        <w:tc>
          <w:tcPr>
            <w:tcW w:type="dxa" w:w="2835"/>
            <w:vAlign w:val="center"/>
          </w:tcPr>
          <w:p>
            <w:pPr>
              <w:spacing w:line="240" w:lineRule="auto" w:after="20" w:before="20"/>
              <w:jc w:val="left"/>
            </w:pPr>
            <w:r/>
            <w:r>
              <w:rPr>
                <w:rFonts w:ascii="宋体" w:hAnsi="宋体" w:eastAsia="宋体"/>
                <w:sz w:val="21"/>
              </w:rPr>
              <w:t>信贷可得性收敛、资本回报离散度(逆向)</w:t>
            </w:r>
          </w:p>
        </w:tc>
      </w:tr>
      <w:tr>
        <w:tc>
          <w:tcPr>
            <w:tcW w:type="dxa" w:w="2835"/>
            <w:vAlign w:val="center"/>
          </w:tcPr>
          <w:p>
            <w:pPr>
              <w:spacing w:line="240" w:lineRule="auto" w:after="20" w:before="20"/>
              <w:jc w:val="left"/>
            </w:pPr>
            <w:r/>
            <w:r>
              <w:rPr>
                <w:rFonts w:ascii="宋体" w:hAnsi="宋体" w:eastAsia="宋体"/>
                <w:sz w:val="21"/>
              </w:rPr>
              <w:t>土地市场一体化</w:t>
            </w:r>
          </w:p>
        </w:tc>
        <w:tc>
          <w:tcPr>
            <w:tcW w:type="dxa" w:w="2835"/>
            <w:vAlign w:val="center"/>
          </w:tcPr>
          <w:p>
            <w:pPr>
              <w:spacing w:line="240" w:lineRule="auto" w:after="20" w:before="20"/>
              <w:jc w:val="center"/>
            </w:pPr>
            <w:r/>
            <w:r>
              <w:rPr>
                <w:rFonts w:ascii="宋体" w:hAnsi="宋体" w:eastAsia="宋体"/>
                <w:sz w:val="21"/>
              </w:rPr>
              <w:t>0.14</w:t>
            </w:r>
          </w:p>
        </w:tc>
        <w:tc>
          <w:tcPr>
            <w:tcW w:type="dxa" w:w="2835"/>
            <w:vAlign w:val="center"/>
          </w:tcPr>
          <w:p>
            <w:pPr>
              <w:spacing w:line="240" w:lineRule="auto" w:after="20" w:before="20"/>
              <w:jc w:val="left"/>
            </w:pPr>
            <w:r/>
            <w:r>
              <w:rPr>
                <w:rFonts w:ascii="宋体" w:hAnsi="宋体" w:eastAsia="宋体"/>
                <w:sz w:val="21"/>
              </w:rPr>
              <w:t>建设用地市场化率、地价收敛度</w:t>
            </w:r>
          </w:p>
        </w:tc>
      </w:tr>
      <w:tr>
        <w:tc>
          <w:tcPr>
            <w:tcW w:type="dxa" w:w="2835"/>
            <w:vAlign w:val="center"/>
          </w:tcPr>
          <w:p>
            <w:pPr>
              <w:spacing w:line="240" w:lineRule="auto" w:after="20" w:before="20"/>
              <w:jc w:val="left"/>
            </w:pPr>
            <w:r/>
            <w:r>
              <w:rPr>
                <w:rFonts w:ascii="宋体" w:hAnsi="宋体" w:eastAsia="宋体"/>
                <w:sz w:val="21"/>
              </w:rPr>
              <w:t>技术与数据市场一体化</w:t>
            </w:r>
          </w:p>
        </w:tc>
        <w:tc>
          <w:tcPr>
            <w:tcW w:type="dxa" w:w="2835"/>
            <w:vAlign w:val="center"/>
          </w:tcPr>
          <w:p>
            <w:pPr>
              <w:spacing w:line="240" w:lineRule="auto" w:after="20" w:before="20"/>
              <w:jc w:val="center"/>
            </w:pPr>
            <w:r/>
            <w:r>
              <w:rPr>
                <w:rFonts w:ascii="宋体" w:hAnsi="宋体" w:eastAsia="宋体"/>
                <w:sz w:val="21"/>
              </w:rPr>
              <w:t>0.15</w:t>
            </w:r>
          </w:p>
        </w:tc>
        <w:tc>
          <w:tcPr>
            <w:tcW w:type="dxa" w:w="2835"/>
            <w:vAlign w:val="center"/>
          </w:tcPr>
          <w:p>
            <w:pPr>
              <w:spacing w:line="240" w:lineRule="auto" w:after="20" w:before="20"/>
              <w:jc w:val="left"/>
            </w:pPr>
            <w:r/>
            <w:r>
              <w:rPr>
                <w:rFonts w:ascii="宋体" w:hAnsi="宋体" w:eastAsia="宋体"/>
                <w:sz w:val="21"/>
              </w:rPr>
              <w:t>技术合同跨省成交、数据平台接入、专利转移</w:t>
            </w:r>
          </w:p>
        </w:tc>
      </w:tr>
      <w:tr>
        <w:tc>
          <w:tcPr>
            <w:tcW w:type="dxa" w:w="2835"/>
            <w:vAlign w:val="center"/>
          </w:tcPr>
          <w:p>
            <w:pPr>
              <w:spacing w:line="240" w:lineRule="auto" w:after="20" w:before="20"/>
              <w:jc w:val="left"/>
            </w:pPr>
            <w:r/>
            <w:r>
              <w:rPr>
                <w:rFonts w:ascii="宋体" w:hAnsi="宋体" w:eastAsia="宋体"/>
                <w:sz w:val="21"/>
              </w:rPr>
              <w:t>市场制度环境一体化</w:t>
            </w:r>
          </w:p>
        </w:tc>
        <w:tc>
          <w:tcPr>
            <w:tcW w:type="dxa" w:w="2835"/>
            <w:vAlign w:val="center"/>
          </w:tcPr>
          <w:p>
            <w:pPr>
              <w:spacing w:line="240" w:lineRule="auto" w:after="20" w:before="20"/>
              <w:jc w:val="center"/>
            </w:pPr>
            <w:r/>
            <w:r>
              <w:rPr>
                <w:rFonts w:ascii="宋体" w:hAnsi="宋体" w:eastAsia="宋体"/>
                <w:sz w:val="21"/>
              </w:rPr>
              <w:t>0.15</w:t>
            </w:r>
          </w:p>
        </w:tc>
        <w:tc>
          <w:tcPr>
            <w:tcW w:type="dxa" w:w="2835"/>
            <w:vAlign w:val="center"/>
          </w:tcPr>
          <w:p>
            <w:pPr>
              <w:spacing w:line="240" w:lineRule="auto" w:after="20" w:before="20"/>
              <w:jc w:val="left"/>
            </w:pPr>
            <w:r/>
            <w:r>
              <w:rPr>
                <w:rFonts w:ascii="宋体" w:hAnsi="宋体" w:eastAsia="宋体"/>
                <w:sz w:val="21"/>
              </w:rPr>
              <w:t>公平竞争审查、市场监管统一、营商环境</w:t>
            </w:r>
          </w:p>
        </w:tc>
      </w:tr>
    </w:tbl>
    <w:p>
      <w:pPr>
        <w:spacing w:after="200" w:line="240" w:lineRule="auto"/>
      </w:pPr>
      <w:r>
        <w:rPr>
          <w:rFonts w:ascii="宋体" w:hAnsi="宋体" w:eastAsia="宋体"/>
          <w:sz w:val="18"/>
        </w:rPr>
        <w:t>注：权重为熵权法测算的近似值，各维度内二级指标另按熵权法赋权。</w:t>
      </w:r>
    </w:p>
    <w:p>
      <w:pPr>
        <w:keepNext/>
        <w:spacing w:before="160" w:after="120" w:line="360" w:lineRule="auto"/>
      </w:pPr>
      <w:r>
        <w:rPr>
          <w:rFonts w:ascii="黑体" w:hAnsi="黑体" w:eastAsia="黑体"/>
          <w:sz w:val="28"/>
        </w:rPr>
        <w:t>附录D  补充稳健性检验</w:t>
      </w:r>
    </w:p>
    <w:p>
      <w:pPr>
        <w:spacing w:line="360" w:lineRule="auto" w:after="0"/>
        <w:ind w:firstLineChars="200" w:firstLine="480"/>
        <w:jc w:val="both"/>
      </w:pPr>
      <w:r>
        <w:rPr>
          <w:rFonts w:ascii="宋体" w:hAnsi="宋体" w:eastAsia="宋体"/>
          <w:sz w:val="24"/>
        </w:rPr>
        <w:t>本附录报告若干补充稳健性检验，以强化第7—9章的因果推断。</w:t>
      </w:r>
      <w:r>
        <w:rPr>
          <w:rFonts w:ascii="宋体" w:hAnsi="宋体" w:eastAsia="宋体"/>
          <w:b/>
          <w:sz w:val="24"/>
        </w:rPr>
        <w:t>其一，替换核心解释变量的测度。</w:t>
      </w:r>
      <w:r>
        <w:rPr>
          <w:rFonts w:ascii="宋体" w:hAnsi="宋体" w:eastAsia="宋体"/>
          <w:sz w:val="24"/>
        </w:rPr>
        <w:t xml:space="preserve"> 以等权法重新合成 NUMI 后重新估计基准模型，核心系数的符号、大小与显著性均保持稳定，表明结论不依赖于特定赋权方法。</w:t>
      </w:r>
      <w:r>
        <w:rPr>
          <w:rFonts w:ascii="宋体" w:hAnsi="宋体" w:eastAsia="宋体"/>
          <w:b/>
          <w:sz w:val="24"/>
        </w:rPr>
        <w:t>其二，替换被解释变量。</w:t>
      </w:r>
      <w:r>
        <w:rPr>
          <w:rFonts w:ascii="宋体" w:hAnsi="宋体" w:eastAsia="宋体"/>
          <w:sz w:val="24"/>
        </w:rPr>
        <w:t xml:space="preserve"> 以"1减去要素错配均值"作为要素配置效率的替代度量，重新估计基准模型，NUMI 系数为0.395（***），与基准结果一致。</w:t>
      </w:r>
    </w:p>
    <w:p>
      <w:pPr>
        <w:spacing w:line="360" w:lineRule="auto" w:after="0"/>
        <w:ind w:firstLineChars="200" w:firstLine="480"/>
        <w:jc w:val="both"/>
      </w:pPr>
      <w:r>
        <w:rPr>
          <w:rFonts w:ascii="宋体" w:hAnsi="宋体" w:eastAsia="宋体"/>
          <w:b/>
          <w:sz w:val="24"/>
        </w:rPr>
        <w:t>其三，缓解反向因果。</w:t>
      </w:r>
      <w:r>
        <w:rPr>
          <w:rFonts w:ascii="宋体" w:hAnsi="宋体" w:eastAsia="宋体"/>
          <w:sz w:val="24"/>
        </w:rPr>
        <w:t xml:space="preserve"> 采用滞后一期的 NUMI 作为解释变量重新估计，其系数为0.765（t=7.28），依然显著为正，表明结论对反向因果的敏感性较低。</w:t>
      </w:r>
      <w:r>
        <w:rPr>
          <w:rFonts w:ascii="宋体" w:hAnsi="宋体" w:eastAsia="宋体"/>
          <w:b/>
          <w:sz w:val="24"/>
        </w:rPr>
        <w:t>其四，剔除特殊样本。</w:t>
      </w:r>
      <w:r>
        <w:rPr>
          <w:rFonts w:ascii="宋体" w:hAnsi="宋体" w:eastAsia="宋体"/>
          <w:sz w:val="24"/>
        </w:rPr>
        <w:t xml:space="preserve"> 考虑到四个直辖市在行政层级、要素市场发育上的特殊性，剔除北京、天津、上海、重庆后重新估计，NUMI 系数为0.758（***），核心结论保持稳健。</w:t>
      </w:r>
    </w:p>
    <w:p>
      <w:pPr>
        <w:spacing w:line="360" w:lineRule="auto" w:after="0"/>
        <w:ind w:firstLineChars="200" w:firstLine="480"/>
        <w:jc w:val="both"/>
      </w:pPr>
      <w:r>
        <w:rPr>
          <w:rFonts w:ascii="宋体" w:hAnsi="宋体" w:eastAsia="宋体"/>
          <w:b/>
          <w:sz w:val="24"/>
        </w:rPr>
        <w:t>其五，工具变量的过度识别与弱工具检验。</w:t>
      </w:r>
      <w:r>
        <w:rPr>
          <w:rFonts w:ascii="宋体" w:hAnsi="宋体" w:eastAsia="宋体"/>
          <w:sz w:val="24"/>
        </w:rPr>
        <w:t xml:space="preserve"> 第9章以地形起伏度与时间趋势的交互作为工具变量，第一阶段 F 统计量约为165.2，远高于经验临界值10，拒绝弱工具变量假设；两阶段最小二乘估计的 NUMI 系数为0.815，与普通最小二乘估计接近，表明内生性偏误有限。</w:t>
      </w:r>
      <w:r>
        <w:rPr>
          <w:rFonts w:ascii="宋体" w:hAnsi="宋体" w:eastAsia="宋体"/>
          <w:b/>
          <w:sz w:val="24"/>
        </w:rPr>
        <w:t>其六，平行趋势与安慰剂检验。</w:t>
      </w:r>
      <w:r>
        <w:rPr>
          <w:rFonts w:ascii="宋体" w:hAnsi="宋体" w:eastAsia="宋体"/>
          <w:sz w:val="24"/>
        </w:rPr>
        <w:t xml:space="preserve"> 第9章事件研究显示，2022年《意见》实施前各年的动态处理效应在统计上不显著异于零，满足平行趋势假设；进一步以随机化处理组进行的安慰剂检验（未在正文报告）显示，真实估计量显著位于安慰剂分布的尾部，排除了结论由偶然因素驱动的可能。</w:t>
      </w:r>
    </w:p>
    <w:p>
      <w:pPr>
        <w:spacing w:line="360" w:lineRule="auto" w:after="0"/>
        <w:ind w:firstLineChars="200" w:firstLine="480"/>
        <w:jc w:val="both"/>
      </w:pPr>
      <w:r>
        <w:rPr>
          <w:rFonts w:ascii="宋体" w:hAnsi="宋体" w:eastAsia="宋体"/>
          <w:sz w:val="24"/>
        </w:rPr>
        <w:t>综合上述六类检验，本书关于"统一大市场建设显著提升要素配置效率"的核心结论，在替换测度、缓解内生性、剔除特殊样本、工具变量识别和安慰剂检验等多重考验下均保持稳健，具有较强的可信度。</w:t>
      </w:r>
    </w:p>
    <w:p>
      <w:pPr>
        <w:keepNext/>
        <w:spacing w:before="160" w:after="120" w:line="360" w:lineRule="auto"/>
      </w:pPr>
      <w:r>
        <w:rPr>
          <w:rFonts w:ascii="黑体" w:hAnsi="黑体" w:eastAsia="黑体"/>
          <w:sz w:val="28"/>
        </w:rPr>
        <w:t>附录E  要素错配核算的数值算例</w:t>
      </w:r>
    </w:p>
    <w:p>
      <w:pPr>
        <w:spacing w:line="360" w:lineRule="auto" w:after="0"/>
        <w:ind w:firstLineChars="200" w:firstLine="480"/>
        <w:jc w:val="both"/>
      </w:pPr>
      <w:r>
        <w:rPr>
          <w:rFonts w:ascii="宋体" w:hAnsi="宋体" w:eastAsia="宋体"/>
          <w:sz w:val="24"/>
        </w:rPr>
        <w:t xml:space="preserve">为帮助读者直观理解要素楔子如何造成配置效率损失，本附录给出一个两地区、单一要素（资本）的简化数值算例。设经济体由地区甲、乙两地区构成，各拥有相同的基础生产率，资本产出弹性 </w:t>
      </w:r>
      <m:oMath>
        <m:r>
          <m:t>α</m:t>
        </m:r>
        <m:r>
          <m:rPr>
            <m:sty m:val="p"/>
          </m:rPr>
          <m:t>=</m:t>
        </m:r>
        <m:r>
          <m:t>1</m:t>
        </m:r>
      </m:oMath>
      <w:r>
        <w:rPr>
          <w:rFonts w:ascii="宋体" w:hAnsi="宋体" w:eastAsia="宋体"/>
          <w:sz w:val="24"/>
        </w:rPr>
        <w:t xml:space="preserve">（即产出与资本成正比，便于计算），产品替代弹性 </w:t>
      </w:r>
      <m:oMath>
        <m:r>
          <m:t>σ</m:t>
        </m:r>
        <m:r>
          <m:rPr>
            <m:sty m:val="p"/>
          </m:rPr>
          <m:t>=</m:t>
        </m:r>
        <m:r>
          <m:t>3</m:t>
        </m:r>
      </m:oMath>
      <w:r>
        <w:rPr>
          <w:rFonts w:ascii="宋体" w:hAnsi="宋体" w:eastAsia="宋体"/>
          <w:sz w:val="24"/>
        </w:rPr>
        <w:t xml:space="preserve">。全社会资本总量为 </w:t>
      </w:r>
      <m:oMath>
        <m:r>
          <m:t>K</m:t>
        </m:r>
        <m:r>
          <m:rPr>
            <m:sty m:val="p"/>
          </m:rPr>
          <m:t>=</m:t>
        </m:r>
        <m:r>
          <m:t>100</m:t>
        </m:r>
      </m:oMath>
      <w:r>
        <w:rPr>
          <w:rFonts w:ascii="宋体" w:hAnsi="宋体" w:eastAsia="宋体"/>
          <w:sz w:val="24"/>
        </w:rPr>
        <w:t>。在无摩擦的一体化市场中，资本应均等配置（各50单位），两地区资本边际收益产品相等，达到有效配置。</w:t>
      </w:r>
    </w:p>
    <w:p>
      <w:pPr>
        <w:spacing w:line="360" w:lineRule="auto" w:after="0"/>
        <w:ind w:firstLineChars="200" w:firstLine="480"/>
        <w:jc w:val="both"/>
      </w:pPr>
      <w:r>
        <w:rPr>
          <w:rFonts w:ascii="宋体" w:hAnsi="宋体" w:eastAsia="宋体"/>
          <w:sz w:val="24"/>
        </w:rPr>
        <w:t xml:space="preserve">现引入要素市场分割：由于地区乙对本地资本外流设置行政壁垒、地区甲对外来资本存在准入歧视，两地区面临不同的资本楔子。假设地区甲的资本楔子为 </w:t>
      </w:r>
      <m:oMath>
        <m:sSubSup>
          <m:e>
            <m:r>
              <m:t>τ</m:t>
            </m:r>
          </m:e>
          <m:sub>
            <m:r>
              <m:t>甲</m:t>
            </m:r>
          </m:sub>
          <m:sup>
            <m:r>
              <m:t>K</m:t>
            </m:r>
          </m:sup>
        </m:sSubSup>
        <m:r>
          <m:rPr>
            <m:sty m:val="p"/>
          </m:rPr>
          <m:t>=</m:t>
        </m:r>
        <m:r>
          <m:t>0.2</m:t>
        </m:r>
      </m:oMath>
      <w:r>
        <w:rPr>
          <w:rFonts w:ascii="宋体" w:hAnsi="宋体" w:eastAsia="宋体"/>
          <w:sz w:val="24"/>
        </w:rPr>
        <w:t xml:space="preserve">、地区乙为 </w:t>
      </w:r>
      <m:oMath>
        <m:sSubSup>
          <m:e>
            <m:r>
              <m:t>τ</m:t>
            </m:r>
          </m:e>
          <m:sub>
            <m:r>
              <m:t>乙</m:t>
            </m:r>
          </m:sub>
          <m:sup>
            <m:r>
              <m:t>K</m:t>
            </m:r>
          </m:sup>
        </m:sSubSup>
        <m:r>
          <m:rPr>
            <m:sty m:val="p"/>
          </m:rPr>
          <m:t>=</m:t>
        </m:r>
        <m:r>
          <m:rPr>
            <m:sty m:val="p"/>
          </m:rPr>
          <m:t>−</m:t>
        </m:r>
        <m:r>
          <m:t>0.2</m:t>
        </m:r>
      </m:oMath>
      <w:r>
        <w:rPr>
          <w:rFonts w:ascii="宋体" w:hAnsi="宋体" w:eastAsia="宋体"/>
          <w:sz w:val="24"/>
        </w:rPr>
        <w:t>（相对而言），则资本将过度流向楔子较低的地区乙、在楔子较高的地区甲配置不足，形成"资本该去甲地却留在乙地"的错配。求解可得均衡配置偏离最优，资本边际收益产品在两地区出现约40%的差异。</w:t>
      </w:r>
    </w:p>
    <w:p>
      <w:pPr>
        <w:spacing w:line="360" w:lineRule="auto" w:after="0"/>
        <w:ind w:firstLineChars="200" w:firstLine="480"/>
        <w:jc w:val="both"/>
      </w:pPr>
      <w:r>
        <w:rPr>
          <w:rFonts w:ascii="宋体" w:hAnsi="宋体" w:eastAsia="宋体"/>
          <w:sz w:val="24"/>
        </w:rPr>
        <w:t xml:space="preserve">按式(A-4)，配置效率损失约为 </w:t>
      </w:r>
      <m:oMath>
        <m:r>
          <m:t>1</m:t>
        </m:r>
        <m:r>
          <m:rPr>
            <m:sty m:val="p"/>
          </m:rPr>
          <m:t>−</m:t>
        </m:r>
        <m:r>
          <m:rPr>
            <m:sty m:val="p"/>
          </m:rPr>
          <m:t>exp</m:t>
        </m:r>
        <m:d>
          <m:dPr>
            <m:begChr m:val="["/>
            <m:endChr m:val="]"/>
            <m:sepChr m:val=""/>
            <m:grow/>
          </m:dPr>
          <m:e>
            <m:r>
              <m:rPr>
                <m:sty m:val="p"/>
              </m:rPr>
              <m:t>−</m:t>
            </m:r>
            <m:f>
              <m:fPr>
                <m:type m:val="lin"/>
              </m:fPr>
              <m:num>
                <m:r>
                  <m:t>1</m:t>
                </m:r>
              </m:num>
              <m:den>
                <m:r>
                  <m:t>2</m:t>
                </m:r>
              </m:den>
            </m:f>
            <m:d>
              <m:dPr>
                <m:begChr m:val="("/>
                <m:endChr m:val=")"/>
                <m:sepChr m:val=""/>
                <m:grow/>
              </m:dPr>
              <m:e>
                <m:r>
                  <m:t>σ</m:t>
                </m:r>
                <m:r>
                  <m:rPr>
                    <m:sty m:val="p"/>
                  </m:rPr>
                  <m:t>−</m:t>
                </m:r>
                <m:r>
                  <m:t>1</m:t>
                </m:r>
              </m:e>
            </m:d>
            <m:r>
              <m:rPr>
                <m:sty m:val="p"/>
              </m:rPr>
              <m:t>V</m:t>
            </m:r>
            <m:r>
              <m:rPr>
                <m:sty m:val="p"/>
              </m:rPr>
              <m:t>a</m:t>
            </m:r>
            <m:r>
              <m:rPr>
                <m:sty m:val="p"/>
              </m:rPr>
              <m:t>r</m:t>
            </m:r>
            <m:d>
              <m:dPr>
                <m:begChr m:val="("/>
                <m:endChr m:val=")"/>
                <m:sepChr m:val=""/>
                <m:grow/>
              </m:dPr>
              <m:e>
                <m:r>
                  <m:rPr>
                    <m:sty m:val="p"/>
                  </m:rPr>
                  <m:t>ln</m:t>
                </m:r>
                <m:sSup>
                  <m:e>
                    <m:r>
                      <m:t>τ</m:t>
                    </m:r>
                  </m:e>
                  <m:sup>
                    <m:r>
                      <m:t>K</m:t>
                    </m:r>
                  </m:sup>
                </m:sSup>
              </m:e>
            </m:d>
          </m:e>
        </m:d>
      </m:oMath>
      <w:r>
        <w:rPr>
          <w:rFonts w:ascii="宋体" w:hAnsi="宋体" w:eastAsia="宋体"/>
          <w:sz w:val="24"/>
        </w:rPr>
        <w:t>。在本算例中，</w:t>
      </w:r>
      <m:oMath>
        <m:r>
          <m:rPr>
            <m:sty m:val="p"/>
          </m:rPr>
          <m:t>ln</m:t>
        </m:r>
        <m:d>
          <m:dPr>
            <m:begChr m:val="("/>
            <m:endChr m:val=")"/>
            <m:sepChr m:val=""/>
            <m:grow/>
          </m:dPr>
          <m:e>
            <m:r>
              <m:t>1</m:t>
            </m:r>
            <m:r>
              <m:rPr>
                <m:sty m:val="p"/>
              </m:rPr>
              <m:t>+</m:t>
            </m:r>
            <m:sSup>
              <m:e>
                <m:r>
                  <m:t>τ</m:t>
                </m:r>
              </m:e>
              <m:sup>
                <m:r>
                  <m:t>K</m:t>
                </m:r>
              </m:sup>
            </m:sSup>
          </m:e>
        </m:d>
      </m:oMath>
      <w:r>
        <w:rPr>
          <w:rFonts w:ascii="宋体" w:hAnsi="宋体" w:eastAsia="宋体"/>
          <w:sz w:val="24"/>
        </w:rPr>
        <w:t xml:space="preserve"> 的方差约为 </w:t>
      </w:r>
      <m:oMath>
        <m:r>
          <m:t>0.04</m:t>
        </m:r>
      </m:oMath>
      <w:r>
        <w:rPr>
          <w:rFonts w:ascii="宋体" w:hAnsi="宋体" w:eastAsia="宋体"/>
          <w:sz w:val="24"/>
        </w:rPr>
        <w:t xml:space="preserve">，代入得效率损失约 </w:t>
      </w:r>
      <m:oMath>
        <m:r>
          <m:t>1</m:t>
        </m:r>
        <m:r>
          <m:rPr>
            <m:sty m:val="p"/>
          </m:rPr>
          <m:t>−</m:t>
        </m:r>
        <m:r>
          <m:rPr>
            <m:sty m:val="p"/>
          </m:rPr>
          <m:t>exp</m:t>
        </m:r>
        <m:d>
          <m:dPr>
            <m:begChr m:val="("/>
            <m:endChr m:val=")"/>
            <m:sepChr m:val=""/>
            <m:grow/>
          </m:dPr>
          <m:e>
            <m:r>
              <m:rPr>
                <m:sty m:val="p"/>
              </m:rPr>
              <m:t>−</m:t>
            </m:r>
            <m:r>
              <m:t>0.04</m:t>
            </m:r>
          </m:e>
        </m:d>
        <m:r>
          <m:rPr>
            <m:sty m:val="p"/>
          </m:rPr>
          <m:t>≈</m:t>
        </m:r>
        <m:r>
          <m:t>3.9</m:t>
        </m:r>
        <m:r>
          <m:rPr>
            <m:sty m:val="p"/>
          </m:rPr>
          <m:t>%</m:t>
        </m:r>
      </m:oMath>
      <w:r>
        <w:rPr>
          <w:rFonts w:ascii="宋体" w:hAnsi="宋体" w:eastAsia="宋体"/>
          <w:sz w:val="24"/>
        </w:rPr>
        <w:t xml:space="preserve">。若楔子差异扩大至 </w:t>
      </w:r>
      <m:oMath>
        <m:r>
          <m:rPr>
            <m:sty m:val="p"/>
          </m:rPr>
          <m:t>±</m:t>
        </m:r>
        <m:r>
          <m:t>0.5</m:t>
        </m:r>
      </m:oMath>
      <w:r>
        <w:rPr>
          <w:rFonts w:ascii="宋体" w:hAnsi="宋体" w:eastAsia="宋体"/>
          <w:sz w:val="24"/>
        </w:rPr>
        <w:t>（</w:t>
      </w:r>
      <m:oMath>
        <m:r>
          <m:rPr>
            <m:sty m:val="p"/>
          </m:rPr>
          <m:t>ln</m:t>
        </m:r>
        <m:d>
          <m:dPr>
            <m:begChr m:val="("/>
            <m:endChr m:val=")"/>
            <m:sepChr m:val=""/>
            <m:grow/>
          </m:dPr>
          <m:e>
            <m:r>
              <m:t>1</m:t>
            </m:r>
            <m:r>
              <m:rPr>
                <m:sty m:val="p"/>
              </m:rPr>
              <m:t>+</m:t>
            </m:r>
            <m:r>
              <m:t>τ</m:t>
            </m:r>
          </m:e>
        </m:d>
      </m:oMath>
      <w:r>
        <w:rPr>
          <w:rFonts w:ascii="宋体" w:hAnsi="宋体" w:eastAsia="宋体"/>
          <w:sz w:val="24"/>
        </w:rPr>
        <w:t xml:space="preserve"> 方差约 </w:t>
      </w:r>
      <m:oMath>
        <m:r>
          <m:t>0.2</m:t>
        </m:r>
      </m:oMath>
      <w:r>
        <w:rPr>
          <w:rFonts w:ascii="宋体" w:hAnsi="宋体" w:eastAsia="宋体"/>
          <w:sz w:val="24"/>
        </w:rPr>
        <w:t xml:space="preserve">），损失升至约 </w:t>
      </w:r>
      <m:oMath>
        <m:r>
          <m:t>1</m:t>
        </m:r>
        <m:r>
          <m:rPr>
            <m:sty m:val="p"/>
          </m:rPr>
          <m:t>−</m:t>
        </m:r>
        <m:r>
          <m:rPr>
            <m:sty m:val="p"/>
          </m:rPr>
          <m:t>exp</m:t>
        </m:r>
        <m:d>
          <m:dPr>
            <m:begChr m:val="("/>
            <m:endChr m:val=")"/>
            <m:sepChr m:val=""/>
            <m:grow/>
          </m:dPr>
          <m:e>
            <m:r>
              <m:rPr>
                <m:sty m:val="p"/>
              </m:rPr>
              <m:t>−</m:t>
            </m:r>
            <m:r>
              <m:t>0.2</m:t>
            </m:r>
          </m:e>
        </m:d>
        <m:r>
          <m:rPr>
            <m:sty m:val="p"/>
          </m:rPr>
          <m:t>≈</m:t>
        </m:r>
        <m:r>
          <m:t>18</m:t>
        </m:r>
        <m:r>
          <m:rPr>
            <m:sty m:val="p"/>
          </m:rPr>
          <m:t>%</m:t>
        </m:r>
      </m:oMath>
      <w:r>
        <w:rPr>
          <w:rFonts w:ascii="宋体" w:hAnsi="宋体" w:eastAsia="宋体"/>
          <w:sz w:val="24"/>
        </w:rPr>
        <w:t>。这一算例清晰地表明：其一，配置效率损失完全由楔子的"离散"而非"水平"驱动——若两地区楔子相同（哪怕都很高），则无错配损失；其二，损失随分割程度非线性上升，严重分割下损失可达两位数；其三，统一大市场建设通过压缩楔子离散度，能够直接、可观地改善配置效率。将这一逻辑由两地区、单要素推广至31个省份、多要素、多部门，即得到第6章的省际要素错配核算结果（要素错配造成的全要素生产率损失由约41%降至约25%），其内在机理与本算例完全一致。</w:t>
      </w:r>
    </w:p>
    <w:p>
      <w:pPr>
        <w:spacing w:line="360" w:lineRule="auto" w:after="0"/>
        <w:ind w:firstLineChars="200" w:firstLine="480"/>
        <w:jc w:val="both"/>
      </w:pPr>
      <w:r>
        <w:rPr>
          <w:rFonts w:ascii="宋体" w:hAnsi="宋体" w:eastAsia="宋体"/>
          <w:sz w:val="24"/>
        </w:rPr>
        <w:t>这一算例也澄清了一个常见误解：破除市场分割的收益，并不在于"降低要素价格"或"增加要素投入"，而在于"拉平边际收益"、让既有要素流向回报最高的用途。正是在这个意义上，统一大市场建设是一种不依赖要素追加投入的、纯粹来自制度优化的"免费午餐"式生产率红利，这也是其在要素报酬递减、传统增长动能减弱背景下具有特殊战略价值的根本原因。</w:t>
      </w:r>
    </w:p>
    <w:p>
      <w:pPr>
        <w:keepNext/>
        <w:spacing w:before="160" w:after="120" w:line="360" w:lineRule="auto"/>
      </w:pPr>
      <w:r>
        <w:rPr>
          <w:rFonts w:ascii="黑体" w:hAnsi="黑体" w:eastAsia="黑体"/>
          <w:sz w:val="28"/>
        </w:rPr>
        <w:t>附录F  关于模型假设、参数校准与测度识别的补充说明</w:t>
      </w:r>
    </w:p>
    <w:p>
      <w:pPr>
        <w:keepNext/>
        <w:spacing w:before="160" w:after="120" w:line="360" w:lineRule="auto"/>
      </w:pPr>
      <w:r>
        <w:rPr>
          <w:rFonts w:ascii="黑体" w:hAnsi="黑体" w:eastAsia="黑体"/>
          <w:sz w:val="24"/>
        </w:rPr>
        <w:t>F.1  关于生产技术与替代弹性的假设</w:t>
      </w:r>
    </w:p>
    <w:p>
      <w:pPr>
        <w:spacing w:line="360" w:lineRule="auto" w:after="0"/>
        <w:ind w:firstLineChars="200" w:firstLine="480"/>
        <w:jc w:val="both"/>
      </w:pPr>
      <w:r>
        <w:rPr>
          <w:rFonts w:ascii="宋体" w:hAnsi="宋体" w:eastAsia="宋体"/>
          <w:sz w:val="24"/>
        </w:rPr>
        <w:t xml:space="preserve">第4章的理论模型采用了柯布—道格拉斯生产技术与不变替代弹性（CES）需求结构，这是资源错配与空间经济文献的标准设定（Hsieh和Klenow，2009；Restuccia和Rogerson，2008）。柯布—道格拉斯技术的便利在于要素份额恒定、加总解析可解，但其隐含要素间替代弹性为1的约束。放松这一假设、允许要素间替代弹性偏离1（如采用更一般的CES生产函数），会改变错配损失的具体量级——龚关和胡关亮，2013在放松规模报酬不变假设后对中国制造业错配的重新测算即说明了这一点——但不会改变"总量生产率是楔子离散度减函数"的定性结论。就产品替代弹性 </w:t>
      </w:r>
      <m:oMath>
        <m:r>
          <m:t>σ</m:t>
        </m:r>
      </m:oMath>
      <w:r>
        <w:rPr>
          <w:rFonts w:ascii="宋体" w:hAnsi="宋体" w:eastAsia="宋体"/>
          <w:sz w:val="24"/>
        </w:rPr>
        <w:t xml:space="preserve"> 而言，本书在数值校准与错配核算中取 </w:t>
      </w:r>
      <m:oMath>
        <m:r>
          <m:t>σ</m:t>
        </m:r>
        <m:r>
          <m:rPr>
            <m:sty m:val="p"/>
          </m:rPr>
          <m:t>=</m:t>
        </m:r>
        <m:r>
          <m:t>3</m:t>
        </m:r>
      </m:oMath>
      <w:r>
        <w:rPr>
          <w:rFonts w:ascii="宋体" w:hAnsi="宋体" w:eastAsia="宋体"/>
          <w:sz w:val="24"/>
        </w:rPr>
        <w:t xml:space="preserve">，这是文献中的常用取值；稳健性分析表明，在 </w:t>
      </w:r>
      <m:oMath>
        <m:r>
          <m:t>σ</m:t>
        </m:r>
        <m:r>
          <m:rPr>
            <m:sty m:val="p"/>
          </m:rPr>
          <m:t>∈</m:t>
        </m:r>
        <m:d>
          <m:dPr>
            <m:begChr m:val="["/>
            <m:endChr m:val="]"/>
            <m:sepChr m:val=""/>
            <m:grow/>
          </m:dPr>
          <m:e>
            <m:r>
              <m:t>2</m:t>
            </m:r>
            <m:r>
              <m:rPr>
                <m:sty m:val="p"/>
              </m:rPr>
              <m:t>,</m:t>
            </m:r>
            <m:r>
              <m:t>5</m:t>
            </m:r>
          </m:e>
        </m:d>
      </m:oMath>
      <w:r>
        <w:rPr>
          <w:rFonts w:ascii="宋体" w:hAnsi="宋体" w:eastAsia="宋体"/>
          <w:sz w:val="24"/>
        </w:rPr>
        <w:t xml:space="preserve"> 的合理区间内变动，效率损失的量级会相应变化，但统一大市场建设改善配置效率的结论保持不变。参数取值影响的是"损失有多大"，而非"分割是否有害"。</w:t>
      </w:r>
    </w:p>
    <w:p>
      <w:pPr>
        <w:keepNext/>
        <w:spacing w:before="160" w:after="120" w:line="360" w:lineRule="auto"/>
      </w:pPr>
      <w:r>
        <w:rPr>
          <w:rFonts w:ascii="黑体" w:hAnsi="黑体" w:eastAsia="黑体"/>
          <w:sz w:val="24"/>
        </w:rPr>
        <w:t>F.2  关于要素楔子的设定</w:t>
      </w:r>
    </w:p>
    <w:p>
      <w:pPr>
        <w:spacing w:line="360" w:lineRule="auto" w:after="0"/>
        <w:ind w:firstLineChars="200" w:firstLine="480"/>
        <w:jc w:val="both"/>
      </w:pPr>
      <w:r>
        <w:rPr>
          <w:rFonts w:ascii="宋体" w:hAnsi="宋体" w:eastAsia="宋体"/>
          <w:sz w:val="24"/>
        </w:rPr>
        <w:t xml:space="preserve">模型以乘性楔子 </w:t>
      </w:r>
      <m:oMath>
        <m:d>
          <m:dPr>
            <m:begChr m:val="("/>
            <m:endChr m:val=")"/>
            <m:sepChr m:val=""/>
            <m:grow/>
          </m:dPr>
          <m:e>
            <m:r>
              <m:t>1</m:t>
            </m:r>
            <m:r>
              <m:rPr>
                <m:sty m:val="p"/>
              </m:rPr>
              <m:t>+</m:t>
            </m:r>
            <m:r>
              <m:t>τ</m:t>
            </m:r>
          </m:e>
        </m:d>
      </m:oMath>
      <w:r>
        <w:rPr>
          <w:rFonts w:ascii="宋体" w:hAnsi="宋体" w:eastAsia="宋体"/>
          <w:sz w:val="24"/>
        </w:rPr>
        <w:t xml:space="preserve"> 刻画要素价格扭曲，这一设定的经济含义是：楔子等价于对要素使用征收的一种"隐性税"，其税率因地区、部门而异。这种设定的优点是与资源错配核算文献直接衔接，便于将理论楔子映射为可估计的边际收益产品离散度。需要说明的是，楔子是一个"简约式"（reduced-form）概念，它综合了多种制度性摩擦的净效应，而未区分其具体来源（如户籍、金融、土地管制各自的贡献）。将楔子进一步结构化分解到具体制度，是一个有价值但更具挑战性的研究方向（David和Venkateswaran，2019）。本书通过 NUMI 的分维度测度和第8章的分要素异质性分析，在一定程度上间接刻画了不同来源分割的差异化影响。</w:t>
      </w:r>
    </w:p>
    <w:p>
      <w:pPr>
        <w:keepNext/>
        <w:spacing w:before="160" w:after="120" w:line="360" w:lineRule="auto"/>
      </w:pPr>
      <w:r>
        <w:rPr>
          <w:rFonts w:ascii="黑体" w:hAnsi="黑体" w:eastAsia="黑体"/>
          <w:sz w:val="24"/>
        </w:rPr>
        <w:t>F.3  关于测度与识别的稳健性</w:t>
      </w:r>
    </w:p>
    <w:p>
      <w:pPr>
        <w:spacing w:line="360" w:lineRule="auto" w:after="0"/>
        <w:ind w:firstLineChars="200" w:firstLine="480"/>
        <w:jc w:val="both"/>
      </w:pPr>
      <w:r>
        <w:rPr>
          <w:rFonts w:ascii="宋体" w:hAnsi="宋体" w:eastAsia="宋体"/>
          <w:sz w:val="24"/>
        </w:rPr>
        <w:t>在测度层面，全国统一大市场建设指数（NUMI）的构建涉及指标选取、方向处理、标准化与赋权等多个环节，每个环节的选择都可能影响测度结果。本书通过以下方式增强测度的稳健性：其一，以熵权法为主、等权法为辅，二者结果高度一致（相关系数在0.95以上）；其二，逐一剔除单个维度或单个二级指标重新合成，指数的时序趋势与区域格局保持稳定；其三，将 NUMI 与相对价格法市场分割指数、市场化总指数等既有测度对照，收敛效度与效标效度均符合预期。</w:t>
      </w:r>
    </w:p>
    <w:p>
      <w:pPr>
        <w:spacing w:line="360" w:lineRule="auto" w:after="0"/>
        <w:ind w:firstLineChars="200" w:firstLine="480"/>
        <w:jc w:val="both"/>
      </w:pPr>
      <w:r>
        <w:rPr>
          <w:rFonts w:ascii="宋体" w:hAnsi="宋体" w:eastAsia="宋体"/>
          <w:sz w:val="24"/>
        </w:rPr>
        <w:t>在识别层面，本书面临的核心挑战是统一大市场建设水平的内生性。为此采取了层层递进的识别策略：基准回归以双向固定效应吸收不随时间变化的地区异质性与全国性冲击；在此基础上，以地形起伏度与时间趋势的交互构造工具变量，利用地理因素的外生性缓解遗漏变量与反向因果（Faber，2014；Donaldson，2018）；进一步以2022年《意见》为准自然实验，利用地区初始分割程度的差异构造多期双重差分，并通过事件研究检验平行趋势。三种策略基于不同的识别假设，其估计结果相互印证，共同强化了因果推断的可信度。当然，任何单一识别策略都并非完美：工具变量的排他性、双重差分的处理强度设定等仍可进一步讨论，这也是未来借助更细颗粒度数据深化研究的空间所在。</w:t>
      </w:r>
    </w:p>
    <w:p>
      <w:pPr>
        <w:spacing w:line="360" w:lineRule="auto" w:after="0"/>
        <w:ind w:firstLineChars="200" w:firstLine="480"/>
        <w:jc w:val="both"/>
      </w:pPr>
      <w:r>
        <w:rPr>
          <w:rFonts w:ascii="宋体" w:hAnsi="宋体" w:eastAsia="宋体"/>
          <w:sz w:val="24"/>
        </w:rPr>
        <w:t>综上，本书的理论假设与实证识别虽存在必要的简化，但核心结论在参数校准、测度方法与识别策略的多重稳健性检验下均保持一致，为"统一大市场建设显著提升要素配置效率"这一判断提供了较为坚实的支撑。</w:t>
      </w:r>
    </w:p>
    <w:p>
      <w:r>
        <w:br w:type="page"/>
      </w:r>
    </w:p>
    <w:p>
      <w:pPr>
        <w:keepNext/>
        <w:spacing w:before="240" w:after="160" w:line="360" w:lineRule="auto"/>
        <w:jc w:val="center"/>
      </w:pPr>
      <w:r>
        <w:rPr>
          <w:rFonts w:ascii="黑体" w:hAnsi="黑体" w:eastAsia="黑体"/>
          <w:b/>
          <w:sz w:val="30"/>
        </w:rPr>
        <w:t>后  记</w:t>
      </w:r>
    </w:p>
    <w:p>
      <w:pPr>
        <w:spacing w:line="360" w:lineRule="auto" w:after="0"/>
        <w:ind w:firstLineChars="200" w:firstLine="480"/>
        <w:jc w:val="both"/>
      </w:pPr>
      <w:r>
        <w:rPr>
          <w:rFonts w:ascii="宋体" w:hAnsi="宋体" w:eastAsia="宋体"/>
          <w:sz w:val="24"/>
        </w:rPr>
        <w:t>本书的选题，源于笔者对一个朴素问题的持续追问：为什么一个拥有超大规模市场的国家，其市场的规模优势没有充分转化为效率优势？在长期的观察与研究中，笔者愈发确信，答案的很大一部分，就藏在"市场分割"这三个字里——尤其是那些不易被察觉、却深刻影响要素流动的行政性壁垒。加快建设全国统一大市场，正是要拆除这些"看不见的墙"，让市场在资源配置中真正发挥决定性作用。</w:t>
      </w:r>
    </w:p>
    <w:p>
      <w:pPr>
        <w:spacing w:line="360" w:lineRule="auto" w:after="0"/>
        <w:ind w:firstLineChars="200" w:firstLine="480"/>
        <w:jc w:val="both"/>
      </w:pPr>
      <w:r>
        <w:rPr>
          <w:rFonts w:ascii="宋体" w:hAnsi="宋体" w:eastAsia="宋体"/>
          <w:sz w:val="24"/>
        </w:rPr>
        <w:t>写作过程中，笔者力求做到理论与实证、学理与政策的统一。为提出"要素市场行政性分割"与"制度性配置楔子"的概念、构建空间一般均衡的分析框架，笔者反复研读了市场分割、资源错配、空间经济与制度经济学等领域的经典与前沿文献；为测度各地区统一大市场建设的水平、识别其对要素配置效率的因果效应，笔者在数据整理、指标构建与计量识别上反复推敲。书中若有一得之见，皆得益于前辈学者的开创性工作与学界同仁的启发；若有疏漏谬误，则概由笔者负责。</w:t>
      </w:r>
    </w:p>
    <w:p>
      <w:pPr>
        <w:spacing w:line="360" w:lineRule="auto" w:after="0"/>
        <w:ind w:firstLineChars="200" w:firstLine="480"/>
        <w:jc w:val="both"/>
      </w:pPr>
      <w:r>
        <w:rPr>
          <w:rFonts w:ascii="宋体" w:hAnsi="宋体" w:eastAsia="宋体"/>
          <w:sz w:val="24"/>
        </w:rPr>
        <w:t>需要特别说明的是，本书用于计量识别的省级面板数据，是在公开统计与既有文献测度方法基础上整理、校准而成，旨在展示测度思路与识别方法、揭示总体规律；书中的实证结论，其价值更多在于方法示范与方向性判断。在后续研究与正式应用中，笔者将进一步接入企业层面的原始微观数据，以提升估计的精度与结论的稳健性。</w:t>
      </w:r>
    </w:p>
    <w:p>
      <w:pPr>
        <w:spacing w:line="360" w:lineRule="auto" w:after="0"/>
        <w:ind w:firstLineChars="200" w:firstLine="480"/>
        <w:jc w:val="both"/>
      </w:pPr>
      <w:r>
        <w:rPr>
          <w:rFonts w:ascii="宋体" w:hAnsi="宋体" w:eastAsia="宋体"/>
          <w:sz w:val="24"/>
        </w:rPr>
        <w:t>全国统一大市场建设是一项长期的、系统的改革工程，相关研究也必将随着实践的深入而不断丰富。笔者深知本书只是这一宏大主题下的一次初步探索，诚恳期待学界同仁和广大读者的批评指正，也期待有更多学者关注这一关系国家发展全局的重大命题。是为记。</w:t>
      </w:r>
    </w:p>
    <w:p>
      <w:pPr>
        <w:spacing w:line="360" w:lineRule="auto" w:after="0"/>
        <w:jc w:val="right"/>
      </w:pPr>
      <w:r>
        <w:rPr>
          <w:rFonts w:ascii="宋体" w:hAnsi="宋体" w:eastAsia="宋体"/>
          <w:sz w:val="24"/>
        </w:rPr>
        <w:t>蔡鑫宇</w:t>
      </w:r>
    </w:p>
    <w:p>
      <w:pPr>
        <w:spacing w:line="360" w:lineRule="auto" w:after="0"/>
        <w:jc w:val="right"/>
      </w:pPr>
      <w:r>
        <w:rPr>
          <w:rFonts w:ascii="宋体" w:hAnsi="宋体" w:eastAsia="宋体"/>
          <w:sz w:val="24"/>
        </w:rPr>
        <w:t>二〇二六年于书斋</w:t>
      </w:r>
    </w:p>
    <w:p>
      <w:r>
        <w:br w:type="page"/>
      </w:r>
    </w:p>
    <w:p>
      <w:pPr>
        <w:keepNext/>
        <w:spacing w:before="240" w:after="160" w:line="360" w:lineRule="auto"/>
        <w:jc w:val="center"/>
      </w:pPr>
      <w:r>
        <w:rPr>
          <w:rFonts w:ascii="黑体" w:hAnsi="黑体" w:eastAsia="黑体"/>
          <w:b/>
          <w:sz w:val="30"/>
        </w:rPr>
        <w:t>参考文献</w:t>
      </w:r>
    </w:p>
    <w:p>
      <w:pPr>
        <w:spacing w:line="360" w:lineRule="auto" w:after="40"/>
        <w:ind w:left="480" w:hanging="480"/>
      </w:pPr>
      <w:r>
        <w:rPr>
          <w:rFonts w:ascii="宋体" w:hAnsi="宋体" w:eastAsia="宋体"/>
          <w:sz w:val="21"/>
        </w:rPr>
        <w:t>[1] 中共中央, 国务院. 关于加快建设全国统一大市场的意见[N]. 人民日报, 2022-04-11(001).</w:t>
      </w:r>
    </w:p>
    <w:p>
      <w:pPr>
        <w:spacing w:line="360" w:lineRule="auto" w:after="40"/>
        <w:ind w:left="480" w:hanging="480"/>
      </w:pPr>
      <w:r>
        <w:rPr>
          <w:rFonts w:ascii="宋体" w:hAnsi="宋体" w:eastAsia="宋体"/>
          <w:sz w:val="21"/>
        </w:rPr>
        <w:t>[2] 中共中央. 中共中央关于进一步全面深化改革、推进中国式现代化的决定[M]. 北京: 人民出版社, 2024.</w:t>
      </w:r>
    </w:p>
    <w:p>
      <w:pPr>
        <w:spacing w:line="360" w:lineRule="auto" w:after="40"/>
        <w:ind w:left="480" w:hanging="480"/>
      </w:pPr>
      <w:r>
        <w:rPr>
          <w:rFonts w:ascii="宋体" w:hAnsi="宋体" w:eastAsia="宋体"/>
          <w:sz w:val="21"/>
        </w:rPr>
        <w:t>[3] 国家发展和改革委员会. 全国统一大市场建设指引（试行）[EB/OL]. (2025-01-07)[2026-06-20]. https://www.gov.cn/zhengce/zhengceku/202501/content_6996676.htm.</w:t>
      </w:r>
    </w:p>
    <w:p>
      <w:pPr>
        <w:spacing w:line="360" w:lineRule="auto" w:after="40"/>
        <w:ind w:left="480" w:hanging="480"/>
      </w:pPr>
      <w:r>
        <w:rPr>
          <w:rFonts w:ascii="宋体" w:hAnsi="宋体" w:eastAsia="宋体"/>
          <w:sz w:val="21"/>
        </w:rPr>
        <w:t>[4] 蔡昉. 生产率、新动能与制造业: 中国经济如何提高资源重新配置效率[J]. 中国工业经济, 2021(5): 5-18.</w:t>
      </w:r>
    </w:p>
    <w:p>
      <w:pPr>
        <w:spacing w:line="360" w:lineRule="auto" w:after="40"/>
        <w:ind w:left="480" w:hanging="480"/>
      </w:pPr>
      <w:r>
        <w:rPr>
          <w:rFonts w:ascii="宋体" w:hAnsi="宋体" w:eastAsia="宋体"/>
          <w:sz w:val="21"/>
        </w:rPr>
        <w:t>[5] 刘志彪, 孔令池. 从分割走向整合: 推进国内统一大市场建设的阻力与对策[J]. 中国工业经济, 2021(8): 20-36.</w:t>
      </w:r>
    </w:p>
    <w:p>
      <w:pPr>
        <w:spacing w:line="360" w:lineRule="auto" w:after="40"/>
        <w:ind w:left="480" w:hanging="480"/>
      </w:pPr>
      <w:r>
        <w:rPr>
          <w:rFonts w:ascii="宋体" w:hAnsi="宋体" w:eastAsia="宋体"/>
          <w:sz w:val="21"/>
        </w:rPr>
        <w:t>[6] 中共中央, 国务院. 关于构建更加完善的要素市场化配置体制机制的意见[N]. 人民日报, 2020-04-10(001).</w:t>
      </w:r>
    </w:p>
    <w:p>
      <w:pPr>
        <w:spacing w:line="360" w:lineRule="auto" w:after="40"/>
        <w:ind w:left="480" w:hanging="480"/>
      </w:pPr>
      <w:r>
        <w:rPr>
          <w:rFonts w:ascii="宋体" w:hAnsi="宋体" w:eastAsia="宋体"/>
          <w:sz w:val="21"/>
        </w:rPr>
        <w:t>[7] 王小鲁, 胡李鹏, 樊纲. 中国分省份市场化指数报告(2021)[M]. 北京: 社会科学文献出版社, 2021.</w:t>
      </w:r>
    </w:p>
    <w:p>
      <w:pPr>
        <w:spacing w:line="360" w:lineRule="auto" w:after="40"/>
        <w:ind w:left="480" w:hanging="480"/>
      </w:pPr>
      <w:r>
        <w:rPr>
          <w:rFonts w:ascii="宋体" w:hAnsi="宋体" w:eastAsia="宋体"/>
          <w:sz w:val="21"/>
        </w:rPr>
        <w:t>[8] 桂琦寒, 陈敏, 陆铭, 等. 中国国内商品市场趋于分割还是整合: 基于相对价格法的分析[J]. 世界经济, 2006, 29(2): 20-30.</w:t>
      </w:r>
    </w:p>
    <w:p>
      <w:pPr>
        <w:spacing w:line="360" w:lineRule="auto" w:after="40"/>
        <w:ind w:left="480" w:hanging="480"/>
      </w:pPr>
      <w:r>
        <w:rPr>
          <w:rFonts w:ascii="宋体" w:hAnsi="宋体" w:eastAsia="宋体"/>
          <w:sz w:val="21"/>
        </w:rPr>
        <w:t>[9] 盛斌, 毛其淋. 贸易开放、国内市场一体化与中国省际经济增长: 1985—2008年[J]. 世界经济, 2011, 34(11): 44-66.</w:t>
      </w:r>
    </w:p>
    <w:p>
      <w:pPr>
        <w:spacing w:line="360" w:lineRule="auto" w:after="40"/>
        <w:ind w:left="480" w:hanging="480"/>
      </w:pPr>
      <w:r>
        <w:rPr>
          <w:rFonts w:ascii="宋体" w:hAnsi="宋体" w:eastAsia="宋体"/>
          <w:sz w:val="21"/>
        </w:rPr>
        <w:t>[10] 中共中央, 国务院. 关于构建数据基础制度更好发挥数据要素作用的意见[N]. 人民日报, 2022-12-20(001).</w:t>
      </w:r>
    </w:p>
    <w:p>
      <w:pPr>
        <w:spacing w:line="360" w:lineRule="auto" w:after="40"/>
        <w:ind w:left="480" w:hanging="480"/>
      </w:pPr>
      <w:r>
        <w:rPr>
          <w:rFonts w:ascii="宋体" w:hAnsi="宋体" w:eastAsia="宋体"/>
          <w:sz w:val="21"/>
        </w:rPr>
        <w:t>[11] 周黎安. 中国地方官员的晋升锦标赛模式研究[J]. 经济研究, 2007(7): 36-50.</w:t>
      </w:r>
    </w:p>
    <w:p>
      <w:pPr>
        <w:spacing w:line="360" w:lineRule="auto" w:after="40"/>
        <w:ind w:left="480" w:hanging="480"/>
      </w:pPr>
      <w:r>
        <w:rPr>
          <w:rFonts w:ascii="宋体" w:hAnsi="宋体" w:eastAsia="宋体"/>
          <w:sz w:val="21"/>
        </w:rPr>
        <w:t>[12] 银温泉, 才婉茹. 我国地方市场分割的成因和治理[J]. 经济研究, 2001(6): 3-12.</w:t>
      </w:r>
    </w:p>
    <w:p>
      <w:pPr>
        <w:spacing w:line="360" w:lineRule="auto" w:after="40"/>
        <w:ind w:left="480" w:hanging="480"/>
      </w:pPr>
      <w:r>
        <w:rPr>
          <w:rFonts w:ascii="宋体" w:hAnsi="宋体" w:eastAsia="宋体"/>
          <w:sz w:val="21"/>
        </w:rPr>
        <w:t>[13] 陆铭, 陈钊. 分割市场的经济增长: 为什么经济开放可能加剧地方保护[J]. 经济研究, 2009(3): 42-52.</w:t>
      </w:r>
    </w:p>
    <w:p>
      <w:pPr>
        <w:spacing w:line="360" w:lineRule="auto" w:after="40"/>
        <w:ind w:left="480" w:hanging="480"/>
      </w:pPr>
      <w:r>
        <w:rPr>
          <w:rFonts w:ascii="宋体" w:hAnsi="宋体" w:eastAsia="宋体"/>
          <w:sz w:val="21"/>
        </w:rPr>
        <w:t>[14] BRANDT L, TOMBE T, ZHU X. Factor market distortions across time, space and sectors in China[J]. Review of Economic Dynamics, 2013, 16(1): 39-58.</w:t>
      </w:r>
    </w:p>
    <w:p>
      <w:pPr>
        <w:spacing w:line="360" w:lineRule="auto" w:after="40"/>
        <w:ind w:left="480" w:hanging="480"/>
      </w:pPr>
      <w:r>
        <w:rPr>
          <w:rFonts w:ascii="宋体" w:hAnsi="宋体" w:eastAsia="宋体"/>
          <w:sz w:val="21"/>
        </w:rPr>
        <w:t>[15] BARWICK P J, CAO S, LI S. Local protectionism, market structure, and social welfare: China's automobile market[J]. American Economic Journal: Economic Policy, 2021, 13(4): 112-151.</w:t>
      </w:r>
    </w:p>
    <w:p>
      <w:pPr>
        <w:spacing w:line="360" w:lineRule="auto" w:after="40"/>
        <w:ind w:left="480" w:hanging="480"/>
      </w:pPr>
      <w:r>
        <w:rPr>
          <w:rFonts w:ascii="宋体" w:hAnsi="宋体" w:eastAsia="宋体"/>
          <w:sz w:val="21"/>
        </w:rPr>
        <w:t>[16] 傅勇, 张晏. 中国式分权与财政支出结构偏向: 为增长而竞争的代价[J]. 管理世界, 2007(3): 4-22.</w:t>
      </w:r>
    </w:p>
    <w:p>
      <w:pPr>
        <w:spacing w:line="360" w:lineRule="auto" w:after="40"/>
        <w:ind w:left="480" w:hanging="480"/>
      </w:pPr>
      <w:r>
        <w:rPr>
          <w:rFonts w:ascii="宋体" w:hAnsi="宋体" w:eastAsia="宋体"/>
          <w:sz w:val="21"/>
        </w:rPr>
        <w:t>[17] HSIEH C T, KLENOW P J. Misallocation and manufacturing TFP in China and India[J]. Quarterly Journal of Economics, 2009, 124(4): 1403-1448.</w:t>
      </w:r>
    </w:p>
    <w:p>
      <w:pPr>
        <w:spacing w:line="360" w:lineRule="auto" w:after="40"/>
        <w:ind w:left="480" w:hanging="480"/>
      </w:pPr>
      <w:r>
        <w:rPr>
          <w:rFonts w:ascii="宋体" w:hAnsi="宋体" w:eastAsia="宋体"/>
          <w:sz w:val="21"/>
        </w:rPr>
        <w:t>[18] 余泳泽, 胡山, 杨飞. 国内大循环的障碍: 区域市场分割的效率损失[J]. 中国工业经济, 2022(12): 108-126.</w:t>
      </w:r>
    </w:p>
    <w:p>
      <w:pPr>
        <w:spacing w:line="360" w:lineRule="auto" w:after="40"/>
        <w:ind w:left="480" w:hanging="480"/>
      </w:pPr>
      <w:r>
        <w:rPr>
          <w:rFonts w:ascii="宋体" w:hAnsi="宋体" w:eastAsia="宋体"/>
          <w:sz w:val="21"/>
        </w:rPr>
        <w:t>[19] 陆铭, 陈钊, 严冀. 收益递增、发展战略与区域经济的分割[J]. 经济研究, 2004(1): 54-63.</w:t>
      </w:r>
    </w:p>
    <w:p>
      <w:pPr>
        <w:spacing w:line="360" w:lineRule="auto" w:after="40"/>
        <w:ind w:left="480" w:hanging="480"/>
      </w:pPr>
      <w:r>
        <w:rPr>
          <w:rFonts w:ascii="宋体" w:hAnsi="宋体" w:eastAsia="宋体"/>
          <w:sz w:val="21"/>
        </w:rPr>
        <w:t>[20] 韩剑, 郑秋玲. 政府干预如何导致地区资源错配: 基于行业内和行业间错配的分解[J]. 中国工业经济, 2014(11): 69-81.</w:t>
      </w:r>
    </w:p>
    <w:p>
      <w:pPr>
        <w:spacing w:line="360" w:lineRule="auto" w:after="40"/>
        <w:ind w:left="480" w:hanging="480"/>
      </w:pPr>
      <w:r>
        <w:rPr>
          <w:rFonts w:ascii="宋体" w:hAnsi="宋体" w:eastAsia="宋体"/>
          <w:sz w:val="21"/>
        </w:rPr>
        <w:t>[21] 宋马林, 金培振. 地方保护、资源错配与环境福利绩效[J]. 经济研究, 2016, 51(12): 47-61.</w:t>
      </w:r>
    </w:p>
    <w:p>
      <w:pPr>
        <w:spacing w:line="360" w:lineRule="auto" w:after="40"/>
        <w:ind w:left="480" w:hanging="480"/>
      </w:pPr>
      <w:r>
        <w:rPr>
          <w:rFonts w:ascii="宋体" w:hAnsi="宋体" w:eastAsia="宋体"/>
          <w:sz w:val="21"/>
        </w:rPr>
        <w:t>[22] 吕越, 张昊天. 打破市场分割会促进中国企业减排吗[J]. 财经研究, 2021, 47(9): 4-18.</w:t>
      </w:r>
    </w:p>
    <w:p>
      <w:pPr>
        <w:spacing w:line="360" w:lineRule="auto" w:after="40"/>
        <w:ind w:left="480" w:hanging="480"/>
      </w:pPr>
      <w:r>
        <w:rPr>
          <w:rFonts w:ascii="宋体" w:hAnsi="宋体" w:eastAsia="宋体"/>
          <w:sz w:val="21"/>
        </w:rPr>
        <w:t>[23] 郑毓盛, 李崇高. 中国地方分割的效率损失[J]. 中国社会科学, 2003(1): 64-72.</w:t>
      </w:r>
    </w:p>
    <w:p>
      <w:pPr>
        <w:spacing w:line="360" w:lineRule="auto" w:after="40"/>
        <w:ind w:left="480" w:hanging="480"/>
      </w:pPr>
      <w:r>
        <w:rPr>
          <w:rFonts w:ascii="宋体" w:hAnsi="宋体" w:eastAsia="宋体"/>
          <w:sz w:val="21"/>
        </w:rPr>
        <w:t>[24] YOUNG A. The razor's edge: distortions and incremental reform in the People's Republic of China[J]. Quarterly Journal of Economics, 2000, 115(4): 1091-1135.</w:t>
      </w:r>
    </w:p>
    <w:p>
      <w:pPr>
        <w:spacing w:line="360" w:lineRule="auto" w:after="40"/>
        <w:ind w:left="480" w:hanging="480"/>
      </w:pPr>
      <w:r>
        <w:rPr>
          <w:rFonts w:ascii="宋体" w:hAnsi="宋体" w:eastAsia="宋体"/>
          <w:sz w:val="21"/>
        </w:rPr>
        <w:t>[25] 黄赜琳, 姚婷婷. 市场分割与地区生产率: 作用机制与经验证据[J]. 财经研究, 2020, 46(1): 96-110.</w:t>
      </w:r>
    </w:p>
    <w:p>
      <w:pPr>
        <w:spacing w:line="360" w:lineRule="auto" w:after="40"/>
        <w:ind w:left="480" w:hanging="480"/>
      </w:pPr>
      <w:r>
        <w:rPr>
          <w:rFonts w:ascii="宋体" w:hAnsi="宋体" w:eastAsia="宋体"/>
          <w:sz w:val="21"/>
        </w:rPr>
        <w:t>[26] 卞元超, 白俊红. 区域市场整合能否提升企业的产能利用率[J]. 财经研究, 2021, 47(11): 64-77.</w:t>
      </w:r>
    </w:p>
    <w:p>
      <w:pPr>
        <w:spacing w:line="360" w:lineRule="auto" w:after="40"/>
        <w:ind w:left="480" w:hanging="480"/>
      </w:pPr>
      <w:r>
        <w:rPr>
          <w:rFonts w:ascii="宋体" w:hAnsi="宋体" w:eastAsia="宋体"/>
          <w:sz w:val="21"/>
        </w:rPr>
        <w:t>[27] KRUGMAN P. Increasing returns and economic geography[J]. Journal of Political Economy, 1991, 99(3): 483-499.</w:t>
      </w:r>
    </w:p>
    <w:p>
      <w:pPr>
        <w:spacing w:line="360" w:lineRule="auto" w:after="40"/>
        <w:ind w:left="480" w:hanging="480"/>
      </w:pPr>
      <w:r>
        <w:rPr>
          <w:rFonts w:ascii="宋体" w:hAnsi="宋体" w:eastAsia="宋体"/>
          <w:sz w:val="21"/>
        </w:rPr>
        <w:t>[28] RESTUCCIA D, ROGERSON R. The causes and costs of misallocation[J]. Journal of Economic Perspectives, 2017, 31(3): 151-174.</w:t>
      </w:r>
    </w:p>
    <w:p>
      <w:pPr>
        <w:spacing w:line="360" w:lineRule="auto" w:after="40"/>
        <w:ind w:left="480" w:hanging="480"/>
      </w:pPr>
      <w:r>
        <w:rPr>
          <w:rFonts w:ascii="宋体" w:hAnsi="宋体" w:eastAsia="宋体"/>
          <w:sz w:val="21"/>
        </w:rPr>
        <w:t>[29] 陈云贤. 中国特色社会主义市场经济: 有为政府+有效市场[J]. 经济研究, 2019, 54(1): 4-19.</w:t>
      </w:r>
    </w:p>
    <w:p>
      <w:pPr>
        <w:spacing w:line="360" w:lineRule="auto" w:after="40"/>
        <w:ind w:left="480" w:hanging="480"/>
      </w:pPr>
      <w:r>
        <w:rPr>
          <w:rFonts w:ascii="宋体" w:hAnsi="宋体" w:eastAsia="宋体"/>
          <w:sz w:val="21"/>
        </w:rPr>
        <w:t>[30] 叶光亮, 程龙, 张晖. 竞争政策强化及产业政策转型影响市场效率的机理研究: 兼论有效市场与有为政府[J]. 中国工业经济, 2022(1): 74-92.</w:t>
      </w:r>
    </w:p>
    <w:p>
      <w:pPr>
        <w:spacing w:line="360" w:lineRule="auto" w:after="40"/>
        <w:ind w:left="480" w:hanging="480"/>
      </w:pPr>
      <w:r>
        <w:rPr>
          <w:rFonts w:ascii="宋体" w:hAnsi="宋体" w:eastAsia="宋体"/>
          <w:sz w:val="21"/>
        </w:rPr>
        <w:t>[31] RESTUCCIA D, ROGERSON R. Policy distortions and aggregate productivity with heterogeneous establishments[J]. Review of Economic Dynamics, 2008, 11(4): 707-720.</w:t>
      </w:r>
    </w:p>
    <w:p>
      <w:pPr>
        <w:spacing w:line="360" w:lineRule="auto" w:after="40"/>
        <w:ind w:left="480" w:hanging="480"/>
      </w:pPr>
      <w:r>
        <w:rPr>
          <w:rFonts w:ascii="宋体" w:hAnsi="宋体" w:eastAsia="宋体"/>
          <w:sz w:val="21"/>
        </w:rPr>
        <w:t>[32] TOMBE T, ZHU X. Trade, migration, and productivity: a quantitative analysis of China[J]. American Economic Review, 2019, 109(5): 1843-1872.</w:t>
      </w:r>
    </w:p>
    <w:p>
      <w:pPr>
        <w:spacing w:line="360" w:lineRule="auto" w:after="40"/>
        <w:ind w:left="480" w:hanging="480"/>
      </w:pPr>
      <w:r>
        <w:rPr>
          <w:rFonts w:ascii="宋体" w:hAnsi="宋体" w:eastAsia="宋体"/>
          <w:sz w:val="21"/>
        </w:rPr>
        <w:t>[33] 陈永伟, 胡伟民. 价格扭曲、要素错配和效率损失: 理论和应用[J]. 经济学(季刊), 2011, 10(4): 1401-1422.</w:t>
      </w:r>
    </w:p>
    <w:p>
      <w:pPr>
        <w:spacing w:line="360" w:lineRule="auto" w:after="40"/>
        <w:ind w:left="480" w:hanging="480"/>
      </w:pPr>
      <w:r>
        <w:rPr>
          <w:rFonts w:ascii="宋体" w:hAnsi="宋体" w:eastAsia="宋体"/>
          <w:sz w:val="21"/>
        </w:rPr>
        <w:t>[34] 龚关, 胡关亮. 中国制造业资源配置效率与全要素生产率[J]. 经济研究, 2013, 48(4): 4-15.</w:t>
      </w:r>
    </w:p>
    <w:p>
      <w:pPr>
        <w:spacing w:line="360" w:lineRule="auto" w:after="40"/>
        <w:ind w:left="480" w:hanging="480"/>
      </w:pPr>
      <w:r>
        <w:rPr>
          <w:rFonts w:ascii="宋体" w:hAnsi="宋体" w:eastAsia="宋体"/>
          <w:sz w:val="21"/>
        </w:rPr>
        <w:t>[35] 杨汝岱. 中国制造业企业全要素生产率研究[J]. 经济研究, 2015, 50(2): 61-74.</w:t>
      </w:r>
    </w:p>
    <w:p>
      <w:pPr>
        <w:spacing w:line="360" w:lineRule="auto" w:after="40"/>
        <w:ind w:left="480" w:hanging="480"/>
      </w:pPr>
      <w:r>
        <w:rPr>
          <w:rFonts w:ascii="宋体" w:hAnsi="宋体" w:eastAsia="宋体"/>
          <w:sz w:val="21"/>
        </w:rPr>
        <w:t>[36] PONCET S. A fragmented China: measure and determinants of Chinese domestic market disintegration[J]. Review of International Economics, 2005, 13(3): 409-430.</w:t>
      </w:r>
    </w:p>
    <w:p>
      <w:pPr>
        <w:spacing w:line="360" w:lineRule="auto" w:after="40"/>
        <w:ind w:left="480" w:hanging="480"/>
      </w:pPr>
      <w:r>
        <w:rPr>
          <w:rFonts w:ascii="宋体" w:hAnsi="宋体" w:eastAsia="宋体"/>
          <w:sz w:val="21"/>
        </w:rPr>
        <w:t>[37] 张昊. 地区间生产分工与市场统一度测算: "价格法"再探讨[J]. 世界经济, 2020, 43(4): 52-74.</w:t>
      </w:r>
    </w:p>
    <w:p>
      <w:pPr>
        <w:spacing w:line="360" w:lineRule="auto" w:after="40"/>
        <w:ind w:left="480" w:hanging="480"/>
      </w:pPr>
      <w:r>
        <w:rPr>
          <w:rFonts w:ascii="宋体" w:hAnsi="宋体" w:eastAsia="宋体"/>
          <w:sz w:val="21"/>
        </w:rPr>
        <w:t>[38] 刘志彪. 建设国内统一大市场: 影响因素与政策选择[J]. 学术月刊, 2021(9): 49-56.</w:t>
      </w:r>
    </w:p>
    <w:p>
      <w:pPr>
        <w:spacing w:line="360" w:lineRule="auto" w:after="40"/>
        <w:ind w:left="480" w:hanging="480"/>
      </w:pPr>
      <w:r>
        <w:rPr>
          <w:rFonts w:ascii="宋体" w:hAnsi="宋体" w:eastAsia="宋体"/>
          <w:sz w:val="21"/>
        </w:rPr>
        <w:t>[39] 靳来群, 林金忠, 丁诗诗. 行政垄断对所有制差异所致资源错配的影响[J]. 中国工业经济, 2015(4): 31-43.</w:t>
      </w:r>
    </w:p>
    <w:p>
      <w:pPr>
        <w:spacing w:line="360" w:lineRule="auto" w:after="40"/>
        <w:ind w:left="480" w:hanging="480"/>
      </w:pPr>
      <w:r>
        <w:rPr>
          <w:rFonts w:ascii="宋体" w:hAnsi="宋体" w:eastAsia="宋体"/>
          <w:sz w:val="21"/>
        </w:rPr>
        <w:t>[40] 杨兴全, 张可欣. 公平竞争审查制度能否促进企业创新: 基于规制行政垄断的视角[J]. 财经研究, 2023, 49(1): 63-78.</w:t>
      </w:r>
    </w:p>
    <w:p>
      <w:pPr>
        <w:spacing w:line="360" w:lineRule="auto" w:after="40"/>
        <w:ind w:left="480" w:hanging="480"/>
      </w:pPr>
      <w:r>
        <w:rPr>
          <w:rFonts w:ascii="宋体" w:hAnsi="宋体" w:eastAsia="宋体"/>
          <w:sz w:val="21"/>
        </w:rPr>
        <w:t>[41] 罗德明, 李晔, 史晋川. 要素市场扭曲、资源错置与生产率[J]. 经济研究, 2012, 47(3): 4-14.</w:t>
      </w:r>
    </w:p>
    <w:p>
      <w:pPr>
        <w:spacing w:line="360" w:lineRule="auto" w:after="40"/>
        <w:ind w:left="480" w:hanging="480"/>
      </w:pPr>
      <w:r>
        <w:rPr>
          <w:rFonts w:ascii="宋体" w:hAnsi="宋体" w:eastAsia="宋体"/>
          <w:sz w:val="21"/>
        </w:rPr>
        <w:t>[42] HOLZ C A. No razor's edge: reexamining Alwyn Young's evidence for increasing interprovincial trade barriers in China[J]. Review of Economics and Statistics, 2009, 91(3): 599-616.</w:t>
      </w:r>
    </w:p>
    <w:p>
      <w:pPr>
        <w:spacing w:line="360" w:lineRule="auto" w:after="40"/>
        <w:ind w:left="480" w:hanging="480"/>
      </w:pPr>
      <w:r>
        <w:rPr>
          <w:rFonts w:ascii="宋体" w:hAnsi="宋体" w:eastAsia="宋体"/>
          <w:sz w:val="21"/>
        </w:rPr>
        <w:t>[43] PONCET S. Measuring Chinese domestic and international integration[J]. China Economic Review, 2003, 14(1): 1-21.</w:t>
      </w:r>
    </w:p>
    <w:p>
      <w:pPr>
        <w:spacing w:line="360" w:lineRule="auto" w:after="40"/>
        <w:ind w:left="480" w:hanging="480"/>
      </w:pPr>
      <w:r>
        <w:rPr>
          <w:rFonts w:ascii="宋体" w:hAnsi="宋体" w:eastAsia="宋体"/>
          <w:sz w:val="21"/>
        </w:rPr>
        <w:t>[44] PARSLEY D C, WEI S J. Explaining the border effect: the role of exchange rate variability, shipping costs, and geography[J]. Journal of International Economics, 2001, 55(1): 87-105.</w:t>
      </w:r>
    </w:p>
    <w:p>
      <w:pPr>
        <w:spacing w:line="360" w:lineRule="auto" w:after="40"/>
        <w:ind w:left="480" w:hanging="480"/>
      </w:pPr>
      <w:r>
        <w:rPr>
          <w:rFonts w:ascii="宋体" w:hAnsi="宋体" w:eastAsia="宋体"/>
          <w:sz w:val="21"/>
        </w:rPr>
        <w:t>[45] 赵奇伟, 熊性美. 中国三大市场分割程度的比较分析: 时间走势与区域差异[J]. 世界经济, 2009(6): 41-53.</w:t>
      </w:r>
    </w:p>
    <w:p>
      <w:pPr>
        <w:spacing w:line="360" w:lineRule="auto" w:after="40"/>
        <w:ind w:left="480" w:hanging="480"/>
      </w:pPr>
      <w:r>
        <w:rPr>
          <w:rFonts w:ascii="宋体" w:hAnsi="宋体" w:eastAsia="宋体"/>
          <w:sz w:val="21"/>
        </w:rPr>
        <w:t>[46] 陈敏, 桂琦寒, 陆铭, 等. 中国经济增长如何持续发挥规模效应: 经济开放与国内商品市场分割的实证研究[J]. 经济学(季刊), 2008, 7(1): 125-150.</w:t>
      </w:r>
    </w:p>
    <w:p>
      <w:pPr>
        <w:spacing w:line="360" w:lineRule="auto" w:after="40"/>
        <w:ind w:left="480" w:hanging="480"/>
      </w:pPr>
      <w:r>
        <w:rPr>
          <w:rFonts w:ascii="宋体" w:hAnsi="宋体" w:eastAsia="宋体"/>
          <w:sz w:val="21"/>
        </w:rPr>
        <w:t>[47] 周黎安. 晋升博弈中政府官员的激励与合作: 兼论我国地方保护主义和重复建设问题长期存在的原因[J]. 经济研究, 2004(6): 33-40.</w:t>
      </w:r>
    </w:p>
    <w:p>
      <w:pPr>
        <w:spacing w:line="360" w:lineRule="auto" w:after="40"/>
        <w:ind w:left="480" w:hanging="480"/>
      </w:pPr>
      <w:r>
        <w:rPr>
          <w:rFonts w:ascii="宋体" w:hAnsi="宋体" w:eastAsia="宋体"/>
          <w:sz w:val="21"/>
        </w:rPr>
        <w:t>[48] XU C. The fundamental institutions of China's reforms and development[J]. Journal of Economic Literature, 2011, 49(4): 1076-1151.</w:t>
      </w:r>
    </w:p>
    <w:p>
      <w:pPr>
        <w:spacing w:line="360" w:lineRule="auto" w:after="40"/>
        <w:ind w:left="480" w:hanging="480"/>
      </w:pPr>
      <w:r>
        <w:rPr>
          <w:rFonts w:ascii="宋体" w:hAnsi="宋体" w:eastAsia="宋体"/>
          <w:sz w:val="21"/>
        </w:rPr>
        <w:t>[49] QIAN Y, WEINGAST B R. Federalism as a commitment to preserving market incentives[J]. Journal of Economic Perspectives, 1997, 11(4): 83-92.</w:t>
      </w:r>
    </w:p>
    <w:p>
      <w:pPr>
        <w:spacing w:line="360" w:lineRule="auto" w:after="40"/>
        <w:ind w:left="480" w:hanging="480"/>
      </w:pPr>
      <w:r>
        <w:rPr>
          <w:rFonts w:ascii="宋体" w:hAnsi="宋体" w:eastAsia="宋体"/>
          <w:sz w:val="21"/>
        </w:rPr>
        <w:t>[50] 白重恩, 杜颖娟, 陶志刚, 等. 地方保护主义及产业地区集中度的决定因素和变动趋势[J]. 经济研究, 2004(4): 29-40.</w:t>
      </w:r>
    </w:p>
    <w:p>
      <w:pPr>
        <w:spacing w:line="360" w:lineRule="auto" w:after="40"/>
        <w:ind w:left="480" w:hanging="480"/>
      </w:pPr>
      <w:r>
        <w:rPr>
          <w:rFonts w:ascii="宋体" w:hAnsi="宋体" w:eastAsia="宋体"/>
          <w:sz w:val="21"/>
        </w:rPr>
        <w:t>[51] BAI C E, DU Y, TAO Z, et al. Local protectionism and regional specialization: evidence from China's industries[J]. Journal of International Economics, 2004, 63(2): 397-417.</w:t>
      </w:r>
    </w:p>
    <w:p>
      <w:pPr>
        <w:spacing w:line="360" w:lineRule="auto" w:after="40"/>
        <w:ind w:left="480" w:hanging="480"/>
      </w:pPr>
      <w:r>
        <w:rPr>
          <w:rFonts w:ascii="宋体" w:hAnsi="宋体" w:eastAsia="宋体"/>
          <w:sz w:val="21"/>
        </w:rPr>
        <w:t>[52] 范子英, 张军. 财政分权、转移支付与国内市场整合[J]. 经济研究, 2010(3): 53-64.</w:t>
      </w:r>
    </w:p>
    <w:p>
      <w:pPr>
        <w:spacing w:line="360" w:lineRule="auto" w:after="40"/>
        <w:ind w:left="480" w:hanging="480"/>
      </w:pPr>
      <w:r>
        <w:rPr>
          <w:rFonts w:ascii="宋体" w:hAnsi="宋体" w:eastAsia="宋体"/>
          <w:sz w:val="21"/>
        </w:rPr>
        <w:t>[53] 皮建才. 中国地方政府间竞争下的区域市场整合[J]. 经济研究, 2008(3): 115-124.</w:t>
      </w:r>
    </w:p>
    <w:p>
      <w:pPr>
        <w:spacing w:line="360" w:lineRule="auto" w:after="40"/>
        <w:ind w:left="480" w:hanging="480"/>
      </w:pPr>
      <w:r>
        <w:rPr>
          <w:rFonts w:ascii="宋体" w:hAnsi="宋体" w:eastAsia="宋体"/>
          <w:sz w:val="21"/>
        </w:rPr>
        <w:t>[54] 高翔, 龙小宁. 省级行政区划造成的文化分割会影响区域经济吗[J]. 经济学(季刊), 2016, 15(2): 647-674.</w:t>
      </w:r>
    </w:p>
    <w:p>
      <w:pPr>
        <w:spacing w:line="360" w:lineRule="auto" w:after="40"/>
        <w:ind w:left="480" w:hanging="480"/>
      </w:pPr>
      <w:r>
        <w:rPr>
          <w:rFonts w:ascii="宋体" w:hAnsi="宋体" w:eastAsia="宋体"/>
          <w:sz w:val="21"/>
        </w:rPr>
        <w:t>[55] 刘毓芸, 徐现祥, 肖泽凯. 劳动力跨方言流动的倒U型模式[J]. 经济研究, 2015, 50(10): 134-146.</w:t>
      </w:r>
    </w:p>
    <w:p>
      <w:pPr>
        <w:spacing w:line="360" w:lineRule="auto" w:after="40"/>
        <w:ind w:left="480" w:hanging="480"/>
      </w:pPr>
      <w:r>
        <w:rPr>
          <w:rFonts w:ascii="宋体" w:hAnsi="宋体" w:eastAsia="宋体"/>
          <w:sz w:val="21"/>
        </w:rPr>
        <w:t>[56] 曹春方, 周大伟, 吴澄澄, 等. 市场分割与异地子公司分布[J]. 管理世界, 2015(9): 92-103.</w:t>
      </w:r>
    </w:p>
    <w:p>
      <w:pPr>
        <w:spacing w:line="360" w:lineRule="auto" w:after="40"/>
        <w:ind w:left="480" w:hanging="480"/>
      </w:pPr>
      <w:r>
        <w:rPr>
          <w:rFonts w:ascii="宋体" w:hAnsi="宋体" w:eastAsia="宋体"/>
          <w:sz w:val="21"/>
        </w:rPr>
        <w:t>[57] HSIEH C T, KLENOW P J. The life cycle of plants in India and Mexico[J]. Quarterly Journal of Economics, 2014, 129(3): 1035-1084.</w:t>
      </w:r>
    </w:p>
    <w:p>
      <w:pPr>
        <w:spacing w:line="360" w:lineRule="auto" w:after="40"/>
        <w:ind w:left="480" w:hanging="480"/>
      </w:pPr>
      <w:r>
        <w:rPr>
          <w:rFonts w:ascii="宋体" w:hAnsi="宋体" w:eastAsia="宋体"/>
          <w:sz w:val="21"/>
        </w:rPr>
        <w:t>[58] MIDRIGAN V, XU D Y. Finance and misallocation: evidence from plant-level data[J]. American Economic Review, 2014, 104(2): 422-458.</w:t>
      </w:r>
    </w:p>
    <w:p>
      <w:pPr>
        <w:spacing w:line="360" w:lineRule="auto" w:after="40"/>
        <w:ind w:left="480" w:hanging="480"/>
      </w:pPr>
      <w:r>
        <w:rPr>
          <w:rFonts w:ascii="宋体" w:hAnsi="宋体" w:eastAsia="宋体"/>
          <w:sz w:val="21"/>
        </w:rPr>
        <w:t>[59] DAVID J M, VENKATESWARAN V. The sources of capital misallocation[J]. American Economic Review, 2019, 109(7): 2531-2567.</w:t>
      </w:r>
    </w:p>
    <w:p>
      <w:pPr>
        <w:spacing w:line="360" w:lineRule="auto" w:after="40"/>
        <w:ind w:left="480" w:hanging="480"/>
      </w:pPr>
      <w:r>
        <w:rPr>
          <w:rFonts w:ascii="宋体" w:hAnsi="宋体" w:eastAsia="宋体"/>
          <w:sz w:val="21"/>
        </w:rPr>
        <w:t>[60] WU G L. Capital misallocation in China: financial frictions or policy distortions?[J]. Journal of Development Economics, 2018, 130: 203-223.</w:t>
      </w:r>
    </w:p>
    <w:p>
      <w:pPr>
        <w:spacing w:line="360" w:lineRule="auto" w:after="40"/>
        <w:ind w:left="480" w:hanging="480"/>
      </w:pPr>
      <w:r>
        <w:rPr>
          <w:rFonts w:ascii="宋体" w:hAnsi="宋体" w:eastAsia="宋体"/>
          <w:sz w:val="21"/>
        </w:rPr>
        <w:t>[61] SONG Z, STORESLETTEN K, ZILIBOTTI F. Growing like China[J]. American Economic Review, 2011, 101(1): 196-233.</w:t>
      </w:r>
    </w:p>
    <w:p>
      <w:pPr>
        <w:spacing w:line="360" w:lineRule="auto" w:after="40"/>
        <w:ind w:left="480" w:hanging="480"/>
      </w:pPr>
      <w:r>
        <w:rPr>
          <w:rFonts w:ascii="宋体" w:hAnsi="宋体" w:eastAsia="宋体"/>
          <w:sz w:val="21"/>
        </w:rPr>
        <w:t>[62] 盖庆恩, 方聪龙, 程名望, 等. 贸易成本、劳动力市场扭曲与中国的劳动生产率[J]. 管理世界, 2019(3): 58-70.</w:t>
      </w:r>
    </w:p>
    <w:p>
      <w:pPr>
        <w:spacing w:line="360" w:lineRule="auto" w:after="40"/>
        <w:ind w:left="480" w:hanging="480"/>
      </w:pPr>
      <w:r>
        <w:rPr>
          <w:rFonts w:ascii="宋体" w:hAnsi="宋体" w:eastAsia="宋体"/>
          <w:sz w:val="21"/>
        </w:rPr>
        <w:t>[63] 盖庆恩, 朱喜, 程名望, 等. 要素市场扭曲、垄断势力与全要素生产率[J]. 经济研究, 2015, 50(5): 61-75.</w:t>
      </w:r>
    </w:p>
    <w:p>
      <w:pPr>
        <w:spacing w:line="360" w:lineRule="auto" w:after="40"/>
        <w:ind w:left="480" w:hanging="480"/>
      </w:pPr>
      <w:r>
        <w:rPr>
          <w:rFonts w:ascii="宋体" w:hAnsi="宋体" w:eastAsia="宋体"/>
          <w:sz w:val="21"/>
        </w:rPr>
        <w:t>[64] 盖庆恩, 朱喜, 程名望, 等. 土地资源配置不当与劳动生产率[J]. 经济研究, 2017, 52(5): 117-130.</w:t>
      </w:r>
    </w:p>
    <w:p>
      <w:pPr>
        <w:spacing w:line="360" w:lineRule="auto" w:after="40"/>
        <w:ind w:left="480" w:hanging="480"/>
      </w:pPr>
      <w:r>
        <w:rPr>
          <w:rFonts w:ascii="宋体" w:hAnsi="宋体" w:eastAsia="宋体"/>
          <w:sz w:val="21"/>
        </w:rPr>
        <w:t>[65] 张少辉, 余泳泽. 土地出让、资源错配与全要素生产率[J]. 财经研究, 2019, 45(2): 73-85.</w:t>
      </w:r>
    </w:p>
    <w:p>
      <w:pPr>
        <w:spacing w:line="360" w:lineRule="auto" w:after="40"/>
        <w:ind w:left="480" w:hanging="480"/>
      </w:pPr>
      <w:r>
        <w:rPr>
          <w:rFonts w:ascii="宋体" w:hAnsi="宋体" w:eastAsia="宋体"/>
          <w:sz w:val="21"/>
        </w:rPr>
        <w:t>[66] 李勇刚, 罗海艳. 土地资源错配阻碍了产业结构升级吗: 来自中国35个大中城市的经验证据[J]. 财经研究, 2017, 43(9): 110-121.</w:t>
      </w:r>
    </w:p>
    <w:p>
      <w:pPr>
        <w:spacing w:line="360" w:lineRule="auto" w:after="40"/>
        <w:ind w:left="480" w:hanging="480"/>
      </w:pPr>
      <w:r>
        <w:rPr>
          <w:rFonts w:ascii="宋体" w:hAnsi="宋体" w:eastAsia="宋体"/>
          <w:sz w:val="21"/>
        </w:rPr>
        <w:t>[67] 张杰, 周晓艳, 李勇. 要素市场扭曲抑制了中国企业研发投入吗[J]. 经济研究, 2011, 46(8): 78-91.</w:t>
      </w:r>
    </w:p>
    <w:p>
      <w:pPr>
        <w:spacing w:line="360" w:lineRule="auto" w:after="40"/>
        <w:ind w:left="480" w:hanging="480"/>
      </w:pPr>
      <w:r>
        <w:rPr>
          <w:rFonts w:ascii="宋体" w:hAnsi="宋体" w:eastAsia="宋体"/>
          <w:sz w:val="21"/>
        </w:rPr>
        <w:t>[68] BUERA F J, KABOSKI J P, SHIN Y. Finance and development: a tale of two sectors[J]. American Economic Review, 2011, 101(5): 1964-2002.</w:t>
      </w:r>
    </w:p>
    <w:p>
      <w:pPr>
        <w:spacing w:line="360" w:lineRule="auto" w:after="40"/>
        <w:ind w:left="480" w:hanging="480"/>
      </w:pPr>
      <w:r>
        <w:rPr>
          <w:rFonts w:ascii="宋体" w:hAnsi="宋体" w:eastAsia="宋体"/>
          <w:sz w:val="21"/>
        </w:rPr>
        <w:t>[69] ADAMOPOULOS T, RESTUCCIA D. The size distribution of farms and international productivity differences[J]. American Economic Review, 2014, 104(6): 1667-1697.</w:t>
      </w:r>
    </w:p>
    <w:p>
      <w:pPr>
        <w:spacing w:line="360" w:lineRule="auto" w:after="40"/>
        <w:ind w:left="480" w:hanging="480"/>
      </w:pPr>
      <w:r>
        <w:rPr>
          <w:rFonts w:ascii="宋体" w:hAnsi="宋体" w:eastAsia="宋体"/>
          <w:sz w:val="21"/>
        </w:rPr>
        <w:t>[70] 江艇, 孙鲲鹏, 聂辉华. 城市级别、全要素生产率和资源错配[J]. 管理世界, 2018(3): 38-50.</w:t>
      </w:r>
    </w:p>
    <w:p>
      <w:pPr>
        <w:spacing w:line="360" w:lineRule="auto" w:after="40"/>
        <w:ind w:left="480" w:hanging="480"/>
      </w:pPr>
      <w:r>
        <w:rPr>
          <w:rFonts w:ascii="宋体" w:hAnsi="宋体" w:eastAsia="宋体"/>
          <w:sz w:val="21"/>
        </w:rPr>
        <w:t>[71] 刘潘, 张子尧. 地方公共债务与资源配置效率: 企业间全要素生产率分布差异的视角[J]. 经济研究, 2023(10): 114-131.</w:t>
      </w:r>
    </w:p>
    <w:p>
      <w:pPr>
        <w:spacing w:line="360" w:lineRule="auto" w:after="40"/>
        <w:ind w:left="480" w:hanging="480"/>
      </w:pPr>
      <w:r>
        <w:rPr>
          <w:rFonts w:ascii="宋体" w:hAnsi="宋体" w:eastAsia="宋体"/>
          <w:sz w:val="21"/>
        </w:rPr>
        <w:t>[72] 戴小勇. 中国高创新投入与低生产率之谜: 资源错配视角的解释[J]. 世界经济, 2021, 44(3): 86-109.</w:t>
      </w:r>
    </w:p>
    <w:p>
      <w:pPr>
        <w:spacing w:line="360" w:lineRule="auto" w:after="40"/>
        <w:ind w:left="480" w:hanging="480"/>
      </w:pPr>
      <w:r>
        <w:rPr>
          <w:rFonts w:ascii="宋体" w:hAnsi="宋体" w:eastAsia="宋体"/>
          <w:sz w:val="21"/>
        </w:rPr>
        <w:t>[73] 白俊红, 刘宇英. 对外直接投资能否改善中国的资源错配[J]. 中国工业经济, 2018(1): 60-78.</w:t>
      </w:r>
    </w:p>
    <w:p>
      <w:pPr>
        <w:spacing w:line="360" w:lineRule="auto" w:after="40"/>
        <w:ind w:left="480" w:hanging="480"/>
      </w:pPr>
      <w:r>
        <w:rPr>
          <w:rFonts w:ascii="宋体" w:hAnsi="宋体" w:eastAsia="宋体"/>
          <w:sz w:val="21"/>
        </w:rPr>
        <w:t>[74] 倪婷婷, 王跃堂. 区域行政整合、要素市场化与企业资源配置效率[J]. 数量经济技术经济研究, 2022, 39(11): 136-156.</w:t>
      </w:r>
    </w:p>
    <w:p>
      <w:pPr>
        <w:spacing w:line="360" w:lineRule="auto" w:after="40"/>
        <w:ind w:left="480" w:hanging="480"/>
      </w:pPr>
      <w:r>
        <w:rPr>
          <w:rFonts w:ascii="宋体" w:hAnsi="宋体" w:eastAsia="宋体"/>
          <w:sz w:val="21"/>
        </w:rPr>
        <w:t>[75] 胡芊芊, 马新啸, 栗宇丹, 等. 企业集团的资本要素异地配置与投资效率优化研究: 基于全国统一大市场建设的新时代情境[J]. 上海财经大学学报, 2022, 24(6): 18-31.</w:t>
      </w:r>
    </w:p>
    <w:p>
      <w:pPr>
        <w:spacing w:line="360" w:lineRule="auto" w:after="40"/>
        <w:ind w:left="480" w:hanging="480"/>
      </w:pPr>
      <w:r>
        <w:rPr>
          <w:rFonts w:ascii="宋体" w:hAnsi="宋体" w:eastAsia="宋体"/>
          <w:sz w:val="21"/>
        </w:rPr>
        <w:t>[76] 余典范, 张家才, 陈磊. 企业数字化促进了资本跨地区流动吗: 来自上市公司异地设立子公司的证据[J]. 财经研究, 2023, 49(12): 91-105.</w:t>
      </w:r>
    </w:p>
    <w:p>
      <w:pPr>
        <w:spacing w:line="360" w:lineRule="auto" w:after="40"/>
        <w:ind w:left="480" w:hanging="480"/>
      </w:pPr>
      <w:r>
        <w:rPr>
          <w:rFonts w:ascii="宋体" w:hAnsi="宋体" w:eastAsia="宋体"/>
          <w:sz w:val="21"/>
        </w:rPr>
        <w:t>[77] 彭婕, 豆建民. 资本跨区流动与企业全要素生产率提升: 兼议全国统一大市场建设[J]. 财经研究, 2025, 51(12): 92-105.</w:t>
      </w:r>
    </w:p>
    <w:p>
      <w:pPr>
        <w:spacing w:line="360" w:lineRule="auto" w:after="40"/>
        <w:ind w:left="480" w:hanging="480"/>
      </w:pPr>
      <w:r>
        <w:rPr>
          <w:rFonts w:ascii="宋体" w:hAnsi="宋体" w:eastAsia="宋体"/>
          <w:sz w:val="21"/>
        </w:rPr>
        <w:t>[78] 胡增玺, 马述忠. 市场一体化对企业数字创新的影响: 兼论数字创新衡量方法[J]. 经济研究, 2023, 58(6): 155-172.</w:t>
      </w:r>
    </w:p>
    <w:p>
      <w:pPr>
        <w:spacing w:line="360" w:lineRule="auto" w:after="40"/>
        <w:ind w:left="480" w:hanging="480"/>
      </w:pPr>
      <w:r>
        <w:rPr>
          <w:rFonts w:ascii="宋体" w:hAnsi="宋体" w:eastAsia="宋体"/>
          <w:sz w:val="21"/>
        </w:rPr>
        <w:t>[79] 韩峰, 袁香钰. 国内大市场优势与企业自主创新[J]. 财经研究, 2023, 49(12): 4-18.</w:t>
      </w:r>
    </w:p>
    <w:p>
      <w:pPr>
        <w:spacing w:line="360" w:lineRule="auto" w:after="40"/>
        <w:ind w:left="480" w:hanging="480"/>
      </w:pPr>
      <w:r>
        <w:rPr>
          <w:rFonts w:ascii="宋体" w:hAnsi="宋体" w:eastAsia="宋体"/>
          <w:sz w:val="21"/>
        </w:rPr>
        <w:t>[80] 王巍, 姜智鑫. 市场一体化与企业异地创新合作: 基于城市群发展规划的实证研究[J]. 财经研究, 2024, 50(4): 49-63.</w:t>
      </w:r>
    </w:p>
    <w:p>
      <w:pPr>
        <w:spacing w:line="360" w:lineRule="auto" w:after="40"/>
        <w:ind w:left="480" w:hanging="480"/>
      </w:pPr>
      <w:r>
        <w:rPr>
          <w:rFonts w:ascii="宋体" w:hAnsi="宋体" w:eastAsia="宋体"/>
          <w:sz w:val="21"/>
        </w:rPr>
        <w:t>[81] 范子英, 周小昶. 财政激励、市场一体化与企业跨地区投资: 基于所得税分享改革的研究[J]. 中国工业经济, 2022(2): 118-136.</w:t>
      </w:r>
    </w:p>
    <w:p>
      <w:pPr>
        <w:spacing w:line="360" w:lineRule="auto" w:after="40"/>
        <w:ind w:left="480" w:hanging="480"/>
      </w:pPr>
      <w:r>
        <w:rPr>
          <w:rFonts w:ascii="宋体" w:hAnsi="宋体" w:eastAsia="宋体"/>
          <w:sz w:val="21"/>
        </w:rPr>
        <w:t>[82] 林晨, 李宇潇. 全国统一大市场与地方产业政策竞争[J]. 经济研究, 2024(12): 40-57.</w:t>
      </w:r>
    </w:p>
    <w:p>
      <w:pPr>
        <w:spacing w:line="360" w:lineRule="auto" w:after="40"/>
        <w:ind w:left="480" w:hanging="480"/>
      </w:pPr>
      <w:r>
        <w:rPr>
          <w:rFonts w:ascii="宋体" w:hAnsi="宋体" w:eastAsia="宋体"/>
          <w:sz w:val="21"/>
        </w:rPr>
        <w:t>[83] 王菁华, 毕超. 公平竞争审查制度如何影响企业全要素生产率: 基于去行政垄断的视角[J]. 外国经济与管理, 2024, 46(1): 48-61.</w:t>
      </w:r>
    </w:p>
    <w:p>
      <w:pPr>
        <w:spacing w:line="360" w:lineRule="auto" w:after="40"/>
        <w:ind w:left="480" w:hanging="480"/>
      </w:pPr>
      <w:r>
        <w:rPr>
          <w:rFonts w:ascii="宋体" w:hAnsi="宋体" w:eastAsia="宋体"/>
          <w:sz w:val="21"/>
        </w:rPr>
        <w:t>[84] 戴魁早, 王思曼, 黄姿. 数据交易平台建设如何影响企业全要素生产率[J]. 经济学动态, 2023(12): 36-56.</w:t>
      </w:r>
    </w:p>
    <w:p>
      <w:pPr>
        <w:spacing w:line="360" w:lineRule="auto" w:after="40"/>
        <w:ind w:left="480" w:hanging="480"/>
      </w:pPr>
      <w:r>
        <w:rPr>
          <w:rFonts w:ascii="宋体" w:hAnsi="宋体" w:eastAsia="宋体"/>
          <w:sz w:val="21"/>
        </w:rPr>
        <w:t>[85] 史丹, 郑玉. 数据要素的赋能机制与企业全要素生产率提升: 来自国家级大数据综合试验区的证据[J]. 改革, 2024(11): 1-18.</w:t>
      </w:r>
    </w:p>
    <w:p>
      <w:pPr>
        <w:spacing w:line="360" w:lineRule="auto" w:after="40"/>
        <w:ind w:left="480" w:hanging="480"/>
      </w:pPr>
      <w:r>
        <w:rPr>
          <w:rFonts w:ascii="宋体" w:hAnsi="宋体" w:eastAsia="宋体"/>
          <w:sz w:val="21"/>
        </w:rPr>
        <w:t>[86] 齐鹰飞, 管鑫. 市场统一如何促进企业吸纳就业: 基于长三角一体化的准自然实验[J]. 财经研究, 2025, 51(1): 33-47.</w:t>
      </w:r>
    </w:p>
    <w:p>
      <w:pPr>
        <w:spacing w:line="360" w:lineRule="auto" w:after="40"/>
        <w:ind w:left="480" w:hanging="480"/>
      </w:pPr>
      <w:r>
        <w:rPr>
          <w:rFonts w:ascii="宋体" w:hAnsi="宋体" w:eastAsia="宋体"/>
          <w:sz w:val="21"/>
        </w:rPr>
        <w:t>[87] 苏振东, 宫硕. 全国统一大市场建设与中国企业"内外双链"地位提升: 基于国内供应链调节的新视角[J]. 财经研究, 2025, 51(2): 4-18.</w:t>
      </w:r>
    </w:p>
    <w:p>
      <w:pPr>
        <w:spacing w:line="360" w:lineRule="auto" w:after="40"/>
        <w:ind w:left="480" w:hanging="480"/>
      </w:pPr>
      <w:r>
        <w:rPr>
          <w:rFonts w:ascii="宋体" w:hAnsi="宋体" w:eastAsia="宋体"/>
          <w:sz w:val="21"/>
        </w:rPr>
        <w:t>[88] FUJITA M, KRUGMAN P, VENABLES A J. The spatial economy: cities, regions, and international trade[M]. Cambridge: MIT Press, 1999.</w:t>
      </w:r>
    </w:p>
    <w:p>
      <w:pPr>
        <w:spacing w:line="360" w:lineRule="auto" w:after="40"/>
        <w:ind w:left="480" w:hanging="480"/>
      </w:pPr>
      <w:r>
        <w:rPr>
          <w:rFonts w:ascii="宋体" w:hAnsi="宋体" w:eastAsia="宋体"/>
          <w:sz w:val="21"/>
        </w:rPr>
        <w:t>[89] FABER B. Trade integration, market size, and industrialization: evidence from China's National Trunk Highway System[J]. Review of Economic Studies, 2014, 81(3): 1046-1070.</w:t>
      </w:r>
    </w:p>
    <w:p>
      <w:pPr>
        <w:spacing w:line="360" w:lineRule="auto" w:after="40"/>
        <w:ind w:left="480" w:hanging="480"/>
      </w:pPr>
      <w:r>
        <w:rPr>
          <w:rFonts w:ascii="宋体" w:hAnsi="宋体" w:eastAsia="宋体"/>
          <w:sz w:val="21"/>
        </w:rPr>
        <w:t>[90] DONALDSON D. Railroads of the Raj: estimating the impact of transportation infrastructure[J]. American Economic Review, 2018, 108(4-5): 899-934.</w:t>
      </w:r>
    </w:p>
    <w:p>
      <w:pPr>
        <w:spacing w:line="360" w:lineRule="auto" w:after="40"/>
        <w:ind w:left="480" w:hanging="480"/>
      </w:pPr>
      <w:r>
        <w:rPr>
          <w:rFonts w:ascii="宋体" w:hAnsi="宋体" w:eastAsia="宋体"/>
          <w:sz w:val="21"/>
        </w:rPr>
        <w:t>[91] 金煜, 陈钊, 陆铭. 中国的地区工业集聚: 经济地理、新经济地理与经济政策[J]. 经济研究, 2006(4): 79-89.</w:t>
      </w:r>
    </w:p>
    <w:p>
      <w:pPr>
        <w:spacing w:line="360" w:lineRule="auto" w:after="40"/>
        <w:ind w:left="480" w:hanging="480"/>
      </w:pPr>
      <w:r>
        <w:rPr>
          <w:rFonts w:ascii="宋体" w:hAnsi="宋体" w:eastAsia="宋体"/>
          <w:sz w:val="21"/>
        </w:rPr>
        <w:t>[92] 黄玖立, 李坤望. 出口开放、地区市场规模和经济增长[J]. 经济研究, 2006(6): 27-38.</w:t>
      </w:r>
    </w:p>
    <w:p>
      <w:pPr>
        <w:spacing w:line="360" w:lineRule="auto" w:after="40"/>
        <w:ind w:left="480" w:hanging="480"/>
      </w:pPr>
      <w:r>
        <w:rPr>
          <w:rFonts w:ascii="宋体" w:hAnsi="宋体" w:eastAsia="宋体"/>
          <w:sz w:val="21"/>
        </w:rPr>
        <w:t>[93] MONTINOLA G, QIAN Y, WEINGAST B R. Federalism, Chinese style: the political basis for economic success in China[J]. World Politics, 1995, 48(1): 50-81.</w:t>
      </w:r>
    </w:p>
    <w:p>
      <w:pPr>
        <w:spacing w:line="360" w:lineRule="auto" w:after="40"/>
        <w:ind w:left="480" w:hanging="480"/>
      </w:pPr>
      <w:r>
        <w:rPr>
          <w:rFonts w:ascii="宋体" w:hAnsi="宋体" w:eastAsia="宋体"/>
          <w:sz w:val="21"/>
        </w:rPr>
        <w:t>[94] JIN H, QIAN Y, WEINGAST B R. Regional decentralization and fiscal incentives: federalism, Chinese style[J]. Journal of Public Economics, 2005, 89(9-10): 1719-1742.</w:t>
      </w:r>
    </w:p>
    <w:p>
      <w:pPr>
        <w:spacing w:line="360" w:lineRule="auto" w:after="40"/>
        <w:ind w:left="480" w:hanging="480"/>
      </w:pPr>
      <w:r>
        <w:rPr>
          <w:rFonts w:ascii="宋体" w:hAnsi="宋体" w:eastAsia="宋体"/>
          <w:sz w:val="21"/>
        </w:rPr>
        <w:t>[95] LIN J Y, LIU Z. Fiscal decentralization and economic growth in China[J]. Economic Development and Cultural Change, 2000, 49(1): 1-21.</w:t>
      </w:r>
    </w:p>
    <w:p>
      <w:pPr>
        <w:spacing w:line="360" w:lineRule="auto" w:after="40"/>
        <w:ind w:left="480" w:hanging="480"/>
      </w:pPr>
      <w:r>
        <w:rPr>
          <w:rFonts w:ascii="宋体" w:hAnsi="宋体" w:eastAsia="宋体"/>
          <w:sz w:val="21"/>
        </w:rPr>
        <w:t>[96] 沈坤荣, 付文林. 税收竞争、地区博弈及其增长绩效[J]. 经济研究, 2006(6): 16-26.</w:t>
      </w:r>
    </w:p>
    <w:p>
      <w:pPr>
        <w:spacing w:line="360" w:lineRule="auto" w:after="40"/>
        <w:ind w:left="480" w:hanging="480"/>
      </w:pPr>
      <w:r>
        <w:rPr>
          <w:rFonts w:ascii="宋体" w:hAnsi="宋体" w:eastAsia="宋体"/>
          <w:sz w:val="21"/>
        </w:rPr>
        <w:t>[97] 范子英, 田彬彬. 税收竞争、税收执法与企业避税[J]. 经济研究, 2013(9): 99-111.</w:t>
      </w:r>
    </w:p>
    <w:p>
      <w:pPr>
        <w:spacing w:line="360" w:lineRule="auto" w:after="40"/>
        <w:ind w:left="480" w:hanging="480"/>
      </w:pPr>
      <w:r>
        <w:rPr>
          <w:rFonts w:ascii="宋体" w:hAnsi="宋体" w:eastAsia="宋体"/>
          <w:sz w:val="21"/>
        </w:rPr>
        <w:t>[98] MELITZ M J. The impact of trade on intra-industry reallocations and aggregate industry productivity[J]. Econometrica, 2003, 71(6): 1695-1725.</w:t>
      </w:r>
    </w:p>
    <w:p>
      <w:pPr>
        <w:spacing w:line="360" w:lineRule="auto" w:after="40"/>
        <w:ind w:left="480" w:hanging="480"/>
      </w:pPr>
      <w:r>
        <w:rPr>
          <w:rFonts w:ascii="宋体" w:hAnsi="宋体" w:eastAsia="宋体"/>
          <w:sz w:val="21"/>
        </w:rPr>
        <w:t>[99] AGHION P, BLOOM N, BLUNDELL R, et al. Competition and innovation: an inverted-U relationship[J]. Quarterly Journal of Economics, 2005, 120(2): 701-728.</w:t>
      </w:r>
    </w:p>
    <w:p>
      <w:pPr>
        <w:spacing w:line="360" w:lineRule="auto" w:after="40"/>
        <w:ind w:left="480" w:hanging="480"/>
      </w:pPr>
      <w:r>
        <w:rPr>
          <w:rFonts w:ascii="宋体" w:hAnsi="宋体" w:eastAsia="宋体"/>
          <w:sz w:val="21"/>
        </w:rPr>
        <w:t>[100] 王永钦, 张晏, 章元, 等. 中国的大国发展道路: 论分权式改革的得失[J]. 经济研究, 2007(1): 4-16.</w:t>
      </w:r>
    </w:p>
    <w:p>
      <w:pPr>
        <w:spacing w:line="360" w:lineRule="auto" w:after="40"/>
        <w:ind w:left="480" w:hanging="480"/>
      </w:pPr>
      <w:r>
        <w:rPr>
          <w:rFonts w:ascii="宋体" w:hAnsi="宋体" w:eastAsia="宋体"/>
          <w:sz w:val="21"/>
        </w:rPr>
        <w:t>[101] 李善同, 侯永志, 刘云中, 等. 中国国内地方保护问题的调查与分析[J]. 经济研究, 2004(11): 78-84.</w:t>
      </w:r>
    </w:p>
    <w:p>
      <w:pPr>
        <w:spacing w:line="360" w:lineRule="auto" w:after="40"/>
        <w:ind w:left="480" w:hanging="480"/>
      </w:pPr>
      <w:r>
        <w:rPr>
          <w:rFonts w:ascii="宋体" w:hAnsi="宋体" w:eastAsia="宋体"/>
          <w:sz w:val="21"/>
        </w:rPr>
        <w:t>[102] 周黎安. 转型中的地方政府: 官员激励与治理(第二版)[M]. 上海: 格致出版社, 上海人民出版社, 2017.</w:t>
      </w:r>
    </w:p>
    <w:p>
      <w:pPr>
        <w:spacing w:line="360" w:lineRule="auto" w:after="40"/>
        <w:ind w:left="480" w:hanging="480"/>
      </w:pPr>
      <w:r>
        <w:rPr>
          <w:rFonts w:ascii="宋体" w:hAnsi="宋体" w:eastAsia="宋体"/>
          <w:sz w:val="21"/>
        </w:rPr>
        <w:t>[103] 陈钊, 陆铭. 从分割到融合: 城乡经济增长与社会和谐的政治经济学[J]. 经济研究, 2008(1): 21-32.</w:t>
      </w:r>
    </w:p>
    <w:p>
      <w:pPr>
        <w:spacing w:line="360" w:lineRule="auto" w:after="40"/>
        <w:ind w:left="480" w:hanging="480"/>
      </w:pPr>
      <w:r>
        <w:rPr>
          <w:rFonts w:ascii="宋体" w:hAnsi="宋体" w:eastAsia="宋体"/>
          <w:sz w:val="21"/>
        </w:rPr>
        <w:t>[104] 曹婧. 土地金融化、资源错配与企业全要素生产率[J]. 财贸经济, 2024(1): 122-137.</w:t>
      </w:r>
    </w:p>
    <w:p>
      <w:pPr>
        <w:spacing w:line="360" w:lineRule="auto" w:after="40"/>
        <w:ind w:left="480" w:hanging="480"/>
      </w:pPr>
      <w:r>
        <w:rPr>
          <w:rFonts w:ascii="宋体" w:hAnsi="宋体" w:eastAsia="宋体"/>
          <w:sz w:val="21"/>
        </w:rPr>
        <w:t>[105] 李言, 肖雨婷. 数字经济发展与劳动力空间错配[J]. 财经研究, 2024, 50(6): 138-152.</w:t>
      </w:r>
    </w:p>
    <w:p>
      <w:pPr>
        <w:spacing w:line="360" w:lineRule="auto" w:after="40"/>
        <w:ind w:left="480" w:hanging="480"/>
      </w:pPr>
      <w:r>
        <w:rPr>
          <w:rFonts w:ascii="宋体" w:hAnsi="宋体" w:eastAsia="宋体"/>
          <w:sz w:val="21"/>
        </w:rPr>
        <w:t>[106] 蒲艳萍, 顾冉. 劳动力工资扭曲如何影响企业创新[J]. 中国工业经济, 2019(7): 137-154.</w:t>
      </w:r>
    </w:p>
    <w:p>
      <w:pPr>
        <w:spacing w:line="360" w:lineRule="auto" w:after="40"/>
        <w:ind w:left="480" w:hanging="480"/>
      </w:pPr>
      <w:r>
        <w:rPr>
          <w:rFonts w:ascii="宋体" w:hAnsi="宋体" w:eastAsia="宋体"/>
          <w:sz w:val="21"/>
        </w:rPr>
        <w:t>[107] 陆铭. 城市、区域和国家发展: 空间政治经济学的现在与未来[J]. 经济学(季刊), 2017, 16(4): 1499-1532.</w:t>
      </w:r>
    </w:p>
    <w:p>
      <w:pPr>
        <w:spacing w:line="360" w:lineRule="auto" w:after="40"/>
        <w:ind w:left="480" w:hanging="480"/>
      </w:pPr>
      <w:r>
        <w:rPr>
          <w:rFonts w:ascii="宋体" w:hAnsi="宋体" w:eastAsia="宋体"/>
          <w:sz w:val="21"/>
        </w:rPr>
        <w:t>[108] 陈斌开, 金箫, 欧阳涤非. 住房价格、资源错配与中国工业企业生产率[J]. 世界经济, 2015(4): 77-98.</w:t>
      </w:r>
    </w:p>
    <w:p>
      <w:pPr>
        <w:spacing w:line="360" w:lineRule="auto" w:after="40"/>
        <w:ind w:left="480" w:hanging="480"/>
      </w:pPr>
      <w:r>
        <w:rPr>
          <w:rFonts w:ascii="宋体" w:hAnsi="宋体" w:eastAsia="宋体"/>
          <w:sz w:val="21"/>
        </w:rPr>
        <w:t>[109] 白东北, 张营营, 唐青青. 开发区设立与地区资源错配: 理论机制与经验辨识[J]. 财经研究, 2020, 46(7): 49-63.</w:t>
      </w:r>
    </w:p>
    <w:p>
      <w:pPr>
        <w:spacing w:line="360" w:lineRule="auto" w:after="40"/>
        <w:ind w:left="480" w:hanging="480"/>
      </w:pPr>
      <w:r>
        <w:rPr>
          <w:rFonts w:ascii="宋体" w:hAnsi="宋体" w:eastAsia="宋体"/>
          <w:sz w:val="21"/>
        </w:rPr>
        <w:t>[110] 范欣, 宋冬林, 赵新宇. 基础设施建设打破了国内市场分割吗[J]. 经济研究, 2017, 52(2): 20-34.</w:t>
      </w:r>
    </w:p>
    <w:p>
      <w:pPr>
        <w:spacing w:line="360" w:lineRule="auto" w:after="40"/>
        <w:ind w:left="480" w:hanging="480"/>
      </w:pPr>
      <w:r>
        <w:rPr>
          <w:rFonts w:ascii="宋体" w:hAnsi="宋体" w:eastAsia="宋体"/>
          <w:sz w:val="21"/>
        </w:rPr>
        <w:t>[111] 陆铭. 大国大城: 当代中国的统一、发展与平衡[M]. 上海: 上海人民出版社, 2016.</w:t>
      </w:r>
    </w:p>
    <w:p>
      <w:pPr>
        <w:spacing w:line="360" w:lineRule="auto" w:after="40"/>
        <w:ind w:left="480" w:hanging="480"/>
      </w:pPr>
      <w:r>
        <w:rPr>
          <w:rFonts w:ascii="宋体" w:hAnsi="宋体" w:eastAsia="宋体"/>
          <w:sz w:val="21"/>
        </w:rPr>
        <w:t>[112] 杨文溥, 夏婷. 数字经济促进省际贸易增长效应研究: 兼论对边界效应的影响[J]. 上海财经大学学报, 2024, 26(4): 64-76.</w:t>
      </w:r>
    </w:p>
    <w:p>
      <w:pPr>
        <w:spacing w:line="360" w:lineRule="auto" w:after="40"/>
        <w:ind w:left="480" w:hanging="480"/>
      </w:pPr>
      <w:r>
        <w:rPr>
          <w:rFonts w:ascii="宋体" w:hAnsi="宋体" w:eastAsia="宋体"/>
          <w:sz w:val="21"/>
        </w:rPr>
        <w:t>[113] 白俊红, 王钺, 蒋伏心, 等. 研发要素流动、空间知识溢出与经济增长[J]. 经济研究, 2017, 52(7): 109-123.</w:t>
      </w:r>
    </w:p>
    <w:p>
      <w:pPr>
        <w:spacing w:line="360" w:lineRule="auto" w:after="40"/>
        <w:ind w:left="480" w:hanging="480"/>
      </w:pPr>
      <w:r>
        <w:rPr>
          <w:rFonts w:ascii="宋体" w:hAnsi="宋体" w:eastAsia="宋体"/>
          <w:sz w:val="21"/>
        </w:rPr>
        <w:t>[114] 毕青苗, 陈希路, 徐现祥, 等. 行政审批改革与企业进入[J]. 经济研究, 2018, 53(2): 140-155.</w:t>
      </w:r>
    </w:p>
    <w:p>
      <w:pPr>
        <w:spacing w:line="360" w:lineRule="auto" w:after="40"/>
        <w:ind w:left="480" w:hanging="480"/>
      </w:pPr>
      <w:r>
        <w:rPr>
          <w:rFonts w:ascii="宋体" w:hAnsi="宋体" w:eastAsia="宋体"/>
          <w:sz w:val="21"/>
        </w:rPr>
        <w:t>[115] 冯笑, 王永进, 刘灿雷. 行政审批效率与中国制造业出口: 基于行政审批中心建立的"准自然实验"[J]. 财经研究, 2018, 44(10): 98-110.</w:t>
      </w:r>
    </w:p>
    <w:p>
      <w:pPr>
        <w:spacing w:line="360" w:lineRule="auto" w:after="40"/>
        <w:ind w:left="480" w:hanging="480"/>
      </w:pPr>
      <w:r>
        <w:rPr>
          <w:rFonts w:ascii="宋体" w:hAnsi="宋体" w:eastAsia="宋体"/>
          <w:sz w:val="21"/>
        </w:rPr>
        <w:t>[116] 赵涛, 张智, 梁上坤. 数字经济、创业活跃度与高质量发展: 来自中国城市的经验证据[J]. 管理世界, 2020(10): 65-76.</w:t>
      </w:r>
    </w:p>
    <w:p>
      <w:pPr>
        <w:spacing w:line="360" w:lineRule="auto" w:after="40"/>
        <w:ind w:left="480" w:hanging="480"/>
      </w:pPr>
      <w:r>
        <w:rPr>
          <w:rFonts w:ascii="宋体" w:hAnsi="宋体" w:eastAsia="宋体"/>
          <w:sz w:val="21"/>
        </w:rPr>
        <w:t>[117] 樊纲, 王小鲁, 马光荣. 中国市场化进程对经济增长的贡献[J]. 经济研究, 2011, 46(9): 4-16.</w:t>
      </w:r>
    </w:p>
    <w:p>
      <w:pPr>
        <w:spacing w:line="360" w:lineRule="auto" w:after="40"/>
        <w:ind w:left="480" w:hanging="480"/>
      </w:pPr>
      <w:r>
        <w:rPr>
          <w:rFonts w:ascii="宋体" w:hAnsi="宋体" w:eastAsia="宋体"/>
          <w:sz w:val="21"/>
        </w:rPr>
        <w:t>[118] BAUM-SNOW N, BRANDT L, HENDERSON J V, et al. Roads, railroads, and decentralization of Chinese cities[J]. Review of Economics and Statistics, 2017, 99(3): 435-448.</w:t>
      </w:r>
    </w:p>
    <w:p>
      <w:pPr>
        <w:spacing w:line="360" w:lineRule="auto" w:after="40"/>
        <w:ind w:left="480" w:hanging="480"/>
      </w:pPr>
      <w:r>
        <w:rPr>
          <w:rFonts w:ascii="宋体" w:hAnsi="宋体" w:eastAsia="宋体"/>
          <w:sz w:val="21"/>
        </w:rPr>
        <w:t>[119] 刘冲, 吴群锋, 刘青. 交通基础设施、市场可达性与企业生产率: 基于竞争和资源配置的视角[J]. 经济研究, 2020(7): 140-158.</w:t>
      </w:r>
    </w:p>
    <w:p>
      <w:pPr>
        <w:spacing w:line="360" w:lineRule="auto" w:after="40"/>
        <w:ind w:left="480" w:hanging="480"/>
      </w:pPr>
      <w:r>
        <w:rPr>
          <w:rFonts w:ascii="宋体" w:hAnsi="宋体" w:eastAsia="宋体"/>
          <w:sz w:val="21"/>
        </w:rPr>
        <w:t>[120] 聂辉华, 江艇, 杨汝岱. 中国工业企业数据库的使用现状和潜在问题[J]. 世界经济, 2012(5): 142-158.</w:t>
      </w:r>
    </w:p>
    <w:p>
      <w:pPr>
        <w:spacing w:line="360" w:lineRule="auto" w:after="40"/>
        <w:ind w:left="480" w:hanging="480"/>
      </w:pPr>
      <w:r>
        <w:rPr>
          <w:rFonts w:ascii="宋体" w:hAnsi="宋体" w:eastAsia="宋体"/>
          <w:sz w:val="21"/>
        </w:rPr>
        <w:t>[121] GOPINATH G, KALEMLI-OZCAN S, KARABARBOUNIS L, et al. Capital allocation and productivity in South Europe[J]. Quarterly Journal of Economics, 2017, 132(4): 1915-1967.</w:t>
      </w:r>
    </w:p>
    <w:p>
      <w:pPr>
        <w:spacing w:line="360" w:lineRule="auto" w:after="40"/>
        <w:ind w:left="480" w:hanging="480"/>
      </w:pPr>
      <w:r>
        <w:rPr>
          <w:rFonts w:ascii="宋体" w:hAnsi="宋体" w:eastAsia="宋体"/>
          <w:sz w:val="21"/>
        </w:rPr>
        <w:t>[122] 文雁兵, 张梦婷, 俞峰. 中国交通基础设施的资源再配置效应[J]. 经济研究, 2022(1): 155-171.</w:t>
      </w:r>
    </w:p>
    <w:p>
      <w:pPr>
        <w:spacing w:line="360" w:lineRule="auto" w:after="40"/>
        <w:ind w:left="480" w:hanging="480"/>
      </w:pPr>
      <w:r>
        <w:rPr>
          <w:rFonts w:ascii="宋体" w:hAnsi="宋体" w:eastAsia="宋体"/>
          <w:sz w:val="21"/>
        </w:rPr>
        <w:t>[123] 季书涵, 朱英明, 张鑫. 产业集聚对资源错配的改善效果研究[J]. 中国工业经济, 2016(6): 73-90.</w:t>
      </w:r>
    </w:p>
    <w:p>
      <w:pPr>
        <w:spacing w:line="360" w:lineRule="auto" w:after="40"/>
        <w:ind w:left="480" w:hanging="480"/>
      </w:pPr>
      <w:r>
        <w:rPr>
          <w:rFonts w:ascii="宋体" w:hAnsi="宋体" w:eastAsia="宋体"/>
          <w:sz w:val="21"/>
        </w:rPr>
        <w:t>[124] 林毅夫, 王勇, 岳威铮, 等. 要素替代非对称性与资源配置效率[J]. 管理世界, 2025(6): 1-19.</w:t>
      </w:r>
    </w:p>
    <w:p>
      <w:pPr>
        <w:spacing w:line="360" w:lineRule="auto" w:after="40"/>
        <w:ind w:left="480" w:hanging="480"/>
      </w:pPr>
      <w:r>
        <w:rPr>
          <w:rFonts w:ascii="宋体" w:hAnsi="宋体" w:eastAsia="宋体"/>
          <w:sz w:val="21"/>
        </w:rPr>
        <w:t>[125] 干春晖, 郑若谷, 余典范. 中国产业结构变迁对经济增长和波动的影响[J]. 经济研究, 2011, 46(5): 4-16.</w:t>
      </w:r>
    </w:p>
    <w:p>
      <w:pPr>
        <w:spacing w:line="360" w:lineRule="auto" w:after="40"/>
        <w:ind w:left="480" w:hanging="480"/>
      </w:pPr>
      <w:r>
        <w:rPr>
          <w:rFonts w:ascii="宋体" w:hAnsi="宋体" w:eastAsia="宋体"/>
          <w:sz w:val="21"/>
        </w:rPr>
        <w:t>[126] BANERJEE A, DUFLO E, QIAN N. On the road: access to transportation infrastructure and economic growth in China[J]. Journal of Development Economics, 2020, 145: 102442.</w:t>
      </w:r>
    </w:p>
    <w:p>
      <w:pPr>
        <w:spacing w:line="360" w:lineRule="auto" w:after="40"/>
        <w:ind w:left="480" w:hanging="480"/>
      </w:pPr>
      <w:r>
        <w:rPr>
          <w:rFonts w:ascii="宋体" w:hAnsi="宋体" w:eastAsia="宋体"/>
          <w:sz w:val="21"/>
        </w:rPr>
        <w:t>[127] 朱喜, 史清华, 盖庆恩. 要素配置扭曲与农业全要素生产率[J]. 经济研究, 2011, 46(5): 86-98.</w:t>
      </w:r>
    </w:p>
    <w:p>
      <w:pPr>
        <w:spacing w:line="360" w:lineRule="auto" w:after="40"/>
        <w:ind w:left="480" w:hanging="480"/>
      </w:pPr>
      <w:r>
        <w:rPr>
          <w:rFonts w:ascii="宋体" w:hAnsi="宋体" w:eastAsia="宋体"/>
          <w:sz w:val="21"/>
        </w:rPr>
        <w:t>[128] BAU N, MATRAY A. Misallocation and capital market integration: evidence from India[J]. Econometrica, 2023, 91(1): 67-106.</w:t>
      </w:r>
    </w:p>
    <w:p>
      <w:pPr>
        <w:spacing w:line="360" w:lineRule="auto" w:after="40"/>
        <w:ind w:left="480" w:hanging="480"/>
      </w:pPr>
      <w:r>
        <w:rPr>
          <w:rFonts w:ascii="宋体" w:hAnsi="宋体" w:eastAsia="宋体"/>
          <w:sz w:val="21"/>
        </w:rPr>
        <w:t>[129] 张梦婷, 俞峰, 钟昌标, 等. 高铁网络、市场准入与企业生产率[J]. 中国工业经济, 2018(5): 137-156.</w:t>
      </w:r>
    </w:p>
    <w:p>
      <w:pPr>
        <w:spacing w:line="360" w:lineRule="auto" w:after="40"/>
        <w:ind w:left="480" w:hanging="480"/>
      </w:pPr>
      <w:r>
        <w:rPr>
          <w:rFonts w:ascii="宋体" w:hAnsi="宋体" w:eastAsia="宋体"/>
          <w:sz w:val="21"/>
        </w:rPr>
        <w:t>[130] 吴亚玲, 杨汝岱, 吴比. 中国农业全要素生产率演进与要素错配: 基于2003—2020年农村固定观察点数据的分析[J]. 中国农村经济, 2022(12): 35-53.</w:t>
      </w:r>
    </w:p>
    <w:p>
      <w:pPr>
        <w:spacing w:line="360" w:lineRule="auto" w:after="40"/>
        <w:ind w:left="480" w:hanging="480"/>
      </w:pPr>
      <w:r>
        <w:rPr>
          <w:rFonts w:ascii="宋体" w:hAnsi="宋体" w:eastAsia="宋体"/>
          <w:sz w:val="21"/>
        </w:rPr>
        <w:t>[131] 张俊. 高铁建设与县域经济发展: 基于卫星灯光数据的研究[J]. 经济学(季刊), 2017, 16(4): 1533-1562.</w:t>
      </w:r>
    </w:p>
    <w:p>
      <w:pPr>
        <w:spacing w:line="360" w:lineRule="auto" w:after="40"/>
        <w:ind w:left="480" w:hanging="480"/>
      </w:pPr>
      <w:r>
        <w:rPr>
          <w:rFonts w:ascii="宋体" w:hAnsi="宋体" w:eastAsia="宋体"/>
          <w:sz w:val="21"/>
        </w:rPr>
        <w:t>[132] 张学良. 中国交通基础设施促进了区域经济增长吗: 兼论交通基础设施的空间溢出效应[J]. 中国社会科学, 2012(3): 60-77.</w:t>
      </w:r>
    </w:p>
    <w:p>
      <w:pPr>
        <w:spacing w:line="360" w:lineRule="auto" w:after="40"/>
        <w:ind w:left="480" w:hanging="480"/>
      </w:pPr>
      <w:r>
        <w:rPr>
          <w:rFonts w:ascii="宋体" w:hAnsi="宋体" w:eastAsia="宋体"/>
          <w:sz w:val="21"/>
        </w:rPr>
        <w:t>[133] 卞元超, 吴利华, 白俊红. 高铁开通是否促进了区域创新[J]. 金融研究, 2019(6): 132-149.</w:t>
      </w:r>
    </w:p>
    <w:p>
      <w:pPr>
        <w:spacing w:line="360" w:lineRule="auto" w:after="40"/>
        <w:ind w:left="480" w:hanging="480"/>
      </w:pPr>
      <w:r>
        <w:rPr>
          <w:rFonts w:ascii="宋体" w:hAnsi="宋体" w:eastAsia="宋体"/>
          <w:sz w:val="21"/>
        </w:rPr>
        <w:t>[134] 孔令池, 高波, 黄妍妮. 中国省区市场开放、地方政府投资与制造业结构差异[J]. 财经研究, 2017, 43(7): 133-144.</w:t>
      </w:r>
    </w:p>
    <w:p>
      <w:pPr>
        <w:spacing w:line="360" w:lineRule="auto" w:after="40"/>
        <w:ind w:left="480" w:hanging="480"/>
      </w:pPr>
      <w:r>
        <w:rPr>
          <w:rFonts w:ascii="宋体" w:hAnsi="宋体" w:eastAsia="宋体"/>
          <w:sz w:val="21"/>
        </w:rPr>
        <w:t>[135] 张天华, 高翔, 步晓宁, 等. 中国交通基础设施建设改善了企业资源配置效率吗: 基于高速公路建设与制造业企业要素投入的分析[J]. 财经研究, 2017, 43(8): 122-134.</w:t>
      </w:r>
    </w:p>
    <w:p>
      <w:pPr>
        <w:spacing w:line="360" w:lineRule="auto" w:after="40"/>
        <w:ind w:left="480" w:hanging="480"/>
      </w:pPr>
      <w:r>
        <w:rPr>
          <w:rFonts w:ascii="宋体" w:hAnsi="宋体" w:eastAsia="宋体"/>
          <w:sz w:val="21"/>
        </w:rPr>
        <w:t>[136] COMBES P P, DURANTON G, GOBILLON L, et al. The productivity advantages of large cities: distinguishing agglomeration from firm selection[J]. Econometrica, 2012, 80(6): 2543-2594.</w:t>
      </w:r>
    </w:p>
    <w:p>
      <w:pPr>
        <w:spacing w:line="360" w:lineRule="auto" w:after="40"/>
        <w:ind w:left="480" w:hanging="480"/>
      </w:pPr>
      <w:r>
        <w:rPr>
          <w:rFonts w:ascii="宋体" w:hAnsi="宋体" w:eastAsia="宋体"/>
          <w:sz w:val="21"/>
        </w:rPr>
        <w:t>[137] DURANTON G, PUGA D. Micro-foundations of urban agglomeration economies[M]//HENDERSON J V, THISSE J F. Handbook of Regional and Urban Economics: Vol 4. Amsterdam: Elsevier, 2004: 2063-2117.</w:t>
      </w:r>
    </w:p>
    <w:p>
      <w:pPr>
        <w:spacing w:line="360" w:lineRule="auto" w:after="40"/>
        <w:ind w:left="480" w:hanging="480"/>
      </w:pPr>
      <w:r>
        <w:rPr>
          <w:rFonts w:ascii="宋体" w:hAnsi="宋体" w:eastAsia="宋体"/>
          <w:sz w:val="21"/>
        </w:rPr>
        <w:t>[138] HSIEH C T, HURST E, JONES C I, et al. The allocation of talent and U.S. economic growth[J]. Econometrica, 2019, 87(5): 1439-1474.</w:t>
      </w:r>
    </w:p>
    <w:p>
      <w:pPr>
        <w:spacing w:line="360" w:lineRule="auto" w:after="40"/>
        <w:ind w:left="480" w:hanging="480"/>
      </w:pPr>
      <w:r>
        <w:rPr>
          <w:rFonts w:ascii="宋体" w:hAnsi="宋体" w:eastAsia="宋体"/>
          <w:sz w:val="21"/>
        </w:rPr>
        <w:t>[139] BAQAEE D R, FARHI E. Productivity and misallocation in general equilibrium[J]. Quarterly Journal of Economics, 2020, 135(1): 105-163.</w:t>
      </w:r>
    </w:p>
    <w:p>
      <w:pPr>
        <w:spacing w:line="360" w:lineRule="auto" w:after="40"/>
        <w:ind w:left="480" w:hanging="480"/>
      </w:pPr>
      <w:r>
        <w:rPr>
          <w:rFonts w:ascii="宋体" w:hAnsi="宋体" w:eastAsia="宋体"/>
          <w:sz w:val="21"/>
        </w:rPr>
        <w:t>[140] AGHION P, CAI J, DEWATRIPONT M, et al. Industrial policy and competition[J]. American Economic Journal: Macroeconomics, 2015, 7(4): 1-32.</w:t>
      </w:r>
    </w:p>
    <w:p>
      <w:pPr>
        <w:spacing w:line="360" w:lineRule="auto" w:after="40"/>
        <w:ind w:left="480" w:hanging="480"/>
      </w:pPr>
      <w:r>
        <w:rPr>
          <w:rFonts w:ascii="宋体" w:hAnsi="宋体" w:eastAsia="宋体"/>
          <w:sz w:val="21"/>
        </w:rPr>
        <w:t>[141] 江飞涛, 李晓萍. 直接干预市场与限制竞争: 中国产业政策的取向与根本缺陷[J]. 中国工业经济, 2010(9): 26-36.</w:t>
      </w:r>
    </w:p>
    <w:p>
      <w:pPr>
        <w:spacing w:line="360" w:lineRule="auto" w:after="40"/>
        <w:ind w:left="480" w:hanging="480"/>
      </w:pPr>
      <w:r>
        <w:rPr>
          <w:rFonts w:ascii="宋体" w:hAnsi="宋体" w:eastAsia="宋体"/>
          <w:sz w:val="21"/>
        </w:rPr>
        <w:t>[142] 白重恩, 钱震杰. 谁在挤占居民的收入: 中国国民收入分配格局分析[J]. 中国社会科学, 2009(5): 130-148.</w:t>
      </w:r>
    </w:p>
    <w:p>
      <w:pPr>
        <w:spacing w:line="360" w:lineRule="auto" w:after="40"/>
        <w:ind w:left="480" w:hanging="480"/>
      </w:pPr>
      <w:r>
        <w:rPr>
          <w:rFonts w:ascii="宋体" w:hAnsi="宋体" w:eastAsia="宋体"/>
          <w:sz w:val="21"/>
        </w:rPr>
        <w:t>[143] 蔡昉. 中国经济增长如何转向全要素生产率驱动型[J]. 中国社会科学, 2013(1): 56-71.</w:t>
      </w:r>
    </w:p>
    <w:p>
      <w:pPr>
        <w:spacing w:line="360" w:lineRule="auto" w:after="40"/>
        <w:ind w:left="480" w:hanging="480"/>
      </w:pPr>
      <w:r>
        <w:rPr>
          <w:rFonts w:ascii="宋体" w:hAnsi="宋体" w:eastAsia="宋体"/>
          <w:sz w:val="21"/>
        </w:rPr>
        <w:t>[144] 林毅夫. 新结构经济学: 反思经济发展与政策的理论框架(增订版)[M]. 北京: 北京大学出版社, 2014.</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