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Times New Roman" w:hAnsi="Times New Roman" w:eastAsia="黑体"/>
          <w:b/>
          <w:i w:val="0"/>
          <w:sz w:val="32"/>
        </w:rPr>
        <w:t>教育科技人才一体化发展的理论逻辑、区域模式与推进路径</w:t>
      </w:r>
    </w:p>
    <w:p>
      <w:pPr>
        <w:spacing w:before="0" w:after="120" w:line="312" w:lineRule="auto"/>
        <w:jc w:val="center"/>
      </w:pPr>
      <w:r>
        <w:rPr>
          <w:rFonts w:ascii="Times New Roman" w:hAnsi="Times New Roman" w:eastAsia="黑体"/>
          <w:b/>
          <w:i w:val="0"/>
          <w:sz w:val="28"/>
        </w:rPr>
        <w:t>——基于京沪浙粤的多案例比较分析</w:t>
      </w:r>
    </w:p>
    <w:p>
      <w:pPr>
        <w:spacing w:before="0" w:after="0" w:line="312" w:lineRule="auto"/>
        <w:jc w:val="center"/>
      </w:pPr>
      <w:r>
        <w:rPr>
          <w:rFonts w:ascii="Times New Roman" w:hAnsi="Times New Roman" w:eastAsia="楷体"/>
          <w:b w:val="0"/>
          <w:i w:val="0"/>
          <w:sz w:val="24"/>
        </w:rPr>
        <w:t>×××</w:t>
      </w:r>
    </w:p>
    <w:p>
      <w:pPr>
        <w:spacing w:before="0" w:after="200" w:line="312" w:lineRule="auto"/>
        <w:jc w:val="center"/>
      </w:pPr>
      <w:r>
        <w:rPr>
          <w:rFonts w:ascii="Times New Roman" w:hAnsi="Times New Roman" w:eastAsia="楷体"/>
          <w:b w:val="0"/>
          <w:i w:val="0"/>
          <w:sz w:val="21"/>
        </w:rPr>
        <w:t>（××大学××学院，×× ××××××）</w:t>
      </w:r>
    </w:p>
    <w:p>
      <w:pPr>
        <w:spacing w:before="0" w:after="80" w:line="312" w:lineRule="auto"/>
      </w:pPr>
      <w:r>
        <w:rPr>
          <w:rFonts w:ascii="Times New Roman" w:hAnsi="Times New Roman" w:eastAsia="宋体"/>
          <w:b w:val="0"/>
          <w:i w:val="0"/>
          <w:sz w:val="21"/>
        </w:rPr>
        <w:t>摘要：为回答不同资源禀赋区域如何实现教育、科技、人才一体化发展这一核心问题，在整合国家创新系统理论、三螺旋理论与人才创新创业生态系统理论的基础上，构建“战略统筹—制度供给—主体协同—要素贯通—评价牵引”五维分析框架，选取北京、上海、浙江、广东4个典型区域开展多案例比较研究。研究发现：四地分别形成了战略科技力量牵引的“央地协同”模式、制度型开放驱动的“枢纽链接”模式、体制机制试点撬动的“迭代深化”模式和产业需求牵引的“湾区融通”模式；四种模式在高位统筹机制、高能级平台载体、评价制度改革先行、要素跨界流动4个方面存在共性机制，其差异化路径选择根植于区域资源禀赋与发展阶段，与组态研究关于“殊途同归”的理论判断相呼应；当前一体化改革仍面临条块分割治理结构、教育链人才链与产业链创新链衔接不紧、评价“指挥棒”错位、区域间要素单向流动等共性梗阻。基于此，从完善统筹机制、优化学科科研布局、强化平台枢纽功能、深化评价制度改革、畅通要素流动、构建雁阵格局等方面提出深化教育科技人才一体化改革的推进路径。</w:t>
      </w:r>
    </w:p>
    <w:p>
      <w:pPr>
        <w:spacing w:before="0" w:after="80" w:line="312" w:lineRule="auto"/>
      </w:pPr>
      <w:r>
        <w:rPr>
          <w:rFonts w:ascii="Times New Roman" w:hAnsi="Times New Roman" w:eastAsia="宋体"/>
          <w:b w:val="0"/>
          <w:i w:val="0"/>
          <w:sz w:val="21"/>
        </w:rPr>
        <w:t>关键词：教育科技人才一体化；体制机制改革；多案例研究；创新生态系统；区域模式；人才高地</w:t>
      </w:r>
    </w:p>
    <w:p>
      <w:pPr>
        <w:spacing w:before="0" w:after="80" w:line="312" w:lineRule="auto"/>
      </w:pPr>
      <w:r>
        <w:rPr>
          <w:rFonts w:ascii="Times New Roman" w:hAnsi="Times New Roman" w:eastAsia="宋体"/>
          <w:b w:val="0"/>
          <w:i w:val="0"/>
          <w:sz w:val="21"/>
        </w:rPr>
        <w:t>中图分类号：G322；C964.2；F124　　　　文献标志码：A</w:t>
      </w:r>
    </w:p>
    <w:p>
      <w:pPr>
        <w:spacing w:before="0" w:after="80" w:line="276" w:lineRule="auto"/>
        <w:jc w:val="both"/>
      </w:pPr>
      <w:r>
        <w:rPr>
          <w:rFonts w:ascii="Times New Roman" w:hAnsi="Times New Roman" w:eastAsia="宋体"/>
          <w:b w:val="0"/>
          <w:i w:val="0"/>
          <w:sz w:val="18"/>
        </w:rPr>
        <w:t>The Theoretical Logic, Regional Models and Advancement Paths of the Integrated Development of Education, Science and Technology, and Talent: A Multi-case Comparative Analysis of Beijing, Shanghai, Zhejiang and Guangdong</w:t>
      </w:r>
    </w:p>
    <w:p>
      <w:pPr>
        <w:spacing w:before="0" w:after="80" w:line="276" w:lineRule="auto"/>
        <w:jc w:val="both"/>
      </w:pPr>
      <w:r>
        <w:rPr>
          <w:rFonts w:ascii="Times New Roman" w:hAnsi="Times New Roman" w:eastAsia="宋体"/>
          <w:b w:val="0"/>
          <w:i w:val="0"/>
          <w:sz w:val="18"/>
        </w:rPr>
        <w:t>Abstract: To answer the core question of how regions with different resource endowments achieve the integrated development of education, science and technology, and talent, this study constructs a five-dimensional analytical framework of “strategic coordination–institutional supply–actor synergy–factor circulation–evaluation guidance” by integrating national innovation system theory, the Triple Helix theory, and the talent innovation and entrepreneurship ecosystem theory, and conducts a multi-case comparative study of four typical regions: Beijing, Shanghai, Zhejiang, and Guangdong. The findings show that the four regions have respectively formed a “central-local synergy” model driven by strategic scientific and technological forces, a “hub-linkage” model driven by institutional opening-up, an “iterative-deepening” model leveraged by institutional pilot reforms, and a “bay-area integration” model driven by industrial demand. The four models share common mechanisms in four aspects: high-level coordination mechanisms, high-caliber platform carriers, pioneering evaluation system reform, and cross-boundary factor mobility, while their differentiated path choices are rooted in regional resource endowments and development stages, echoing the configurational finding that integrated development can be achieved through diverse paths. The current integrated reform still faces common obstacles such as fragmented governance structures, loose connections between the education chain, talent chain, industrial chain and innovation chain, misaligned evaluation “batons”, and one-way inter-regional factor flows. Accordingly, this paper proposes advancement paths for deepening the integrated reform, including improving coordination mechanisms, optimizing the layout of disciplines and scientific research, strengthening the hub function of platforms, deepening evaluation system reform, facilitating factor mobility, and building an echelon development pattern.</w:t>
      </w:r>
    </w:p>
    <w:p>
      <w:pPr>
        <w:spacing w:before="0" w:after="80" w:line="276" w:lineRule="auto"/>
        <w:jc w:val="both"/>
      </w:pPr>
      <w:r>
        <w:rPr>
          <w:rFonts w:ascii="Times New Roman" w:hAnsi="Times New Roman" w:eastAsia="宋体"/>
          <w:b w:val="0"/>
          <w:i w:val="0"/>
          <w:sz w:val="18"/>
        </w:rPr>
        <w:t>Key words: integration of education, science and technology, and talent; institutional reform; multi-case study; innovation ecosystem; regional model; talent hub</w:t>
      </w:r>
    </w:p>
    <w:p>
      <w:pPr>
        <w:spacing w:before="240" w:after="120" w:line="312" w:lineRule="auto"/>
      </w:pPr>
      <w:r>
        <w:rPr>
          <w:rFonts w:ascii="Times New Roman" w:hAnsi="Times New Roman" w:eastAsia="黑体"/>
          <w:b/>
          <w:i w:val="0"/>
          <w:sz w:val="28"/>
        </w:rPr>
        <w:t>0　引言</w:t>
      </w:r>
    </w:p>
    <w:p>
      <w:pPr>
        <w:spacing w:before="0" w:after="0" w:line="360" w:lineRule="auto"/>
        <w:jc w:val="both"/>
        <w:ind w:firstLineChars="200"/>
      </w:pPr>
      <w:r>
        <w:rPr>
          <w:rFonts w:ascii="Times New Roman" w:hAnsi="Times New Roman" w:eastAsia="宋体"/>
          <w:b w:val="0"/>
          <w:i w:val="0"/>
          <w:sz w:val="24"/>
        </w:rPr>
        <w:t>教育、科技、人才是中国式现代化的基础性、战略性支撑。党的二十大报告首次将教育、科技、人才三大领域进行整合论述，提出深入实施科教兴国战略、人才强国战略、创新驱动发展战略</w:t>
      </w:r>
      <w:r>
        <w:rPr>
          <w:rFonts w:ascii="Times New Roman" w:hAnsi="Times New Roman" w:eastAsia="宋体"/>
          <w:b w:val="0"/>
          <w:i w:val="0"/>
          <w:sz w:val="18"/>
          <w:vertAlign w:val="superscript"/>
        </w:rPr>
        <w:t>[1]</w:t>
      </w:r>
      <w:r>
        <w:rPr>
          <w:rFonts w:ascii="Times New Roman" w:hAnsi="Times New Roman" w:eastAsia="宋体"/>
          <w:b w:val="0"/>
          <w:i w:val="0"/>
          <w:sz w:val="24"/>
        </w:rPr>
        <w:t>；党的二十届三中全会进一步部署构建支持全面创新体制机制，统筹推进教育科技人才体制机制一体改革</w:t>
      </w:r>
      <w:r>
        <w:rPr>
          <w:rFonts w:ascii="Times New Roman" w:hAnsi="Times New Roman" w:eastAsia="宋体"/>
          <w:b w:val="0"/>
          <w:i w:val="0"/>
          <w:sz w:val="18"/>
          <w:vertAlign w:val="superscript"/>
        </w:rPr>
        <w:t>[2]</w:t>
      </w:r>
      <w:r>
        <w:rPr>
          <w:rFonts w:ascii="Times New Roman" w:hAnsi="Times New Roman" w:eastAsia="宋体"/>
          <w:b w:val="0"/>
          <w:i w:val="0"/>
          <w:sz w:val="24"/>
        </w:rPr>
        <w:t>；2024年9月，习近平总书记在全国教育大会上强调，要统筹实施科教兴国战略、人才强国战略、创新驱动发展战略，一体推进教育发展、科技创新、人才培养</w:t>
      </w:r>
      <w:r>
        <w:rPr>
          <w:rFonts w:ascii="Times New Roman" w:hAnsi="Times New Roman" w:eastAsia="宋体"/>
          <w:b w:val="0"/>
          <w:i w:val="0"/>
          <w:sz w:val="18"/>
          <w:vertAlign w:val="superscript"/>
        </w:rPr>
        <w:t>[3]</w:t>
      </w:r>
      <w:r>
        <w:rPr>
          <w:rFonts w:ascii="Times New Roman" w:hAnsi="Times New Roman" w:eastAsia="宋体"/>
          <w:b w:val="0"/>
          <w:i w:val="0"/>
          <w:sz w:val="24"/>
        </w:rPr>
        <w:t>。从分立部署到一体推进，教育、科技、人才的关系认知实现了从“三个战略”到“一个系统”的跃迁，教育科技人才一体化（以下简称“教科人一体化”）已成为全面深化改革的重要主线。</w:t>
      </w:r>
    </w:p>
    <w:p>
      <w:pPr>
        <w:spacing w:before="0" w:after="0" w:line="360" w:lineRule="auto"/>
        <w:jc w:val="both"/>
        <w:ind w:firstLineChars="200"/>
      </w:pPr>
      <w:r>
        <w:rPr>
          <w:rFonts w:ascii="Times New Roman" w:hAnsi="Times New Roman" w:eastAsia="宋体"/>
          <w:b w:val="0"/>
          <w:i w:val="0"/>
          <w:sz w:val="24"/>
        </w:rPr>
        <w:t>从理论逻辑看，教育是科技进步和人才成长的基础，科技创新依赖高素质人才与高水平教育体系，高水平人才的涌现又离不开优质教育与前沿科研平台，三者相互依存、互为支撑，构成具有非线性相互作用的复杂系统</w:t>
      </w:r>
      <w:r>
        <w:rPr>
          <w:rFonts w:ascii="Times New Roman" w:hAnsi="Times New Roman" w:eastAsia="宋体"/>
          <w:b w:val="0"/>
          <w:i w:val="0"/>
          <w:sz w:val="18"/>
          <w:vertAlign w:val="superscript"/>
        </w:rPr>
        <w:t>[4]</w:t>
      </w:r>
      <w:r>
        <w:rPr>
          <w:rFonts w:ascii="Times New Roman" w:hAnsi="Times New Roman" w:eastAsia="宋体"/>
          <w:b w:val="0"/>
          <w:i w:val="0"/>
          <w:sz w:val="24"/>
        </w:rPr>
        <w:t>。新质生产力的培育和发展，本质上要求劳动者、劳动资料、劳动对象的优化组合与跃升</w:t>
      </w:r>
      <w:r>
        <w:rPr>
          <w:rFonts w:ascii="Times New Roman" w:hAnsi="Times New Roman" w:eastAsia="宋体"/>
          <w:b w:val="0"/>
          <w:i w:val="0"/>
          <w:sz w:val="18"/>
          <w:vertAlign w:val="superscript"/>
        </w:rPr>
        <w:t>[5,6]</w:t>
      </w:r>
      <w:r>
        <w:rPr>
          <w:rFonts w:ascii="Times New Roman" w:hAnsi="Times New Roman" w:eastAsia="宋体"/>
          <w:b w:val="0"/>
          <w:i w:val="0"/>
          <w:sz w:val="24"/>
        </w:rPr>
        <w:t>，而教科人一体化正是实现这种优化组合的制度通道：教育培养人才、人才驱动创新、创新反哺教育的良性闭环，构成新质生产力系统生成的微观基础</w:t>
      </w:r>
      <w:r>
        <w:rPr>
          <w:rFonts w:ascii="Times New Roman" w:hAnsi="Times New Roman" w:eastAsia="宋体"/>
          <w:b w:val="0"/>
          <w:i w:val="0"/>
          <w:sz w:val="18"/>
          <w:vertAlign w:val="superscript"/>
        </w:rPr>
        <w:t>[7,8]</w:t>
      </w:r>
      <w:r>
        <w:rPr>
          <w:rFonts w:ascii="Times New Roman" w:hAnsi="Times New Roman" w:eastAsia="宋体"/>
          <w:b w:val="0"/>
          <w:i w:val="0"/>
          <w:sz w:val="24"/>
        </w:rPr>
        <w:t>。</w:t>
      </w:r>
    </w:p>
    <w:p>
      <w:pPr>
        <w:spacing w:before="0" w:after="0" w:line="360" w:lineRule="auto"/>
        <w:jc w:val="both"/>
        <w:ind w:firstLineChars="200"/>
      </w:pPr>
      <w:r>
        <w:rPr>
          <w:rFonts w:ascii="Times New Roman" w:hAnsi="Times New Roman" w:eastAsia="宋体"/>
          <w:b w:val="0"/>
          <w:i w:val="0"/>
          <w:sz w:val="24"/>
        </w:rPr>
        <w:t>从实践进展看，各地围绕教科人一体化开展了各具特色的探索。北京、上海、粤港澳大湾区承担着建设高水平人才高地的国家使命</w:t>
      </w:r>
      <w:r>
        <w:rPr>
          <w:rFonts w:ascii="Times New Roman" w:hAnsi="Times New Roman" w:eastAsia="宋体"/>
          <w:b w:val="0"/>
          <w:i w:val="0"/>
          <w:sz w:val="18"/>
          <w:vertAlign w:val="superscript"/>
        </w:rPr>
        <w:t>[9]</w:t>
      </w:r>
      <w:r>
        <w:rPr>
          <w:rFonts w:ascii="Times New Roman" w:hAnsi="Times New Roman" w:eastAsia="宋体"/>
          <w:b w:val="0"/>
          <w:i w:val="0"/>
          <w:sz w:val="24"/>
        </w:rPr>
        <w:t>，浙江则率先启动省级“教育科技人才一体化”创新深化试点</w:t>
      </w:r>
      <w:r>
        <w:rPr>
          <w:rFonts w:ascii="Times New Roman" w:hAnsi="Times New Roman" w:eastAsia="宋体"/>
          <w:b w:val="0"/>
          <w:i w:val="0"/>
          <w:sz w:val="18"/>
          <w:vertAlign w:val="superscript"/>
        </w:rPr>
        <w:t>[10]</w:t>
      </w:r>
      <w:r>
        <w:rPr>
          <w:rFonts w:ascii="Times New Roman" w:hAnsi="Times New Roman" w:eastAsia="宋体"/>
          <w:b w:val="0"/>
          <w:i w:val="0"/>
          <w:sz w:val="24"/>
        </w:rPr>
        <w:t>。学术界对此的研究也日益活跃：潘教峰和万劲波从科技强国战略高度论证了教育强国、科技强国、人才强国建设统筹推进的内在必然性</w:t>
      </w:r>
      <w:r>
        <w:rPr>
          <w:rFonts w:ascii="Times New Roman" w:hAnsi="Times New Roman" w:eastAsia="宋体"/>
          <w:b w:val="0"/>
          <w:i w:val="0"/>
          <w:sz w:val="18"/>
          <w:vertAlign w:val="superscript"/>
        </w:rPr>
        <w:t>[11]</w:t>
      </w:r>
      <w:r>
        <w:rPr>
          <w:rFonts w:ascii="Times New Roman" w:hAnsi="Times New Roman" w:eastAsia="宋体"/>
          <w:b w:val="0"/>
          <w:i w:val="0"/>
          <w:sz w:val="24"/>
        </w:rPr>
        <w:t>；黄永春等基于30个省级区域测度了教育—科技—人才的耦合协调度</w:t>
      </w:r>
      <w:r>
        <w:rPr>
          <w:rFonts w:ascii="Times New Roman" w:hAnsi="Times New Roman" w:eastAsia="宋体"/>
          <w:b w:val="0"/>
          <w:i w:val="0"/>
          <w:sz w:val="18"/>
          <w:vertAlign w:val="superscript"/>
        </w:rPr>
        <w:t>[4]</w:t>
      </w:r>
      <w:r>
        <w:rPr>
          <w:rFonts w:ascii="Times New Roman" w:hAnsi="Times New Roman" w:eastAsia="宋体"/>
          <w:b w:val="0"/>
          <w:i w:val="0"/>
          <w:sz w:val="24"/>
        </w:rPr>
        <w:t>；苗阳等以浙江省为样本构建耦合协调度模型，量化评估一体化改革成效并与东部省份进行了横向比较</w:t>
      </w:r>
      <w:r>
        <w:rPr>
          <w:rFonts w:ascii="Times New Roman" w:hAnsi="Times New Roman" w:eastAsia="宋体"/>
          <w:b w:val="0"/>
          <w:i w:val="0"/>
          <w:sz w:val="18"/>
          <w:vertAlign w:val="superscript"/>
        </w:rPr>
        <w:t>[12]</w:t>
      </w:r>
      <w:r>
        <w:rPr>
          <w:rFonts w:ascii="Times New Roman" w:hAnsi="Times New Roman" w:eastAsia="宋体"/>
          <w:b w:val="0"/>
          <w:i w:val="0"/>
          <w:sz w:val="24"/>
        </w:rPr>
        <w:t>；谢霄男从价值哲学层面论证了三者一体推进的内在依据</w:t>
      </w:r>
      <w:r>
        <w:rPr>
          <w:rFonts w:ascii="Times New Roman" w:hAnsi="Times New Roman" w:eastAsia="宋体"/>
          <w:b w:val="0"/>
          <w:i w:val="0"/>
          <w:sz w:val="18"/>
          <w:vertAlign w:val="superscript"/>
        </w:rPr>
        <w:t>[7]</w:t>
      </w:r>
      <w:r>
        <w:rPr>
          <w:rFonts w:ascii="Times New Roman" w:hAnsi="Times New Roman" w:eastAsia="宋体"/>
          <w:b w:val="0"/>
          <w:i w:val="0"/>
          <w:sz w:val="24"/>
        </w:rPr>
        <w:t>；郑金洲系统剖析了一体化发展的内在逻辑与困境突破方向</w:t>
      </w:r>
      <w:r>
        <w:rPr>
          <w:rFonts w:ascii="Times New Roman" w:hAnsi="Times New Roman" w:eastAsia="宋体"/>
          <w:b w:val="0"/>
          <w:i w:val="0"/>
          <w:sz w:val="18"/>
          <w:vertAlign w:val="superscript"/>
        </w:rPr>
        <w:t>[13]</w:t>
      </w:r>
      <w:r>
        <w:rPr>
          <w:rFonts w:ascii="Times New Roman" w:hAnsi="Times New Roman" w:eastAsia="宋体"/>
          <w:b w:val="0"/>
          <w:i w:val="0"/>
          <w:sz w:val="24"/>
        </w:rPr>
        <w:t>；林蕙青等多位学者围绕一体化发展的战略内涵与高校使命展开了笔谈研讨</w:t>
      </w:r>
      <w:r>
        <w:rPr>
          <w:rFonts w:ascii="Times New Roman" w:hAnsi="Times New Roman" w:eastAsia="宋体"/>
          <w:b w:val="0"/>
          <w:i w:val="0"/>
          <w:sz w:val="18"/>
          <w:vertAlign w:val="superscript"/>
        </w:rPr>
        <w:t>[14]</w:t>
      </w:r>
      <w:r>
        <w:rPr>
          <w:rFonts w:ascii="Times New Roman" w:hAnsi="Times New Roman" w:eastAsia="宋体"/>
          <w:b w:val="0"/>
          <w:i w:val="0"/>
          <w:sz w:val="24"/>
        </w:rPr>
        <w:t>；郭改英讨论了体制机制一体改革的总体思路</w:t>
      </w:r>
      <w:r>
        <w:rPr>
          <w:rFonts w:ascii="Times New Roman" w:hAnsi="Times New Roman" w:eastAsia="宋体"/>
          <w:b w:val="0"/>
          <w:i w:val="0"/>
          <w:sz w:val="18"/>
          <w:vertAlign w:val="superscript"/>
        </w:rPr>
        <w:t>[15]</w:t>
      </w:r>
      <w:r>
        <w:rPr>
          <w:rFonts w:ascii="Times New Roman" w:hAnsi="Times New Roman" w:eastAsia="宋体"/>
          <w:b w:val="0"/>
          <w:i w:val="0"/>
          <w:sz w:val="24"/>
        </w:rPr>
        <w:t>。然而，现有研究仍存在明显不足：其一，研究对象多集中于单一区域或全国面上数据，缺乏对不同禀赋区域改革模式的系统性横向比较，难以回答“不同类型区域应当怎样推进一体化”的差异化命题；其二，定量测度研究揭示了协调水平的高低，却难以打开一体化“如何实现”的机制黑箱，对制度创新与组织变革的过程性考察不足</w:t>
      </w:r>
      <w:r>
        <w:rPr>
          <w:rFonts w:ascii="Times New Roman" w:hAnsi="Times New Roman" w:eastAsia="宋体"/>
          <w:b w:val="0"/>
          <w:i w:val="0"/>
          <w:sz w:val="18"/>
          <w:vertAlign w:val="superscript"/>
        </w:rPr>
        <w:t>[12]</w:t>
      </w:r>
      <w:r>
        <w:rPr>
          <w:rFonts w:ascii="Times New Roman" w:hAnsi="Times New Roman" w:eastAsia="宋体"/>
          <w:b w:val="0"/>
          <w:i w:val="0"/>
          <w:sz w:val="24"/>
        </w:rPr>
        <w:t>。</w:t>
      </w:r>
    </w:p>
    <w:p>
      <w:pPr>
        <w:spacing w:before="0" w:after="0" w:line="360" w:lineRule="auto"/>
        <w:jc w:val="both"/>
        <w:ind w:firstLineChars="200"/>
      </w:pPr>
      <w:r>
        <w:rPr>
          <w:rFonts w:ascii="Times New Roman" w:hAnsi="Times New Roman" w:eastAsia="宋体"/>
          <w:b w:val="0"/>
          <w:i w:val="0"/>
          <w:sz w:val="24"/>
        </w:rPr>
        <w:t>鉴于此，本文在整合国家创新系统理论、三螺旋理论与人才创新创业生态系统理论的基础上，构建“战略统筹—制度供给—主体协同—要素贯通—评价牵引”五维分析框架，选取北京、上海、浙江、广东4个典型区域开展多案例比较研究，系统提炼各区域推进教科人一体化的实践模式与共性机制，剖析深层梗阻，进而提出深化改革的推进路径。本文的边际贡献在于：一是将案例研究方法引入教科人一体化研究，通过跨案例比较打开一体化实现机制的过程黑箱，与既有定量测度研究形成方法互补；二是提炼四种具有类型学意义的区域模式，为不同禀赋区域因地制宜选择改革路径提供参照系；三是以组态思维审视区域模式差异，所提炼的差异化路径与组态研究关于“殊途同归”的发现形成相互呼应</w:t>
      </w:r>
      <w:r>
        <w:rPr>
          <w:rFonts w:ascii="Times New Roman" w:hAnsi="Times New Roman" w:eastAsia="宋体"/>
          <w:b w:val="0"/>
          <w:i w:val="0"/>
          <w:sz w:val="18"/>
          <w:vertAlign w:val="superscript"/>
        </w:rPr>
        <w:t>[16]</w:t>
      </w:r>
      <w:r>
        <w:rPr>
          <w:rFonts w:ascii="Times New Roman" w:hAnsi="Times New Roman" w:eastAsia="宋体"/>
          <w:b w:val="0"/>
          <w:i w:val="0"/>
          <w:sz w:val="24"/>
        </w:rPr>
        <w:t>。</w:t>
      </w:r>
    </w:p>
    <w:p>
      <w:pPr>
        <w:spacing w:before="240" w:after="120" w:line="312" w:lineRule="auto"/>
      </w:pPr>
      <w:r>
        <w:rPr>
          <w:rFonts w:ascii="Times New Roman" w:hAnsi="Times New Roman" w:eastAsia="黑体"/>
          <w:b/>
          <w:i w:val="0"/>
          <w:sz w:val="28"/>
        </w:rPr>
        <w:t>1　理论基础与分析框架</w:t>
      </w:r>
    </w:p>
    <w:p>
      <w:pPr>
        <w:spacing w:before="160" w:after="80" w:line="312" w:lineRule="auto"/>
      </w:pPr>
      <w:r>
        <w:rPr>
          <w:rFonts w:ascii="Times New Roman" w:hAnsi="Times New Roman" w:eastAsia="黑体"/>
          <w:b/>
          <w:i w:val="0"/>
          <w:sz w:val="24"/>
        </w:rPr>
        <w:t>1.1　教科人一体化的内涵与生成逻辑</w:t>
      </w:r>
    </w:p>
    <w:p>
      <w:pPr>
        <w:spacing w:before="0" w:after="0" w:line="360" w:lineRule="auto"/>
        <w:jc w:val="both"/>
        <w:ind w:firstLineChars="200"/>
      </w:pPr>
      <w:r>
        <w:rPr>
          <w:rFonts w:ascii="Times New Roman" w:hAnsi="Times New Roman" w:eastAsia="宋体"/>
          <w:b w:val="0"/>
          <w:i w:val="0"/>
          <w:sz w:val="24"/>
        </w:rPr>
        <w:t>教科人一体化的核心，在于打破教育体系、科技创新体系与人才发展体系之间的体制机制壁垒，将三个相对独立运行的系统作为相互关联、相互作用的有机整体进行统筹规划与协同治理，以实现系统优化与功能耦合</w:t>
      </w:r>
      <w:r>
        <w:rPr>
          <w:rFonts w:ascii="Times New Roman" w:hAnsi="Times New Roman" w:eastAsia="宋体"/>
          <w:b w:val="0"/>
          <w:i w:val="0"/>
          <w:sz w:val="18"/>
          <w:vertAlign w:val="superscript"/>
        </w:rPr>
        <w:t>[12]</w:t>
      </w:r>
      <w:r>
        <w:rPr>
          <w:rFonts w:ascii="Times New Roman" w:hAnsi="Times New Roman" w:eastAsia="宋体"/>
          <w:b w:val="0"/>
          <w:i w:val="0"/>
          <w:sz w:val="24"/>
        </w:rPr>
        <w:t>。其生成逻辑可以从三个层面理解。一是功能互补逻辑：教育系统承担知识传承与人力资本生产功能，科技系统承担知识生产与技术创新功能，人才系统承担创新要素的载体与配置功能，三者构成“基础—动力—主体”的功能链条</w:t>
      </w:r>
      <w:r>
        <w:rPr>
          <w:rFonts w:ascii="Times New Roman" w:hAnsi="Times New Roman" w:eastAsia="宋体"/>
          <w:b w:val="0"/>
          <w:i w:val="0"/>
          <w:sz w:val="18"/>
          <w:vertAlign w:val="superscript"/>
        </w:rPr>
        <w:t>[7]</w:t>
      </w:r>
      <w:r>
        <w:rPr>
          <w:rFonts w:ascii="Times New Roman" w:hAnsi="Times New Roman" w:eastAsia="宋体"/>
          <w:b w:val="0"/>
          <w:i w:val="0"/>
          <w:sz w:val="24"/>
        </w:rPr>
        <w:t>。二是系统耦合逻辑：三大系统之间存在复杂的非线性相互作用，其协同水平决定了国家创新体系的整体效能，实证研究表明我国教育、科技、人才系统的耦合协调度总体呈上升态势，但尚未达到高度融合的理想状态，区域间存在显著梯度分化</w:t>
      </w:r>
      <w:r>
        <w:rPr>
          <w:rFonts w:ascii="Times New Roman" w:hAnsi="Times New Roman" w:eastAsia="宋体"/>
          <w:b w:val="0"/>
          <w:i w:val="0"/>
          <w:sz w:val="18"/>
          <w:vertAlign w:val="superscript"/>
        </w:rPr>
        <w:t>[4,12]</w:t>
      </w:r>
      <w:r>
        <w:rPr>
          <w:rFonts w:ascii="Times New Roman" w:hAnsi="Times New Roman" w:eastAsia="宋体"/>
          <w:b w:val="0"/>
          <w:i w:val="0"/>
          <w:sz w:val="24"/>
        </w:rPr>
        <w:t>。三是战略竞争逻辑：全球新一轮科技革命和产业变革加速演进，主要创新型国家均依托高水平教育体系与创新体系维系竞争优势，我国要实现高水平科技自立自强、发展新质生产力，必须依靠教育、科技、人才政策的系统集成与协同发力</w:t>
      </w:r>
      <w:r>
        <w:rPr>
          <w:rFonts w:ascii="Times New Roman" w:hAnsi="Times New Roman" w:eastAsia="宋体"/>
          <w:b w:val="0"/>
          <w:i w:val="0"/>
          <w:sz w:val="18"/>
          <w:vertAlign w:val="superscript"/>
        </w:rPr>
        <w:t>[5]</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1.2　理论透镜：从创新系统到人才生态</w:t>
      </w:r>
    </w:p>
    <w:p>
      <w:pPr>
        <w:spacing w:before="0" w:after="0" w:line="360" w:lineRule="auto"/>
        <w:jc w:val="both"/>
        <w:ind w:firstLineChars="200"/>
      </w:pPr>
      <w:r>
        <w:rPr>
          <w:rFonts w:ascii="Times New Roman" w:hAnsi="Times New Roman" w:eastAsia="宋体"/>
          <w:b w:val="0"/>
          <w:i w:val="0"/>
          <w:sz w:val="24"/>
        </w:rPr>
        <w:t>教科人一体化的学理基础可以追溯至创新系统理论的演进脉络。弗里曼在考察日本经验时提出国家创新系统概念，强调技术创新绩效取决于国家层面制度安排的整体质量</w:t>
      </w:r>
      <w:r>
        <w:rPr>
          <w:rFonts w:ascii="Times New Roman" w:hAnsi="Times New Roman" w:eastAsia="宋体"/>
          <w:b w:val="0"/>
          <w:i w:val="0"/>
          <w:sz w:val="18"/>
          <w:vertAlign w:val="superscript"/>
        </w:rPr>
        <w:t>[17]</w:t>
      </w:r>
      <w:r>
        <w:rPr>
          <w:rFonts w:ascii="Times New Roman" w:hAnsi="Times New Roman" w:eastAsia="宋体"/>
          <w:b w:val="0"/>
          <w:i w:val="0"/>
          <w:sz w:val="24"/>
        </w:rPr>
        <w:t>；伦德瓦尔进一步将创新界定为生产者与使用者互动学习的过程，突出了教育培训制度在创新系统中的基础地位</w:t>
      </w:r>
      <w:r>
        <w:rPr>
          <w:rFonts w:ascii="Times New Roman" w:hAnsi="Times New Roman" w:eastAsia="宋体"/>
          <w:b w:val="0"/>
          <w:i w:val="0"/>
          <w:sz w:val="18"/>
          <w:vertAlign w:val="superscript"/>
        </w:rPr>
        <w:t>[18]</w:t>
      </w:r>
      <w:r>
        <w:rPr>
          <w:rFonts w:ascii="Times New Roman" w:hAnsi="Times New Roman" w:eastAsia="宋体"/>
          <w:b w:val="0"/>
          <w:i w:val="0"/>
          <w:sz w:val="24"/>
        </w:rPr>
        <w:t>；纳尔逊主编的多国比较研究则表明，大学与公共科研机构、企业研发体系及政府政策的耦合方式塑造了各国创新系统的差异化特征</w:t>
      </w:r>
      <w:r>
        <w:rPr>
          <w:rFonts w:ascii="Times New Roman" w:hAnsi="Times New Roman" w:eastAsia="宋体"/>
          <w:b w:val="0"/>
          <w:i w:val="0"/>
          <w:sz w:val="18"/>
          <w:vertAlign w:val="superscript"/>
        </w:rPr>
        <w:t>[19]</w:t>
      </w:r>
      <w:r>
        <w:rPr>
          <w:rFonts w:ascii="Times New Roman" w:hAnsi="Times New Roman" w:eastAsia="宋体"/>
          <w:b w:val="0"/>
          <w:i w:val="0"/>
          <w:sz w:val="24"/>
        </w:rPr>
        <w:t>。埃茨科维茨和雷德斯多夫提出的三螺旋理论，将大学—产业—政府的螺旋式互动视为知识经济时代创新的组织基础，大学从人才培养机构转变为创新创业的策源主体</w:t>
      </w:r>
      <w:r>
        <w:rPr>
          <w:rFonts w:ascii="Times New Roman" w:hAnsi="Times New Roman" w:eastAsia="宋体"/>
          <w:b w:val="0"/>
          <w:i w:val="0"/>
          <w:sz w:val="18"/>
          <w:vertAlign w:val="superscript"/>
        </w:rPr>
        <w:t>[20]</w:t>
      </w:r>
      <w:r>
        <w:rPr>
          <w:rFonts w:ascii="Times New Roman" w:hAnsi="Times New Roman" w:eastAsia="宋体"/>
          <w:b w:val="0"/>
          <w:i w:val="0"/>
          <w:sz w:val="24"/>
        </w:rPr>
        <w:t>；卡拉扬尼斯和坎贝尔又在三螺旋基础上引入公民社会与文化维度，提出四螺旋框架，强调创新生态的多主体共生特征</w:t>
      </w:r>
      <w:r>
        <w:rPr>
          <w:rFonts w:ascii="Times New Roman" w:hAnsi="Times New Roman" w:eastAsia="宋体"/>
          <w:b w:val="0"/>
          <w:i w:val="0"/>
          <w:sz w:val="18"/>
          <w:vertAlign w:val="superscript"/>
        </w:rPr>
        <w:t>[21]</w:t>
      </w:r>
      <w:r>
        <w:rPr>
          <w:rFonts w:ascii="Times New Roman" w:hAnsi="Times New Roman" w:eastAsia="宋体"/>
          <w:b w:val="0"/>
          <w:i w:val="0"/>
          <w:sz w:val="24"/>
        </w:rPr>
        <w:t>。李立国进一步指出，教育科技人才一体化在理论上实现了对三螺旋模式的超越——三螺旋强调的是组织间的外部协作，而一体化强调的是国家战略框架下三大系统的内在贯通，高等教育由此从创新的参与者转变为创新体系的内生构成</w:t>
      </w:r>
      <w:r>
        <w:rPr>
          <w:rFonts w:ascii="Times New Roman" w:hAnsi="Times New Roman" w:eastAsia="宋体"/>
          <w:b w:val="0"/>
          <w:i w:val="0"/>
          <w:sz w:val="18"/>
          <w:vertAlign w:val="superscript"/>
        </w:rPr>
        <w:t>[22]</w:t>
      </w:r>
      <w:r>
        <w:rPr>
          <w:rFonts w:ascii="Times New Roman" w:hAnsi="Times New Roman" w:eastAsia="宋体"/>
          <w:b w:val="0"/>
          <w:i w:val="0"/>
          <w:sz w:val="24"/>
        </w:rPr>
        <w:t>。</w:t>
      </w:r>
    </w:p>
    <w:p>
      <w:pPr>
        <w:spacing w:before="0" w:after="0" w:line="360" w:lineRule="auto"/>
        <w:jc w:val="both"/>
        <w:ind w:firstLineChars="200"/>
      </w:pPr>
      <w:r>
        <w:rPr>
          <w:rFonts w:ascii="Times New Roman" w:hAnsi="Times New Roman" w:eastAsia="宋体"/>
          <w:b w:val="0"/>
          <w:i w:val="0"/>
          <w:sz w:val="24"/>
        </w:rPr>
        <w:t>近年来，创新研究经历了从“创新系统”向“创新生态系统”的范式转换</w:t>
      </w:r>
      <w:r>
        <w:rPr>
          <w:rFonts w:ascii="Times New Roman" w:hAnsi="Times New Roman" w:eastAsia="宋体"/>
          <w:b w:val="0"/>
          <w:i w:val="0"/>
          <w:sz w:val="18"/>
          <w:vertAlign w:val="superscript"/>
        </w:rPr>
        <w:t>[23]</w:t>
      </w:r>
      <w:r>
        <w:rPr>
          <w:rFonts w:ascii="Times New Roman" w:hAnsi="Times New Roman" w:eastAsia="宋体"/>
          <w:b w:val="0"/>
          <w:i w:val="0"/>
          <w:sz w:val="24"/>
        </w:rPr>
        <w:t>，创新生态系统理论为理解教科人关系提供了更具整体性的视角</w:t>
      </w:r>
      <w:r>
        <w:rPr>
          <w:rFonts w:ascii="Times New Roman" w:hAnsi="Times New Roman" w:eastAsia="宋体"/>
          <w:b w:val="0"/>
          <w:i w:val="0"/>
          <w:sz w:val="18"/>
          <w:vertAlign w:val="superscript"/>
        </w:rPr>
        <w:t>[24,25]</w:t>
      </w:r>
      <w:r>
        <w:rPr>
          <w:rFonts w:ascii="Times New Roman" w:hAnsi="Times New Roman" w:eastAsia="宋体"/>
          <w:b w:val="0"/>
          <w:i w:val="0"/>
          <w:sz w:val="24"/>
        </w:rPr>
        <w:t>。国内学者在此基础上发展了人才创新创业生态系统理论，孙锐等以苏州工业园区为例，刻画了以人才为核心、高校院所和企业为培育主体、政府与金融机构为服务主体、创新文化为外部环境的圈层结构</w:t>
      </w:r>
      <w:r>
        <w:rPr>
          <w:rFonts w:ascii="Times New Roman" w:hAnsi="Times New Roman" w:eastAsia="宋体"/>
          <w:b w:val="0"/>
          <w:i w:val="0"/>
          <w:sz w:val="18"/>
          <w:vertAlign w:val="superscript"/>
        </w:rPr>
        <w:t>[26]</w:t>
      </w:r>
      <w:r>
        <w:rPr>
          <w:rFonts w:ascii="Times New Roman" w:hAnsi="Times New Roman" w:eastAsia="宋体"/>
          <w:b w:val="0"/>
          <w:i w:val="0"/>
          <w:sz w:val="24"/>
        </w:rPr>
        <w:t>；柳卸林等构建了城市创新生态系统的评价体系</w:t>
      </w:r>
      <w:r>
        <w:rPr>
          <w:rFonts w:ascii="Times New Roman" w:hAnsi="Times New Roman" w:eastAsia="宋体"/>
          <w:b w:val="0"/>
          <w:i w:val="0"/>
          <w:sz w:val="18"/>
          <w:vertAlign w:val="superscript"/>
        </w:rPr>
        <w:t>[27]</w:t>
      </w:r>
      <w:r>
        <w:rPr>
          <w:rFonts w:ascii="Times New Roman" w:hAnsi="Times New Roman" w:eastAsia="宋体"/>
          <w:b w:val="0"/>
          <w:i w:val="0"/>
          <w:sz w:val="24"/>
        </w:rPr>
        <w:t>；陈劲等将人才创新生态系统框架应用于人工智能人才高地建设研究，发现教育培养、金融服务、数字基础设施与创新文化的组态匹配决定人才高地的创新效能</w:t>
      </w:r>
      <w:r>
        <w:rPr>
          <w:rFonts w:ascii="Times New Roman" w:hAnsi="Times New Roman" w:eastAsia="宋体"/>
          <w:b w:val="0"/>
          <w:i w:val="0"/>
          <w:sz w:val="18"/>
          <w:vertAlign w:val="superscript"/>
        </w:rPr>
        <w:t>[28]</w:t>
      </w:r>
      <w:r>
        <w:rPr>
          <w:rFonts w:ascii="Times New Roman" w:hAnsi="Times New Roman" w:eastAsia="宋体"/>
          <w:b w:val="0"/>
          <w:i w:val="0"/>
          <w:sz w:val="24"/>
        </w:rPr>
        <w:t>；王福世等对中国35个城市的组态分析进一步表明，人才高地建设存在“殊途同归”的多元路径，不同禀赋城市可以通过差异化要素组合实现等效产出</w:t>
      </w:r>
      <w:r>
        <w:rPr>
          <w:rFonts w:ascii="Times New Roman" w:hAnsi="Times New Roman" w:eastAsia="宋体"/>
          <w:b w:val="0"/>
          <w:i w:val="0"/>
          <w:sz w:val="18"/>
          <w:vertAlign w:val="superscript"/>
        </w:rPr>
        <w:t>[16]</w:t>
      </w:r>
      <w:r>
        <w:rPr>
          <w:rFonts w:ascii="Times New Roman" w:hAnsi="Times New Roman" w:eastAsia="宋体"/>
          <w:b w:val="0"/>
          <w:i w:val="0"/>
          <w:sz w:val="24"/>
        </w:rPr>
        <w:t>。这些研究共同提示：教科人一体化不是要素的简单叠加，而是主体、资源与环境在特定区域情境中的系统性耦合，其实现路径必然是多元的、情境依赖的。</w:t>
      </w:r>
    </w:p>
    <w:p>
      <w:pPr>
        <w:spacing w:before="160" w:after="80" w:line="312" w:lineRule="auto"/>
      </w:pPr>
      <w:r>
        <w:rPr>
          <w:rFonts w:ascii="Times New Roman" w:hAnsi="Times New Roman" w:eastAsia="黑体"/>
          <w:b/>
          <w:i w:val="0"/>
          <w:sz w:val="24"/>
        </w:rPr>
        <w:t>1.3　分析框架：五维一体的分析结构</w:t>
      </w:r>
    </w:p>
    <w:p>
      <w:pPr>
        <w:spacing w:before="0" w:after="0" w:line="360" w:lineRule="auto"/>
        <w:jc w:val="both"/>
        <w:ind w:firstLineChars="200"/>
      </w:pPr>
      <w:r>
        <w:rPr>
          <w:rFonts w:ascii="Times New Roman" w:hAnsi="Times New Roman" w:eastAsia="宋体"/>
          <w:b w:val="0"/>
          <w:i w:val="0"/>
          <w:sz w:val="24"/>
        </w:rPr>
        <w:t>综合上述理论，本文构建“战略统筹—制度供给—主体协同—要素贯通—评价牵引”五维分析框架，用以解构区域推进教科人一体化的实践模式。战略统筹维度考察区域是否形成教育、科技、人才工作的高位统筹架构与目标协同机制，对应创新系统理论对制度整体性的强调</w:t>
      </w:r>
      <w:r>
        <w:rPr>
          <w:rFonts w:ascii="Times New Roman" w:hAnsi="Times New Roman" w:eastAsia="宋体"/>
          <w:b w:val="0"/>
          <w:i w:val="0"/>
          <w:sz w:val="18"/>
          <w:vertAlign w:val="superscript"/>
        </w:rPr>
        <w:t>[17]</w:t>
      </w:r>
      <w:r>
        <w:rPr>
          <w:rFonts w:ascii="Times New Roman" w:hAnsi="Times New Roman" w:eastAsia="宋体"/>
          <w:b w:val="0"/>
          <w:i w:val="0"/>
          <w:sz w:val="24"/>
        </w:rPr>
        <w:t>；制度供给维度考察支撑一体化的法规、规划与政策创新，反映政府在创新生态中的制度供给功能</w:t>
      </w:r>
      <w:r>
        <w:rPr>
          <w:rFonts w:ascii="Times New Roman" w:hAnsi="Times New Roman" w:eastAsia="宋体"/>
          <w:b w:val="0"/>
          <w:i w:val="0"/>
          <w:sz w:val="18"/>
          <w:vertAlign w:val="superscript"/>
        </w:rPr>
        <w:t>[19]</w:t>
      </w:r>
      <w:r>
        <w:rPr>
          <w:rFonts w:ascii="Times New Roman" w:hAnsi="Times New Roman" w:eastAsia="宋体"/>
          <w:b w:val="0"/>
          <w:i w:val="0"/>
          <w:sz w:val="24"/>
        </w:rPr>
        <w:t>；主体协同维度考察高校、科研机构、企业等创新主体之间的组织化联结方式，对应三螺旋理论的主体互动逻辑</w:t>
      </w:r>
      <w:r>
        <w:rPr>
          <w:rFonts w:ascii="Times New Roman" w:hAnsi="Times New Roman" w:eastAsia="宋体"/>
          <w:b w:val="0"/>
          <w:i w:val="0"/>
          <w:sz w:val="18"/>
          <w:vertAlign w:val="superscript"/>
        </w:rPr>
        <w:t>[20]</w:t>
      </w:r>
      <w:r>
        <w:rPr>
          <w:rFonts w:ascii="Times New Roman" w:hAnsi="Times New Roman" w:eastAsia="宋体"/>
          <w:b w:val="0"/>
          <w:i w:val="0"/>
          <w:sz w:val="24"/>
        </w:rPr>
        <w:t>；要素贯通维度考察人才、资金、数据、平台等创新要素跨系统、跨区域流动的机制安排，对应人才创新创业生态系统的要素循环逻辑</w:t>
      </w:r>
      <w:r>
        <w:rPr>
          <w:rFonts w:ascii="Times New Roman" w:hAnsi="Times New Roman" w:eastAsia="宋体"/>
          <w:b w:val="0"/>
          <w:i w:val="0"/>
          <w:sz w:val="18"/>
          <w:vertAlign w:val="superscript"/>
        </w:rPr>
        <w:t>[26]</w:t>
      </w:r>
      <w:r>
        <w:rPr>
          <w:rFonts w:ascii="Times New Roman" w:hAnsi="Times New Roman" w:eastAsia="宋体"/>
          <w:b w:val="0"/>
          <w:i w:val="0"/>
          <w:sz w:val="24"/>
        </w:rPr>
        <w:t>；评价牵引维度考察教育评价、科技评价、人才评价的改革联动，反映评价制度作为“指挥棒”对一体化进程的引导功能</w:t>
      </w:r>
      <w:r>
        <w:rPr>
          <w:rFonts w:ascii="Times New Roman" w:hAnsi="Times New Roman" w:eastAsia="宋体"/>
          <w:b w:val="0"/>
          <w:i w:val="0"/>
          <w:sz w:val="18"/>
          <w:vertAlign w:val="superscript"/>
        </w:rPr>
        <w:t>[12]</w:t>
      </w:r>
      <w:r>
        <w:rPr>
          <w:rFonts w:ascii="Times New Roman" w:hAnsi="Times New Roman" w:eastAsia="宋体"/>
          <w:b w:val="0"/>
          <w:i w:val="0"/>
          <w:sz w:val="24"/>
        </w:rPr>
        <w:t>；该维度并非三大理论的直接推演，而是源自中国情境中评价制度深度嵌入资源配置过程的制度事实，其理论接口在于创新系统理论对制度安排之激励功能的强调</w:t>
      </w:r>
      <w:r>
        <w:rPr>
          <w:rFonts w:ascii="Times New Roman" w:hAnsi="Times New Roman" w:eastAsia="宋体"/>
          <w:b w:val="0"/>
          <w:i w:val="0"/>
          <w:sz w:val="18"/>
          <w:vertAlign w:val="superscript"/>
        </w:rPr>
        <w:t>[19]</w:t>
      </w:r>
      <w:r>
        <w:rPr>
          <w:rFonts w:ascii="Times New Roman" w:hAnsi="Times New Roman" w:eastAsia="宋体"/>
          <w:b w:val="0"/>
          <w:i w:val="0"/>
          <w:sz w:val="24"/>
        </w:rPr>
        <w:t>——评价标准决定各创新主体的努力方向，是三大系统能否同向发力的关键制度变量。五个维度相互支撑，共同构成观察区域一体化实践的完整分析结构。</w:t>
      </w:r>
    </w:p>
    <w:p>
      <w:pPr>
        <w:spacing w:before="240" w:after="120" w:line="312" w:lineRule="auto"/>
      </w:pPr>
      <w:r>
        <w:rPr>
          <w:rFonts w:ascii="Times New Roman" w:hAnsi="Times New Roman" w:eastAsia="黑体"/>
          <w:b/>
          <w:i w:val="0"/>
          <w:sz w:val="28"/>
        </w:rPr>
        <w:t>2　研究设计</w:t>
      </w:r>
    </w:p>
    <w:p>
      <w:pPr>
        <w:spacing w:before="160" w:after="80" w:line="312" w:lineRule="auto"/>
      </w:pPr>
      <w:r>
        <w:rPr>
          <w:rFonts w:ascii="Times New Roman" w:hAnsi="Times New Roman" w:eastAsia="黑体"/>
          <w:b/>
          <w:i w:val="0"/>
          <w:sz w:val="24"/>
        </w:rPr>
        <w:t>2.1　方法选择</w:t>
      </w:r>
    </w:p>
    <w:p>
      <w:pPr>
        <w:spacing w:before="0" w:after="0" w:line="360" w:lineRule="auto"/>
        <w:jc w:val="both"/>
        <w:ind w:firstLineChars="200"/>
      </w:pPr>
      <w:r>
        <w:rPr>
          <w:rFonts w:ascii="Times New Roman" w:hAnsi="Times New Roman" w:eastAsia="宋体"/>
          <w:b w:val="0"/>
          <w:i w:val="0"/>
          <w:sz w:val="24"/>
        </w:rPr>
        <w:t>本文采用多案例比较研究方法。教科人一体化改革的核心问题是“如何实现”的机制性问题，涉及制度创新与组织变革的复杂过程，具有强烈的情境嵌入特征，适合运用案例研究方法进行过程性、机制性考察。相较于单案例研究，多案例比较通过跨案例的复制逻辑与差异分析，能够提炼更具外部效度的模式类型与共性机制。国内已有研究运用纵向案例方法考察硅谷、特拉维夫、中关村、筑波等人才高地的演化机理</w:t>
      </w:r>
      <w:r>
        <w:rPr>
          <w:rFonts w:ascii="Times New Roman" w:hAnsi="Times New Roman" w:eastAsia="宋体"/>
          <w:b w:val="0"/>
          <w:i w:val="0"/>
          <w:sz w:val="18"/>
          <w:vertAlign w:val="superscript"/>
        </w:rPr>
        <w:t>[29]</w:t>
      </w:r>
      <w:r>
        <w:rPr>
          <w:rFonts w:ascii="Times New Roman" w:hAnsi="Times New Roman" w:eastAsia="宋体"/>
          <w:b w:val="0"/>
          <w:i w:val="0"/>
          <w:sz w:val="24"/>
        </w:rPr>
        <w:t>，运用单案例定量方法评估浙江省一体化改革成效</w:t>
      </w:r>
      <w:r>
        <w:rPr>
          <w:rFonts w:ascii="Times New Roman" w:hAnsi="Times New Roman" w:eastAsia="宋体"/>
          <w:b w:val="0"/>
          <w:i w:val="0"/>
          <w:sz w:val="18"/>
          <w:vertAlign w:val="superscript"/>
        </w:rPr>
        <w:t>[12]</w:t>
      </w:r>
      <w:r>
        <w:rPr>
          <w:rFonts w:ascii="Times New Roman" w:hAnsi="Times New Roman" w:eastAsia="宋体"/>
          <w:b w:val="0"/>
          <w:i w:val="0"/>
          <w:sz w:val="24"/>
        </w:rPr>
        <w:t>，本文的多案例横向比较与上述研究形成方法互补。</w:t>
      </w:r>
    </w:p>
    <w:p>
      <w:pPr>
        <w:spacing w:before="160" w:after="80" w:line="312" w:lineRule="auto"/>
      </w:pPr>
      <w:r>
        <w:rPr>
          <w:rFonts w:ascii="Times New Roman" w:hAnsi="Times New Roman" w:eastAsia="黑体"/>
          <w:b/>
          <w:i w:val="0"/>
          <w:sz w:val="24"/>
        </w:rPr>
        <w:t>2.2　案例选择与资料来源</w:t>
      </w:r>
    </w:p>
    <w:p>
      <w:pPr>
        <w:spacing w:before="0" w:after="0" w:line="360" w:lineRule="auto"/>
        <w:jc w:val="both"/>
        <w:ind w:firstLineChars="200"/>
      </w:pPr>
      <w:r>
        <w:rPr>
          <w:rFonts w:ascii="Times New Roman" w:hAnsi="Times New Roman" w:eastAsia="宋体"/>
          <w:b w:val="0"/>
          <w:i w:val="0"/>
          <w:sz w:val="24"/>
        </w:rPr>
        <w:t>案例选择遵循理论抽样原则。一是典型性：北京、上海、粤港澳大湾区是中央确定的高水平人才高地建设区域</w:t>
      </w:r>
      <w:r>
        <w:rPr>
          <w:rFonts w:ascii="Times New Roman" w:hAnsi="Times New Roman" w:eastAsia="宋体"/>
          <w:b w:val="0"/>
          <w:i w:val="0"/>
          <w:sz w:val="18"/>
          <w:vertAlign w:val="superscript"/>
        </w:rPr>
        <w:t>[9]</w:t>
      </w:r>
      <w:r>
        <w:rPr>
          <w:rFonts w:ascii="Times New Roman" w:hAnsi="Times New Roman" w:eastAsia="宋体"/>
          <w:b w:val="0"/>
          <w:i w:val="0"/>
          <w:sz w:val="24"/>
        </w:rPr>
        <w:t>，浙江是全国率先开展省级教科人一体化创新深化试点的省份</w:t>
      </w:r>
      <w:r>
        <w:rPr>
          <w:rFonts w:ascii="Times New Roman" w:hAnsi="Times New Roman" w:eastAsia="宋体"/>
          <w:b w:val="0"/>
          <w:i w:val="0"/>
          <w:sz w:val="18"/>
          <w:vertAlign w:val="superscript"/>
        </w:rPr>
        <w:t>[10]</w:t>
      </w:r>
      <w:r>
        <w:rPr>
          <w:rFonts w:ascii="Times New Roman" w:hAnsi="Times New Roman" w:eastAsia="宋体"/>
          <w:b w:val="0"/>
          <w:i w:val="0"/>
          <w:sz w:val="24"/>
        </w:rPr>
        <w:t>，四地均处于一体化改革的第一方阵；二是差异性：四地在央地关系、开放程度、数字化水平、产业结构等方面禀赋各异，北京的优势在于中央科技资源集聚，上海突出制度型开放与枢纽功能，浙江以数字经济和民营经济活力著称，广东则具有产业体系完备、市场机制发达的长板，禀赋差异为提炼差异化模式提供了比较基础；三是数据可得性：四地一体化改革的政策文本、统计数据与实践报道公开充分，能够支撑多源证据的三角验证。</w:t>
      </w:r>
    </w:p>
    <w:p>
      <w:pPr>
        <w:spacing w:before="0" w:after="0" w:line="360" w:lineRule="auto"/>
        <w:jc w:val="both"/>
        <w:ind w:firstLineChars="200"/>
      </w:pPr>
      <w:r>
        <w:rPr>
          <w:rFonts w:ascii="Times New Roman" w:hAnsi="Times New Roman" w:eastAsia="宋体"/>
          <w:b w:val="0"/>
          <w:i w:val="0"/>
          <w:sz w:val="24"/>
        </w:rPr>
        <w:t>需要说明的是，四个案例的分析单元存在行政层级差异：北京、上海为直辖市，浙江、广东为省域；其中广东的分析以广东省及域内城市承担实施的大湾区建设任务为边界，粤港澳跨境制度安排仅作为广东制度环境的构成背景。本文以“省级统筹单元”作为跨案例比较的可比口径，并在解释结论时考虑层级差异的影响。</w:t>
      </w:r>
    </w:p>
    <w:p>
      <w:pPr>
        <w:spacing w:before="0" w:after="0" w:line="360" w:lineRule="auto"/>
        <w:jc w:val="both"/>
        <w:ind w:firstLineChars="200"/>
      </w:pPr>
      <w:r>
        <w:rPr>
          <w:rFonts w:ascii="Times New Roman" w:hAnsi="Times New Roman" w:eastAsia="宋体"/>
          <w:b w:val="0"/>
          <w:i w:val="0"/>
          <w:sz w:val="24"/>
        </w:rPr>
        <w:t>在资料收集与分析程序上，案例资料主要来源于四类渠道：中央和地方发布的政策文件与法规文本；地方政府工作报告与统计公报；新华社、人民日报、科技日报等权威媒体的实践报道</w:t>
      </w:r>
      <w:r>
        <w:rPr>
          <w:rFonts w:ascii="Times New Roman" w:hAnsi="Times New Roman" w:eastAsia="宋体"/>
          <w:b w:val="0"/>
          <w:i w:val="0"/>
          <w:sz w:val="18"/>
          <w:vertAlign w:val="superscript"/>
        </w:rPr>
        <w:t>[30,31]</w:t>
      </w:r>
      <w:r>
        <w:rPr>
          <w:rFonts w:ascii="Times New Roman" w:hAnsi="Times New Roman" w:eastAsia="宋体"/>
          <w:b w:val="0"/>
          <w:i w:val="0"/>
          <w:sz w:val="24"/>
        </w:rPr>
        <w:t>；既有学术文献中的案例证据</w:t>
      </w:r>
      <w:r>
        <w:rPr>
          <w:rFonts w:ascii="Times New Roman" w:hAnsi="Times New Roman" w:eastAsia="宋体"/>
          <w:b w:val="0"/>
          <w:i w:val="0"/>
          <w:sz w:val="18"/>
          <w:vertAlign w:val="superscript"/>
        </w:rPr>
        <w:t>[12,28]</w:t>
      </w:r>
      <w:r>
        <w:rPr>
          <w:rFonts w:ascii="Times New Roman" w:hAnsi="Times New Roman" w:eastAsia="宋体"/>
          <w:b w:val="0"/>
          <w:i w:val="0"/>
          <w:sz w:val="24"/>
        </w:rPr>
        <w:t>。资料检索截至2026年6月。分析时将各案例资料按五维分析框架逐条编码归类，形成案例证据表；对每一维度的关键证据，要求政策文本、统计数据与权威报道等不同来源相互印证，对存在出入的证据回溯原始文件核实，在此基础上开展结构化的跨案例比较，以保证案例证据的信度与效度。</w:t>
      </w:r>
    </w:p>
    <w:p>
      <w:pPr>
        <w:spacing w:before="240" w:after="120" w:line="312" w:lineRule="auto"/>
      </w:pPr>
      <w:r>
        <w:rPr>
          <w:rFonts w:ascii="Times New Roman" w:hAnsi="Times New Roman" w:eastAsia="黑体"/>
          <w:b/>
          <w:i w:val="0"/>
          <w:sz w:val="28"/>
        </w:rPr>
        <w:t>3　案例分析：四地推进教科人一体化的实践模式</w:t>
      </w:r>
    </w:p>
    <w:p>
      <w:pPr>
        <w:spacing w:before="160" w:after="80" w:line="312" w:lineRule="auto"/>
      </w:pPr>
      <w:r>
        <w:rPr>
          <w:rFonts w:ascii="Times New Roman" w:hAnsi="Times New Roman" w:eastAsia="黑体"/>
          <w:b/>
          <w:i w:val="0"/>
          <w:sz w:val="24"/>
        </w:rPr>
        <w:t>3.1　北京：战略科技力量牵引的“央地协同”模式</w:t>
      </w:r>
    </w:p>
    <w:p>
      <w:pPr>
        <w:spacing w:before="0" w:after="0" w:line="360" w:lineRule="auto"/>
        <w:jc w:val="both"/>
        <w:ind w:firstLineChars="200"/>
      </w:pPr>
      <w:r>
        <w:rPr>
          <w:rFonts w:ascii="Times New Roman" w:hAnsi="Times New Roman" w:eastAsia="宋体"/>
          <w:b w:val="0"/>
          <w:i w:val="0"/>
          <w:sz w:val="24"/>
        </w:rPr>
        <w:t>北京作为国际科技创新中心，其一体化实践的突出特征是以国家战略科技力量为牵引、以央地协同为纽带。在战略统筹维度，北京将国际科技创新中心建设作为统领教育、科技、人才工作的总抓手，依托怀柔科学城、未来科学城、中关村科学城及北京经济技术开发区“三城一区”主平台承接国家战略任务，形成了央地协同的战略布局。在制度供给维度，2024年1月北京市第十六届人民代表大会第二次会议表决通过《北京国际科技创新中心建设条例》，设专章对创新主体、创新人才、创新生态作出制度安排，以地方立法形式将教育、科技、人才统筹发展的要求制度化</w:t>
      </w:r>
      <w:r>
        <w:rPr>
          <w:rFonts w:ascii="Times New Roman" w:hAnsi="Times New Roman" w:eastAsia="宋体"/>
          <w:b w:val="0"/>
          <w:i w:val="0"/>
          <w:sz w:val="18"/>
          <w:vertAlign w:val="superscript"/>
        </w:rPr>
        <w:t>[32]</w:t>
      </w:r>
      <w:r>
        <w:rPr>
          <w:rFonts w:ascii="Times New Roman" w:hAnsi="Times New Roman" w:eastAsia="宋体"/>
          <w:b w:val="0"/>
          <w:i w:val="0"/>
          <w:sz w:val="24"/>
        </w:rPr>
        <w:t>；中关村国家自主创新示范区的先行先试政策则持续推动科技成果权属改革、科研经费包干制等制度突破。在主体协同维度，北京推动国家实验室、大科学装置与高校院所、领军企业的贯通布局，形成了基础研究、应用研究与产业转化的空间协同格局</w:t>
      </w:r>
      <w:r>
        <w:rPr>
          <w:rFonts w:ascii="Times New Roman" w:hAnsi="Times New Roman" w:eastAsia="宋体"/>
          <w:b w:val="0"/>
          <w:i w:val="0"/>
          <w:sz w:val="18"/>
          <w:vertAlign w:val="superscript"/>
        </w:rPr>
        <w:t>[16]</w:t>
      </w:r>
      <w:r>
        <w:rPr>
          <w:rFonts w:ascii="Times New Roman" w:hAnsi="Times New Roman" w:eastAsia="宋体"/>
          <w:b w:val="0"/>
          <w:i w:val="0"/>
          <w:sz w:val="24"/>
        </w:rPr>
        <w:t>。在要素贯通维度，北京集聚了全国近一半的两院院士，国家实验室、大科学装置等战略科技力量高度密集</w:t>
      </w:r>
      <w:r>
        <w:rPr>
          <w:rFonts w:ascii="Times New Roman" w:hAnsi="Times New Roman" w:eastAsia="宋体"/>
          <w:b w:val="0"/>
          <w:i w:val="0"/>
          <w:sz w:val="18"/>
          <w:vertAlign w:val="superscript"/>
        </w:rPr>
        <w:t>[16]</w:t>
      </w:r>
      <w:r>
        <w:rPr>
          <w:rFonts w:ascii="Times New Roman" w:hAnsi="Times New Roman" w:eastAsia="宋体"/>
          <w:b w:val="0"/>
          <w:i w:val="0"/>
          <w:sz w:val="24"/>
        </w:rPr>
        <w:t>，先行先试政策促进了人才、成果、资本的跨体制流动。在评价牵引维度，清华大学、北京大学等在京高校院所被纳入国家科技人才评价改革首批试点</w:t>
      </w:r>
      <w:r>
        <w:rPr>
          <w:rFonts w:ascii="Times New Roman" w:hAnsi="Times New Roman" w:eastAsia="宋体"/>
          <w:b w:val="0"/>
          <w:i w:val="0"/>
          <w:sz w:val="18"/>
          <w:vertAlign w:val="superscript"/>
        </w:rPr>
        <w:t>[33]</w:t>
      </w:r>
      <w:r>
        <w:rPr>
          <w:rFonts w:ascii="Times New Roman" w:hAnsi="Times New Roman" w:eastAsia="宋体"/>
          <w:b w:val="0"/>
          <w:i w:val="0"/>
          <w:sz w:val="24"/>
        </w:rPr>
        <w:t>，中关村示范区亦率先探索与国际接轨的人才评价安排。组态研究表明，北京的人才高地建设呈现人才主体、政府政策支持、创新文化环境和宜居生活环境多元协同、知识创新主体支撑的路径特征，知识创新主体密集是其最突出的禀赋优势</w:t>
      </w:r>
      <w:r>
        <w:rPr>
          <w:rFonts w:ascii="Times New Roman" w:hAnsi="Times New Roman" w:eastAsia="宋体"/>
          <w:b w:val="0"/>
          <w:i w:val="0"/>
          <w:sz w:val="18"/>
          <w:vertAlign w:val="superscript"/>
        </w:rPr>
        <w:t>[16]</w:t>
      </w:r>
      <w:r>
        <w:rPr>
          <w:rFonts w:ascii="Times New Roman" w:hAnsi="Times New Roman" w:eastAsia="宋体"/>
          <w:b w:val="0"/>
          <w:i w:val="0"/>
          <w:sz w:val="24"/>
        </w:rPr>
        <w:t>。总体上，北京模式的实质是以承接国家战略任务为牵引，通过央地协同将中央科技资源优势转化为一体化发展效能。</w:t>
      </w:r>
    </w:p>
    <w:p>
      <w:pPr>
        <w:spacing w:before="160" w:after="80" w:line="312" w:lineRule="auto"/>
      </w:pPr>
      <w:r>
        <w:rPr>
          <w:rFonts w:ascii="Times New Roman" w:hAnsi="Times New Roman" w:eastAsia="黑体"/>
          <w:b/>
          <w:i w:val="0"/>
          <w:sz w:val="24"/>
        </w:rPr>
        <w:t>3.2　上海：制度型开放驱动的“枢纽链接”模式</w:t>
      </w:r>
    </w:p>
    <w:p>
      <w:pPr>
        <w:spacing w:before="0" w:after="0" w:line="360" w:lineRule="auto"/>
        <w:jc w:val="both"/>
        <w:ind w:firstLineChars="200"/>
      </w:pPr>
      <w:r>
        <w:rPr>
          <w:rFonts w:ascii="Times New Roman" w:hAnsi="Times New Roman" w:eastAsia="宋体"/>
          <w:b w:val="0"/>
          <w:i w:val="0"/>
          <w:sz w:val="24"/>
        </w:rPr>
        <w:t>上海的一体化实践根植于其具有全球影响力的科技创新中心建设进程，突出特征是以制度型开放链接全球创新要素。在战略统筹维度，上海将国际科创中心建设作为统领教育、科技、人才工作的总抓手，通过浦东新区打造社会主义现代化建设引领区的国家战略，获得了大科学设施建设、国际人才管理改革等先行先试授权。在制度供给维度，2020年1月上海市人民代表大会表决通过《上海市推进科技创新中心建设条例》，以“基本法”形式对创新主体建设、创新人才发展、创新环境营造作出系统性制度安排</w:t>
      </w:r>
      <w:r>
        <w:rPr>
          <w:rFonts w:ascii="Times New Roman" w:hAnsi="Times New Roman" w:eastAsia="宋体"/>
          <w:b w:val="0"/>
          <w:i w:val="0"/>
          <w:sz w:val="18"/>
          <w:vertAlign w:val="superscript"/>
        </w:rPr>
        <w:t>[34]</w:t>
      </w:r>
      <w:r>
        <w:rPr>
          <w:rFonts w:ascii="Times New Roman" w:hAnsi="Times New Roman" w:eastAsia="宋体"/>
          <w:b w:val="0"/>
          <w:i w:val="0"/>
          <w:sz w:val="24"/>
        </w:rPr>
        <w:t>，并通过综合改革试点推动海外人才引进、职称评审、成果转化等关键制度与国际通行规则衔接，强化了全球高端人才的制度吸引力。在主体协同维度，上海依托张江综合性国家科学中心的大科学设施集群，推动高校、科研机构与跨国企业研发中心的开放式协同，形成了基础研究策源与全球创新网络链接的双重功能。在要素贯通维度，上海凭借金融中心与开放枢纽优势，为人才创新提供了发达的金融服务与国际化执业环境，组态研究显示上海呈现人才主体、技术创新主体、政府政策支持和金融资源支持多元协同的全面均衡型路径</w:t>
      </w:r>
      <w:r>
        <w:rPr>
          <w:rFonts w:ascii="Times New Roman" w:hAnsi="Times New Roman" w:eastAsia="宋体"/>
          <w:b w:val="0"/>
          <w:i w:val="0"/>
          <w:sz w:val="18"/>
          <w:vertAlign w:val="superscript"/>
        </w:rPr>
        <w:t>[16]</w:t>
      </w:r>
      <w:r>
        <w:rPr>
          <w:rFonts w:ascii="Times New Roman" w:hAnsi="Times New Roman" w:eastAsia="宋体"/>
          <w:b w:val="0"/>
          <w:i w:val="0"/>
          <w:sz w:val="24"/>
        </w:rPr>
        <w:t>。在评价牵引维度，上海被列为国家科技人才评价改革6个综合试点地方之一，围绕“评什么、谁来评、怎么评、怎么用”开展系统性评价制度试验</w:t>
      </w:r>
      <w:r>
        <w:rPr>
          <w:rFonts w:ascii="Times New Roman" w:hAnsi="Times New Roman" w:eastAsia="宋体"/>
          <w:b w:val="0"/>
          <w:i w:val="0"/>
          <w:sz w:val="18"/>
          <w:vertAlign w:val="superscript"/>
        </w:rPr>
        <w:t>[33]</w:t>
      </w:r>
      <w:r>
        <w:rPr>
          <w:rFonts w:ascii="Times New Roman" w:hAnsi="Times New Roman" w:eastAsia="宋体"/>
          <w:b w:val="0"/>
          <w:i w:val="0"/>
          <w:sz w:val="24"/>
        </w:rPr>
        <w:t>。人工智能人才高地的组态分析同样表明，上海的高创新效能主要得益于人才培养、金融服务、数字基础设施与创新文化的协同配置</w:t>
      </w:r>
      <w:r>
        <w:rPr>
          <w:rFonts w:ascii="Times New Roman" w:hAnsi="Times New Roman" w:eastAsia="宋体"/>
          <w:b w:val="0"/>
          <w:i w:val="0"/>
          <w:sz w:val="18"/>
          <w:vertAlign w:val="superscript"/>
        </w:rPr>
        <w:t>[28]</w:t>
      </w:r>
      <w:r>
        <w:rPr>
          <w:rFonts w:ascii="Times New Roman" w:hAnsi="Times New Roman" w:eastAsia="宋体"/>
          <w:b w:val="0"/>
          <w:i w:val="0"/>
          <w:sz w:val="24"/>
        </w:rPr>
        <w:t>。总体上，上海模式的实质是以制度型开放为杠杆，将全球创新要素引入本地教科人循环，实现在地系统与全球网络的双向赋能。</w:t>
      </w:r>
    </w:p>
    <w:p>
      <w:pPr>
        <w:spacing w:before="160" w:after="80" w:line="312" w:lineRule="auto"/>
      </w:pPr>
      <w:r>
        <w:rPr>
          <w:rFonts w:ascii="Times New Roman" w:hAnsi="Times New Roman" w:eastAsia="黑体"/>
          <w:b/>
          <w:i w:val="0"/>
          <w:sz w:val="24"/>
        </w:rPr>
        <w:t>3.3　浙江：体制机制试点撬动的“迭代深化”模式</w:t>
      </w:r>
    </w:p>
    <w:p>
      <w:pPr>
        <w:spacing w:before="0" w:after="0" w:line="360" w:lineRule="auto"/>
        <w:jc w:val="both"/>
        <w:ind w:firstLineChars="200"/>
      </w:pPr>
      <w:r>
        <w:rPr>
          <w:rFonts w:ascii="Times New Roman" w:hAnsi="Times New Roman" w:eastAsia="宋体"/>
          <w:b w:val="0"/>
          <w:i w:val="0"/>
          <w:sz w:val="24"/>
        </w:rPr>
        <w:t>浙江作为经济发达和改革前沿省份，其一体化实践的突出特征是以省级体制机制试点为撬动支点、以渐进迭代为推进方法。在战略统筹维度，浙江组建教育科技人才一体化改革发展专班，2023年遴选公布首批20个省级“教育科技人才一体化”创新深化试点，以解决教科人资源配置模式不清、效率不高、联动不足等问题</w:t>
      </w:r>
      <w:r>
        <w:rPr>
          <w:rFonts w:ascii="Times New Roman" w:hAnsi="Times New Roman" w:eastAsia="宋体"/>
          <w:b w:val="0"/>
          <w:i w:val="0"/>
          <w:sz w:val="18"/>
          <w:vertAlign w:val="superscript"/>
        </w:rPr>
        <w:t>[10]</w:t>
      </w:r>
      <w:r>
        <w:rPr>
          <w:rFonts w:ascii="Times New Roman" w:hAnsi="Times New Roman" w:eastAsia="宋体"/>
          <w:b w:val="0"/>
          <w:i w:val="0"/>
          <w:sz w:val="24"/>
        </w:rPr>
        <w:t>。在制度供给维度，浙江省政府印发“315”科技创新体系建设工程实施方案，统筹布局三大科创高地建设与重大科技专项</w:t>
      </w:r>
      <w:r>
        <w:rPr>
          <w:rFonts w:ascii="Times New Roman" w:hAnsi="Times New Roman" w:eastAsia="宋体"/>
          <w:b w:val="0"/>
          <w:i w:val="0"/>
          <w:sz w:val="18"/>
          <w:vertAlign w:val="superscript"/>
        </w:rPr>
        <w:t>[35]</w:t>
      </w:r>
      <w:r>
        <w:rPr>
          <w:rFonts w:ascii="Times New Roman" w:hAnsi="Times New Roman" w:eastAsia="宋体"/>
          <w:b w:val="0"/>
          <w:i w:val="0"/>
          <w:sz w:val="24"/>
        </w:rPr>
        <w:t>，并出台重大科技计划管理办法等政策文件，实现科技项目组织实施的全链条优化</w:t>
      </w:r>
      <w:r>
        <w:rPr>
          <w:rFonts w:ascii="Times New Roman" w:hAnsi="Times New Roman" w:eastAsia="宋体"/>
          <w:b w:val="0"/>
          <w:i w:val="0"/>
          <w:sz w:val="18"/>
          <w:vertAlign w:val="superscript"/>
        </w:rPr>
        <w:t>[12]</w:t>
      </w:r>
      <w:r>
        <w:rPr>
          <w:rFonts w:ascii="Times New Roman" w:hAnsi="Times New Roman" w:eastAsia="宋体"/>
          <w:b w:val="0"/>
          <w:i w:val="0"/>
          <w:sz w:val="24"/>
        </w:rPr>
        <w:t>。在主体协同维度，浙江推动龙头企业牵头组建创新联合体，并以省实验室、省技术创新中心等高能级科创平台作为一体化改革的“试验场”</w:t>
      </w:r>
      <w:r>
        <w:rPr>
          <w:rFonts w:ascii="Times New Roman" w:hAnsi="Times New Roman" w:eastAsia="宋体"/>
          <w:b w:val="0"/>
          <w:i w:val="0"/>
          <w:sz w:val="18"/>
          <w:vertAlign w:val="superscript"/>
        </w:rPr>
        <w:t>[12]</w:t>
      </w:r>
      <w:r>
        <w:rPr>
          <w:rFonts w:ascii="Times New Roman" w:hAnsi="Times New Roman" w:eastAsia="宋体"/>
          <w:b w:val="0"/>
          <w:i w:val="0"/>
          <w:sz w:val="24"/>
        </w:rPr>
        <w:t>。在要素贯通维度，浙江创新人才跨体制流动机制，启动科技副总、产业教授选派工作，实施校院企高层次人才“互聘共享”，允许科研项目、经费、团队随人才流动</w:t>
      </w:r>
      <w:r>
        <w:rPr>
          <w:rFonts w:ascii="Times New Roman" w:hAnsi="Times New Roman" w:eastAsia="宋体"/>
          <w:b w:val="0"/>
          <w:i w:val="0"/>
          <w:sz w:val="18"/>
          <w:vertAlign w:val="superscript"/>
        </w:rPr>
        <w:t>[30]</w:t>
      </w:r>
      <w:r>
        <w:rPr>
          <w:rFonts w:ascii="Times New Roman" w:hAnsi="Times New Roman" w:eastAsia="宋体"/>
          <w:b w:val="0"/>
          <w:i w:val="0"/>
          <w:sz w:val="24"/>
        </w:rPr>
        <w:t>。在评价牵引维度，浙江建立重大项目“企业出题”机制，赋予企业在项目指南编制、评审论证及验收评价全流程中的制度性话语权，并建立高能级科创平台动态调整机制，对建设质效不高的平台予以摘牌</w:t>
      </w:r>
      <w:r>
        <w:rPr>
          <w:rFonts w:ascii="Times New Roman" w:hAnsi="Times New Roman" w:eastAsia="宋体"/>
          <w:b w:val="0"/>
          <w:i w:val="0"/>
          <w:sz w:val="18"/>
          <w:vertAlign w:val="superscript"/>
        </w:rPr>
        <w:t>[12]</w:t>
      </w:r>
      <w:r>
        <w:rPr>
          <w:rFonts w:ascii="Times New Roman" w:hAnsi="Times New Roman" w:eastAsia="宋体"/>
          <w:b w:val="0"/>
          <w:i w:val="0"/>
          <w:sz w:val="24"/>
        </w:rPr>
        <w:t>；浙江大学亦被纳入国家科技人才评价改革首批试点高校</w:t>
      </w:r>
      <w:r>
        <w:rPr>
          <w:rFonts w:ascii="Times New Roman" w:hAnsi="Times New Roman" w:eastAsia="宋体"/>
          <w:b w:val="0"/>
          <w:i w:val="0"/>
          <w:sz w:val="18"/>
          <w:vertAlign w:val="superscript"/>
        </w:rPr>
        <w:t>[33]</w:t>
      </w:r>
      <w:r>
        <w:rPr>
          <w:rFonts w:ascii="Times New Roman" w:hAnsi="Times New Roman" w:eastAsia="宋体"/>
          <w:b w:val="0"/>
          <w:i w:val="0"/>
          <w:sz w:val="24"/>
        </w:rPr>
        <w:t>。实证测度表明，2013—2023年浙江省教育、科技、人才系统的耦合协调度从0.522提升至0.769，由勉强协调迈入中级协调阶段，年均增速居东部地区前列，呈现明显的赶超态势</w:t>
      </w:r>
      <w:r>
        <w:rPr>
          <w:rFonts w:ascii="Times New Roman" w:hAnsi="Times New Roman" w:eastAsia="宋体"/>
          <w:b w:val="0"/>
          <w:i w:val="0"/>
          <w:sz w:val="18"/>
          <w:vertAlign w:val="superscript"/>
        </w:rPr>
        <w:t>[12]</w:t>
      </w:r>
      <w:r>
        <w:rPr>
          <w:rFonts w:ascii="Times New Roman" w:hAnsi="Times New Roman" w:eastAsia="宋体"/>
          <w:b w:val="0"/>
          <w:i w:val="0"/>
          <w:sz w:val="24"/>
        </w:rPr>
        <w:t>。总体上，浙江模式的实质是以试点机制降低系统性改革的试错成本，以评价机制校准改革方向，走出了一条渐进撬动、迭代深化的改革路径。</w:t>
      </w:r>
    </w:p>
    <w:p>
      <w:pPr>
        <w:spacing w:before="160" w:after="80" w:line="312" w:lineRule="auto"/>
      </w:pPr>
      <w:r>
        <w:rPr>
          <w:rFonts w:ascii="Times New Roman" w:hAnsi="Times New Roman" w:eastAsia="黑体"/>
          <w:b/>
          <w:i w:val="0"/>
          <w:sz w:val="24"/>
        </w:rPr>
        <w:t>3.4　广东：产业需求牵引的“湾区融通”模式</w:t>
      </w:r>
    </w:p>
    <w:p>
      <w:pPr>
        <w:spacing w:before="0" w:after="0" w:line="360" w:lineRule="auto"/>
        <w:jc w:val="both"/>
        <w:ind w:firstLineChars="200"/>
      </w:pPr>
      <w:r>
        <w:rPr>
          <w:rFonts w:ascii="Times New Roman" w:hAnsi="Times New Roman" w:eastAsia="宋体"/>
          <w:b w:val="0"/>
          <w:i w:val="0"/>
          <w:sz w:val="24"/>
        </w:rPr>
        <w:t>广东的一体化实践依托粤港澳大湾区建设的国家战略，突出特征是以产业需求为牵引、以湾区融通为空间载体。在战略统筹维度，粤港澳大湾区高水平人才高地建设将广东的教科人工作纳入国家战略框架</w:t>
      </w:r>
      <w:r>
        <w:rPr>
          <w:rFonts w:ascii="Times New Roman" w:hAnsi="Times New Roman" w:eastAsia="宋体"/>
          <w:b w:val="0"/>
          <w:i w:val="0"/>
          <w:sz w:val="18"/>
          <w:vertAlign w:val="superscript"/>
        </w:rPr>
        <w:t>[9]</w:t>
      </w:r>
      <w:r>
        <w:rPr>
          <w:rFonts w:ascii="Times New Roman" w:hAnsi="Times New Roman" w:eastAsia="宋体"/>
          <w:b w:val="0"/>
          <w:i w:val="0"/>
          <w:sz w:val="24"/>
        </w:rPr>
        <w:t>，横琴、前海、南沙、河套等重大合作平台承担着规则衔接与要素融通的试验功能。在制度供给维度，广东以立法和政策创新支持人工智能等新兴产业发展，深圳依托经济特区立法权出台人工智能产业促进条例等制度安排</w:t>
      </w:r>
      <w:r>
        <w:rPr>
          <w:rFonts w:ascii="Times New Roman" w:hAnsi="Times New Roman" w:eastAsia="宋体"/>
          <w:b w:val="0"/>
          <w:i w:val="0"/>
          <w:sz w:val="18"/>
          <w:vertAlign w:val="superscript"/>
        </w:rPr>
        <w:t>[28]</w:t>
      </w:r>
      <w:r>
        <w:rPr>
          <w:rFonts w:ascii="Times New Roman" w:hAnsi="Times New Roman" w:eastAsia="宋体"/>
          <w:b w:val="0"/>
          <w:i w:val="0"/>
          <w:sz w:val="24"/>
        </w:rPr>
        <w:t>。在主体协同维度，广东充分发挥企业创新主体地位，以深圳为代表形成了“90%以上研发机构、研发人员、研发资金在企业”的企业主导型创新格局，通过企业出题、协同攻关将教育培养与产业需求直接对接</w:t>
      </w:r>
      <w:r>
        <w:rPr>
          <w:rFonts w:ascii="Times New Roman" w:hAnsi="Times New Roman" w:eastAsia="宋体"/>
          <w:b w:val="0"/>
          <w:i w:val="0"/>
          <w:sz w:val="18"/>
          <w:vertAlign w:val="superscript"/>
        </w:rPr>
        <w:t>[28]</w:t>
      </w:r>
      <w:r>
        <w:rPr>
          <w:rFonts w:ascii="Times New Roman" w:hAnsi="Times New Roman" w:eastAsia="宋体"/>
          <w:b w:val="0"/>
          <w:i w:val="0"/>
          <w:sz w:val="24"/>
        </w:rPr>
        <w:t>。在要素贯通维度，大湾区推动粤港澳三地人才资格互认、科研资金跨境使用、大型科研设施共享，探索“一国两制”条件下的创新要素融通机制。在评价牵引维度，深圳被列为国家科技人才评价改革6个综合试点地方之一</w:t>
      </w:r>
      <w:r>
        <w:rPr>
          <w:rFonts w:ascii="Times New Roman" w:hAnsi="Times New Roman" w:eastAsia="宋体"/>
          <w:b w:val="0"/>
          <w:i w:val="0"/>
          <w:sz w:val="18"/>
          <w:vertAlign w:val="superscript"/>
        </w:rPr>
        <w:t>[33]</w:t>
      </w:r>
      <w:r>
        <w:rPr>
          <w:rFonts w:ascii="Times New Roman" w:hAnsi="Times New Roman" w:eastAsia="宋体"/>
          <w:b w:val="0"/>
          <w:i w:val="0"/>
          <w:sz w:val="24"/>
        </w:rPr>
        <w:t>，其企业主导的创新格局也使市场检验、产业贡献在人才评价中获得了更大权重。省际测度研究显示，2013—2023年广东省教育、科技、人才系统的耦合协调度居东部地区首位，且年均增速为东部最高</w:t>
      </w:r>
      <w:r>
        <w:rPr>
          <w:rFonts w:ascii="Times New Roman" w:hAnsi="Times New Roman" w:eastAsia="宋体"/>
          <w:b w:val="0"/>
          <w:i w:val="0"/>
          <w:sz w:val="18"/>
          <w:vertAlign w:val="superscript"/>
        </w:rPr>
        <w:t>[12]</w:t>
      </w:r>
      <w:r>
        <w:rPr>
          <w:rFonts w:ascii="Times New Roman" w:hAnsi="Times New Roman" w:eastAsia="宋体"/>
          <w:b w:val="0"/>
          <w:i w:val="0"/>
          <w:sz w:val="24"/>
        </w:rPr>
        <w:t>。总体上，广东模式的实质是以市场需求信号引导教育与科研资源配置，以湾区制度融通扩展要素配置空间，形成了需求牵引、市场主导的一体化路径。</w:t>
      </w:r>
    </w:p>
    <w:p>
      <w:pPr>
        <w:spacing w:before="240" w:after="120" w:line="312" w:lineRule="auto"/>
      </w:pPr>
      <w:r>
        <w:rPr>
          <w:rFonts w:ascii="Times New Roman" w:hAnsi="Times New Roman" w:eastAsia="黑体"/>
          <w:b/>
          <w:i w:val="0"/>
          <w:sz w:val="28"/>
        </w:rPr>
        <w:t>4　跨案例比较：共性机制与差异化路径</w:t>
      </w:r>
    </w:p>
    <w:p>
      <w:pPr>
        <w:spacing w:before="160" w:after="80" w:line="312" w:lineRule="auto"/>
      </w:pPr>
      <w:r>
        <w:rPr>
          <w:rFonts w:ascii="Times New Roman" w:hAnsi="Times New Roman" w:eastAsia="黑体"/>
          <w:b/>
          <w:i w:val="0"/>
          <w:sz w:val="24"/>
        </w:rPr>
        <w:t>4.1　五维框架下的模式比较</w:t>
      </w:r>
    </w:p>
    <w:p>
      <w:pPr>
        <w:spacing w:before="0" w:after="0" w:line="360" w:lineRule="auto"/>
        <w:jc w:val="both"/>
        <w:ind w:firstLineChars="200"/>
      </w:pPr>
      <w:r>
        <w:rPr>
          <w:rFonts w:ascii="Times New Roman" w:hAnsi="Times New Roman" w:eastAsia="宋体"/>
          <w:b w:val="0"/>
          <w:i w:val="0"/>
          <w:sz w:val="24"/>
        </w:rPr>
        <w:t>将四地实践置于五维分析框架下比较（如表1所示），可以发现四种模式在维度侧重上各有倚重：北京的优势集中于战略统筹与主体协同，上海的长板在于制度供给与要素贯通，浙江突出表现为战略统筹与评价牵引的系统化推进，广东则以主体协同与要素贯通为最鲜明特征。</w:t>
      </w:r>
    </w:p>
    <w:p>
      <w:pPr>
        <w:spacing w:before="160" w:after="80" w:line="288" w:lineRule="auto"/>
        <w:jc w:val="center"/>
      </w:pPr>
      <w:r>
        <w:rPr>
          <w:rFonts w:ascii="Times New Roman" w:hAnsi="Times New Roman" w:eastAsia="黑体"/>
          <w:b/>
          <w:i w:val="0"/>
          <w:sz w:val="21"/>
        </w:rPr>
        <w:t>表1　五维分析框架下四地推进教科人一体化的模式比较</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
              <w:rPr>
                <w:rFonts w:ascii="Times New Roman" w:hAnsi="Times New Roman" w:eastAsia="宋体"/>
                <w:b/>
                <w:i w:val="0"/>
                <w:sz w:val="18"/>
              </w:rPr>
              <w:t>比较维度</w:t>
            </w:r>
          </w:p>
        </w:tc>
        <w:tc>
          <w:tcPr>
            <w:tcW w:type="dxa" w:w="1701"/>
          </w:tcPr>
          <w:p>
            <w:pPr>
              <w:jc w:val="center"/>
            </w:pPr>
            <w:r/>
            <w:r>
              <w:rPr>
                <w:rFonts w:ascii="Times New Roman" w:hAnsi="Times New Roman" w:eastAsia="宋体"/>
                <w:b/>
                <w:i w:val="0"/>
                <w:sz w:val="18"/>
              </w:rPr>
              <w:t>北京</w:t>
            </w:r>
          </w:p>
        </w:tc>
        <w:tc>
          <w:tcPr>
            <w:tcW w:type="dxa" w:w="1701"/>
          </w:tcPr>
          <w:p>
            <w:pPr>
              <w:jc w:val="center"/>
            </w:pPr>
            <w:r/>
            <w:r>
              <w:rPr>
                <w:rFonts w:ascii="Times New Roman" w:hAnsi="Times New Roman" w:eastAsia="宋体"/>
                <w:b/>
                <w:i w:val="0"/>
                <w:sz w:val="18"/>
              </w:rPr>
              <w:t>上海</w:t>
            </w:r>
          </w:p>
        </w:tc>
        <w:tc>
          <w:tcPr>
            <w:tcW w:type="dxa" w:w="1701"/>
          </w:tcPr>
          <w:p>
            <w:pPr>
              <w:jc w:val="center"/>
            </w:pPr>
            <w:r/>
            <w:r>
              <w:rPr>
                <w:rFonts w:ascii="Times New Roman" w:hAnsi="Times New Roman" w:eastAsia="宋体"/>
                <w:b/>
                <w:i w:val="0"/>
                <w:sz w:val="18"/>
              </w:rPr>
              <w:t>浙江</w:t>
            </w:r>
          </w:p>
        </w:tc>
        <w:tc>
          <w:tcPr>
            <w:tcW w:type="dxa" w:w="1701"/>
          </w:tcPr>
          <w:p>
            <w:pPr>
              <w:jc w:val="center"/>
            </w:pPr>
            <w:r/>
            <w:r>
              <w:rPr>
                <w:rFonts w:ascii="Times New Roman" w:hAnsi="Times New Roman" w:eastAsia="宋体"/>
                <w:b/>
                <w:i w:val="0"/>
                <w:sz w:val="18"/>
              </w:rPr>
              <w:t>广东</w:t>
            </w:r>
          </w:p>
        </w:tc>
      </w:tr>
      <w:tr>
        <w:tc>
          <w:tcPr>
            <w:tcW w:type="dxa" w:w="1701"/>
          </w:tcPr>
          <w:p>
            <w:pPr>
              <w:jc w:val="left"/>
            </w:pPr>
            <w:r/>
            <w:r>
              <w:rPr>
                <w:rFonts w:ascii="Times New Roman" w:hAnsi="Times New Roman" w:eastAsia="宋体"/>
                <w:b w:val="0"/>
                <w:i w:val="0"/>
                <w:sz w:val="18"/>
              </w:rPr>
              <w:t>模式概括</w:t>
            </w:r>
          </w:p>
        </w:tc>
        <w:tc>
          <w:tcPr>
            <w:tcW w:type="dxa" w:w="1701"/>
          </w:tcPr>
          <w:p>
            <w:pPr>
              <w:jc w:val="left"/>
            </w:pPr>
            <w:r/>
            <w:r>
              <w:rPr>
                <w:rFonts w:ascii="Times New Roman" w:hAnsi="Times New Roman" w:eastAsia="宋体"/>
                <w:b w:val="0"/>
                <w:i w:val="0"/>
                <w:sz w:val="18"/>
              </w:rPr>
              <w:t>央地协同模式</w:t>
            </w:r>
          </w:p>
        </w:tc>
        <w:tc>
          <w:tcPr>
            <w:tcW w:type="dxa" w:w="1701"/>
          </w:tcPr>
          <w:p>
            <w:pPr>
              <w:jc w:val="left"/>
            </w:pPr>
            <w:r/>
            <w:r>
              <w:rPr>
                <w:rFonts w:ascii="Times New Roman" w:hAnsi="Times New Roman" w:eastAsia="宋体"/>
                <w:b w:val="0"/>
                <w:i w:val="0"/>
                <w:sz w:val="18"/>
              </w:rPr>
              <w:t>枢纽链接模式</w:t>
            </w:r>
          </w:p>
        </w:tc>
        <w:tc>
          <w:tcPr>
            <w:tcW w:type="dxa" w:w="1701"/>
          </w:tcPr>
          <w:p>
            <w:pPr>
              <w:jc w:val="left"/>
            </w:pPr>
            <w:r/>
            <w:r>
              <w:rPr>
                <w:rFonts w:ascii="Times New Roman" w:hAnsi="Times New Roman" w:eastAsia="宋体"/>
                <w:b w:val="0"/>
                <w:i w:val="0"/>
                <w:sz w:val="18"/>
              </w:rPr>
              <w:t>迭代深化模式</w:t>
            </w:r>
          </w:p>
        </w:tc>
        <w:tc>
          <w:tcPr>
            <w:tcW w:type="dxa" w:w="1701"/>
          </w:tcPr>
          <w:p>
            <w:pPr>
              <w:jc w:val="left"/>
            </w:pPr>
            <w:r/>
            <w:r>
              <w:rPr>
                <w:rFonts w:ascii="Times New Roman" w:hAnsi="Times New Roman" w:eastAsia="宋体"/>
                <w:b w:val="0"/>
                <w:i w:val="0"/>
                <w:sz w:val="18"/>
              </w:rPr>
              <w:t>湾区融通模式</w:t>
            </w:r>
          </w:p>
        </w:tc>
      </w:tr>
      <w:tr>
        <w:tc>
          <w:tcPr>
            <w:tcW w:type="dxa" w:w="1701"/>
          </w:tcPr>
          <w:p>
            <w:pPr>
              <w:jc w:val="left"/>
            </w:pPr>
            <w:r/>
            <w:r>
              <w:rPr>
                <w:rFonts w:ascii="Times New Roman" w:hAnsi="Times New Roman" w:eastAsia="宋体"/>
                <w:b w:val="0"/>
                <w:i w:val="0"/>
                <w:sz w:val="18"/>
              </w:rPr>
              <w:t>牵引力量</w:t>
            </w:r>
          </w:p>
        </w:tc>
        <w:tc>
          <w:tcPr>
            <w:tcW w:type="dxa" w:w="1701"/>
          </w:tcPr>
          <w:p>
            <w:pPr>
              <w:jc w:val="left"/>
            </w:pPr>
            <w:r/>
            <w:r>
              <w:rPr>
                <w:rFonts w:ascii="Times New Roman" w:hAnsi="Times New Roman" w:eastAsia="宋体"/>
                <w:b w:val="0"/>
                <w:i w:val="0"/>
                <w:sz w:val="18"/>
              </w:rPr>
              <w:t>国家战略科技力量</w:t>
            </w:r>
          </w:p>
        </w:tc>
        <w:tc>
          <w:tcPr>
            <w:tcW w:type="dxa" w:w="1701"/>
          </w:tcPr>
          <w:p>
            <w:pPr>
              <w:jc w:val="left"/>
            </w:pPr>
            <w:r/>
            <w:r>
              <w:rPr>
                <w:rFonts w:ascii="Times New Roman" w:hAnsi="Times New Roman" w:eastAsia="宋体"/>
                <w:b w:val="0"/>
                <w:i w:val="0"/>
                <w:sz w:val="18"/>
              </w:rPr>
              <w:t>制度型开放</w:t>
            </w:r>
          </w:p>
        </w:tc>
        <w:tc>
          <w:tcPr>
            <w:tcW w:type="dxa" w:w="1701"/>
          </w:tcPr>
          <w:p>
            <w:pPr>
              <w:jc w:val="left"/>
            </w:pPr>
            <w:r/>
            <w:r>
              <w:rPr>
                <w:rFonts w:ascii="Times New Roman" w:hAnsi="Times New Roman" w:eastAsia="宋体"/>
                <w:b w:val="0"/>
                <w:i w:val="0"/>
                <w:sz w:val="18"/>
              </w:rPr>
              <w:t>省级体制机制试点</w:t>
            </w:r>
          </w:p>
        </w:tc>
        <w:tc>
          <w:tcPr>
            <w:tcW w:type="dxa" w:w="1701"/>
          </w:tcPr>
          <w:p>
            <w:pPr>
              <w:jc w:val="left"/>
            </w:pPr>
            <w:r/>
            <w:r>
              <w:rPr>
                <w:rFonts w:ascii="Times New Roman" w:hAnsi="Times New Roman" w:eastAsia="宋体"/>
                <w:b w:val="0"/>
                <w:i w:val="0"/>
                <w:sz w:val="18"/>
              </w:rPr>
              <w:t>产业需求与市场机制</w:t>
            </w:r>
          </w:p>
        </w:tc>
      </w:tr>
      <w:tr>
        <w:tc>
          <w:tcPr>
            <w:tcW w:type="dxa" w:w="1701"/>
          </w:tcPr>
          <w:p>
            <w:pPr>
              <w:jc w:val="left"/>
            </w:pPr>
            <w:r/>
            <w:r>
              <w:rPr>
                <w:rFonts w:ascii="Times New Roman" w:hAnsi="Times New Roman" w:eastAsia="宋体"/>
                <w:b w:val="0"/>
                <w:i w:val="0"/>
                <w:sz w:val="18"/>
              </w:rPr>
              <w:t>战略统筹</w:t>
            </w:r>
          </w:p>
        </w:tc>
        <w:tc>
          <w:tcPr>
            <w:tcW w:type="dxa" w:w="1701"/>
          </w:tcPr>
          <w:p>
            <w:pPr>
              <w:jc w:val="left"/>
            </w:pPr>
            <w:r/>
            <w:r>
              <w:rPr>
                <w:rFonts w:ascii="Times New Roman" w:hAnsi="Times New Roman" w:eastAsia="宋体"/>
                <w:b w:val="0"/>
                <w:i w:val="0"/>
                <w:sz w:val="18"/>
              </w:rPr>
              <w:t>国际科创中心总抓手、“三城一区”布局</w:t>
            </w:r>
          </w:p>
        </w:tc>
        <w:tc>
          <w:tcPr>
            <w:tcW w:type="dxa" w:w="1701"/>
          </w:tcPr>
          <w:p>
            <w:pPr>
              <w:jc w:val="left"/>
            </w:pPr>
            <w:r/>
            <w:r>
              <w:rPr>
                <w:rFonts w:ascii="Times New Roman" w:hAnsi="Times New Roman" w:eastAsia="宋体"/>
                <w:b w:val="0"/>
                <w:i w:val="0"/>
                <w:sz w:val="18"/>
              </w:rPr>
              <w:t>引领区战略统领</w:t>
            </w:r>
          </w:p>
        </w:tc>
        <w:tc>
          <w:tcPr>
            <w:tcW w:type="dxa" w:w="1701"/>
          </w:tcPr>
          <w:p>
            <w:pPr>
              <w:jc w:val="left"/>
            </w:pPr>
            <w:r/>
            <w:r>
              <w:rPr>
                <w:rFonts w:ascii="Times New Roman" w:hAnsi="Times New Roman" w:eastAsia="宋体"/>
                <w:b w:val="0"/>
                <w:i w:val="0"/>
                <w:sz w:val="18"/>
              </w:rPr>
              <w:t>一体化改革专班、20个省级试点</w:t>
            </w:r>
          </w:p>
        </w:tc>
        <w:tc>
          <w:tcPr>
            <w:tcW w:type="dxa" w:w="1701"/>
          </w:tcPr>
          <w:p>
            <w:pPr>
              <w:jc w:val="left"/>
            </w:pPr>
            <w:r/>
            <w:r>
              <w:rPr>
                <w:rFonts w:ascii="Times New Roman" w:hAnsi="Times New Roman" w:eastAsia="宋体"/>
                <w:b w:val="0"/>
                <w:i w:val="0"/>
                <w:sz w:val="18"/>
              </w:rPr>
              <w:t>大湾区国家战略框架、重大合作平台</w:t>
            </w:r>
          </w:p>
        </w:tc>
      </w:tr>
      <w:tr>
        <w:tc>
          <w:tcPr>
            <w:tcW w:type="dxa" w:w="1701"/>
          </w:tcPr>
          <w:p>
            <w:pPr>
              <w:jc w:val="left"/>
            </w:pPr>
            <w:r/>
            <w:r>
              <w:rPr>
                <w:rFonts w:ascii="Times New Roman" w:hAnsi="Times New Roman" w:eastAsia="宋体"/>
                <w:b w:val="0"/>
                <w:i w:val="0"/>
                <w:sz w:val="18"/>
              </w:rPr>
              <w:t>制度供给</w:t>
            </w:r>
          </w:p>
        </w:tc>
        <w:tc>
          <w:tcPr>
            <w:tcW w:type="dxa" w:w="1701"/>
          </w:tcPr>
          <w:p>
            <w:pPr>
              <w:jc w:val="left"/>
            </w:pPr>
            <w:r/>
            <w:r>
              <w:rPr>
                <w:rFonts w:ascii="Times New Roman" w:hAnsi="Times New Roman" w:eastAsia="宋体"/>
                <w:b w:val="0"/>
                <w:i w:val="0"/>
                <w:sz w:val="18"/>
              </w:rPr>
              <w:t>科创中心建设条例、中关村先行先试</w:t>
            </w:r>
          </w:p>
        </w:tc>
        <w:tc>
          <w:tcPr>
            <w:tcW w:type="dxa" w:w="1701"/>
          </w:tcPr>
          <w:p>
            <w:pPr>
              <w:jc w:val="left"/>
            </w:pPr>
            <w:r/>
            <w:r>
              <w:rPr>
                <w:rFonts w:ascii="Times New Roman" w:hAnsi="Times New Roman" w:eastAsia="宋体"/>
                <w:b w:val="0"/>
                <w:i w:val="0"/>
                <w:sz w:val="18"/>
              </w:rPr>
              <w:t>科创中心建设条例、综合改革试点</w:t>
            </w:r>
          </w:p>
        </w:tc>
        <w:tc>
          <w:tcPr>
            <w:tcW w:type="dxa" w:w="1701"/>
          </w:tcPr>
          <w:p>
            <w:pPr>
              <w:jc w:val="left"/>
            </w:pPr>
            <w:r/>
            <w:r>
              <w:rPr>
                <w:rFonts w:ascii="Times New Roman" w:hAnsi="Times New Roman" w:eastAsia="宋体"/>
                <w:b w:val="0"/>
                <w:i w:val="0"/>
                <w:sz w:val="18"/>
              </w:rPr>
              <w:t>“315”工程实施方案、科技计划管理办法</w:t>
            </w:r>
          </w:p>
        </w:tc>
        <w:tc>
          <w:tcPr>
            <w:tcW w:type="dxa" w:w="1701"/>
          </w:tcPr>
          <w:p>
            <w:pPr>
              <w:jc w:val="left"/>
            </w:pPr>
            <w:r/>
            <w:r>
              <w:rPr>
                <w:rFonts w:ascii="Times New Roman" w:hAnsi="Times New Roman" w:eastAsia="宋体"/>
                <w:b w:val="0"/>
                <w:i w:val="0"/>
                <w:sz w:val="18"/>
              </w:rPr>
              <w:t>特区立法、三地规则衔接</w:t>
            </w:r>
          </w:p>
        </w:tc>
      </w:tr>
      <w:tr>
        <w:tc>
          <w:tcPr>
            <w:tcW w:type="dxa" w:w="1701"/>
          </w:tcPr>
          <w:p>
            <w:pPr>
              <w:jc w:val="left"/>
            </w:pPr>
            <w:r/>
            <w:r>
              <w:rPr>
                <w:rFonts w:ascii="Times New Roman" w:hAnsi="Times New Roman" w:eastAsia="宋体"/>
                <w:b w:val="0"/>
                <w:i w:val="0"/>
                <w:sz w:val="18"/>
              </w:rPr>
              <w:t>主体协同</w:t>
            </w:r>
          </w:p>
        </w:tc>
        <w:tc>
          <w:tcPr>
            <w:tcW w:type="dxa" w:w="1701"/>
          </w:tcPr>
          <w:p>
            <w:pPr>
              <w:jc w:val="left"/>
            </w:pPr>
            <w:r/>
            <w:r>
              <w:rPr>
                <w:rFonts w:ascii="Times New Roman" w:hAnsi="Times New Roman" w:eastAsia="宋体"/>
                <w:b w:val="0"/>
                <w:i w:val="0"/>
                <w:sz w:val="18"/>
              </w:rPr>
              <w:t>国家实验室与高校院所、领军企业贯通</w:t>
            </w:r>
          </w:p>
        </w:tc>
        <w:tc>
          <w:tcPr>
            <w:tcW w:type="dxa" w:w="1701"/>
          </w:tcPr>
          <w:p>
            <w:pPr>
              <w:jc w:val="left"/>
            </w:pPr>
            <w:r/>
            <w:r>
              <w:rPr>
                <w:rFonts w:ascii="Times New Roman" w:hAnsi="Times New Roman" w:eastAsia="宋体"/>
                <w:b w:val="0"/>
                <w:i w:val="0"/>
                <w:sz w:val="18"/>
              </w:rPr>
              <w:t>大科学设施开放协同</w:t>
            </w:r>
          </w:p>
        </w:tc>
        <w:tc>
          <w:tcPr>
            <w:tcW w:type="dxa" w:w="1701"/>
          </w:tcPr>
          <w:p>
            <w:pPr>
              <w:jc w:val="left"/>
            </w:pPr>
            <w:r/>
            <w:r>
              <w:rPr>
                <w:rFonts w:ascii="Times New Roman" w:hAnsi="Times New Roman" w:eastAsia="宋体"/>
                <w:b w:val="0"/>
                <w:i w:val="0"/>
                <w:sz w:val="18"/>
              </w:rPr>
              <w:t>创新联合体、高能级平台“试验场”</w:t>
            </w:r>
          </w:p>
        </w:tc>
        <w:tc>
          <w:tcPr>
            <w:tcW w:type="dxa" w:w="1701"/>
          </w:tcPr>
          <w:p>
            <w:pPr>
              <w:jc w:val="left"/>
            </w:pPr>
            <w:r/>
            <w:r>
              <w:rPr>
                <w:rFonts w:ascii="Times New Roman" w:hAnsi="Times New Roman" w:eastAsia="宋体"/>
                <w:b w:val="0"/>
                <w:i w:val="0"/>
                <w:sz w:val="18"/>
              </w:rPr>
              <w:t>企业主导、协同攻关</w:t>
            </w:r>
          </w:p>
        </w:tc>
      </w:tr>
      <w:tr>
        <w:tc>
          <w:tcPr>
            <w:tcW w:type="dxa" w:w="1701"/>
          </w:tcPr>
          <w:p>
            <w:pPr>
              <w:jc w:val="left"/>
            </w:pPr>
            <w:r/>
            <w:r>
              <w:rPr>
                <w:rFonts w:ascii="Times New Roman" w:hAnsi="Times New Roman" w:eastAsia="宋体"/>
                <w:b w:val="0"/>
                <w:i w:val="0"/>
                <w:sz w:val="18"/>
              </w:rPr>
              <w:t>要素贯通</w:t>
            </w:r>
          </w:p>
        </w:tc>
        <w:tc>
          <w:tcPr>
            <w:tcW w:type="dxa" w:w="1701"/>
          </w:tcPr>
          <w:p>
            <w:pPr>
              <w:jc w:val="left"/>
            </w:pPr>
            <w:r/>
            <w:r>
              <w:rPr>
                <w:rFonts w:ascii="Times New Roman" w:hAnsi="Times New Roman" w:eastAsia="宋体"/>
                <w:b w:val="0"/>
                <w:i w:val="0"/>
                <w:sz w:val="18"/>
              </w:rPr>
              <w:t>央地资源转化、跨体制流动</w:t>
            </w:r>
          </w:p>
        </w:tc>
        <w:tc>
          <w:tcPr>
            <w:tcW w:type="dxa" w:w="1701"/>
          </w:tcPr>
          <w:p>
            <w:pPr>
              <w:jc w:val="left"/>
            </w:pPr>
            <w:r/>
            <w:r>
              <w:rPr>
                <w:rFonts w:ascii="Times New Roman" w:hAnsi="Times New Roman" w:eastAsia="宋体"/>
                <w:b w:val="0"/>
                <w:i w:val="0"/>
                <w:sz w:val="18"/>
              </w:rPr>
              <w:t>全球要素链接、金融赋能</w:t>
            </w:r>
          </w:p>
        </w:tc>
        <w:tc>
          <w:tcPr>
            <w:tcW w:type="dxa" w:w="1701"/>
          </w:tcPr>
          <w:p>
            <w:pPr>
              <w:jc w:val="left"/>
            </w:pPr>
            <w:r/>
            <w:r>
              <w:rPr>
                <w:rFonts w:ascii="Times New Roman" w:hAnsi="Times New Roman" w:eastAsia="宋体"/>
                <w:b w:val="0"/>
                <w:i w:val="0"/>
                <w:sz w:val="18"/>
              </w:rPr>
              <w:t>互聘共享、项目随人走</w:t>
            </w:r>
          </w:p>
        </w:tc>
        <w:tc>
          <w:tcPr>
            <w:tcW w:type="dxa" w:w="1701"/>
          </w:tcPr>
          <w:p>
            <w:pPr>
              <w:jc w:val="left"/>
            </w:pPr>
            <w:r/>
            <w:r>
              <w:rPr>
                <w:rFonts w:ascii="Times New Roman" w:hAnsi="Times New Roman" w:eastAsia="宋体"/>
                <w:b w:val="0"/>
                <w:i w:val="0"/>
                <w:sz w:val="18"/>
              </w:rPr>
              <w:t>三地互认、跨境融通</w:t>
            </w:r>
          </w:p>
        </w:tc>
      </w:tr>
      <w:tr>
        <w:tc>
          <w:tcPr>
            <w:tcW w:type="dxa" w:w="1701"/>
          </w:tcPr>
          <w:p>
            <w:pPr>
              <w:jc w:val="left"/>
            </w:pPr>
            <w:r/>
            <w:r>
              <w:rPr>
                <w:rFonts w:ascii="Times New Roman" w:hAnsi="Times New Roman" w:eastAsia="宋体"/>
                <w:b w:val="0"/>
                <w:i w:val="0"/>
                <w:sz w:val="18"/>
              </w:rPr>
              <w:t>评价牵引</w:t>
            </w:r>
          </w:p>
        </w:tc>
        <w:tc>
          <w:tcPr>
            <w:tcW w:type="dxa" w:w="1701"/>
          </w:tcPr>
          <w:p>
            <w:pPr>
              <w:jc w:val="left"/>
            </w:pPr>
            <w:r/>
            <w:r>
              <w:rPr>
                <w:rFonts w:ascii="Times New Roman" w:hAnsi="Times New Roman" w:eastAsia="宋体"/>
                <w:b w:val="0"/>
                <w:i w:val="0"/>
                <w:sz w:val="18"/>
              </w:rPr>
              <w:t>在京高校院所纳入国家评价改革试点</w:t>
            </w:r>
          </w:p>
        </w:tc>
        <w:tc>
          <w:tcPr>
            <w:tcW w:type="dxa" w:w="1701"/>
          </w:tcPr>
          <w:p>
            <w:pPr>
              <w:jc w:val="left"/>
            </w:pPr>
            <w:r/>
            <w:r>
              <w:rPr>
                <w:rFonts w:ascii="Times New Roman" w:hAnsi="Times New Roman" w:eastAsia="宋体"/>
                <w:b w:val="0"/>
                <w:i w:val="0"/>
                <w:sz w:val="18"/>
              </w:rPr>
              <w:t>综合试点地方、制度接轨</w:t>
            </w:r>
          </w:p>
        </w:tc>
        <w:tc>
          <w:tcPr>
            <w:tcW w:type="dxa" w:w="1701"/>
          </w:tcPr>
          <w:p>
            <w:pPr>
              <w:jc w:val="left"/>
            </w:pPr>
            <w:r/>
            <w:r>
              <w:rPr>
                <w:rFonts w:ascii="Times New Roman" w:hAnsi="Times New Roman" w:eastAsia="宋体"/>
                <w:b w:val="0"/>
                <w:i w:val="0"/>
                <w:sz w:val="18"/>
              </w:rPr>
              <w:t>企业出题、平台摘牌、浙大试点</w:t>
            </w:r>
          </w:p>
        </w:tc>
        <w:tc>
          <w:tcPr>
            <w:tcW w:type="dxa" w:w="1701"/>
          </w:tcPr>
          <w:p>
            <w:pPr>
              <w:jc w:val="left"/>
            </w:pPr>
            <w:r/>
            <w:r>
              <w:rPr>
                <w:rFonts w:ascii="Times New Roman" w:hAnsi="Times New Roman" w:eastAsia="宋体"/>
                <w:b w:val="0"/>
                <w:i w:val="0"/>
                <w:sz w:val="18"/>
              </w:rPr>
              <w:t>深圳综合试点、市场检验导向</w:t>
            </w:r>
          </w:p>
        </w:tc>
      </w:tr>
      <w:tr>
        <w:tc>
          <w:tcPr>
            <w:tcW w:type="dxa" w:w="1701"/>
          </w:tcPr>
          <w:p>
            <w:pPr>
              <w:jc w:val="left"/>
            </w:pPr>
            <w:r/>
            <w:r>
              <w:rPr>
                <w:rFonts w:ascii="Times New Roman" w:hAnsi="Times New Roman" w:eastAsia="宋体"/>
                <w:b w:val="0"/>
                <w:i w:val="0"/>
                <w:sz w:val="18"/>
              </w:rPr>
              <w:t>禀赋基础</w:t>
            </w:r>
          </w:p>
        </w:tc>
        <w:tc>
          <w:tcPr>
            <w:tcW w:type="dxa" w:w="1701"/>
          </w:tcPr>
          <w:p>
            <w:pPr>
              <w:jc w:val="left"/>
            </w:pPr>
            <w:r/>
            <w:r>
              <w:rPr>
                <w:rFonts w:ascii="Times New Roman" w:hAnsi="Times New Roman" w:eastAsia="宋体"/>
                <w:b w:val="0"/>
                <w:i w:val="0"/>
                <w:sz w:val="18"/>
              </w:rPr>
              <w:t>中央科技资源、知识创新主体密集</w:t>
            </w:r>
          </w:p>
        </w:tc>
        <w:tc>
          <w:tcPr>
            <w:tcW w:type="dxa" w:w="1701"/>
          </w:tcPr>
          <w:p>
            <w:pPr>
              <w:jc w:val="left"/>
            </w:pPr>
            <w:r/>
            <w:r>
              <w:rPr>
                <w:rFonts w:ascii="Times New Roman" w:hAnsi="Times New Roman" w:eastAsia="宋体"/>
                <w:b w:val="0"/>
                <w:i w:val="0"/>
                <w:sz w:val="18"/>
              </w:rPr>
              <w:t>开放枢纽、金融中心</w:t>
            </w:r>
          </w:p>
        </w:tc>
        <w:tc>
          <w:tcPr>
            <w:tcW w:type="dxa" w:w="1701"/>
          </w:tcPr>
          <w:p>
            <w:pPr>
              <w:jc w:val="left"/>
            </w:pPr>
            <w:r/>
            <w:r>
              <w:rPr>
                <w:rFonts w:ascii="Times New Roman" w:hAnsi="Times New Roman" w:eastAsia="宋体"/>
                <w:b w:val="0"/>
                <w:i w:val="0"/>
                <w:sz w:val="18"/>
              </w:rPr>
              <w:t>数字经济、民营经济活跃</w:t>
            </w:r>
          </w:p>
        </w:tc>
        <w:tc>
          <w:tcPr>
            <w:tcW w:type="dxa" w:w="1701"/>
          </w:tcPr>
          <w:p>
            <w:pPr>
              <w:jc w:val="left"/>
            </w:pPr>
            <w:r/>
            <w:r>
              <w:rPr>
                <w:rFonts w:ascii="Times New Roman" w:hAnsi="Times New Roman" w:eastAsia="宋体"/>
                <w:b w:val="0"/>
                <w:i w:val="0"/>
                <w:sz w:val="18"/>
              </w:rPr>
              <w:t>产业体系完备、市场机制发达</w:t>
            </w:r>
          </w:p>
        </w:tc>
      </w:tr>
    </w:tbl>
    <w:p>
      <w:pPr>
        <w:spacing w:after="80"/>
      </w:pPr>
    </w:p>
    <w:p>
      <w:pPr>
        <w:spacing w:before="160" w:after="80" w:line="312" w:lineRule="auto"/>
      </w:pPr>
      <w:r>
        <w:rPr>
          <w:rFonts w:ascii="Times New Roman" w:hAnsi="Times New Roman" w:eastAsia="黑体"/>
          <w:b/>
          <w:i w:val="0"/>
          <w:sz w:val="24"/>
        </w:rPr>
        <w:t>4.2　共性机制的提炼</w:t>
      </w:r>
    </w:p>
    <w:p>
      <w:pPr>
        <w:spacing w:before="0" w:after="0" w:line="360" w:lineRule="auto"/>
        <w:jc w:val="both"/>
        <w:ind w:firstLineChars="200"/>
      </w:pPr>
      <w:r>
        <w:rPr>
          <w:rFonts w:ascii="Times New Roman" w:hAnsi="Times New Roman" w:eastAsia="宋体"/>
          <w:b w:val="0"/>
          <w:i w:val="0"/>
          <w:sz w:val="24"/>
        </w:rPr>
        <w:t>尽管路径各异，四地实践在深层机制上呈现四个共性。一是高位统筹机制。四地均建立了党委统一领导下的一体化统筹架构，通过立法、规划或专班等形式将教育、科技、人才工作纳入统一的战略框架，克服部门分治的碎片化倾向，这印证了创新系统理论关于制度整体性决定创新绩效的核心命题</w:t>
      </w:r>
      <w:r>
        <w:rPr>
          <w:rFonts w:ascii="Times New Roman" w:hAnsi="Times New Roman" w:eastAsia="宋体"/>
          <w:b w:val="0"/>
          <w:i w:val="0"/>
          <w:sz w:val="18"/>
          <w:vertAlign w:val="superscript"/>
        </w:rPr>
        <w:t>[17,19]</w:t>
      </w:r>
      <w:r>
        <w:rPr>
          <w:rFonts w:ascii="Times New Roman" w:hAnsi="Times New Roman" w:eastAsia="宋体"/>
          <w:b w:val="0"/>
          <w:i w:val="0"/>
          <w:sz w:val="24"/>
        </w:rPr>
        <w:t>。二是高能级平台载体机制。国家实验室、大科学设施、省实验室、重大合作平台等高能级载体，在四地实践中均扮演着教育、科研、产业交汇融合的枢纽角色，成为一体化改革的“试验场”和“反应炉”</w:t>
      </w:r>
      <w:r>
        <w:rPr>
          <w:rFonts w:ascii="Times New Roman" w:hAnsi="Times New Roman" w:eastAsia="宋体"/>
          <w:b w:val="0"/>
          <w:i w:val="0"/>
          <w:sz w:val="18"/>
          <w:vertAlign w:val="superscript"/>
        </w:rPr>
        <w:t>[12]</w:t>
      </w:r>
      <w:r>
        <w:rPr>
          <w:rFonts w:ascii="Times New Roman" w:hAnsi="Times New Roman" w:eastAsia="宋体"/>
          <w:b w:val="0"/>
          <w:i w:val="0"/>
          <w:sz w:val="24"/>
        </w:rPr>
        <w:t>。三是评价制度改革先行机制。四地均以评价制度改革作为一体化的重要突破口：在国家科技人才评价改革首批试点布局中，在京高校院所、上海、深圳与浙江大学均被纳入其中</w:t>
      </w:r>
      <w:r>
        <w:rPr>
          <w:rFonts w:ascii="Times New Roman" w:hAnsi="Times New Roman" w:eastAsia="宋体"/>
          <w:b w:val="0"/>
          <w:i w:val="0"/>
          <w:sz w:val="18"/>
          <w:vertAlign w:val="superscript"/>
        </w:rPr>
        <w:t>[33]</w:t>
      </w:r>
      <w:r>
        <w:rPr>
          <w:rFonts w:ascii="Times New Roman" w:hAnsi="Times New Roman" w:eastAsia="宋体"/>
          <w:b w:val="0"/>
          <w:i w:val="0"/>
          <w:sz w:val="24"/>
        </w:rPr>
        <w:t>；浙江在重大项目管理中赋予企业评审论证与验收评价的制度性话语权，并以动态摘牌机制倒逼科创平台提质增效</w:t>
      </w:r>
      <w:r>
        <w:rPr>
          <w:rFonts w:ascii="Times New Roman" w:hAnsi="Times New Roman" w:eastAsia="宋体"/>
          <w:b w:val="0"/>
          <w:i w:val="0"/>
          <w:sz w:val="18"/>
          <w:vertAlign w:val="superscript"/>
        </w:rPr>
        <w:t>[12]</w:t>
      </w:r>
      <w:r>
        <w:rPr>
          <w:rFonts w:ascii="Times New Roman" w:hAnsi="Times New Roman" w:eastAsia="宋体"/>
          <w:b w:val="0"/>
          <w:i w:val="0"/>
          <w:sz w:val="24"/>
        </w:rPr>
        <w:t>；北京、上海则探索人才评价制度与国际通行规则的衔接。评价改革先行的实质，是通过校准“指挥棒”使教育、科研活动的价值导向与一体化目标对齐。四是要素跨界流动机制。互聘共享、双向兼职、资格互认、经费跨境等制度创新，本质上都是在降低人才等创新要素跨系统、跨体制、跨区域流动的制度成本，促进要素在教育链、创新链、产业链之间的高效循环</w:t>
      </w:r>
      <w:r>
        <w:rPr>
          <w:rFonts w:ascii="Times New Roman" w:hAnsi="Times New Roman" w:eastAsia="宋体"/>
          <w:b w:val="0"/>
          <w:i w:val="0"/>
          <w:sz w:val="18"/>
          <w:vertAlign w:val="superscript"/>
        </w:rPr>
        <w:t>[30]</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4.3　差异化路径的禀赋逻辑</w:t>
      </w:r>
    </w:p>
    <w:p>
      <w:pPr>
        <w:spacing w:before="0" w:after="0" w:line="360" w:lineRule="auto"/>
        <w:jc w:val="both"/>
        <w:ind w:firstLineChars="200"/>
      </w:pPr>
      <w:r>
        <w:rPr>
          <w:rFonts w:ascii="Times New Roman" w:hAnsi="Times New Roman" w:eastAsia="宋体"/>
          <w:b w:val="0"/>
          <w:i w:val="0"/>
          <w:sz w:val="24"/>
        </w:rPr>
        <w:t>四种模式的分化根植于区域资源禀赋与发展阶段的差异。北京的中央科技资源与知识创新主体密度决定了其战略牵引路径，上海的开放枢纽地位决定了其制度链接路径，浙江的数字经济与改革传统决定了其试点迭代路径，广东的产业纵深与市场活力决定了其需求牵引路径。这与组态研究的发现高度一致：人才高地与创新高地建设不存在唯一最优解，不同禀赋区域可以通过核心条件与边缘条件的差异化组合实现等效的高效能产出</w:t>
      </w:r>
      <w:r>
        <w:rPr>
          <w:rFonts w:ascii="Times New Roman" w:hAnsi="Times New Roman" w:eastAsia="宋体"/>
          <w:b w:val="0"/>
          <w:i w:val="0"/>
          <w:sz w:val="18"/>
          <w:vertAlign w:val="superscript"/>
        </w:rPr>
        <w:t>[16,28]</w:t>
      </w:r>
      <w:r>
        <w:rPr>
          <w:rFonts w:ascii="Times New Roman" w:hAnsi="Times New Roman" w:eastAsia="宋体"/>
          <w:b w:val="0"/>
          <w:i w:val="0"/>
          <w:sz w:val="24"/>
        </w:rPr>
        <w:t>。这一“殊途同归”的组态逻辑对后发区域具有重要启示：教科人一体化改革不应简单模仿先行区域的显性做法，而应立足自身禀赋识别长板要素，围绕长板构建适配性的制度组合</w:t>
      </w:r>
      <w:r>
        <w:rPr>
          <w:rFonts w:ascii="Times New Roman" w:hAnsi="Times New Roman" w:eastAsia="宋体"/>
          <w:b w:val="0"/>
          <w:i w:val="0"/>
          <w:sz w:val="18"/>
          <w:vertAlign w:val="superscript"/>
        </w:rPr>
        <w:t>[29]</w:t>
      </w:r>
      <w:r>
        <w:rPr>
          <w:rFonts w:ascii="Times New Roman" w:hAnsi="Times New Roman" w:eastAsia="宋体"/>
          <w:b w:val="0"/>
          <w:i w:val="0"/>
          <w:sz w:val="24"/>
        </w:rPr>
        <w:t>。</w:t>
      </w:r>
    </w:p>
    <w:p>
      <w:pPr>
        <w:spacing w:before="240" w:after="120" w:line="312" w:lineRule="auto"/>
      </w:pPr>
      <w:r>
        <w:rPr>
          <w:rFonts w:ascii="Times New Roman" w:hAnsi="Times New Roman" w:eastAsia="黑体"/>
          <w:b/>
          <w:i w:val="0"/>
          <w:sz w:val="28"/>
        </w:rPr>
        <w:t>5　教科人一体化改革的共性梗阻</w:t>
      </w:r>
    </w:p>
    <w:p>
      <w:pPr>
        <w:spacing w:before="160" w:after="80" w:line="312" w:lineRule="auto"/>
      </w:pPr>
      <w:r>
        <w:rPr>
          <w:rFonts w:ascii="Times New Roman" w:hAnsi="Times New Roman" w:eastAsia="黑体"/>
          <w:b/>
          <w:i w:val="0"/>
          <w:sz w:val="24"/>
        </w:rPr>
        <w:t>5.1　条块分割的治理结构尚未根本破除</w:t>
      </w:r>
    </w:p>
    <w:p>
      <w:pPr>
        <w:spacing w:before="0" w:after="0" w:line="360" w:lineRule="auto"/>
        <w:jc w:val="both"/>
        <w:ind w:firstLineChars="200"/>
      </w:pPr>
      <w:r>
        <w:rPr>
          <w:rFonts w:ascii="Times New Roman" w:hAnsi="Times New Roman" w:eastAsia="宋体"/>
          <w:b w:val="0"/>
          <w:i w:val="0"/>
          <w:sz w:val="24"/>
        </w:rPr>
        <w:t>教育、科技、人才管理分属不同职能部门，规划、预算、评价各成体系的格局尚未根本改变，战略目标衔接、体制机制贯通、资源要素配置等关键环节的统筹能力仍是一体化发展的薄弱点</w:t>
      </w:r>
      <w:r>
        <w:rPr>
          <w:rFonts w:ascii="Times New Roman" w:hAnsi="Times New Roman" w:eastAsia="宋体"/>
          <w:b w:val="0"/>
          <w:i w:val="0"/>
          <w:sz w:val="18"/>
          <w:vertAlign w:val="superscript"/>
        </w:rPr>
        <w:t>[36]</w:t>
      </w:r>
      <w:r>
        <w:rPr>
          <w:rFonts w:ascii="Times New Roman" w:hAnsi="Times New Roman" w:eastAsia="宋体"/>
          <w:b w:val="0"/>
          <w:i w:val="0"/>
          <w:sz w:val="24"/>
        </w:rPr>
        <w:t>。尽管四地均建立了统筹协调机制，但协调层级的运转多依赖议事协调机构的非常态化运作，跨部门的资金统筹、数据共享、项目联动仍面临预算科目、统计口径、管理权限的制度性障碍。一体化改革越向纵深推进，部门利益的调整阻力越大，碎片化政策与单点突破已难以满足系统集成的演进需求</w:t>
      </w:r>
      <w:r>
        <w:rPr>
          <w:rFonts w:ascii="Times New Roman" w:hAnsi="Times New Roman" w:eastAsia="宋体"/>
          <w:b w:val="0"/>
          <w:i w:val="0"/>
          <w:sz w:val="18"/>
          <w:vertAlign w:val="superscript"/>
        </w:rPr>
        <w:t>[12]</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5.2　教育链、人才链与产业链、创新链衔接不紧</w:t>
      </w:r>
    </w:p>
    <w:p>
      <w:pPr>
        <w:spacing w:before="0" w:after="0" w:line="360" w:lineRule="auto"/>
        <w:jc w:val="both"/>
        <w:ind w:firstLineChars="200"/>
      </w:pPr>
      <w:r>
        <w:rPr>
          <w:rFonts w:ascii="Times New Roman" w:hAnsi="Times New Roman" w:eastAsia="宋体"/>
          <w:b w:val="0"/>
          <w:i w:val="0"/>
          <w:sz w:val="24"/>
        </w:rPr>
        <w:t>高校学科专业设置对产业变革的响应仍显迟缓，人才培养的知识结构与产业需求之间存在错配；高校科研的选题导向偏重学术评价体系内的认可，面向产业真实问题的有组织科研仍在起步阶段；企业深度参与人才培养的制度化渠道不畅，产业教授、科技副总等安排的覆盖面和实效性有待提升</w:t>
      </w:r>
      <w:r>
        <w:rPr>
          <w:rFonts w:ascii="Times New Roman" w:hAnsi="Times New Roman" w:eastAsia="宋体"/>
          <w:b w:val="0"/>
          <w:i w:val="0"/>
          <w:sz w:val="18"/>
          <w:vertAlign w:val="superscript"/>
        </w:rPr>
        <w:t>[37]</w:t>
      </w:r>
      <w:r>
        <w:rPr>
          <w:rFonts w:ascii="Times New Roman" w:hAnsi="Times New Roman" w:eastAsia="宋体"/>
          <w:b w:val="0"/>
          <w:i w:val="0"/>
          <w:sz w:val="24"/>
        </w:rPr>
        <w:t>。产教融合、科教融汇的实践探索虽然活跃，但新质生产力发展所要求的复合型、创新型人才供给缺口依然明显</w:t>
      </w:r>
      <w:r>
        <w:rPr>
          <w:rFonts w:ascii="Times New Roman" w:hAnsi="Times New Roman" w:eastAsia="宋体"/>
          <w:b w:val="0"/>
          <w:i w:val="0"/>
          <w:sz w:val="18"/>
          <w:vertAlign w:val="superscript"/>
        </w:rPr>
        <w:t>[38,39]</w:t>
      </w:r>
      <w:r>
        <w:rPr>
          <w:rFonts w:ascii="Times New Roman" w:hAnsi="Times New Roman" w:eastAsia="宋体"/>
          <w:b w:val="0"/>
          <w:i w:val="0"/>
          <w:sz w:val="24"/>
        </w:rPr>
        <w:t>。此外，高能级平台的育人功能与产业衔接功能发挥尚不充分，人才在高校、科研院所与企业之间的跨体制流动仍面临人事、社保等制度壁垒，制约了三链融合的深度</w:t>
      </w:r>
      <w:r>
        <w:rPr>
          <w:rFonts w:ascii="Times New Roman" w:hAnsi="Times New Roman" w:eastAsia="宋体"/>
          <w:b w:val="0"/>
          <w:i w:val="0"/>
          <w:sz w:val="18"/>
          <w:vertAlign w:val="superscript"/>
        </w:rPr>
        <w:t>[30]</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5.3　评价“指挥棒”错位形成制度锁定</w:t>
      </w:r>
    </w:p>
    <w:p>
      <w:pPr>
        <w:spacing w:before="0" w:after="0" w:line="360" w:lineRule="auto"/>
        <w:jc w:val="both"/>
        <w:ind w:firstLineChars="200"/>
      </w:pPr>
      <w:r>
        <w:rPr>
          <w:rFonts w:ascii="Times New Roman" w:hAnsi="Times New Roman" w:eastAsia="宋体"/>
          <w:b w:val="0"/>
          <w:i w:val="0"/>
          <w:sz w:val="24"/>
        </w:rPr>
        <w:t>教育评价、科技评价、人才评价在指标设计上相互强化，形成“指挥棒共振”：学科评估、项目评审与人才“帽子”互为因果，将高校和科研人员锁定在学术锦标赛的单一轨道上，弱化了服务产业创新与区域发展的激励。评价制度改革虽已在四地破题，但破除“唯论文、唯帽子”之后的新标准体系尚未定型，市场评价、社会评价在人才评价中的采信机制仍不健全</w:t>
      </w:r>
      <w:r>
        <w:rPr>
          <w:rFonts w:ascii="Times New Roman" w:hAnsi="Times New Roman" w:eastAsia="宋体"/>
          <w:b w:val="0"/>
          <w:i w:val="0"/>
          <w:sz w:val="18"/>
          <w:vertAlign w:val="superscript"/>
        </w:rPr>
        <w:t>[2]</w:t>
      </w:r>
      <w:r>
        <w:rPr>
          <w:rFonts w:ascii="Times New Roman" w:hAnsi="Times New Roman" w:eastAsia="宋体"/>
          <w:b w:val="0"/>
          <w:i w:val="0"/>
          <w:sz w:val="24"/>
        </w:rPr>
        <w:t>，评价改革滞后正在成为一体化改革的瓶颈约束</w:t>
      </w:r>
      <w:r>
        <w:rPr>
          <w:rFonts w:ascii="Times New Roman" w:hAnsi="Times New Roman" w:eastAsia="宋体"/>
          <w:b w:val="0"/>
          <w:i w:val="0"/>
          <w:sz w:val="18"/>
          <w:vertAlign w:val="superscript"/>
        </w:rPr>
        <w:t>[12]</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5.4　区域间发展不平衡与要素单向流动</w:t>
      </w:r>
    </w:p>
    <w:p>
      <w:pPr>
        <w:spacing w:before="0" w:after="0" w:line="360" w:lineRule="auto"/>
        <w:jc w:val="both"/>
        <w:ind w:firstLineChars="200"/>
      </w:pPr>
      <w:r>
        <w:rPr>
          <w:rFonts w:ascii="Times New Roman" w:hAnsi="Times New Roman" w:eastAsia="宋体"/>
          <w:b w:val="0"/>
          <w:i w:val="0"/>
          <w:sz w:val="24"/>
        </w:rPr>
        <w:t>教科人一体化的高地效应与虹吸效应并存。东部先行区域凭借更高的耦合协调水平持续集聚全国创新要素</w:t>
      </w:r>
      <w:r>
        <w:rPr>
          <w:rFonts w:ascii="Times New Roman" w:hAnsi="Times New Roman" w:eastAsia="宋体"/>
          <w:b w:val="0"/>
          <w:i w:val="0"/>
          <w:sz w:val="18"/>
          <w:vertAlign w:val="superscript"/>
        </w:rPr>
        <w:t>[4]</w:t>
      </w:r>
      <w:r>
        <w:rPr>
          <w:rFonts w:ascii="Times New Roman" w:hAnsi="Times New Roman" w:eastAsia="宋体"/>
          <w:b w:val="0"/>
          <w:i w:val="0"/>
          <w:sz w:val="24"/>
        </w:rPr>
        <w:t>，中西部地区面临人才“引不来、留不住”的困境，区域间耦合协调度的梯度分化仍在扩大</w:t>
      </w:r>
      <w:r>
        <w:rPr>
          <w:rFonts w:ascii="Times New Roman" w:hAnsi="Times New Roman" w:eastAsia="宋体"/>
          <w:b w:val="0"/>
          <w:i w:val="0"/>
          <w:sz w:val="18"/>
          <w:vertAlign w:val="superscript"/>
        </w:rPr>
        <w:t>[12]</w:t>
      </w:r>
      <w:r>
        <w:rPr>
          <w:rFonts w:ascii="Times New Roman" w:hAnsi="Times New Roman" w:eastAsia="宋体"/>
          <w:b w:val="0"/>
          <w:i w:val="0"/>
          <w:sz w:val="24"/>
        </w:rPr>
        <w:t>。若缺乏跨区域的利益共享与协同机制，先行区域的一体化成就可能以加剧全国创新版图失衡为代价，这与一体化改革服务全国大局的战略初衷相悖。</w:t>
      </w:r>
    </w:p>
    <w:p>
      <w:pPr>
        <w:spacing w:before="240" w:after="120" w:line="312" w:lineRule="auto"/>
      </w:pPr>
      <w:r>
        <w:rPr>
          <w:rFonts w:ascii="Times New Roman" w:hAnsi="Times New Roman" w:eastAsia="黑体"/>
          <w:b/>
          <w:i w:val="0"/>
          <w:sz w:val="28"/>
        </w:rPr>
        <w:t>6　深化教科人一体化改革的推进路径</w:t>
      </w:r>
    </w:p>
    <w:p>
      <w:pPr>
        <w:spacing w:before="160" w:after="80" w:line="312" w:lineRule="auto"/>
      </w:pPr>
      <w:r>
        <w:rPr>
          <w:rFonts w:ascii="Times New Roman" w:hAnsi="Times New Roman" w:eastAsia="黑体"/>
          <w:b/>
          <w:i w:val="0"/>
          <w:sz w:val="24"/>
        </w:rPr>
        <w:t>6.1　完善党中央统一领导下的一体化统筹机制</w:t>
      </w:r>
    </w:p>
    <w:p>
      <w:pPr>
        <w:spacing w:before="0" w:after="0" w:line="360" w:lineRule="auto"/>
        <w:jc w:val="both"/>
        <w:ind w:firstLineChars="200"/>
      </w:pPr>
      <w:r>
        <w:rPr>
          <w:rFonts w:ascii="Times New Roman" w:hAnsi="Times New Roman" w:eastAsia="宋体"/>
          <w:b w:val="0"/>
          <w:i w:val="0"/>
          <w:sz w:val="24"/>
        </w:rPr>
        <w:t>在中央层面健全教育科技人才工作的统筹决策与督办落实机制，推动三大领域的发展规划、重大工程、资金安排在顶层设计阶段即实现目标衔接与资源协同。在地方层面推动一体化统筹机构实体化、常态化运作，赋予其跨部门的资源统筹与考核督导权能，探索教育、科技、人才相关财政资金的绩效联动与统筹使用机制，推动三大领域数据标准与统计口径的衔接统一，建设支撑一体化决策的跨部门数据共享机制，从制度上破解条块分割</w:t>
      </w:r>
      <w:r>
        <w:rPr>
          <w:rFonts w:ascii="Times New Roman" w:hAnsi="Times New Roman" w:eastAsia="宋体"/>
          <w:b w:val="0"/>
          <w:i w:val="0"/>
          <w:sz w:val="18"/>
          <w:vertAlign w:val="superscript"/>
        </w:rPr>
        <w:t>[15]</w:t>
      </w:r>
      <w:r>
        <w:rPr>
          <w:rFonts w:ascii="Times New Roman" w:hAnsi="Times New Roman" w:eastAsia="宋体"/>
          <w:b w:val="0"/>
          <w:i w:val="0"/>
          <w:sz w:val="24"/>
        </w:rPr>
        <w:t>。同时，鼓励有条件的地区以地方立法形式固化一体化改革的成熟经验，为改革提供稳定、权威的法治保障</w:t>
      </w:r>
      <w:r>
        <w:rPr>
          <w:rFonts w:ascii="Times New Roman" w:hAnsi="Times New Roman" w:eastAsia="宋体"/>
          <w:b w:val="0"/>
          <w:i w:val="0"/>
          <w:sz w:val="18"/>
          <w:vertAlign w:val="superscript"/>
        </w:rPr>
        <w:t>[32]</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6.2　以国家战略需求为牵引，优化学科专业与科研布局</w:t>
      </w:r>
    </w:p>
    <w:p>
      <w:pPr>
        <w:spacing w:before="0" w:after="0" w:line="360" w:lineRule="auto"/>
        <w:jc w:val="both"/>
        <w:ind w:firstLineChars="200"/>
      </w:pPr>
      <w:r>
        <w:rPr>
          <w:rFonts w:ascii="Times New Roman" w:hAnsi="Times New Roman" w:eastAsia="宋体"/>
          <w:b w:val="0"/>
          <w:i w:val="0"/>
          <w:sz w:val="24"/>
        </w:rPr>
        <w:t>建立科技发展、国家战略需求牵引的学科设置调整机制和人才培养模式，超常布局急需学科专业，动态优化学科专业结构，扩大理工农医类和新兴交叉学科培养规模</w:t>
      </w:r>
      <w:r>
        <w:rPr>
          <w:rFonts w:ascii="Times New Roman" w:hAnsi="Times New Roman" w:eastAsia="宋体"/>
          <w:b w:val="0"/>
          <w:i w:val="0"/>
          <w:sz w:val="18"/>
          <w:vertAlign w:val="superscript"/>
        </w:rPr>
        <w:t>[40]</w:t>
      </w:r>
      <w:r>
        <w:rPr>
          <w:rFonts w:ascii="Times New Roman" w:hAnsi="Times New Roman" w:eastAsia="宋体"/>
          <w:b w:val="0"/>
          <w:i w:val="0"/>
          <w:sz w:val="24"/>
        </w:rPr>
        <w:t>。深化产教融合、科教融汇，支持高校与领军企业、科研院所共建现代产业学院、未来技术学院和科教融合学院，推行项目式、场景化人才培养模式</w:t>
      </w:r>
      <w:r>
        <w:rPr>
          <w:rFonts w:ascii="Times New Roman" w:hAnsi="Times New Roman" w:eastAsia="宋体"/>
          <w:b w:val="0"/>
          <w:i w:val="0"/>
          <w:sz w:val="18"/>
          <w:vertAlign w:val="superscript"/>
        </w:rPr>
        <w:t>[38]</w:t>
      </w:r>
      <w:r>
        <w:rPr>
          <w:rFonts w:ascii="Times New Roman" w:hAnsi="Times New Roman" w:eastAsia="宋体"/>
          <w:b w:val="0"/>
          <w:i w:val="0"/>
          <w:sz w:val="24"/>
        </w:rPr>
        <w:t>，完善产业教授、双导师制等制度化渠道</w:t>
      </w:r>
      <w:r>
        <w:rPr>
          <w:rFonts w:ascii="Times New Roman" w:hAnsi="Times New Roman" w:eastAsia="宋体"/>
          <w:b w:val="0"/>
          <w:i w:val="0"/>
          <w:sz w:val="18"/>
          <w:vertAlign w:val="superscript"/>
        </w:rPr>
        <w:t>[37]</w:t>
      </w:r>
      <w:r>
        <w:rPr>
          <w:rFonts w:ascii="Times New Roman" w:hAnsi="Times New Roman" w:eastAsia="宋体"/>
          <w:b w:val="0"/>
          <w:i w:val="0"/>
          <w:sz w:val="24"/>
        </w:rPr>
        <w:t>，提升人才培养与产业需求的契合度。强化高校有组织科研，推动重大科研任务、高能级平台向高校倾斜布局，引导高校面向经济主战场开展关键核心技术攻关</w:t>
      </w:r>
      <w:r>
        <w:rPr>
          <w:rFonts w:ascii="Times New Roman" w:hAnsi="Times New Roman" w:eastAsia="宋体"/>
          <w:b w:val="0"/>
          <w:i w:val="0"/>
          <w:sz w:val="18"/>
          <w:vertAlign w:val="superscript"/>
        </w:rPr>
        <w:t>[41]</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6.3　强化高能级平台的枢纽功能，促进三链深度融合</w:t>
      </w:r>
    </w:p>
    <w:p>
      <w:pPr>
        <w:spacing w:before="0" w:after="0" w:line="360" w:lineRule="auto"/>
        <w:jc w:val="both"/>
        <w:ind w:firstLineChars="200"/>
      </w:pPr>
      <w:r>
        <w:rPr>
          <w:rFonts w:ascii="Times New Roman" w:hAnsi="Times New Roman" w:eastAsia="宋体"/>
          <w:b w:val="0"/>
          <w:i w:val="0"/>
          <w:sz w:val="24"/>
        </w:rPr>
        <w:t>将国家实验室、区域科技创新中心、省实验室等高能级平台打造为教育、科技、人才一体化的枢纽载体：在平台内推行科教融合的研究生联合培养机制，使平台成为高层次人才培养的“实战课堂”；推动平台与重点产业链对接，围绕产业真实需求开展有组织科研，探索“科学家+企业家+投资家”协同创新机制</w:t>
      </w:r>
      <w:r>
        <w:rPr>
          <w:rFonts w:ascii="Times New Roman" w:hAnsi="Times New Roman" w:eastAsia="宋体"/>
          <w:b w:val="0"/>
          <w:i w:val="0"/>
          <w:sz w:val="18"/>
          <w:vertAlign w:val="superscript"/>
        </w:rPr>
        <w:t>[12]</w:t>
      </w:r>
      <w:r>
        <w:rPr>
          <w:rFonts w:ascii="Times New Roman" w:hAnsi="Times New Roman" w:eastAsia="宋体"/>
          <w:b w:val="0"/>
          <w:i w:val="0"/>
          <w:sz w:val="24"/>
        </w:rPr>
        <w:t>；健全平台的动态调整与绩效评估机制，防止平台建设的重复布局与低效运行。支持龙头企业牵头组建体系化、任务型创新联合体，在联合攻关中同步探索人才联合培养、成果共享的新机制</w:t>
      </w:r>
      <w:r>
        <w:rPr>
          <w:rFonts w:ascii="Times New Roman" w:hAnsi="Times New Roman" w:eastAsia="宋体"/>
          <w:b w:val="0"/>
          <w:i w:val="0"/>
          <w:sz w:val="18"/>
          <w:vertAlign w:val="superscript"/>
        </w:rPr>
        <w:t>[41]</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6.4　深化评价制度改革，重塑一体化“指挥棒”</w:t>
      </w:r>
    </w:p>
    <w:p>
      <w:pPr>
        <w:spacing w:before="0" w:after="0" w:line="360" w:lineRule="auto"/>
        <w:jc w:val="both"/>
        <w:ind w:firstLineChars="200"/>
      </w:pPr>
      <w:r>
        <w:rPr>
          <w:rFonts w:ascii="Times New Roman" w:hAnsi="Times New Roman" w:eastAsia="宋体"/>
          <w:b w:val="0"/>
          <w:i w:val="0"/>
          <w:sz w:val="24"/>
        </w:rPr>
        <w:t>将教育评价、科技评价、人才评价作为相互关联的整体协同改革，在学科评估、项目评审、人才评价的指标设计中同步破除“帽子”依赖与量化崇拜，建立以创新价值、能力、贡献为导向的评价体系</w:t>
      </w:r>
      <w:r>
        <w:rPr>
          <w:rFonts w:ascii="Times New Roman" w:hAnsi="Times New Roman" w:eastAsia="宋体"/>
          <w:b w:val="0"/>
          <w:i w:val="0"/>
          <w:sz w:val="18"/>
          <w:vertAlign w:val="superscript"/>
        </w:rPr>
        <w:t>[9]</w:t>
      </w:r>
      <w:r>
        <w:rPr>
          <w:rFonts w:ascii="Times New Roman" w:hAnsi="Times New Roman" w:eastAsia="宋体"/>
          <w:b w:val="0"/>
          <w:i w:val="0"/>
          <w:sz w:val="24"/>
        </w:rPr>
        <w:t>。将高校服务国家战略和区域发展的贡献度纳入“双一流”建设与资源配置的考量，引导教育系统对接科技与产业需求</w:t>
      </w:r>
      <w:r>
        <w:rPr>
          <w:rFonts w:ascii="Times New Roman" w:hAnsi="Times New Roman" w:eastAsia="宋体"/>
          <w:b w:val="0"/>
          <w:i w:val="0"/>
          <w:sz w:val="18"/>
          <w:vertAlign w:val="superscript"/>
        </w:rPr>
        <w:t>[12]</w:t>
      </w:r>
      <w:r>
        <w:rPr>
          <w:rFonts w:ascii="Times New Roman" w:hAnsi="Times New Roman" w:eastAsia="宋体"/>
          <w:b w:val="0"/>
          <w:i w:val="0"/>
          <w:sz w:val="24"/>
        </w:rPr>
        <w:t>。健全分类评价机制，基础研究突出原创贡献，应用研究突出市场检验与产业实效，扩大用人主体评价自主权，将市场评价、社会评价纳入采信范围。研究建立教科人一体化发展的动态监测指标体系，定期开展耦合协调水平评估</w:t>
      </w:r>
      <w:r>
        <w:rPr>
          <w:rFonts w:ascii="Times New Roman" w:hAnsi="Times New Roman" w:eastAsia="宋体"/>
          <w:b w:val="0"/>
          <w:i w:val="0"/>
          <w:sz w:val="18"/>
          <w:vertAlign w:val="superscript"/>
        </w:rPr>
        <w:t>[4]</w:t>
      </w:r>
      <w:r>
        <w:rPr>
          <w:rFonts w:ascii="Times New Roman" w:hAnsi="Times New Roman" w:eastAsia="宋体"/>
          <w:b w:val="0"/>
          <w:i w:val="0"/>
          <w:sz w:val="24"/>
        </w:rPr>
        <w:t>，以评价反馈牵引改革迭代。</w:t>
      </w:r>
    </w:p>
    <w:p>
      <w:pPr>
        <w:spacing w:before="160" w:after="80" w:line="312" w:lineRule="auto"/>
      </w:pPr>
      <w:r>
        <w:rPr>
          <w:rFonts w:ascii="Times New Roman" w:hAnsi="Times New Roman" w:eastAsia="黑体"/>
          <w:b/>
          <w:i w:val="0"/>
          <w:sz w:val="24"/>
        </w:rPr>
        <w:t>6.5　畅通人才等创新要素的跨界流动</w:t>
      </w:r>
    </w:p>
    <w:p>
      <w:pPr>
        <w:spacing w:before="0" w:after="0" w:line="360" w:lineRule="auto"/>
        <w:jc w:val="both"/>
        <w:ind w:firstLineChars="200"/>
      </w:pPr>
      <w:r>
        <w:rPr>
          <w:rFonts w:ascii="Times New Roman" w:hAnsi="Times New Roman" w:eastAsia="宋体"/>
          <w:b w:val="0"/>
          <w:i w:val="0"/>
          <w:sz w:val="24"/>
        </w:rPr>
        <w:t>深化人才发展体制机制改革，完善科研人员在高校、科研院所与企业间双向兼职、离岗创业的政策体系，健全人事、社保关系的接续机制，推广校院企人才互聘共享与“项目、经费、团队随人才流动”的做法</w:t>
      </w:r>
      <w:r>
        <w:rPr>
          <w:rFonts w:ascii="Times New Roman" w:hAnsi="Times New Roman" w:eastAsia="宋体"/>
          <w:b w:val="0"/>
          <w:i w:val="0"/>
          <w:sz w:val="18"/>
          <w:vertAlign w:val="superscript"/>
        </w:rPr>
        <w:t>[30]</w:t>
      </w:r>
      <w:r>
        <w:rPr>
          <w:rFonts w:ascii="Times New Roman" w:hAnsi="Times New Roman" w:eastAsia="宋体"/>
          <w:b w:val="0"/>
          <w:i w:val="0"/>
          <w:sz w:val="24"/>
        </w:rPr>
        <w:t>。加快建设全国统一的人才市场与数据基础设施，降低人才跨区域、跨体制流动的制度成本</w:t>
      </w:r>
      <w:r>
        <w:rPr>
          <w:rFonts w:ascii="Times New Roman" w:hAnsi="Times New Roman" w:eastAsia="宋体"/>
          <w:b w:val="0"/>
          <w:i w:val="0"/>
          <w:sz w:val="18"/>
          <w:vertAlign w:val="superscript"/>
        </w:rPr>
        <w:t>[42]</w:t>
      </w:r>
      <w:r>
        <w:rPr>
          <w:rFonts w:ascii="Times New Roman" w:hAnsi="Times New Roman" w:eastAsia="宋体"/>
          <w:b w:val="0"/>
          <w:i w:val="0"/>
          <w:sz w:val="24"/>
        </w:rPr>
        <w:t>。推动大科学装置、科研数据、技术平台等创新资源的开放共享，探索跨区域“科创飞地”共建与收益共享机制</w:t>
      </w:r>
      <w:r>
        <w:rPr>
          <w:rFonts w:ascii="Times New Roman" w:hAnsi="Times New Roman" w:eastAsia="宋体"/>
          <w:b w:val="0"/>
          <w:i w:val="0"/>
          <w:sz w:val="18"/>
          <w:vertAlign w:val="superscript"/>
        </w:rPr>
        <w:t>[12]</w:t>
      </w:r>
      <w:r>
        <w:rPr>
          <w:rFonts w:ascii="Times New Roman" w:hAnsi="Times New Roman" w:eastAsia="宋体"/>
          <w:b w:val="0"/>
          <w:i w:val="0"/>
          <w:sz w:val="24"/>
        </w:rPr>
        <w:t>，使要素流动从行政推动转向利益驱动。</w:t>
      </w:r>
    </w:p>
    <w:p>
      <w:pPr>
        <w:spacing w:before="160" w:after="80" w:line="312" w:lineRule="auto"/>
      </w:pPr>
      <w:r>
        <w:rPr>
          <w:rFonts w:ascii="Times New Roman" w:hAnsi="Times New Roman" w:eastAsia="黑体"/>
          <w:b/>
          <w:i w:val="0"/>
          <w:sz w:val="24"/>
        </w:rPr>
        <w:t>6.6　构建“头雁引领、群雁齐飞”的区域雁阵格局</w:t>
      </w:r>
    </w:p>
    <w:p>
      <w:pPr>
        <w:spacing w:before="0" w:after="0" w:line="360" w:lineRule="auto"/>
        <w:jc w:val="both"/>
        <w:ind w:firstLineChars="200"/>
      </w:pPr>
      <w:r>
        <w:rPr>
          <w:rFonts w:ascii="Times New Roman" w:hAnsi="Times New Roman" w:eastAsia="宋体"/>
          <w:b w:val="0"/>
          <w:i w:val="0"/>
          <w:sz w:val="24"/>
        </w:rPr>
        <w:t>支持北京、上海、粤港澳大湾区高水平人才高地在一体化改革中承担探路者角色，加大先行先试授权，形成可复制、可推广的制度成果</w:t>
      </w:r>
      <w:r>
        <w:rPr>
          <w:rFonts w:ascii="Times New Roman" w:hAnsi="Times New Roman" w:eastAsia="宋体"/>
          <w:b w:val="0"/>
          <w:i w:val="0"/>
          <w:sz w:val="18"/>
          <w:vertAlign w:val="superscript"/>
        </w:rPr>
        <w:t>[9]</w:t>
      </w:r>
      <w:r>
        <w:rPr>
          <w:rFonts w:ascii="Times New Roman" w:hAnsi="Times New Roman" w:eastAsia="宋体"/>
          <w:b w:val="0"/>
          <w:i w:val="0"/>
          <w:sz w:val="24"/>
        </w:rPr>
        <w:t>。支持浙江等改革先行省份深化省级试点，及时总结“试点撬动”的经验规律</w:t>
      </w:r>
      <w:r>
        <w:rPr>
          <w:rFonts w:ascii="Times New Roman" w:hAnsi="Times New Roman" w:eastAsia="宋体"/>
          <w:b w:val="0"/>
          <w:i w:val="0"/>
          <w:sz w:val="18"/>
          <w:vertAlign w:val="superscript"/>
        </w:rPr>
        <w:t>[10]</w:t>
      </w:r>
      <w:r>
        <w:rPr>
          <w:rFonts w:ascii="Times New Roman" w:hAnsi="Times New Roman" w:eastAsia="宋体"/>
          <w:b w:val="0"/>
          <w:i w:val="0"/>
          <w:sz w:val="24"/>
        </w:rPr>
        <w:t>。引导中西部中心城市立足自身禀赋建设吸引集聚人才的战略支点，借鉴与自身条件相近的先行模式，避免同质化竞争</w:t>
      </w:r>
      <w:r>
        <w:rPr>
          <w:rFonts w:ascii="Times New Roman" w:hAnsi="Times New Roman" w:eastAsia="宋体"/>
          <w:b w:val="0"/>
          <w:i w:val="0"/>
          <w:sz w:val="18"/>
          <w:vertAlign w:val="superscript"/>
        </w:rPr>
        <w:t>[16]</w:t>
      </w:r>
      <w:r>
        <w:rPr>
          <w:rFonts w:ascii="Times New Roman" w:hAnsi="Times New Roman" w:eastAsia="宋体"/>
          <w:b w:val="0"/>
          <w:i w:val="0"/>
          <w:sz w:val="24"/>
        </w:rPr>
        <w:t>。健全区域间对口协作与利益共享机制，通过科创飞地、联合培养、成果跨区转化等安排，推动先行区域的一体化势能向全国扩散，形成引领型高地与支撑型节点协同联动的雁阵格局</w:t>
      </w:r>
      <w:r>
        <w:rPr>
          <w:rFonts w:ascii="Times New Roman" w:hAnsi="Times New Roman" w:eastAsia="宋体"/>
          <w:b w:val="0"/>
          <w:i w:val="0"/>
          <w:sz w:val="18"/>
          <w:vertAlign w:val="superscript"/>
        </w:rPr>
        <w:t>[29]</w:t>
      </w:r>
      <w:r>
        <w:rPr>
          <w:rFonts w:ascii="Times New Roman" w:hAnsi="Times New Roman" w:eastAsia="宋体"/>
          <w:b w:val="0"/>
          <w:i w:val="0"/>
          <w:sz w:val="24"/>
        </w:rPr>
        <w:t>。</w:t>
      </w:r>
    </w:p>
    <w:p>
      <w:pPr>
        <w:spacing w:before="240" w:after="120" w:line="312" w:lineRule="auto"/>
      </w:pPr>
      <w:r>
        <w:rPr>
          <w:rFonts w:ascii="Times New Roman" w:hAnsi="Times New Roman" w:eastAsia="黑体"/>
          <w:b/>
          <w:i w:val="0"/>
          <w:sz w:val="28"/>
        </w:rPr>
        <w:t>7　结论与讨论</w:t>
      </w:r>
    </w:p>
    <w:p>
      <w:pPr>
        <w:spacing w:before="0" w:after="0" w:line="360" w:lineRule="auto"/>
        <w:jc w:val="both"/>
        <w:ind w:firstLineChars="200"/>
      </w:pPr>
      <w:r>
        <w:rPr>
          <w:rFonts w:ascii="Times New Roman" w:hAnsi="Times New Roman" w:eastAsia="宋体"/>
          <w:b w:val="0"/>
          <w:i w:val="0"/>
          <w:sz w:val="24"/>
        </w:rPr>
        <w:t>本文基于“战略统筹—制度供给—主体协同—要素贯通—评价牵引”五维分析框架，对北京、上海、浙江、广东4个典型区域推进教科人一体化的实践进行了多案例比较研究。研究发现：四地分别形成了战略科技力量牵引的“央地协同”模式、制度型开放驱动的“枢纽链接”模式、体制机制试点撬动的“迭代深化”模式和产业需求牵引的“湾区融通”模式；高位统筹、高能级平台、评价改革先行、要素跨界流动构成四种模式的共性机制，而模式分化根植于区域禀赋差异，与组态研究揭示的“殊途同归”逻辑相呼应；当前改革仍面临治理分割、链条脱节、评价错位、区域失衡等共性梗阻，需要从统筹机制、学科科研布局、平台枢纽、评价改革、要素流动、雁阵格局等方面系统推进。</w:t>
      </w:r>
    </w:p>
    <w:p>
      <w:pPr>
        <w:spacing w:before="0" w:after="0" w:line="360" w:lineRule="auto"/>
        <w:jc w:val="both"/>
        <w:ind w:firstLineChars="200"/>
      </w:pPr>
      <w:r>
        <w:rPr>
          <w:rFonts w:ascii="Times New Roman" w:hAnsi="Times New Roman" w:eastAsia="宋体"/>
          <w:b w:val="0"/>
          <w:i w:val="0"/>
          <w:sz w:val="24"/>
        </w:rPr>
        <w:t>本文的理论意涵在于：教科人一体化的实现机制是主体、资源与环境在区域情境中的系统性耦合，不存在放之四海而皆准的标准模板；改革的关键不在于要素的齐头并进，而在于立足禀赋识别长板、围绕长板配置制度组合。这一判断与人才高地建设的组态研究结论彼此呼应</w:t>
      </w:r>
      <w:r>
        <w:rPr>
          <w:rFonts w:ascii="Times New Roman" w:hAnsi="Times New Roman" w:eastAsia="宋体"/>
          <w:b w:val="0"/>
          <w:i w:val="0"/>
          <w:sz w:val="18"/>
          <w:vertAlign w:val="superscript"/>
        </w:rPr>
        <w:t>[16,28]</w:t>
      </w:r>
      <w:r>
        <w:rPr>
          <w:rFonts w:ascii="Times New Roman" w:hAnsi="Times New Roman" w:eastAsia="宋体"/>
          <w:b w:val="0"/>
          <w:i w:val="0"/>
          <w:sz w:val="24"/>
        </w:rPr>
        <w:t>，也为理解中国区域创新格局的多样性提供了新的注脚。</w:t>
      </w:r>
    </w:p>
    <w:p>
      <w:pPr>
        <w:spacing w:before="0" w:after="0" w:line="360" w:lineRule="auto"/>
        <w:jc w:val="both"/>
        <w:ind w:firstLineChars="200"/>
      </w:pPr>
      <w:r>
        <w:rPr>
          <w:rFonts w:ascii="Times New Roman" w:hAnsi="Times New Roman" w:eastAsia="宋体"/>
          <w:b w:val="0"/>
          <w:i w:val="0"/>
          <w:sz w:val="24"/>
        </w:rPr>
        <w:t>本文也存在若干局限。其一，案例限于四个先行区域，对中西部地区一体化实践的观察不足，结论向后发区域推广时需保持谨慎；其二，多案例比较提供的是静态截面的模式刻画，一体化模式的动态演化及其绩效后果有待长期追踪；其三，案例证据主要来自公开文本资料，微观主体的行为逻辑有待深度访谈等一手资料补充。未来研究可沿三个方向深化：一是扩大案例范围，纳入不同发展梯度的区域开展比较；二是运用耦合协调度模型对各模式的绩效进行动态量化评估</w:t>
      </w:r>
      <w:r>
        <w:rPr>
          <w:rFonts w:ascii="Times New Roman" w:hAnsi="Times New Roman" w:eastAsia="宋体"/>
          <w:b w:val="0"/>
          <w:i w:val="0"/>
          <w:sz w:val="18"/>
          <w:vertAlign w:val="superscript"/>
        </w:rPr>
        <w:t>[4,12]</w:t>
      </w:r>
      <w:r>
        <w:rPr>
          <w:rFonts w:ascii="Times New Roman" w:hAnsi="Times New Roman" w:eastAsia="宋体"/>
          <w:b w:val="0"/>
          <w:i w:val="0"/>
          <w:sz w:val="24"/>
        </w:rPr>
        <w:t>；三是采用模糊集定性比较分析等组态方法，系统识别一体化高效能的条件组合及其区域适配性</w:t>
      </w:r>
      <w:r>
        <w:rPr>
          <w:rFonts w:ascii="Times New Roman" w:hAnsi="Times New Roman" w:eastAsia="宋体"/>
          <w:b w:val="0"/>
          <w:i w:val="0"/>
          <w:sz w:val="18"/>
          <w:vertAlign w:val="superscript"/>
        </w:rPr>
        <w:t>[16,28]</w:t>
      </w:r>
      <w:r>
        <w:rPr>
          <w:rFonts w:ascii="Times New Roman" w:hAnsi="Times New Roman" w:eastAsia="宋体"/>
          <w:b w:val="0"/>
          <w:i w:val="0"/>
          <w:sz w:val="24"/>
        </w:rPr>
        <w:t>，为分类指导、精准施策提供更坚实的证据基础。</w:t>
      </w:r>
    </w:p>
    <w:p>
      <w:pPr>
        <w:spacing w:before="280" w:after="120" w:line="312" w:lineRule="auto"/>
      </w:pPr>
      <w:r>
        <w:rPr>
          <w:rFonts w:ascii="Times New Roman" w:hAnsi="Times New Roman" w:eastAsia="黑体"/>
          <w:b/>
          <w:i w:val="0"/>
          <w:sz w:val="24"/>
        </w:rPr>
        <w:t>参考文献：</w:t>
      </w:r>
    </w:p>
    <w:p>
      <w:pPr>
        <w:spacing w:before="0" w:after="40" w:line="288" w:lineRule="auto"/>
      </w:pPr>
      <w:r>
        <w:rPr>
          <w:rFonts w:ascii="Times New Roman" w:hAnsi="Times New Roman" w:eastAsia="宋体"/>
          <w:b w:val="0"/>
          <w:i w:val="0"/>
          <w:sz w:val="18"/>
        </w:rPr>
        <w:t>［1］ 习近平. 高举中国特色社会主义伟大旗帜　为全面建设社会主义现代化国家而团结奋斗——在中国共产党第二十次全国代表大会上的报告[N]. 人民日报, 2022-10-26(1).</w:t>
      </w:r>
    </w:p>
    <w:p>
      <w:pPr>
        <w:spacing w:before="0" w:after="40" w:line="288" w:lineRule="auto"/>
      </w:pPr>
      <w:r>
        <w:rPr>
          <w:rFonts w:ascii="Times New Roman" w:hAnsi="Times New Roman" w:eastAsia="宋体"/>
          <w:b w:val="0"/>
          <w:i w:val="0"/>
          <w:sz w:val="18"/>
        </w:rPr>
        <w:t>［2］ 中共中央关于进一步全面深化改革、推进中国式现代化的决定[N]. 人民日报, 2024-07-22(1).</w:t>
      </w:r>
    </w:p>
    <w:p>
      <w:pPr>
        <w:spacing w:before="0" w:after="40" w:line="288" w:lineRule="auto"/>
      </w:pPr>
      <w:r>
        <w:rPr>
          <w:rFonts w:ascii="Times New Roman" w:hAnsi="Times New Roman" w:eastAsia="宋体"/>
          <w:b w:val="0"/>
          <w:i w:val="0"/>
          <w:sz w:val="18"/>
        </w:rPr>
        <w:t>［3］ 赵成. 紧紧围绕立德树人根本任务　朝着建成教育强国战略目标扎实迈进[N]. 人民日报, 2024-09-11(1).</w:t>
      </w:r>
    </w:p>
    <w:p>
      <w:pPr>
        <w:spacing w:before="0" w:after="40" w:line="288" w:lineRule="auto"/>
      </w:pPr>
      <w:r>
        <w:rPr>
          <w:rFonts w:ascii="Times New Roman" w:hAnsi="Times New Roman" w:eastAsia="宋体"/>
          <w:b w:val="0"/>
          <w:i w:val="0"/>
          <w:sz w:val="18"/>
        </w:rPr>
        <w:t>［4］ 黄永春, 钱春琳, 钱昕怡, 等. 教育—科技—人才耦合协调度研究：基于30个省级区域的实证分析[J]. 中国科技论坛, 2024(10): 12-24.</w:t>
      </w:r>
    </w:p>
    <w:p>
      <w:pPr>
        <w:spacing w:before="0" w:after="40" w:line="288" w:lineRule="auto"/>
      </w:pPr>
      <w:r>
        <w:rPr>
          <w:rFonts w:ascii="Times New Roman" w:hAnsi="Times New Roman" w:eastAsia="宋体"/>
          <w:b w:val="0"/>
          <w:i w:val="0"/>
          <w:sz w:val="18"/>
        </w:rPr>
        <w:t>［5］ 洪银兴. 新质生产力及其培育和发展[J]. 经济学动态, 2024(1): 3-11.</w:t>
      </w:r>
    </w:p>
    <w:p>
      <w:pPr>
        <w:spacing w:before="0" w:after="40" w:line="288" w:lineRule="auto"/>
      </w:pPr>
      <w:r>
        <w:rPr>
          <w:rFonts w:ascii="Times New Roman" w:hAnsi="Times New Roman" w:eastAsia="宋体"/>
          <w:b w:val="0"/>
          <w:i w:val="0"/>
          <w:sz w:val="18"/>
        </w:rPr>
        <w:t>［6］ 周文, 许凌云. 论新质生产力：内涵特征与重要着力点[J]. 改革, 2023(10): 1-13.</w:t>
      </w:r>
    </w:p>
    <w:p>
      <w:pPr>
        <w:spacing w:before="0" w:after="40" w:line="288" w:lineRule="auto"/>
      </w:pPr>
      <w:r>
        <w:rPr>
          <w:rFonts w:ascii="Times New Roman" w:hAnsi="Times New Roman" w:eastAsia="宋体"/>
          <w:b w:val="0"/>
          <w:i w:val="0"/>
          <w:sz w:val="18"/>
        </w:rPr>
        <w:t>［7］ 谢霄男. 论教育、科技、人才一体推进的价值哲学基础[J]. 特区经济, 2024(6): 17-20.</w:t>
      </w:r>
    </w:p>
    <w:p>
      <w:pPr>
        <w:spacing w:before="0" w:after="40" w:line="288" w:lineRule="auto"/>
      </w:pPr>
      <w:r>
        <w:rPr>
          <w:rFonts w:ascii="Times New Roman" w:hAnsi="Times New Roman" w:eastAsia="宋体"/>
          <w:b w:val="0"/>
          <w:i w:val="0"/>
          <w:sz w:val="18"/>
        </w:rPr>
        <w:t>［8］ 黄群慧, 盛方富. 新质生产力系统：要素特质、结构承载与功能取向[J]. 改革, 2024(2): 15-24.</w:t>
      </w:r>
    </w:p>
    <w:p>
      <w:pPr>
        <w:spacing w:before="0" w:after="40" w:line="288" w:lineRule="auto"/>
      </w:pPr>
      <w:r>
        <w:rPr>
          <w:rFonts w:ascii="Times New Roman" w:hAnsi="Times New Roman" w:eastAsia="宋体"/>
          <w:b w:val="0"/>
          <w:i w:val="0"/>
          <w:sz w:val="18"/>
        </w:rPr>
        <w:t>［9］ 习近平在中央人才工作会议上强调　深入实施新时代人才强国战略　加快建设世界重要人才中心和创新高地[N]. 人民日报, 2021-09-29(1).</w:t>
      </w:r>
    </w:p>
    <w:p>
      <w:pPr>
        <w:spacing w:before="0" w:after="40" w:line="288" w:lineRule="auto"/>
      </w:pPr>
      <w:r>
        <w:rPr>
          <w:rFonts w:ascii="Times New Roman" w:hAnsi="Times New Roman" w:eastAsia="宋体"/>
          <w:b w:val="0"/>
          <w:i w:val="0"/>
          <w:sz w:val="18"/>
        </w:rPr>
        <w:t>［10］ 浙江省科学技术厅. “教育科技人才一体化推进”省级创新深化试点现场会在绍兴举行[EB/OL]. (2023-08-10)</w:t>
      </w:r>
      <w:r>
        <w:rPr>
          <w:rFonts w:ascii="Times New Roman" w:hAnsi="Times New Roman" w:eastAsia="宋体"/>
          <w:b w:val="0"/>
          <w:i w:val="0"/>
          <w:sz w:val="18"/>
        </w:rPr>
        <w:t>[2026-07-02]</w:t>
      </w:r>
      <w:r>
        <w:rPr>
          <w:rFonts w:ascii="Times New Roman" w:hAnsi="Times New Roman" w:eastAsia="宋体"/>
          <w:b w:val="0"/>
          <w:i w:val="0"/>
          <w:sz w:val="18"/>
        </w:rPr>
        <w:t>. https://kjt.zj.gov.cn/art/2023/8/10/art_1228971342_59009175.html.</w:t>
      </w:r>
    </w:p>
    <w:p>
      <w:pPr>
        <w:spacing w:before="0" w:after="40" w:line="288" w:lineRule="auto"/>
      </w:pPr>
      <w:r>
        <w:rPr>
          <w:rFonts w:ascii="Times New Roman" w:hAnsi="Times New Roman" w:eastAsia="宋体"/>
          <w:b w:val="0"/>
          <w:i w:val="0"/>
          <w:sz w:val="18"/>
        </w:rPr>
        <w:t>［11］ 潘教峰, 万劲波. 新时代科技强国战略[J]. 中国科学院院刊, 2022, 37(5): 569-577.</w:t>
      </w:r>
    </w:p>
    <w:p>
      <w:pPr>
        <w:spacing w:before="0" w:after="40" w:line="288" w:lineRule="auto"/>
      </w:pPr>
      <w:r>
        <w:rPr>
          <w:rFonts w:ascii="Times New Roman" w:hAnsi="Times New Roman" w:eastAsia="宋体"/>
          <w:b w:val="0"/>
          <w:i w:val="0"/>
          <w:sz w:val="18"/>
        </w:rPr>
        <w:t>［12］ 苗阳, 方晶, 胡逸晔. 浙江省教育、科技、人才一体化改革的机制、成效与深化路径[J]. 科技管理研究, 2025(23): 31-40.</w:t>
      </w:r>
    </w:p>
    <w:p>
      <w:pPr>
        <w:spacing w:before="0" w:after="40" w:line="288" w:lineRule="auto"/>
      </w:pPr>
      <w:r>
        <w:rPr>
          <w:rFonts w:ascii="Times New Roman" w:hAnsi="Times New Roman" w:eastAsia="宋体"/>
          <w:b w:val="0"/>
          <w:i w:val="0"/>
          <w:sz w:val="18"/>
        </w:rPr>
        <w:t>［13］ 郑金洲. 教育、科技、人才一体化发展：内在逻辑与困境突破[J]. 南京师大学报（社会科学版）, 2023(3): 5-15.</w:t>
      </w:r>
    </w:p>
    <w:p>
      <w:pPr>
        <w:spacing w:before="0" w:after="40" w:line="288" w:lineRule="auto"/>
      </w:pPr>
      <w:r>
        <w:rPr>
          <w:rFonts w:ascii="Times New Roman" w:hAnsi="Times New Roman" w:eastAsia="宋体"/>
          <w:b w:val="0"/>
          <w:i w:val="0"/>
          <w:sz w:val="18"/>
        </w:rPr>
        <w:t>［14］ 林蕙青, 管培俊, 李家俊, 等. 教育科技人才一体化发展（笔谈）[J]. 中国高教研究, 2024(9): 1-12.</w:t>
      </w:r>
    </w:p>
    <w:p>
      <w:pPr>
        <w:spacing w:before="0" w:after="40" w:line="288" w:lineRule="auto"/>
      </w:pPr>
      <w:r>
        <w:rPr>
          <w:rFonts w:ascii="Times New Roman" w:hAnsi="Times New Roman" w:eastAsia="宋体"/>
          <w:b w:val="0"/>
          <w:i w:val="0"/>
          <w:sz w:val="18"/>
        </w:rPr>
        <w:t>［15］ 郭改英. 统筹推进教育科技人才体制机制一体改革[N]. 中国社会科学报, 2024-10-17(A1).</w:t>
      </w:r>
    </w:p>
    <w:p>
      <w:pPr>
        <w:spacing w:before="0" w:after="40" w:line="288" w:lineRule="auto"/>
      </w:pPr>
      <w:r>
        <w:rPr>
          <w:rFonts w:ascii="Times New Roman" w:hAnsi="Times New Roman" w:eastAsia="宋体"/>
          <w:b w:val="0"/>
          <w:i w:val="0"/>
          <w:sz w:val="18"/>
        </w:rPr>
        <w:t>［16］ 王福世, 陈劲, 贺敬文, 靳子懿. 中国人才高地建设的多元路径研究——基于fsQCA的组态分析[J]. 经济与管理研究, 2026, 47(6): 3-19.</w:t>
      </w:r>
    </w:p>
    <w:p>
      <w:pPr>
        <w:spacing w:before="0" w:after="40" w:line="288" w:lineRule="auto"/>
      </w:pPr>
      <w:r>
        <w:rPr>
          <w:rFonts w:ascii="Times New Roman" w:hAnsi="Times New Roman" w:eastAsia="宋体"/>
          <w:b w:val="0"/>
          <w:i w:val="0"/>
          <w:sz w:val="18"/>
        </w:rPr>
        <w:t>［17］ FREEMAN C. Technology policy and economic performance: lessons from Japan[M]. London: Pinter Publishers, 1987.</w:t>
      </w:r>
    </w:p>
    <w:p>
      <w:pPr>
        <w:spacing w:before="0" w:after="40" w:line="288" w:lineRule="auto"/>
      </w:pPr>
      <w:r>
        <w:rPr>
          <w:rFonts w:ascii="Times New Roman" w:hAnsi="Times New Roman" w:eastAsia="宋体"/>
          <w:b w:val="0"/>
          <w:i w:val="0"/>
          <w:sz w:val="18"/>
        </w:rPr>
        <w:t>［18］ LUNDVALL B-Å. National systems of innovation: towards a theory of innovation and interactive learning[M]. London: Pinter Publishers, 1992.</w:t>
      </w:r>
    </w:p>
    <w:p>
      <w:pPr>
        <w:spacing w:before="0" w:after="40" w:line="288" w:lineRule="auto"/>
      </w:pPr>
      <w:r>
        <w:rPr>
          <w:rFonts w:ascii="Times New Roman" w:hAnsi="Times New Roman" w:eastAsia="宋体"/>
          <w:b w:val="0"/>
          <w:i w:val="0"/>
          <w:sz w:val="18"/>
        </w:rPr>
        <w:t>［19］ NELSON R R. National innovation systems: a comparative analysis[M]. New York: Oxford University Press, 1993.</w:t>
      </w:r>
    </w:p>
    <w:p>
      <w:pPr>
        <w:spacing w:before="0" w:after="40" w:line="288" w:lineRule="auto"/>
      </w:pPr>
      <w:r>
        <w:rPr>
          <w:rFonts w:ascii="Times New Roman" w:hAnsi="Times New Roman" w:eastAsia="宋体"/>
          <w:b w:val="0"/>
          <w:i w:val="0"/>
          <w:sz w:val="18"/>
        </w:rPr>
        <w:t>［20］ ETZKOWITZ H, LEYDESDORFF L. The dynamics of innovation: from National Systems and “Mode 2” to a Triple Helix of university-industry-government relations[J]. Research Policy, 2000, 29(2): 109-123.</w:t>
      </w:r>
    </w:p>
    <w:p>
      <w:pPr>
        <w:spacing w:before="0" w:after="40" w:line="288" w:lineRule="auto"/>
      </w:pPr>
      <w:r>
        <w:rPr>
          <w:rFonts w:ascii="Times New Roman" w:hAnsi="Times New Roman" w:eastAsia="宋体"/>
          <w:b w:val="0"/>
          <w:i w:val="0"/>
          <w:sz w:val="18"/>
        </w:rPr>
        <w:t>［21］ CARAYANNIS E G, CAMPBELL D F J. ‘Mode 3’ and ‘Quadruple Helix’: toward a 21st century fractal innovation ecosystem[J]. International Journal of Technology Management, 2009, 46(3/4): 201-234.</w:t>
      </w:r>
    </w:p>
    <w:p>
      <w:pPr>
        <w:spacing w:before="0" w:after="40" w:line="288" w:lineRule="auto"/>
      </w:pPr>
      <w:r>
        <w:rPr>
          <w:rFonts w:ascii="Times New Roman" w:hAnsi="Times New Roman" w:eastAsia="宋体"/>
          <w:b w:val="0"/>
          <w:i w:val="0"/>
          <w:sz w:val="18"/>
        </w:rPr>
        <w:t>［22］ 李立国. 从三螺旋到教育科技人才一体：高等教育与创新发展[J]. 清华大学教育研究, 2025, 46(1): 30-39.</w:t>
      </w:r>
    </w:p>
    <w:p>
      <w:pPr>
        <w:spacing w:before="0" w:after="40" w:line="288" w:lineRule="auto"/>
      </w:pPr>
      <w:r>
        <w:rPr>
          <w:rFonts w:ascii="Times New Roman" w:hAnsi="Times New Roman" w:eastAsia="宋体"/>
          <w:b w:val="0"/>
          <w:i w:val="0"/>
          <w:sz w:val="18"/>
        </w:rPr>
        <w:t>［23］ 曾国屏, 苟尤钊, 刘磊. 从“创新系统”到“创新生态系统”[J]. 科学学研究, 2013, 31(1): 4-12.</w:t>
      </w:r>
    </w:p>
    <w:p>
      <w:pPr>
        <w:spacing w:before="0" w:after="40" w:line="288" w:lineRule="auto"/>
      </w:pPr>
      <w:r>
        <w:rPr>
          <w:rFonts w:ascii="Times New Roman" w:hAnsi="Times New Roman" w:eastAsia="宋体"/>
          <w:b w:val="0"/>
          <w:i w:val="0"/>
          <w:sz w:val="18"/>
        </w:rPr>
        <w:t>［24］ 梅亮, 陈劲, 刘洋. 创新生态系统：源起、知识演进和理论框架[J]. 科学学研究, 2014, 32(12): 1771-1780.</w:t>
      </w:r>
    </w:p>
    <w:p>
      <w:pPr>
        <w:spacing w:before="0" w:after="40" w:line="288" w:lineRule="auto"/>
      </w:pPr>
      <w:r>
        <w:rPr>
          <w:rFonts w:ascii="Times New Roman" w:hAnsi="Times New Roman" w:eastAsia="宋体"/>
          <w:b w:val="0"/>
          <w:i w:val="0"/>
          <w:sz w:val="18"/>
        </w:rPr>
        <w:t>［25］ GRANSTRAND O, HOLGERSSON M. Innovation ecosystems: a conceptual review and a new definition[J]. Technovation, 2020, 90/91: 102098.</w:t>
      </w:r>
    </w:p>
    <w:p>
      <w:pPr>
        <w:spacing w:before="0" w:after="40" w:line="288" w:lineRule="auto"/>
      </w:pPr>
      <w:r>
        <w:rPr>
          <w:rFonts w:ascii="Times New Roman" w:hAnsi="Times New Roman" w:eastAsia="宋体"/>
          <w:b w:val="0"/>
          <w:i w:val="0"/>
          <w:sz w:val="18"/>
        </w:rPr>
        <w:t>［26］ 孙锐, 孙雨洁, 孙彦玲. 人才创新创业生态系统的构成与运行机制研究——以苏州工业园区为例[J]. 中国科技论坛, 2021(11): 113-122.</w:t>
      </w:r>
    </w:p>
    <w:p>
      <w:pPr>
        <w:spacing w:before="0" w:after="40" w:line="288" w:lineRule="auto"/>
      </w:pPr>
      <w:r>
        <w:rPr>
          <w:rFonts w:ascii="Times New Roman" w:hAnsi="Times New Roman" w:eastAsia="宋体"/>
          <w:b w:val="0"/>
          <w:i w:val="0"/>
          <w:sz w:val="18"/>
        </w:rPr>
        <w:t>［27］ 柳卸林, 吉晓慧, 杨博旭. 城市创新生态系统评价体系构建及应用研究——基于“全创改”试点城市的分析[J]. 科学学与科学技术管理, 2022, 43(5): 63-84.</w:t>
      </w:r>
    </w:p>
    <w:p>
      <w:pPr>
        <w:spacing w:before="0" w:after="40" w:line="288" w:lineRule="auto"/>
      </w:pPr>
      <w:r>
        <w:rPr>
          <w:rFonts w:ascii="Times New Roman" w:hAnsi="Times New Roman" w:eastAsia="宋体"/>
          <w:b w:val="0"/>
          <w:i w:val="0"/>
          <w:sz w:val="18"/>
        </w:rPr>
        <w:t>［28］ 陈劲, 王福世, 李秉远. 中国人工智能人才高地建设的路径探析——基于模糊集定性比较分析[J]. 商业经济与管理, 2026(2): 34-47.</w:t>
      </w:r>
    </w:p>
    <w:p>
      <w:pPr>
        <w:spacing w:before="0" w:after="40" w:line="288" w:lineRule="auto"/>
      </w:pPr>
      <w:r>
        <w:rPr>
          <w:rFonts w:ascii="Times New Roman" w:hAnsi="Times New Roman" w:eastAsia="宋体"/>
          <w:b w:val="0"/>
          <w:i w:val="0"/>
          <w:sz w:val="18"/>
        </w:rPr>
        <w:t>［29］ 孙锐, 孙雨洁. 人才高地的演化与形成机理研究：基于硅谷、特拉维夫、中关村、筑波的纵向案例分析[J]. 中国软科学, 2024(5): 1-13.</w:t>
      </w:r>
    </w:p>
    <w:p>
      <w:pPr>
        <w:spacing w:before="0" w:after="40" w:line="288" w:lineRule="auto"/>
      </w:pPr>
      <w:r>
        <w:rPr>
          <w:rFonts w:ascii="Times New Roman" w:hAnsi="Times New Roman" w:eastAsia="宋体"/>
          <w:b w:val="0"/>
          <w:i w:val="0"/>
          <w:sz w:val="18"/>
        </w:rPr>
        <w:t>［30］ 江耕. 浙江：推动校院企高层次人才互聘共享[N]. 科技日报, 2025-01-23(3).</w:t>
      </w:r>
    </w:p>
    <w:p>
      <w:pPr>
        <w:spacing w:before="0" w:after="40" w:line="288" w:lineRule="auto"/>
      </w:pPr>
      <w:r>
        <w:rPr>
          <w:rFonts w:ascii="Times New Roman" w:hAnsi="Times New Roman" w:eastAsia="宋体"/>
          <w:b w:val="0"/>
          <w:i w:val="0"/>
          <w:sz w:val="18"/>
        </w:rPr>
        <w:t>［31］ 江耕. “两篇大文章”探索新质生产力培育路径——创新浙江建设进展透视[N]. 科技日报, 2025-07-17(3).</w:t>
      </w:r>
    </w:p>
    <w:p>
      <w:pPr>
        <w:spacing w:before="0" w:after="40" w:line="288" w:lineRule="auto"/>
      </w:pPr>
      <w:r>
        <w:rPr>
          <w:rFonts w:ascii="Times New Roman" w:hAnsi="Times New Roman" w:eastAsia="宋体"/>
          <w:b w:val="0"/>
          <w:i w:val="0"/>
          <w:sz w:val="18"/>
        </w:rPr>
        <w:t>［32］ 北京市人民代表大会. 北京国际科技创新中心建设条例[EB/OL]. (2024-01-25)</w:t>
      </w:r>
      <w:r>
        <w:rPr>
          <w:rFonts w:ascii="Times New Roman" w:hAnsi="Times New Roman" w:eastAsia="宋体"/>
          <w:b w:val="0"/>
          <w:i w:val="0"/>
          <w:sz w:val="18"/>
        </w:rPr>
        <w:t>[2026-07-02]</w:t>
      </w:r>
      <w:r>
        <w:rPr>
          <w:rFonts w:ascii="Times New Roman" w:hAnsi="Times New Roman" w:eastAsia="宋体"/>
          <w:b w:val="0"/>
          <w:i w:val="0"/>
          <w:sz w:val="18"/>
        </w:rPr>
        <w:t>. https://www.bjrd.gov.cn/rdzl/dfxfgk/dfxfg/202401/t20240126_3547021.html.</w:t>
      </w:r>
    </w:p>
    <w:p>
      <w:pPr>
        <w:spacing w:before="0" w:after="40" w:line="288" w:lineRule="auto"/>
      </w:pPr>
      <w:r>
        <w:rPr>
          <w:rFonts w:ascii="Times New Roman" w:hAnsi="Times New Roman" w:eastAsia="宋体"/>
          <w:b w:val="0"/>
          <w:i w:val="0"/>
          <w:sz w:val="18"/>
        </w:rPr>
        <w:t>［33］ 科技部, 教育部, 工业和信息化部, 等. 关于开展科技人才评价改革试点的工作方案[EB/OL]. (2022-11-10)</w:t>
      </w:r>
      <w:r>
        <w:rPr>
          <w:rFonts w:ascii="Times New Roman" w:hAnsi="Times New Roman" w:eastAsia="宋体"/>
          <w:b w:val="0"/>
          <w:i w:val="0"/>
          <w:sz w:val="18"/>
        </w:rPr>
        <w:t>[2026-07-02]</w:t>
      </w:r>
      <w:r>
        <w:rPr>
          <w:rFonts w:ascii="Times New Roman" w:hAnsi="Times New Roman" w:eastAsia="宋体"/>
          <w:b w:val="0"/>
          <w:i w:val="0"/>
          <w:sz w:val="18"/>
        </w:rPr>
        <w:t>. https://www.gov.cn/zhengce/zhengceku/2022-11/10/content_5725957.htm.</w:t>
      </w:r>
    </w:p>
    <w:p>
      <w:pPr>
        <w:spacing w:before="0" w:after="40" w:line="288" w:lineRule="auto"/>
      </w:pPr>
      <w:r>
        <w:rPr>
          <w:rFonts w:ascii="Times New Roman" w:hAnsi="Times New Roman" w:eastAsia="宋体"/>
          <w:b w:val="0"/>
          <w:i w:val="0"/>
          <w:sz w:val="18"/>
        </w:rPr>
        <w:t>［34］ 上海市人民代表大会. 上海市推进科技创新中心建设条例[EB/OL]. (2020-01-20)</w:t>
      </w:r>
      <w:r>
        <w:rPr>
          <w:rFonts w:ascii="Times New Roman" w:hAnsi="Times New Roman" w:eastAsia="宋体"/>
          <w:b w:val="0"/>
          <w:i w:val="0"/>
          <w:sz w:val="18"/>
        </w:rPr>
        <w:t>[2026-07-02]</w:t>
      </w:r>
      <w:r>
        <w:rPr>
          <w:rFonts w:ascii="Times New Roman" w:hAnsi="Times New Roman" w:eastAsia="宋体"/>
          <w:b w:val="0"/>
          <w:i w:val="0"/>
          <w:sz w:val="18"/>
        </w:rPr>
        <w:t>. https://stcsm.sh.gov.cn/zwgk/kjzc/zcwj/flfg/20210521/4d67be64fc39434f9f0f3d06f880db8f.html.</w:t>
      </w:r>
    </w:p>
    <w:p>
      <w:pPr>
        <w:spacing w:before="0" w:after="40" w:line="288" w:lineRule="auto"/>
      </w:pPr>
      <w:r>
        <w:rPr>
          <w:rFonts w:ascii="Times New Roman" w:hAnsi="Times New Roman" w:eastAsia="宋体"/>
          <w:b w:val="0"/>
          <w:i w:val="0"/>
          <w:sz w:val="18"/>
        </w:rPr>
        <w:t>［35］ 浙江省人民政府. 浙江省“315”科技创新体系建设工程实施方案（2023—2027年）：浙政发〔2023〕6号[EB/OL]. (2023-02-16)</w:t>
      </w:r>
      <w:r>
        <w:rPr>
          <w:rFonts w:ascii="Times New Roman" w:hAnsi="Times New Roman" w:eastAsia="宋体"/>
          <w:b w:val="0"/>
          <w:i w:val="0"/>
          <w:sz w:val="18"/>
        </w:rPr>
        <w:t>[2026-07-02]</w:t>
      </w:r>
      <w:r>
        <w:rPr>
          <w:rFonts w:ascii="Times New Roman" w:hAnsi="Times New Roman" w:eastAsia="宋体"/>
          <w:b w:val="0"/>
          <w:i w:val="0"/>
          <w:sz w:val="18"/>
        </w:rPr>
        <w:t>. https://www.zj.gov.cn/art/2023/2/16/art_1229019364_2458543.html.</w:t>
      </w:r>
    </w:p>
    <w:p>
      <w:pPr>
        <w:spacing w:before="0" w:after="40" w:line="288" w:lineRule="auto"/>
      </w:pPr>
      <w:r>
        <w:rPr>
          <w:rFonts w:ascii="Times New Roman" w:hAnsi="Times New Roman" w:eastAsia="宋体"/>
          <w:b w:val="0"/>
          <w:i w:val="0"/>
          <w:sz w:val="18"/>
        </w:rPr>
        <w:t>［36］ 贾立政. 教育、科技、人才一体化发展的四个关键[J]. 人民论坛, 2024(10): 58-61.</w:t>
      </w:r>
    </w:p>
    <w:p>
      <w:pPr>
        <w:spacing w:before="0" w:after="40" w:line="288" w:lineRule="auto"/>
      </w:pPr>
      <w:r>
        <w:rPr>
          <w:rFonts w:ascii="Times New Roman" w:hAnsi="Times New Roman" w:eastAsia="宋体"/>
          <w:b w:val="0"/>
          <w:i w:val="0"/>
          <w:sz w:val="18"/>
        </w:rPr>
        <w:t>［37］ 葛昊, 李维林, 周统建. 产业教授制度提升研究生培养质量的耦合逻辑、制约因素及路径探析[J]. 江苏高教, 2025(3): 45-50.</w:t>
      </w:r>
    </w:p>
    <w:p>
      <w:pPr>
        <w:spacing w:before="0" w:after="40" w:line="288" w:lineRule="auto"/>
      </w:pPr>
      <w:r>
        <w:rPr>
          <w:rFonts w:ascii="Times New Roman" w:hAnsi="Times New Roman" w:eastAsia="宋体"/>
          <w:b w:val="0"/>
          <w:i w:val="0"/>
          <w:sz w:val="18"/>
        </w:rPr>
        <w:t>［38］ 胡湘永, 廖文和. 新质生产力视角下产学研深度融合人才培养的创新模式与协同机制[J]. 南京社会科学, 2024(8): 142-149.</w:t>
      </w:r>
    </w:p>
    <w:p>
      <w:pPr>
        <w:spacing w:before="0" w:after="40" w:line="288" w:lineRule="auto"/>
      </w:pPr>
      <w:r>
        <w:rPr>
          <w:rFonts w:ascii="Times New Roman" w:hAnsi="Times New Roman" w:eastAsia="宋体"/>
          <w:b w:val="0"/>
          <w:i w:val="0"/>
          <w:sz w:val="18"/>
        </w:rPr>
        <w:t>［39］ 陈立斌, 赵莉莎, 王小华. 新质生产力视域下高等教育产教融合的实践困境与优化路径[J]. 高等工程教育研究, 2025(1): 111-116.</w:t>
      </w:r>
    </w:p>
    <w:p>
      <w:pPr>
        <w:spacing w:before="0" w:after="40" w:line="288" w:lineRule="auto"/>
      </w:pPr>
      <w:r>
        <w:rPr>
          <w:rFonts w:ascii="Times New Roman" w:hAnsi="Times New Roman" w:eastAsia="宋体"/>
          <w:b w:val="0"/>
          <w:i w:val="0"/>
          <w:sz w:val="18"/>
        </w:rPr>
        <w:t>［40］ 中共中央, 国务院. 教育强国建设规划纲要（2024—2035年）[EB/OL]. (2025-01-19)</w:t>
      </w:r>
      <w:r>
        <w:rPr>
          <w:rFonts w:ascii="Times New Roman" w:hAnsi="Times New Roman" w:eastAsia="宋体"/>
          <w:b w:val="0"/>
          <w:i w:val="0"/>
          <w:sz w:val="18"/>
        </w:rPr>
        <w:t>[2026-07-02]</w:t>
      </w:r>
      <w:r>
        <w:rPr>
          <w:rFonts w:ascii="Times New Roman" w:hAnsi="Times New Roman" w:eastAsia="宋体"/>
          <w:b w:val="0"/>
          <w:i w:val="0"/>
          <w:sz w:val="18"/>
        </w:rPr>
        <w:t>. https://www.gov.cn/zhengce/202501/content_6999913.htm.</w:t>
      </w:r>
    </w:p>
    <w:p>
      <w:pPr>
        <w:spacing w:before="0" w:after="40" w:line="288" w:lineRule="auto"/>
      </w:pPr>
      <w:r>
        <w:rPr>
          <w:rFonts w:ascii="Times New Roman" w:hAnsi="Times New Roman" w:eastAsia="宋体"/>
          <w:b w:val="0"/>
          <w:i w:val="0"/>
          <w:sz w:val="18"/>
        </w:rPr>
        <w:t>［41］ 张羽飞, 张树满, 刘兵. 产学研深度融合影响领军企业关键核心技术突破能力的理论分析与实证检验[J]. 管理学报, 2024, 21(4): 568-576, 615.</w:t>
      </w:r>
    </w:p>
    <w:p>
      <w:pPr>
        <w:spacing w:before="0" w:after="40" w:line="288" w:lineRule="auto"/>
      </w:pPr>
      <w:r>
        <w:rPr>
          <w:rFonts w:ascii="Times New Roman" w:hAnsi="Times New Roman" w:eastAsia="宋体"/>
          <w:b w:val="0"/>
          <w:i w:val="0"/>
          <w:sz w:val="18"/>
        </w:rPr>
        <w:t>［42］ 余明桂, 贺蒙蒙, 张萌萌. 人才引进政策、劳动力优化配置与制造业智能化[J]. 中国工业经济, 2024(5): 116-134.</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