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网媒投稿发表业务创业计划改进方案</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编制单位：禾创星创业智能体。适用对象：嘉兴本地大学生与小微初创企业。编制依据：国家、浙江省、嘉兴市现行公开政策文件与禾创星专属语料库。本方案的金额、条件与期限均以公开文件表述为准，正式申报前请以属地主管部门最新公告为准。</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一、原方案速览与判断结论</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（一）原方案要点</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原计划设立嘉兴云稿网媒服务有限公司（拟），主营业务是替中小企业和高校师生把稿件投到网络媒体上发表，按篇收费，团队以文案编辑和媒体渠道对接为主，第一年目标营收 300 万元至 500 万元。整套业务的核心动作是三步：接单、改稿、找渠道发出去。</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从生意本身看，这个方向有真实需求。中小企业要品牌曝光，高校师生要成果传播，愿意为省时间付费。问题不在需求，而在实现方式。</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（二）判断结论</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结论一句话：按原方案注册运营，业务能做，但在嘉兴几乎吃不到任何产业类扶持政策，只能拿到面向所有小生意的普惠性税收减免，同时还要承担内容合规上的不确定风险。</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下表是原方案能够享受的政策全集，一共只有四项，全部属于不分行业的普惠政策。</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可享政策</w:t>
            </w:r>
          </w:p>
        </w:tc>
        <w:tc>
          <w:tcPr>
            <w:tcW w:type="dxa" w:w="481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内容</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主管部门</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小规模纳税人增值税免征</w:t>
            </w:r>
          </w:p>
        </w:tc>
        <w:tc>
          <w:tcPr>
            <w:tcW w:type="dxa" w:w="481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月销售额 10 万元以下、季度 30 万元以下免征增值税，执行至 2027 年 12 月 31 日</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税务</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小型微利企业所得税优惠</w:t>
            </w:r>
          </w:p>
        </w:tc>
        <w:tc>
          <w:tcPr>
            <w:tcW w:type="dxa" w:w="481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年应纳税所得额 300 万元以内部分实际税负 5%，执行至 2027 年 12 月 31 日</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税务</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六税两费减半</w:t>
            </w:r>
          </w:p>
        </w:tc>
        <w:tc>
          <w:tcPr>
            <w:tcW w:type="dxa" w:w="481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城建税、印花税、教育费附加等在 50% 幅度内减征</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税务</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就业创业类补贴</w:t>
            </w:r>
          </w:p>
        </w:tc>
        <w:tc>
          <w:tcPr>
            <w:tcW w:type="dxa" w:w="481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一次性创业补贴、创业社保补贴、场地租金补贴、创业担保贷款贴息等，与行业无关</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人力社保</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换句话说，营收做到 500 万元，能省下来的钱主要靠自己控制成本，政策端基本无从借力。而嘉兴目前政策资源最密集的方向是人工智能应用、数字经济、软件产业和科技型企业培育，原方案与这几条主线全部不搭界。</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二、政策适配性诊断</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判断一个创业方案能不能吃到政策，禾创星固定问四个问题。下面逐条对原方案作出诊断。</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（一）一问：有没有自主知识产权</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原方案没有任何软件著作权和专利。这条一断，科技型中小企业入库和高新技术企业认定这两条主线全部走不通，而这两个身份是后面几乎所有科技类奖补、贷款白名单、园区落地加分的入场券。</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（二）二问：收入里有没有软件或技术成分</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原方案的收入全部是人工服务费，没有软件销售收入，也没有经过认定登记的技术开发与技术服务收入。这意味着三项含金量很高的税收优惠全部用不上：软件产品增值税即征即退、技术合同认定后的增值税免税、研发费用税前加计扣除。</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（三）三问：行业代码归到哪一类</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按原方案的经营范围，登记机关大概率把公司归到商务服务业这一类。这一类企业在各级科技与经信部门的政策名单里出现频率极低。同一件事如果归到软件和信息技术服务业，可申报的政策数量是完全不同的量级。</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（四）四问：能不能挂到嘉兴主抓的产业方向</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嘉兴当前主抓的方向是人工智能应用、智能光伏、智能物联、化工新材料和数字经济。按《嘉兴市推进人工智能加行动计划（2025—2027 年）》，到 2027 年要打造人工智能应用标杆企业、应用场景、数智优品、高质量数据集各 100 个，带动人工智能产业营收规模突破 1000 亿元，重点覆盖工业制造、现代农业、商贸流通、节能环保、交通运输、金融服务、医疗健康、教育培训、文化旅游、城市治理等 10 个行业。原方案挂不上其中任何一个。</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四问诊断汇总如下。</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诊断项</w:t>
            </w:r>
          </w:p>
        </w:tc>
        <w:tc>
          <w:tcPr>
            <w:tcW w:type="dxa" w:w="28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原方案状况</w:t>
            </w:r>
          </w:p>
        </w:tc>
        <w:tc>
          <w:tcPr>
            <w:tcW w:type="dxa" w:w="39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后果</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自主知识产权</w:t>
            </w:r>
          </w:p>
        </w:tc>
        <w:tc>
          <w:tcPr>
            <w:tcW w:type="dxa" w:w="28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无软著、无专利</w:t>
            </w:r>
          </w:p>
        </w:tc>
        <w:tc>
          <w:tcPr>
            <w:tcW w:type="dxa" w:w="39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科技型中小企业、高新技术企业均无法申报</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收入技术成分</w:t>
            </w:r>
          </w:p>
        </w:tc>
        <w:tc>
          <w:tcPr>
            <w:tcW w:type="dxa" w:w="28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全部为人工服务费</w:t>
            </w:r>
          </w:p>
        </w:tc>
        <w:tc>
          <w:tcPr>
            <w:tcW w:type="dxa" w:w="39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软件即征即退、技术合同免税、加计扣除均用不上</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行业代码归属</w:t>
            </w:r>
          </w:p>
        </w:tc>
        <w:tc>
          <w:tcPr>
            <w:tcW w:type="dxa" w:w="28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商务服务业</w:t>
            </w:r>
          </w:p>
        </w:tc>
        <w:tc>
          <w:tcPr>
            <w:tcW w:type="dxa" w:w="39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不在科技与经信部门政策名单覆盖范围内</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产业方向匹配</w:t>
            </w:r>
          </w:p>
        </w:tc>
        <w:tc>
          <w:tcPr>
            <w:tcW w:type="dxa" w:w="28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不属于市级主抓方向</w:t>
            </w:r>
          </w:p>
        </w:tc>
        <w:tc>
          <w:tcPr>
            <w:tcW w:type="dxa" w:w="39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人工智能场景奖励、算力补贴等无从申报</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合规资质</w:t>
            </w:r>
          </w:p>
        </w:tc>
        <w:tc>
          <w:tcPr>
            <w:tcW w:type="dxa" w:w="283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涉及内容代发，边界不清</w:t>
            </w:r>
          </w:p>
        </w:tc>
        <w:tc>
          <w:tcPr>
            <w:tcW w:type="dxa" w:w="3969"/>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存在新闻信息服务与广告责任风险</w:t>
            </w:r>
          </w:p>
        </w:tc>
      </w:tr>
    </w:tbl>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三、改造思路</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（一）业务本质不变</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改造不是让你换个赛道重新开始。客户的需求没变，还是要把一段内容准确、合规、有效率地送到合适的渠道上去。变的是你用什么方式满足这个需求。</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（二）实现方式改变</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原来的做法是人工接单、人工改稿、人工找渠道。改造后的做法是把这三个重复动作写成软件：用人工智能做内容合规预审和风险标注，用算法做渠道与内容的匹配推荐，用系统管理投放进度和效果回收。人还在，但人从执行者变成了审核者和优化者。</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这一步转变带来三个直接结果。第一，你有了自研软件，可以登记软件著作权。第二，你的收入里出现了软件使用费和技术服务费。第三，你的业务可以被表述为面向商贸流通与文化传播行业的人工智能应用场景，能挂进嘉兴市重点支持的 10 个行业领域。</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（三）客户拿到的东西有什么不同</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对比项</w:t>
            </w:r>
          </w:p>
        </w:tc>
        <w:tc>
          <w:tcPr>
            <w:tcW w:type="dxa" w:w="311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改造前</w:t>
            </w:r>
          </w:p>
        </w:tc>
        <w:tc>
          <w:tcPr>
            <w:tcW w:type="dxa" w:w="368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改造后</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客户看到的产品</w:t>
            </w:r>
          </w:p>
        </w:tc>
        <w:tc>
          <w:tcPr>
            <w:tcW w:type="dxa" w:w="311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一份改好的稿件</w:t>
            </w:r>
          </w:p>
        </w:tc>
        <w:tc>
          <w:tcPr>
            <w:tcW w:type="dxa" w:w="368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一个可登录的工作台，含合规评分与渠道建议</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交付速度</w:t>
            </w:r>
          </w:p>
        </w:tc>
        <w:tc>
          <w:tcPr>
            <w:tcW w:type="dxa" w:w="311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人工排期，通常 3 至 5 天</w:t>
            </w:r>
          </w:p>
        </w:tc>
        <w:tc>
          <w:tcPr>
            <w:tcW w:type="dxa" w:w="368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系统预审当天出结果，人工复核 1 天内</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可验证性</w:t>
            </w:r>
          </w:p>
        </w:tc>
        <w:tc>
          <w:tcPr>
            <w:tcW w:type="dxa" w:w="311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口头承诺，效果难追溯</w:t>
            </w:r>
          </w:p>
        </w:tc>
        <w:tc>
          <w:tcPr>
            <w:tcW w:type="dxa" w:w="368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系统留存投放记录与效果数据，可导出报表</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合规保障</w:t>
            </w:r>
          </w:p>
        </w:tc>
        <w:tc>
          <w:tcPr>
            <w:tcW w:type="dxa" w:w="311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依赖编辑个人经验</w:t>
            </w:r>
          </w:p>
        </w:tc>
        <w:tc>
          <w:tcPr>
            <w:tcW w:type="dxa" w:w="368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内置违禁词与广告法风险规则库，自动标注</w:t>
            </w:r>
          </w:p>
        </w:tc>
      </w:tr>
      <w:tr>
        <w:tc>
          <w:tcPr>
            <w:tcW w:type="dxa" w:w="170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客户续费理由</w:t>
            </w:r>
          </w:p>
        </w:tc>
        <w:tc>
          <w:tcPr>
            <w:tcW w:type="dxa" w:w="311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价格便宜</w:t>
            </w:r>
          </w:p>
        </w:tc>
        <w:tc>
          <w:tcPr>
            <w:tcW w:type="dxa" w:w="368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数据沉淀在平台上，换供应商成本高</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最后一行是投资人最看重的一行。原方案是一锤子买卖，改造后是有留存的持续服务，这直接决定估值逻辑。</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四、改造后的业务架构与收入结构</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（一）产品架构</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整个平台拆成四个模块，前两个是软件产品，后两个是人工服务，这样拆是为了让收入能够按不同税目分别核算。</w:t>
      </w:r>
    </w:p>
    <w:p>
      <w:pPr>
        <w:jc w:val="left"/>
        <w:spacing w:before="0" w:after="0" w:lineRule="auto" w:line="360"/>
        <w:ind w:firstLineChars="200" w:firstLine="480" w:leftChars="0" w:left="0"/>
        <w:snapToGrid w:val="0"/>
        <w:keepNext/>
      </w:pPr>
      <w:r>
        <w:rPr>
          <w:rFonts w:ascii="Times New Roman" w:hAnsi="Times New Roman" w:eastAsia="宋体" w:cs="Times New Roman" w:hint="eastAsia"/>
          <w:b/>
          <w:sz w:val="24"/>
        </w:rPr>
        <w:t>1. 内容合规预审模块</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把广告法禁用表述、行业违禁词、绝对化用语、医疗与保健食品限制表述做成规则库，结合大模型做语义级风险识别，输出风险等级和修改建议。这是软件的核心功能，也是软件著作权登记的主体。</w:t>
      </w:r>
    </w:p>
    <w:p>
      <w:pPr>
        <w:jc w:val="left"/>
        <w:spacing w:before="0" w:after="0" w:lineRule="auto" w:line="360"/>
        <w:ind w:firstLineChars="200" w:firstLine="480" w:leftChars="0" w:left="0"/>
        <w:snapToGrid w:val="0"/>
        <w:keepNext/>
      </w:pPr>
      <w:r>
        <w:rPr>
          <w:rFonts w:ascii="Times New Roman" w:hAnsi="Times New Roman" w:eastAsia="宋体" w:cs="Times New Roman" w:hint="eastAsia"/>
          <w:b/>
          <w:sz w:val="24"/>
        </w:rPr>
        <w:t>2. 渠道智能匹配模块</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把可投放渠道按行业、受众、收录情况、单价做成结构化数据，根据稿件主题和客户预算给出匹配方案与预期效果区间。</w:t>
      </w:r>
    </w:p>
    <w:p>
      <w:pPr>
        <w:jc w:val="left"/>
        <w:spacing w:before="0" w:after="0" w:lineRule="auto" w:line="360"/>
        <w:ind w:firstLineChars="200" w:firstLine="480" w:leftChars="0" w:left="0"/>
        <w:snapToGrid w:val="0"/>
        <w:keepNext/>
      </w:pPr>
      <w:r>
        <w:rPr>
          <w:rFonts w:ascii="Times New Roman" w:hAnsi="Times New Roman" w:eastAsia="宋体" w:cs="Times New Roman" w:hint="eastAsia"/>
          <w:b/>
          <w:sz w:val="24"/>
        </w:rPr>
        <w:t>3. 内容代运营服务</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人工按系统建议完成改稿、排版、投放执行，属于服务收入。</w:t>
      </w:r>
    </w:p>
    <w:p>
      <w:pPr>
        <w:jc w:val="left"/>
        <w:spacing w:before="0" w:after="0" w:lineRule="auto" w:line="360"/>
        <w:ind w:firstLineChars="200" w:firstLine="480" w:leftChars="0" w:left="0"/>
        <w:snapToGrid w:val="0"/>
        <w:keepNext/>
      </w:pPr>
      <w:r>
        <w:rPr>
          <w:rFonts w:ascii="Times New Roman" w:hAnsi="Times New Roman" w:eastAsia="宋体" w:cs="Times New Roman" w:hint="eastAsia"/>
          <w:b/>
          <w:sz w:val="24"/>
        </w:rPr>
        <w:t>4. 定制开发与数据服务</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为客户做私有化部署、接口对接、行业专属规则库训练，属于技术开发与技术服务收入，这部分要签技术合同并到科技主管部门办理技术合同认定登记。</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（二）收入结构重排</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以年营收 500 万元为例，改造前后的收入结构建议按下表重排。重排的目的不是做账技巧，而是让不同性质的业务对应到各自适用的税目上，这需要有真实的合同、真实的交付物和分别核算的账。</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trPr>
        <w:tc>
          <w:tcPr>
            <w:tcW w:type="dxa" w:w="198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收入类型</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改造前</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改造后</w:t>
            </w:r>
          </w:p>
        </w:tc>
        <w:tc>
          <w:tcPr>
            <w:tcW w:type="dxa" w:w="368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适用税目与优惠</w:t>
            </w:r>
          </w:p>
        </w:tc>
      </w:tr>
      <w:tr>
        <w:tc>
          <w:tcPr>
            <w:tcW w:type="dxa" w:w="198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人工代发服务费</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500 万元</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150 万元</w:t>
            </w:r>
          </w:p>
        </w:tc>
        <w:tc>
          <w:tcPr>
            <w:tcW w:type="dxa" w:w="368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现代服务 6%，无专项优惠</w:t>
            </w:r>
          </w:p>
        </w:tc>
      </w:tr>
      <w:tr>
        <w:tc>
          <w:tcPr>
            <w:tcW w:type="dxa" w:w="198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软件使用费（自研）</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200 万元</w:t>
            </w:r>
          </w:p>
        </w:tc>
        <w:tc>
          <w:tcPr>
            <w:tcW w:type="dxa" w:w="368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 13% 征收，实际税负超 3% 部分即征即退</w:t>
            </w:r>
          </w:p>
        </w:tc>
      </w:tr>
      <w:tr>
        <w:tc>
          <w:tcPr>
            <w:tcW w:type="dxa" w:w="198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技术开发与技术服务</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150 万元</w:t>
            </w:r>
          </w:p>
        </w:tc>
        <w:tc>
          <w:tcPr>
            <w:tcW w:type="dxa" w:w="368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技术合同认定登记后免征增值税</w:t>
            </w:r>
          </w:p>
        </w:tc>
      </w:tr>
      <w:tr>
        <w:tc>
          <w:tcPr>
            <w:tcW w:type="dxa" w:w="198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合计</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500 万元</w:t>
            </w:r>
          </w:p>
        </w:tc>
        <w:tc>
          <w:tcPr>
            <w:tcW w:type="dxa" w:w="141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500 万元</w:t>
            </w:r>
          </w:p>
        </w:tc>
        <w:tc>
          <w:tcPr>
            <w:tcW w:type="dxa" w:w="368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需要特别说明两点。第一，软件产品增值税即征即退要求企业是一般纳税人，取得软件著作权并办理软件产品登记，且软件收入单独核算。第二，技术开发与技术服务免征增值税要求签订技术合同并到科技主管部门办理技术合同认定登记，没有登记的合同不享受免税。这两件事都要提前办，不能等到开票时才想起来。</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五、可新增享受的政策清单</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下表把改造前后能够申报的政策逐条对照列出。左边打叉的项目，就是原方案白白错过的钱。</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rPr>
          <w:tblHeader/>
        </w:trP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政策名称</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金额或力度</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改造前</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改造后</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主管部门</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浙江省科技型中小企业</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资格类，打开后续通道</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不符合</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可申报</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经信、科技</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研发费用税前加计扣除</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加计扣除比例 100%</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不适用</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可享受</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税务</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软件产品增值税即征即退</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实际税负超 3% 部分退还</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不适用</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可享受</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税务</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技术合同免征增值税</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技术开发与服务收入免增值税</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不适用</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可享受</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科技、税务</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高新技术企业</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企业所得税减按 15%</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不符合</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第二年起可冲刺</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科技、财政、税务</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科技创新券</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每年最高 20 万元额度</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不符合</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可申领</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科技局</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人工智能应用场景奖励</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国家级 50 万元、省级 20 万元</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不符合</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可争取</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经信</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首版次软件产品认定</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分档奖励</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不符合</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可争取</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经信</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算力补贴</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单家企业年度最高 200 万元</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不符合</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可争取</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经信、数据</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科创企业贷款贴息与风险补偿</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贴息最高 40%，风险补偿最高 1%</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不适用</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可享受</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财政、金融</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政府性融资担保</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担保费率最低 0.5%</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一般小微通道</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科技创新保通道</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融资担保机构</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软件企业所得税两免三减半</w:t>
            </w:r>
          </w:p>
        </w:tc>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获利年度起两免三减半</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不适用</w:t>
            </w:r>
          </w:p>
        </w:tc>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达标后可享</w:t>
            </w:r>
          </w:p>
        </w:tc>
        <w:tc>
          <w:tcPr>
            <w:tcW w:type="dxa" w:w="158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税务</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另有一组与行业无关的就业创业类补贴，改造前后都能申报，不要漏掉：一次性创业补贴不低于 5000 元；一次性创业社保补贴 5000 元，在校大学生与毕业 5 年内高校毕业生提高到 1 万元；创业场地租金补贴按年租金 50% 给付，每年不超过 1 万元、最多 3 年；创业带动就业补贴带动 3 人每年 2000 元，每多 1 人加 1000 元，每年不超过 2 万元、最多 3 年；创业担保贷款个人最高 50 万元，在校大学生与毕业 5 年内高校毕业生全额贴息、期限不超过 3 年。以上依据嘉兴市进一步做好新时代就业创业工作若干政策措施。</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六、经营范围与行业代码调整建议</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（一）为什么要改</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登记机关按经营范围的第一项和实际经营情况确定主行业代码，主行业代码决定你被哪个部门管、进哪个政策名单。把软件开发写在第一项，是把公司从商务服务业挪到软件和信息技术服务业的最直接办法。</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（二）建议的经营范围文本</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以下文本可以直接抄写到设立登记申请中，登记时以窗口规范表述为准。</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一般项目：软件开发；人工智能应用软件开发；人工智能基础软件开发；数据处理和存储支持服务；信息技术咨询服务；互联网数据服务；企业形象策划；广告设计、代理；市场营销策划；技术服务、技术开发、技术咨询、技术交流、技术转让、技术推广。（除依法须经批准的项目外，凭营业执照依法自主开展经营活动）</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许可项目：广告发布；第二类增值电信业务。（依法须经批准的项目，经相关部门批准后方可开展经营活动，具体经营项目以审批结果为准）</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（三）注册资本怎么填</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2024 年 7 月 1 日起施行的新公司法要求有限责任公司全体股东认缴的出资额自公司成立之日起 5 年内缴足。因此注册资本不是越大越好。如果第一年不打算办第二类增值电信业务经营许可证，注册资本填 50 万元到 100 万元即可；如果要办该许可证且只在浙江省内经营，注册资本最低限额为 100 万元，跨省经营最低限额为 1000 万元，届时再做增资。</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七、资质与合规改造</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（一）必须办的</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第一，网站与小程序的 ICP 备案。只要在境内服务器上线，非经营性网站也要备案。第二，如果平台向客户收取会员费、平台使用费、按次计费的信息服务费，需要办理第二类增值电信业务经营许可证中的信息服务业务，也就是通常说的 ICP 许可证，由省通信管理局审批。</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（二）视业务范围选办的</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如果制作发行网络视听节目，需要广播电视节目制作经营许可证。如果开展经营性互联网文化活动，如网络演出、网络艺术品经营，需要网络文化经营许可证，由省级文化行政部门初审后报文化和旅游部，两个环节各 20 个工作日审查时限。这两项在起步阶段通常不需要，等业务确实延伸过去再办。</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（三）明确不能碰的</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这是本方案最重要的一条风险提示。互联网新闻信息服务许可证的申请主体限定为新闻单位（含其控股主体）或新闻宣传部门主管的单位，普通商业公司无法取得，并且不得设立中外合资、中外合作及外资经营的互联网新闻信息服务单位。因此，凡是涉及新闻信息采编发布的业务，公司不能做。</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trP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业务动作</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能不能做</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原因与替代做法</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代客户撰写并发布新闻属性稿件</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不做</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涉及互联网新闻信息服务，普通商业公司无法取得许可</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承诺保证上稿、保证收录、保证排名</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不做</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无法兑现构成虚假宣传，若通过付费给媒体从业人员实现可能触及商业贿赂</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按客户要求变更发票名目</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不做</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属于虚开风险，一票之失可能毁掉整个公司</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企业自有渠道内容代运营</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可做</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客户自有公众号、官网、店铺页面的内容制作与运营</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商业推广内容制作与合规投放</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可做</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需履行广告经营者与发布者的审查义务</w:t>
            </w:r>
          </w:p>
        </w:tc>
      </w:tr>
      <w:tr>
        <w:tc>
          <w:tcPr>
            <w:tcW w:type="dxa" w:w="226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软件与数据服务</w:t>
            </w:r>
          </w:p>
        </w:tc>
        <w:tc>
          <w:tcPr>
            <w:tcW w:type="dxa" w:w="113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可做</w:t>
            </w:r>
          </w:p>
        </w:tc>
        <w:tc>
          <w:tcPr>
            <w:tcW w:type="dxa" w:w="5102"/>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改造后的主营方向</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关于广告法责任要特别提醒。为客户制作并投放商业推广内容，公司角色可能被认定为广告经营者或广告发布者，需要对广告内容的真实性、合法性尽到审查义务，出现绝对化用语、虚假宣传、医疗与保健食品违规宣传的，可能承担连带责任。这也正是把合规预审做成软件核心功能的商业理由：它既是产品卖点，也是公司自身的风控措施。</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八、税负测算对比</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下面用一个假定场景做测算，让改造的收益变成具体的钱。假设条件写在表下，换成你自己的数字重算一遍即可。</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trP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测算项</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改造前</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改造后</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说明</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年营业收入</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500 万元</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500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两种情形营收相同</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增值税销项</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30.0 万元</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35.0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改造后软件收入按 13% 计</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可抵扣进项</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7.2 万元</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6.7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改造后外采减少、算力与设备进项增加</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技术合同免税额</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9.0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150 万元技术开发收入免征增值税</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软件即征即退</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17.3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软件部分实际税负超 3% 的部分退还</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增值税实际负担</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22.8 万元</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11.0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改造后下降约 11.8 万元</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城建税及附加（减半后）</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1.37 万元</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0.66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六税两费在 50% 幅度内减征</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利润总额</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80.0 万元</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90.0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改造后毛利提升、人工成本结构变化</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研发费用加计扣除</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80.0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加计扣除比例 100%</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应纳税所得额</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78.6 万元</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10.0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扣除附加与加计扣除后</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企业所得税</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3.93 万元</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0.50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小型微利企业实际税负 5%</w:t>
            </w:r>
          </w:p>
        </w:tc>
      </w:tr>
      <w:tr>
        <w:tc>
          <w:tcPr>
            <w:tcW w:type="dxa" w:w="2041"/>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税费合计</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28.10 万元</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12.16 万元</w:t>
            </w:r>
          </w:p>
        </w:tc>
        <w:tc>
          <w:tcPr>
            <w:tcW w:type="dxa" w:w="3515"/>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每年少交约 15.9 万元</w:t>
            </w:r>
          </w:p>
        </w:tc>
      </w:tr>
    </w:tbl>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测算假设：企业为增值税一般纳税人；改造前成本结构为人力 260 万元、外部渠道采购 120 万元（取得 6% 专用发票）、其他 40 万元；改造后为人力 280 万元、外部渠道采购 60 万元、算力与云服务 30 万元、其他 40 万元；研发费用 80 万元且已建立研发项目台账与辅助账；应纳税所得额未超过 300 万元，仍适用小型微利企业优惠。</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这里有一个容易被忽略的判断，必须讲清楚。高新技术企业的所得税率是 15%，而小型微利企业年应纳税所得额 300 万元以内部分的实际税负只有 5%。也就是说，在利润没有超过 300 万元之前，高新技术企业身份在所得税上并不会让你少交钱，两者不叠加、就低适用。那为什么还要冲高企？因为高企身份的真正价值在三个地方：一是进入科创金融白名单，贷款利率和额度明显改善；二是各类政府项目、园区落地、政府采购的加分项；三是利润突破 300 万元之后，15% 的税率才开始真正发挥作用。把这件事说清楚，比笼统地喊一句申请高企有用得多。</w:t>
      </w:r>
    </w:p>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九、改造时间表</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改造分四个季度推进，每个季度都有可验收的产出。表中的时间以公司成立当月为第 1 个月。</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trPr>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阶段</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时间</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关键动作</w:t>
            </w:r>
          </w:p>
        </w:tc>
        <w:tc>
          <w:tcPr>
            <w:tcW w:type="dxa" w:w="215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sz w:val="21"/>
              </w:rPr>
              <w:t>可验收产出</w:t>
            </w:r>
          </w:p>
        </w:tc>
      </w:tr>
      <w:tr>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第一季度</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 1 至 3 个月</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按新经营范围完成注册；开立基本户；申领一次性创业补贴；启动软件开发；建立研发项目立项与工时台账</w:t>
            </w:r>
          </w:p>
        </w:tc>
        <w:tc>
          <w:tcPr>
            <w:tcW w:type="dxa" w:w="215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营业执照、基本户、研发台账、软件 V1 内测版</w:t>
            </w:r>
          </w:p>
        </w:tc>
      </w:tr>
      <w:tr>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第二季度</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 4 至 6 个月</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软件著作权登记；办理 ICP 备案；上线正式版并跑通首批付费客户；签订首批技术开发合同并办理技术合同认定登记</w:t>
            </w:r>
          </w:p>
        </w:tc>
        <w:tc>
          <w:tcPr>
            <w:tcW w:type="dxa" w:w="215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软著证书、ICP 备案号、首批合同与发票</w:t>
            </w:r>
          </w:p>
        </w:tc>
      </w:tr>
      <w:tr>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第三季度</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 7 至 9 个月</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申报浙江省科技型中小企业；办理软件产品登记以启动即征即退；申领科技创新券；申报创业场地租金补贴与创业社保补贴</w:t>
            </w:r>
          </w:p>
        </w:tc>
        <w:tc>
          <w:tcPr>
            <w:tcW w:type="dxa" w:w="215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科技型中小企业入库、退税到账、补贴到账</w:t>
            </w:r>
          </w:p>
        </w:tc>
      </w:tr>
      <w:tr>
        <w:tc>
          <w:tcPr>
            <w:tcW w:type="dxa" w:w="1247"/>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第四季度</w:t>
            </w:r>
          </w:p>
        </w:tc>
        <w:tc>
          <w:tcPr>
            <w:tcW w:type="dxa" w:w="147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第 10 至 12 个月</w:t>
            </w:r>
          </w:p>
        </w:tc>
        <w:tc>
          <w:tcPr>
            <w:tcW w:type="dxa" w:w="3628"/>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整理研发费用做加计扣除；准备高新技术企业申报材料；争取人工智能应用场景与首版次软件申报；对接科创金融产品</w:t>
            </w:r>
          </w:p>
        </w:tc>
        <w:tc>
          <w:tcPr>
            <w:tcW w:type="dxa" w:w="2154"/>
            <w:vAlign w:val="center"/>
          </w:tcPr>
          <w:p>
            <w:pPr>
              <w:jc w:val="center"/>
              <w:spacing w:before="0" w:after="0" w:lineRule="auto" w:line="240"/>
              <w:ind w:firstLineChars="0" w:firstLine="0" w:leftChars="0" w:left="0"/>
              <w:snapToGrid w:val="0"/>
            </w:pPr>
            <w:r/>
            <w:r>
              <w:rPr>
                <w:rFonts w:ascii="Times New Roman" w:hAnsi="Times New Roman" w:eastAsia="宋体" w:cs="Times New Roman" w:hint="eastAsia"/>
                <w:b w:val="0"/>
                <w:sz w:val="21"/>
              </w:rPr>
              <w:t>汇算清缴享受加计扣除、高企申报材料包</w:t>
            </w:r>
          </w:p>
        </w:tc>
      </w:tr>
    </w:tbl>
    <w:p>
      <w:pPr>
        <w:jc w:val="center"/>
        <w:spacing w:before="0" w:after="0" w:lineRule="auto" w:line="360"/>
        <w:ind w:firstLineChars="0" w:firstLine="0" w:leftChars="0" w:left="0"/>
        <w:snapToGrid w:val="0"/>
        <w:keepNext/>
      </w:pPr>
      <w:r>
        <w:rPr>
          <w:rFonts w:ascii="Times New Roman" w:hAnsi="Times New Roman" w:eastAsia="黑体" w:cs="Times New Roman" w:hint="eastAsia"/>
          <w:b w:val="0"/>
          <w:sz w:val="30"/>
        </w:rPr>
        <w:t>十、风险提示与常见坑</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（一）政策类</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一，绝大多数补贴限时受理，错过窗口当年作废，必须建立按月核对公告的习惯。第二，多数补贴以依法缴纳社会保险费为前提，为省成本不缴社保会直接丧失一次性创业社保补贴和创业带动就业补贴的资格。第三，市级与区级政策通常就高不就低、不重复享受，同一事项不要重复申报。第四，注册地决定归口部门，注册在哪个区就找哪个区的部门。</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（二）税务类</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一，研发费用加计扣除的前提是完整台账，包括研发项目立项书、研发费用辅助账、研发人员工时记录和研发成果证明，没有这些材料在稽核时容易被否掉。第二，软件产品增值税即征即退要求软件收入单独核算，混在服务收入里无法退税。第三，技术合同必须先认定登记再开票，顺序反了不享受免税。</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（三）经营类</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第一，公私账户必须分开，用法定代表人个人账户收公司款既影响贷款审批，也可能被认定为抽逃出资。第二，外包开发一定要在合同里写明著作权归属并及时登记软著，否则辛苦做出来的产品不属于自己。第三，收集用户数据用于模型训练，要遵守个人信息保护法，明示告知并取得同意，做好去标识化处理。第四，如果将来面向公众提供生成式人工智能服务，需按规定履行备案义务；取得中央网信办生成式人工智能模型备案的企业在嘉兴还可获得 100 万元奖励。</w:t>
      </w:r>
    </w:p>
    <w:p>
      <w:pPr>
        <w:jc w:val="left"/>
        <w:spacing w:before="0" w:after="0" w:lineRule="auto" w:line="360"/>
        <w:ind w:firstLineChars="200" w:firstLine="480" w:leftChars="0" w:left="0"/>
        <w:snapToGrid w:val="0"/>
        <w:keepNext/>
      </w:pPr>
      <w:r>
        <w:rPr>
          <w:rFonts w:ascii="Times New Roman" w:hAnsi="Times New Roman" w:eastAsia="黑体" w:cs="Times New Roman" w:hint="eastAsia"/>
          <w:b w:val="0"/>
          <w:sz w:val="28"/>
        </w:rPr>
        <w:t>（四）扩张节奏</w:t>
      </w:r>
    </w:p>
    <w:p>
      <w:pPr>
        <w:jc w:val="both"/>
        <w:spacing w:before="0" w:after="0" w:lineRule="auto" w:line="360"/>
        <w:ind w:firstLineChars="200" w:firstLine="480" w:leftChars="0" w:left="0"/>
        <w:snapToGrid w:val="0"/>
      </w:pPr>
      <w:r>
        <w:rPr>
          <w:rFonts w:ascii="Times New Roman" w:hAnsi="Times New Roman" w:eastAsia="宋体" w:cs="Times New Roman" w:hint="eastAsia"/>
          <w:b w:val="0"/>
          <w:sz w:val="24"/>
        </w:rPr>
        <w:t>海盐衬衫总厂的步鑫生在 20 世纪 80 年代把一个 60 多人的缝纫合作社做成 1000 多人、年利润以 50% 速度增长的企业，1983 年后两个月内全国有两万多人到厂里参观学习。但 1988 年因扩张过快，工厂陷入困境。这个案例的后半段同样值得记住。建议给公司设一条硬规矩：新增全职人员、新增办公场地、新增产品线的前提是既有业务的经营性现金流连续 6 个月为正。政策的钱能省成本，但撑不起盲目扩张。</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snapToGrid w:val="0"/>
      <w:ind w:firstLineChars="0" w:firstLine="0" w:leftChars="0" w:left="0"/>
    </w:pPr>
    <w:r>
      <w:rPr>
        <w:rFonts w:ascii="Times New Roman" w:hAnsi="Times New Roman" w:eastAsia="宋体" w:cs="Times New Roman" w:hint="eastAsia"/>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