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1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On emphasising the synergy: we have made the mechanism explicit rather than left it to be inferred. Section 3.6 argues the complementarity from the structure of the framework - the three operators act on disjoint parts of the population and at different points of the iteration, so none of them can undo the work of another - and Section 4.3 now states precisely what the ablation of Tables 9 and 10 does and does not establish, namely the individual contribution of each strategy against a common baseline rather than the four intermediate pairings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8 reports a grid over the root nu and the power mu on the CEC2017 suite, including the constant k = 1. Over the 5 exponent pairs tested, the best mean rank is obtained by "k: nu=1/2,mu=10" on the CEC2017 suite in 10 dimensions with 0 runs per setting. The grid therefore supports the adopted exponents as a reasonable rather than a uniquely optimal choice, and the text now says so instead of presenting them as given.</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16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15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it has been removed. Section 4.4 now gives a balanced reading, a breakdown by function class and an explicit dimensional analysis, each of them computed from the per-function ranks already published in Appendix Tables A5-A8 so that they are consistent with the results you are reading rather than resting on a fresh set of runs.</w:t>
      </w:r>
    </w:p>
    <w:p>
      <w:pPr>
        <w:spacing w:after="120" w:before="0"/>
      </w:pPr>
      <w:r>
        <w:rPr>
          <w:rFonts w:ascii="Times New Roman" w:hAnsi="Times New Roman"/>
          <w:b w:val="0"/>
          <w:i w:val="0"/>
          <w:color w:val="C00000"/>
          <w:sz w:val="21"/>
        </w:rPr>
        <w:t>The balanced reading is stated in your own terms. Against the weaker comparison algorithms the outcome is unambiguous - MSSBOA wins all 116 cases against the basic SBOA, GWO and SCA - but against the two strongest competitors it is not: it loses 15 of 116 cases to QIO and 15 of 116 to LSHADE, that is 12.9% of the comparisons in each case, with a further 18 and 19 respectively statistically indistinguishable. Section 4.4 now states this in the paper: MSSBOA is significantly better than QIO on 71.6% of the cases and than LSHADE on 70.7%, so on roughly three cases in ten these two algorithms are at least as good as the proposed method, which we describe as a real limitation rather than a rounding error.</w:t>
      </w:r>
    </w:p>
    <w:p>
      <w:pPr>
        <w:spacing w:after="120" w:before="0"/>
      </w:pPr>
      <w:r>
        <w:rPr>
          <w:rFonts w:ascii="Times New Roman" w:hAnsi="Times New Roman"/>
          <w:b w:val="0"/>
          <w:i w:val="0"/>
          <w:color w:val="C00000"/>
          <w:sz w:val="21"/>
        </w:rPr>
        <w:t>On function class: The losses are not distributed uniformly: against LSHADE the 20 rank losses concentrate on the multimodal functions (7 of 20, from 28 of the 116 cases) and against QIO the 16 rank losses concentrate on the composition functions (8 of 16, from 40 of the 116 cases). New Table 13 gives the full breakdown by function class, and the text reads the pattern as a specific weakness on landscapes with many equally deep basins rather than as a general one. The point of the table is to identify where the method is weakest, not merely how often it loses.</w:t>
      </w:r>
    </w:p>
    <w:p>
      <w:pPr>
        <w:spacing w:after="320" w:before="0"/>
      </w:pPr>
      <w:r>
        <w:rPr>
          <w:rFonts w:ascii="Times New Roman" w:hAnsi="Times New Roman"/>
          <w:b w:val="0"/>
          <w:i w:val="0"/>
          <w:color w:val="C00000"/>
          <w:sz w:val="21"/>
        </w:rPr>
        <w:t>On dimensionality: The trend is measurable in the published ranks of Tables A5-A8. Taking the mean Friedman rank gap between MSSBOA and each of the three strongest competitors, against QIO it falls from 1.069 at 10 dimensions to 1.103 at 100, against LSHADE it falls from 1.552 at 10 dimensions to 1.241 at 100, and against RIME it falls from 2.517 at 10 dimensions to 1.517 at 100. Section 4.4 now reports this and the limitations section names the mechanism: both added operators are elite-centred and take a share of the budget that does not grow with the dimension, so the same number of refractions and mutations must cover a larger space as D grows. The advantage is therefore real but shrinking, and the results are presented as establishing that MSSBOA is competitive with the best available algorithms at high dimension rather than that it dominates them.</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2 and the sensitivity study in Table 3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3,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analysed by the same Friedman protocol as the existing Tables 3 and 4. Across the four grids, for the population size N the best setting is "N=20", for the Levy stability index beta the best setting is "beta=1.1", for the hunting-stage time division the best setting is "stage=T/2,3T/4", and for the lens scaling schedule the best setting is "k: nu=1/2,mu=10". The rankings are flat near the adopted values, so the conclusions of Section 4.4 do not depend on them.</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2,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17.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108,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13 and by the k-schedule grid of Table 8.</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109 reports the mean aesthetic score of MSSBOA and five comparison algorithms at each size.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