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0"/>
        </w:rPr>
        <w:t>Response to Reviewer 2</w:t>
      </w:r>
    </w:p>
    <w:p>
      <w:pPr>
        <w:spacing w:after="40" w:before="0"/>
        <w:jc w:val="center"/>
      </w:pPr>
      <w:r>
        <w:rPr>
          <w:rFonts w:ascii="Times New Roman" w:hAnsi="Times New Roman"/>
          <w:b w:val="0"/>
          <w:i/>
          <w:sz w:val="21"/>
        </w:rPr>
        <w:t>Manuscript: A Multi-Strategy Secretary Bird Optimization Algorithm for Aesthetic Color and Layout Optimization in Visual Art Design</w:t>
      </w:r>
    </w:p>
    <w:p>
      <w:pPr>
        <w:spacing w:after="280" w:before="0"/>
        <w:jc w:val="center"/>
      </w:pPr>
      <w:r>
        <w:rPr>
          <w:rFonts w:ascii="Times New Roman" w:hAnsi="Times New Roman"/>
          <w:b w:val="0"/>
          <w:i/>
          <w:sz w:val="21"/>
        </w:rPr>
        <w:t>Biomimetics - Special Issue "Advances in Biological and Bio-Inspired Algorithms: 2nd Edition"</w:t>
      </w:r>
    </w:p>
    <w:p>
      <w:pPr>
        <w:spacing w:after="160" w:before="0"/>
      </w:pPr>
      <w:r>
        <w:rPr>
          <w:rFonts w:ascii="Times New Roman" w:hAnsi="Times New Roman"/>
          <w:b w:val="0"/>
          <w:i w:val="0"/>
          <w:sz w:val="21"/>
        </w:rPr>
        <w:t>We thank you very much for the time and care you have given this manuscript. The comments were detailed and constructive, and acting on them has changed the paper substantially: the contribution is now framed as an integration framework rather than as three new operators, the lens operator is derived rather than asserted, the design objectives are stated in full, the statistical discussion is more balanced, and several new experiments have been added. Our point-by-point responses follow. All changes made in response to your comments are marked in BLUE in the revised manuscript. Changes prompted by Reviewer 1 are in red and those prompted by Reviewer 3 are in green, so that the three sets of revisions can be told apart at a glance.</w:t>
      </w:r>
    </w:p>
    <w:p>
      <w:pPr>
        <w:spacing w:after="320" w:before="0"/>
      </w:pPr>
      <w:r>
        <w:rPr>
          <w:rFonts w:ascii="Times New Roman" w:hAnsi="Times New Roman"/>
          <w:b w:val="0"/>
          <w:i/>
          <w:color w:val="0070C0"/>
          <w:sz w:val="21"/>
        </w:rPr>
        <w:t>Colour key used in the revised manuscript: Reviewer 1 = red, Reviewer 2 = blue, Reviewer 3 = green. Your revisions are the ones in blue.</w:t>
      </w:r>
    </w:p>
    <w:p>
      <w:pPr>
        <w:spacing w:after="60" w:before="0"/>
      </w:pPr>
      <w:r>
        <w:rPr>
          <w:rFonts w:ascii="Times New Roman" w:hAnsi="Times New Roman"/>
          <w:b/>
          <w:i w:val="0"/>
          <w:sz w:val="21"/>
        </w:rPr>
        <w:t>Comments 1:</w:t>
      </w:r>
    </w:p>
    <w:p>
      <w:pPr>
        <w:spacing w:after="160" w:before="0"/>
        <w:ind w:left="360"/>
      </w:pPr>
      <w:r>
        <w:rPr>
          <w:rFonts w:ascii="Times New Roman" w:hAnsi="Times New Roman"/>
          <w:b w:val="0"/>
          <w:i/>
          <w:sz w:val="21"/>
        </w:rPr>
        <w:t>Why do authors choose SBOA as the basis of this research? There are numerous MAs in recent decades, and the motivation for choosing SBOA is unclear.</w:t>
      </w:r>
    </w:p>
    <w:p>
      <w:pPr>
        <w:spacing w:after="60" w:before="0"/>
      </w:pPr>
      <w:r>
        <w:rPr>
          <w:rFonts w:ascii="Times New Roman" w:hAnsi="Times New Roman"/>
          <w:b/>
          <w:i w:val="0"/>
          <w:color w:val="0070C0"/>
          <w:sz w:val="21"/>
        </w:rPr>
        <w:t>Response 1:</w:t>
      </w:r>
    </w:p>
    <w:p>
      <w:pPr>
        <w:spacing w:after="120" w:before="0"/>
      </w:pPr>
      <w:r>
        <w:rPr>
          <w:rFonts w:ascii="Times New Roman" w:hAnsi="Times New Roman"/>
          <w:b w:val="0"/>
          <w:i w:val="0"/>
          <w:color w:val="0070C0"/>
          <w:sz w:val="21"/>
        </w:rPr>
        <w:t>Thank you for pointing this out. We agree that the submitted version asserted the choice rather than justified it. We have therefore added a paragraph to the Introduction (page 3, paragraph 2) giving three concrete reasons.</w:t>
      </w:r>
    </w:p>
    <w:p>
      <w:pPr>
        <w:spacing w:after="120" w:before="0"/>
      </w:pPr>
      <w:r>
        <w:rPr>
          <w:rFonts w:ascii="Times New Roman" w:hAnsi="Times New Roman"/>
          <w:b w:val="0"/>
          <w:i w:val="0"/>
          <w:color w:val="0070C0"/>
          <w:sz w:val="21"/>
        </w:rPr>
        <w:t>The first and most important is structural fit. Aesthetic objectives such as Equations (19) and (22) are sums of competing terms whose trade-off surface has many broad, shallow optima rather than one sharp optimum, so an optimizer must survey widely before committing. SBOA is one of the few recent metaheuristics whose exploration phase is split into three explicitly time-gated stages with qualitatively different step distributions - a differential perturbation, a Brownian move towards the elite and a Levy flight - which gives a scheduled and inspectable progression from survey to commitment and, equally important for this study, well-defined points at which further operators can be inserted.</w:t>
      </w:r>
    </w:p>
    <w:p>
      <w:pPr>
        <w:spacing w:after="320" w:before="0"/>
      </w:pPr>
      <w:r>
        <w:rPr>
          <w:rFonts w:ascii="Times New Roman" w:hAnsi="Times New Roman"/>
          <w:b w:val="0"/>
          <w:i w:val="0"/>
          <w:color w:val="0070C0"/>
          <w:sz w:val="21"/>
        </w:rPr>
        <w:t>The second is economy: SBOA has a single control parameter beyond the population size, so a study of added operators is not confounded by re-tuning of the base algorithm. The third is that SBOA is recent enough for its weaknesses to be documented but not yet addressed for this problem class, while having been shown competitive on standard suites [51], which makes it a meaningful baseline rather than a straw man.</w:t>
      </w:r>
    </w:p>
    <w:p>
      <w:pPr>
        <w:spacing w:after="60" w:before="0"/>
      </w:pPr>
      <w:r>
        <w:rPr>
          <w:rFonts w:ascii="Times New Roman" w:hAnsi="Times New Roman"/>
          <w:b/>
          <w:i w:val="0"/>
          <w:sz w:val="21"/>
        </w:rPr>
        <w:t>Comments 2:</w:t>
      </w:r>
    </w:p>
    <w:p>
      <w:pPr>
        <w:spacing w:after="160" w:before="0"/>
        <w:ind w:left="360"/>
      </w:pPr>
      <w:r>
        <w:rPr>
          <w:rFonts w:ascii="Times New Roman" w:hAnsi="Times New Roman"/>
          <w:b w:val="0"/>
          <w:i/>
          <w:sz w:val="21"/>
        </w:rPr>
        <w:t>The novelty of the new algorithm is limited. The authors combine well-known operators into SBOA to form MSSBOA, but the application is interesting.</w:t>
      </w:r>
    </w:p>
    <w:p>
      <w:pPr>
        <w:spacing w:after="60" w:before="0"/>
      </w:pPr>
      <w:r>
        <w:rPr>
          <w:rFonts w:ascii="Times New Roman" w:hAnsi="Times New Roman"/>
          <w:b/>
          <w:i w:val="0"/>
          <w:color w:val="0070C0"/>
          <w:sz w:val="21"/>
        </w:rPr>
        <w:t>Response 2:</w:t>
      </w:r>
    </w:p>
    <w:p>
      <w:pPr>
        <w:spacing w:after="120" w:before="0"/>
      </w:pPr>
      <w:r>
        <w:rPr>
          <w:rFonts w:ascii="Times New Roman" w:hAnsi="Times New Roman"/>
          <w:b w:val="0"/>
          <w:i w:val="0"/>
          <w:color w:val="0070C0"/>
          <w:sz w:val="21"/>
        </w:rPr>
        <w:t>We agree, and we have stopped claiming otherwise. Reviewer 1 raised the same point, and the manuscript has been reframed accordingly: the Abstract and contribution (1) now state that the contribution is an integration framework and that no novelty is claimed for the individual operators, and a new Section 3.6 sets out precisely what differs from existing applications of the same operators, with new Table 2 stating it operator by operator.</w:t>
      </w:r>
    </w:p>
    <w:p>
      <w:pPr>
        <w:spacing w:after="120" w:before="0"/>
      </w:pPr>
      <w:r>
        <w:rPr>
          <w:rFonts w:ascii="Times New Roman" w:hAnsi="Times New Roman"/>
          <w:b w:val="0"/>
          <w:i w:val="0"/>
          <w:color w:val="0070C0"/>
          <w:sz w:val="21"/>
        </w:rPr>
        <w:t>We have also tried to make the claim testable rather than rhetorical. Section 4.3 now reports a full 2^3 factorial ablation, so that the main effect of each operator and the interaction between them can be read off the data; if the operators were merely stacked, the interaction would be negligible, and reporting it either way seemed to us the honest way to support or refute a claim of synergy.</w:t>
      </w:r>
    </w:p>
    <w:p>
      <w:pPr>
        <w:spacing w:after="320" w:before="0"/>
      </w:pPr>
      <w:r>
        <w:rPr>
          <w:rFonts w:ascii="Times New Roman" w:hAnsi="Times New Roman"/>
          <w:b w:val="0"/>
          <w:i w:val="0"/>
          <w:color w:val="0070C0"/>
          <w:sz w:val="21"/>
        </w:rPr>
        <w:t>We are glad the application is of interest, and we have strengthened that side of the paper as well: the colour model is now specified completely (Section 5.1), the layout weights are examined for sensitivity (Section 5.2), and a new Section 5.3 extends the layout problem to 30 elements.</w:t>
      </w:r>
    </w:p>
    <w:p>
      <w:pPr>
        <w:spacing w:after="60" w:before="0"/>
      </w:pPr>
      <w:r>
        <w:rPr>
          <w:rFonts w:ascii="Times New Roman" w:hAnsi="Times New Roman"/>
          <w:b/>
          <w:i w:val="0"/>
          <w:sz w:val="21"/>
        </w:rPr>
        <w:t>Comments 3:</w:t>
      </w:r>
    </w:p>
    <w:p>
      <w:pPr>
        <w:spacing w:after="160" w:before="0"/>
        <w:ind w:left="360"/>
      </w:pPr>
      <w:r>
        <w:rPr>
          <w:rFonts w:ascii="Times New Roman" w:hAnsi="Times New Roman"/>
          <w:b w:val="0"/>
          <w:i/>
          <w:sz w:val="21"/>
        </w:rPr>
        <w:t>The authors present a literature review of SBOA's variants, but do not compare their performance. I encourage authors to use some SBOA's variants for experimental comparison.</w:t>
      </w:r>
    </w:p>
    <w:p>
      <w:pPr>
        <w:spacing w:after="60" w:before="0"/>
      </w:pPr>
      <w:r>
        <w:rPr>
          <w:rFonts w:ascii="Times New Roman" w:hAnsi="Times New Roman"/>
          <w:b/>
          <w:i w:val="0"/>
          <w:color w:val="0070C0"/>
          <w:sz w:val="21"/>
        </w:rPr>
        <w:t>Response 3:</w:t>
      </w:r>
    </w:p>
    <w:p>
      <w:pPr>
        <w:spacing w:after="120" w:before="0"/>
      </w:pPr>
      <w:r>
        <w:rPr>
          <w:rFonts w:ascii="Times New Roman" w:hAnsi="Times New Roman"/>
          <w:b w:val="0"/>
          <w:i w:val="0"/>
          <w:color w:val="0070C0"/>
          <w:sz w:val="21"/>
        </w:rPr>
        <w:t>Agree, and this was a fair criticism: reviewing variants without comparing against them is not much of a comparison. We have added a new Section 4.5, "Comparison with recent SBOA variants and multi-strategy algorithms", in which MSSBOA is compared directly with three of the variants reviewed in the Introduction - MISBOA [53] with its incremental-PID feedback regulation and co-operative camouflage, CGSBOA [54] with its multi-strategy fusion and Cauchy-Gaussian crossover, and LTSBOA [55] with its logistic-tent chaotic initialization and crossover strategy. Following Reviewer 3 we have also included two recent multi-strategy algorithms from outside the SBOA family, MS-TSA and I-CPA, together with their base algorithms TSA and CPA so that the gain of each variant over its own base is visible rather than assumed.</w:t>
      </w:r>
    </w:p>
    <w:p>
      <w:pPr>
        <w:spacing w:after="320" w:before="0"/>
      </w:pPr>
      <w:r>
        <w:rPr>
          <w:rFonts w:ascii="Times New Roman" w:hAnsi="Times New Roman"/>
          <w:b w:val="0"/>
          <w:i w:val="0"/>
          <w:color w:val="0070C0"/>
          <w:sz w:val="21"/>
        </w:rPr>
        <w:t>We should be transparent about one methodological point. The source codes of these variants are not publicly distributed, so each was re-implemented from the equations, control parameters and pseudo-code given in the corresponding paper. To make that auditable, our implementations are released with the paper, and every algorithm is charged for every function evaluation it performs, including those consumed by auxiliary operators. New Table 12 reports the Friedman ranking and the pairwise Wilcoxon outcome. [The corresponding experiment was still running when this draft was generated; the sentence is completed automatically from results/ by code/make_tables.py.]</w:t>
      </w:r>
    </w:p>
    <w:p>
      <w:pPr>
        <w:spacing w:after="120" w:before="0"/>
      </w:pPr>
      <w:r>
        <w:rPr>
          <w:rFonts w:ascii="Times New Roman" w:hAnsi="Times New Roman"/>
          <w:b w:val="0"/>
          <w:i w:val="0"/>
          <w:sz w:val="21"/>
        </w:rPr>
        <w:t>We hope these revisions address your concerns, and we thank you again for a review that has clearly improved the paper.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