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jc w:val="center"/>
      </w:pPr>
      <w:r>
        <w:rPr>
          <w:rFonts w:ascii="Times New Roman" w:hAnsi="Times New Roman"/>
          <w:b/>
          <w:i w:val="0"/>
          <w:sz w:val="30"/>
        </w:rPr>
        <w:t>Response to Reviewer 3</w:t>
      </w:r>
    </w:p>
    <w:p>
      <w:pPr>
        <w:spacing w:after="40" w:before="0"/>
        <w:jc w:val="center"/>
      </w:pPr>
      <w:r>
        <w:rPr>
          <w:rFonts w:ascii="Times New Roman" w:hAnsi="Times New Roman"/>
          <w:b w:val="0"/>
          <w:i/>
          <w:sz w:val="21"/>
        </w:rPr>
        <w:t>Manuscript: A Multi-Strategy Secretary Bird Optimization Algorithm for Aesthetic Color and Layout Optimization in Visual Art Design</w:t>
      </w:r>
    </w:p>
    <w:p>
      <w:pPr>
        <w:spacing w:after="280" w:before="0"/>
        <w:jc w:val="center"/>
      </w:pPr>
      <w:r>
        <w:rPr>
          <w:rFonts w:ascii="Times New Roman" w:hAnsi="Times New Roman"/>
          <w:b w:val="0"/>
          <w:i/>
          <w:sz w:val="21"/>
        </w:rPr>
        <w:t>Biomimetics - Special Issue "Advances in Biological and Bio-Inspired Algorithms: 2nd Edition"</w:t>
      </w:r>
    </w:p>
    <w:p>
      <w:pPr>
        <w:spacing w:after="160" w:before="0"/>
      </w:pPr>
      <w:r>
        <w:rPr>
          <w:rFonts w:ascii="Times New Roman" w:hAnsi="Times New Roman"/>
          <w:b w:val="0"/>
          <w:i w:val="0"/>
          <w:sz w:val="21"/>
        </w:rPr>
        <w:t>We thank you very much for the time and care you have given this manuscript. The comments were detailed and constructive, and acting on them has changed the paper substantially: the contribution is now framed as an integration framework rather than as three new operators, the lens operator is derived rather than asserted, the design objectives are stated in full, the statistical discussion is more balanced, and several new experiments have been added. Our point-by-point responses follow. All changes made in response to your comments are marked in GREEN in the revised manuscript. Changes prompted by Reviewer 1 are in red and those prompted by Reviewer 2 are in blue, so that the three sets of revisions can be told apart at a glance.</w:t>
      </w:r>
    </w:p>
    <w:p>
      <w:pPr>
        <w:spacing w:after="320" w:before="0"/>
      </w:pPr>
      <w:r>
        <w:rPr>
          <w:rFonts w:ascii="Times New Roman" w:hAnsi="Times New Roman"/>
          <w:b w:val="0"/>
          <w:i/>
          <w:color w:val="00A033"/>
          <w:sz w:val="21"/>
        </w:rPr>
        <w:t>Colour key used in the revised manuscript: Reviewer 1 = red, Reviewer 2 = blue, Reviewer 3 = green. Your revisions are the ones in green.</w:t>
      </w:r>
    </w:p>
    <w:p>
      <w:pPr>
        <w:spacing w:after="60" w:before="0"/>
      </w:pPr>
      <w:r>
        <w:rPr>
          <w:rFonts w:ascii="Times New Roman" w:hAnsi="Times New Roman"/>
          <w:b/>
          <w:i w:val="0"/>
          <w:sz w:val="21"/>
        </w:rPr>
        <w:t>Comments 1:</w:t>
      </w:r>
    </w:p>
    <w:p>
      <w:pPr>
        <w:spacing w:after="160" w:before="0"/>
        <w:ind w:left="360"/>
      </w:pPr>
      <w:r>
        <w:rPr>
          <w:rFonts w:ascii="Times New Roman" w:hAnsi="Times New Roman"/>
          <w:b w:val="0"/>
          <w:i/>
          <w:sz w:val="21"/>
        </w:rPr>
        <w:t>It is stated that the best performance was achieved through the simultaneous use of the three proposed methods. However, the individual contribution of each method to the algorithm must also be clearly demonstrated. How does the algorithm's performance change when these methods are applied separately? Have the three different results obtained by using each strategy on its own been compared? Presenting an ablation analysis in this context would facilitate a clearer understanding of the contribution of the proposed methods.</w:t>
      </w:r>
    </w:p>
    <w:p>
      <w:pPr>
        <w:spacing w:after="60" w:before="0"/>
      </w:pPr>
      <w:r>
        <w:rPr>
          <w:rFonts w:ascii="Times New Roman" w:hAnsi="Times New Roman"/>
          <w:b/>
          <w:i w:val="0"/>
          <w:color w:val="00A033"/>
          <w:sz w:val="21"/>
        </w:rPr>
        <w:t>Response 1:</w:t>
      </w:r>
    </w:p>
    <w:p>
      <w:pPr>
        <w:spacing w:after="120" w:before="0"/>
      </w:pPr>
      <w:r>
        <w:rPr>
          <w:rFonts w:ascii="Times New Roman" w:hAnsi="Times New Roman"/>
          <w:b w:val="0"/>
          <w:i w:val="0"/>
          <w:color w:val="00A033"/>
          <w:sz w:val="21"/>
        </w:rPr>
        <w:t>Thank you for this comment. An ablation of exactly this kind was in fact present in the submitted version - Section 4.3, Tables 6 and 7 and Figure 6 report SBOA-GPSI, SBOA-LOBL and SBOA-ACGM, each adding one strategy to the basic SBOA, over four dimensions with the full statistics in Appendix Tables A1-A4. We take from your comment that this was not signposted clearly enough, and we have made it more prominent, but we have also gone further, because your comment 2 asks a question that single-strategy ablation cannot answer.</w:t>
      </w:r>
    </w:p>
    <w:p>
      <w:pPr>
        <w:spacing w:after="320" w:before="0"/>
      </w:pPr>
      <w:r>
        <w:rPr>
          <w:rFonts w:ascii="Times New Roman" w:hAnsi="Times New Roman"/>
          <w:b w:val="0"/>
          <w:i w:val="0"/>
          <w:color w:val="00A033"/>
          <w:sz w:val="21"/>
        </w:rPr>
        <w:t>Section 4.3 has therefore been extended from three single-strategy variants to the complete 2^3 factorial design: all eight combinations of the three strategies, from the basic SBOA to the full MSSBOA, run under identical conditions. This subsumes the original ablation - the single-strategy rows are still there - while adding the four combinations that were missing. New Table 8 reports every configuration with its Friedman ranking and its Wilcoxon outcome against the basic SBOA. [The corresponding experiment was still running when this draft was generated; the sentence is completed automatically from results/ by code/make_tables.py.]</w:t>
      </w:r>
    </w:p>
    <w:p>
      <w:pPr>
        <w:spacing w:after="60" w:before="0"/>
      </w:pPr>
      <w:r>
        <w:rPr>
          <w:rFonts w:ascii="Times New Roman" w:hAnsi="Times New Roman"/>
          <w:b/>
          <w:i w:val="0"/>
          <w:sz w:val="21"/>
        </w:rPr>
        <w:t>Comments 2:</w:t>
      </w:r>
    </w:p>
    <w:p>
      <w:pPr>
        <w:spacing w:after="160" w:before="0"/>
        <w:ind w:left="360"/>
      </w:pPr>
      <w:r>
        <w:rPr>
          <w:rFonts w:ascii="Times New Roman" w:hAnsi="Times New Roman"/>
          <w:b w:val="0"/>
          <w:i/>
          <w:sz w:val="21"/>
        </w:rPr>
        <w:t>It should be clarified whether the decision to use the three methods together is based on the results obtained from the individual experiments in question. In other words, the rationale for using the methods in combination and the complementary interaction between them should be set out in greater detail.</w:t>
      </w:r>
    </w:p>
    <w:p>
      <w:pPr>
        <w:spacing w:after="60" w:before="0"/>
      </w:pPr>
      <w:r>
        <w:rPr>
          <w:rFonts w:ascii="Times New Roman" w:hAnsi="Times New Roman"/>
          <w:b/>
          <w:i w:val="0"/>
          <w:color w:val="00A033"/>
          <w:sz w:val="21"/>
        </w:rPr>
        <w:t>Response 2:</w:t>
      </w:r>
    </w:p>
    <w:p>
      <w:pPr>
        <w:spacing w:after="120" w:before="0"/>
      </w:pPr>
      <w:r>
        <w:rPr>
          <w:rFonts w:ascii="Times New Roman" w:hAnsi="Times New Roman"/>
          <w:b w:val="0"/>
          <w:i w:val="0"/>
          <w:color w:val="00A033"/>
          <w:sz w:val="21"/>
        </w:rPr>
        <w:t>Agree, and this is the more penetrating of the two questions, because a set of individually beneficial operators need not be beneficial together. The factorial design described above was added precisely so that this can be answered with a number rather than an assertion.</w:t>
      </w:r>
    </w:p>
    <w:p>
      <w:pPr>
        <w:spacing w:after="120" w:before="0"/>
      </w:pPr>
      <w:r>
        <w:rPr>
          <w:rFonts w:ascii="Times New Roman" w:hAnsi="Times New Roman"/>
          <w:b w:val="0"/>
          <w:i w:val="0"/>
          <w:color w:val="00A033"/>
          <w:sz w:val="21"/>
        </w:rPr>
        <w:t>From the factorial results we now report the average main effect of each strategy on the mean Friedman rank, computed over the other two factors, and the three-way interaction. [The corresponding experiment was still running when this draft was generated; the sentence is completed automatically from results/ by code/make_tables.py.]</w:t>
      </w:r>
    </w:p>
    <w:p>
      <w:pPr>
        <w:spacing w:after="320" w:before="0"/>
      </w:pPr>
      <w:r>
        <w:rPr>
          <w:rFonts w:ascii="Times New Roman" w:hAnsi="Times New Roman"/>
          <w:b w:val="0"/>
          <w:i w:val="0"/>
          <w:color w:val="00A033"/>
          <w:sz w:val="21"/>
        </w:rPr>
        <w:t>We have also set out the design rationale rather than leaving it implicit. New Section 3.6 explains why the three operators are expected to be complementary: they act on disjoint parts of the population and at different points of the iteration. LOBL is applied only to the inferior individuals, so it restores diversity where it has been lost without being able to displace the elite; ACGM is applied only to the elite, which is the single individual that both SBOA phases read from and that neither can perturb; and GPSI acts once, before either operator runs. Because their domains do not overlap, the operators cannot undo one another's work, which is the mechanism by which a combination can be more than the sum of its parts.</w:t>
      </w:r>
    </w:p>
    <w:p>
      <w:pPr>
        <w:spacing w:after="60" w:before="0"/>
      </w:pPr>
      <w:r>
        <w:rPr>
          <w:rFonts w:ascii="Times New Roman" w:hAnsi="Times New Roman"/>
          <w:b/>
          <w:i w:val="0"/>
          <w:sz w:val="21"/>
        </w:rPr>
        <w:t>Comments 3:</w:t>
      </w:r>
    </w:p>
    <w:p>
      <w:pPr>
        <w:spacing w:after="160" w:before="0"/>
        <w:ind w:left="360"/>
      </w:pPr>
      <w:r>
        <w:rPr>
          <w:rFonts w:ascii="Times New Roman" w:hAnsi="Times New Roman"/>
          <w:b w:val="0"/>
          <w:i/>
          <w:sz w:val="21"/>
        </w:rPr>
        <w:t>The use of the CEC2017 test functions is of great importance in terms of evaluating the fundamental optimisation performance of the developed algorithm. However, in order to demonstrate more clearly the position of the proposed method within the current literature, it is recommended that the results be compared with those of the MS-TSA and I-CPA algorithms proposed in recent years.</w:t>
      </w:r>
    </w:p>
    <w:p>
      <w:pPr>
        <w:spacing w:after="60" w:before="0"/>
      </w:pPr>
      <w:r>
        <w:rPr>
          <w:rFonts w:ascii="Times New Roman" w:hAnsi="Times New Roman"/>
          <w:b/>
          <w:i w:val="0"/>
          <w:color w:val="00A033"/>
          <w:sz w:val="21"/>
        </w:rPr>
        <w:t>Response 3:</w:t>
      </w:r>
    </w:p>
    <w:p>
      <w:pPr>
        <w:spacing w:after="120" w:before="0"/>
      </w:pPr>
      <w:r>
        <w:rPr>
          <w:rFonts w:ascii="Times New Roman" w:hAnsi="Times New Roman"/>
          <w:b w:val="0"/>
          <w:i w:val="0"/>
          <w:color w:val="00A033"/>
          <w:sz w:val="21"/>
        </w:rPr>
        <w:t>Agree, and thank you for naming specific comparators. Both have been added to the new Section 4.5. MS-TSA is Beskirli, Dag and Kiran, "A tree seed algorithm with multi-strategy for parameter estimation of solar photovoltaic models", Applied Soft Computing 2024, 167, 112220, which combines a self-adaptive weighting mechanism, chaotic elite learning and experience-based learning; I-CPA is Beskirli and Dag, "I-CPA: an improved carnivorous plant algorithm for solar photovoltaic parameter identification problem", Biomimetics 2023, 8, 569, which strengthens the exploitation phase of the carnivorous plant algorithm with a teaching-factor strategy. They are cited as references [82] and [83].</w:t>
      </w:r>
    </w:p>
    <w:p>
      <w:pPr>
        <w:spacing w:after="320" w:before="0"/>
      </w:pPr>
      <w:r>
        <w:rPr>
          <w:rFonts w:ascii="Times New Roman" w:hAnsi="Times New Roman"/>
          <w:b w:val="0"/>
          <w:i w:val="0"/>
          <w:color w:val="00A033"/>
          <w:sz w:val="21"/>
        </w:rPr>
        <w:t>We have included their base algorithms, TSA and CPA, alongside them, so that the improvement each variant achieves over its own base is visible in the same table rather than taken on trust; this seemed to us the fairest way to position MSSBOA against methods built on very different foundations. As noted in our reply to Reviewer 2, the source codes are not publicly distributed, so both were re-implemented from the published equations and parameter settings, and our implementations are released with the paper. New Table 12 reports the outcome. [The corresponding experiment was still running when this draft was generated; the sentence is completed automatically from results/ by code/make_tables.py.]</w:t>
      </w:r>
    </w:p>
    <w:p>
      <w:pPr>
        <w:spacing w:after="60" w:before="0"/>
      </w:pPr>
      <w:r>
        <w:rPr>
          <w:rFonts w:ascii="Times New Roman" w:hAnsi="Times New Roman"/>
          <w:b/>
          <w:i w:val="0"/>
          <w:sz w:val="21"/>
        </w:rPr>
        <w:t>Comments 4:</w:t>
      </w:r>
    </w:p>
    <w:p>
      <w:pPr>
        <w:spacing w:after="160" w:before="0"/>
        <w:ind w:left="360"/>
      </w:pPr>
      <w:r>
        <w:rPr>
          <w:rFonts w:ascii="Times New Roman" w:hAnsi="Times New Roman"/>
          <w:b w:val="0"/>
          <w:i/>
          <w:sz w:val="21"/>
        </w:rPr>
        <w:t>In Figures 4 and 5, the word 'best' located below the optimal solution point does not appear sufficiently legible. To improve the clarity of the figure, it is recommended that this text be moved above the relevant point and that the font size be made more prominent.</w:t>
      </w:r>
    </w:p>
    <w:p>
      <w:pPr>
        <w:spacing w:after="60" w:before="0"/>
      </w:pPr>
      <w:r>
        <w:rPr>
          <w:rFonts w:ascii="Times New Roman" w:hAnsi="Times New Roman"/>
          <w:b/>
          <w:i w:val="0"/>
          <w:color w:val="00A033"/>
          <w:sz w:val="21"/>
        </w:rPr>
        <w:t>Response 4:</w:t>
      </w:r>
    </w:p>
    <w:p>
      <w:pPr>
        <w:spacing w:after="320" w:before="0"/>
      </w:pPr>
      <w:r>
        <w:rPr>
          <w:rFonts w:ascii="Times New Roman" w:hAnsi="Times New Roman"/>
          <w:b w:val="0"/>
          <w:i w:val="0"/>
          <w:color w:val="00A033"/>
          <w:sz w:val="21"/>
        </w:rPr>
        <w:t>Agree, and thank you for the specific and easily actionable suggestion. Figures 4 and 5 have been redrawn. The annotation marking the best setting is now placed above the corresponding point rather than below it, its font size has been increased substantially and set in bold, and it is enclosed in a boxed callout with a leader line to the marker so that the association with the point is unambiguous. The marked point is additionally ringed. The annotation now also reports the mean rank value of the best setting, which the earlier version did not. The captions of both figures have been updated to say that the best setting is marked above the corresponding point.</w:t>
      </w:r>
    </w:p>
    <w:p>
      <w:pPr>
        <w:spacing w:after="60" w:before="0"/>
      </w:pPr>
      <w:r>
        <w:rPr>
          <w:rFonts w:ascii="Times New Roman" w:hAnsi="Times New Roman"/>
          <w:b/>
          <w:i w:val="0"/>
          <w:sz w:val="21"/>
        </w:rPr>
        <w:t>Comments 5:</w:t>
      </w:r>
    </w:p>
    <w:p>
      <w:pPr>
        <w:spacing w:after="160" w:before="0"/>
        <w:ind w:left="360"/>
      </w:pPr>
      <w:r>
        <w:rPr>
          <w:rFonts w:ascii="Times New Roman" w:hAnsi="Times New Roman"/>
          <w:b w:val="0"/>
          <w:i/>
          <w:sz w:val="21"/>
        </w:rPr>
        <w:t>Sharing the source code relating to the improvements made in this study via GitHub or a similar open-access platform would significantly contribute to the method's reproducibility and reliability. Should the article be accepted, making the code publicly available would enhance the study's scientific value, visibility and usability in future research.</w:t>
      </w:r>
    </w:p>
    <w:p>
      <w:pPr>
        <w:spacing w:after="60" w:before="0"/>
      </w:pPr>
      <w:r>
        <w:rPr>
          <w:rFonts w:ascii="Times New Roman" w:hAnsi="Times New Roman"/>
          <w:b/>
          <w:i w:val="0"/>
          <w:color w:val="00A033"/>
          <w:sz w:val="21"/>
        </w:rPr>
        <w:t>Response 5:</w:t>
      </w:r>
    </w:p>
    <w:p>
      <w:pPr>
        <w:spacing w:after="320" w:before="0"/>
      </w:pPr>
      <w:r>
        <w:rPr>
          <w:rFonts w:ascii="Times New Roman" w:hAnsi="Times New Roman"/>
          <w:b w:val="0"/>
          <w:i w:val="0"/>
          <w:color w:val="00A033"/>
          <w:sz w:val="21"/>
        </w:rPr>
        <w:t>We agree entirely, and we have not made it conditional on acceptance. The complete source code is released now: the MSSBOA implementation, the re-implementations of MISBOA, CGSBOA, LTSBOA, MS-TSA, I-CPA and their base algorithms, the two design-problem formulations, the experiment runners, the statistical analysis scripts and all raw result files. The Data Availability Statement has been rewritten to give the repository address in place of the previous "available on request from the corresponding author".</w:t>
      </w:r>
    </w:p>
    <w:p>
      <w:pPr>
        <w:spacing w:after="120" w:before="0"/>
      </w:pPr>
      <w:r>
        <w:rPr>
          <w:rFonts w:ascii="Times New Roman" w:hAnsi="Times New Roman"/>
          <w:b w:val="0"/>
          <w:i w:val="0"/>
          <w:sz w:val="21"/>
        </w:rPr>
        <w:t>We hope these revisions address your concerns, and we thank you again for a review that has clearly improved the paper.</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