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MDPI11articletype"/>
      </w:pPr>
      <w:r>
        <w:t>Article</w:t>
      </w:r>
    </w:p>
    <w:p>
      <w:pPr>
        <w:pStyle w:val="MDPI12title"/>
      </w:pPr>
      <w:r>
        <w:t>The Vanishing First Rung? Generative AI, Organisational Learning and Youth Entry Employment in a Socio-Technical System Dynamics Model</w:t>
      </w:r>
    </w:p>
    <w:p>
      <w:pPr>
        <w:pStyle w:val="MDPI13authornames"/>
      </w:pPr>
      <w:r>
        <w:t xml:space="preserve">Firstname Lastname </w:t>
      </w:r>
      <w:r>
        <w:rPr>
          <w:vertAlign w:val="superscript"/>
        </w:rPr>
        <w:t>1,*</w:t>
      </w:r>
    </w:p>
    <w:p>
      <w:pPr>
        <w:pStyle w:val="MDPI15academiceditor"/>
      </w:pPr>
      <w:r>
        <w:t>Academic Editor: Firstname Lastname</w:t>
      </w:r>
    </w:p>
    <w:p>
      <w:pPr>
        <w:pStyle w:val="MDPI14history"/>
      </w:pPr>
      <w:r>
        <w:t>Received: date</w:t>
      </w:r>
    </w:p>
    <w:p>
      <w:pPr>
        <w:pStyle w:val="MDPI14history"/>
      </w:pPr>
      <w:r>
        <w:t>Revised: date</w:t>
      </w:r>
    </w:p>
    <w:p>
      <w:pPr>
        <w:pStyle w:val="MDPI14history"/>
      </w:pPr>
      <w:r>
        <w:t>Accepted: date</w:t>
      </w:r>
    </w:p>
    <w:p>
      <w:pPr>
        <w:pStyle w:val="MDPI14history"/>
      </w:pPr>
      <w:r>
        <w:t>Published: date</w:t>
      </w:r>
    </w:p>
    <w:p>
      <w:pPr>
        <w:pStyle w:val="MDPI61citation"/>
      </w:pPr>
      <w:r>
        <w:t>Citation: To be added by editorial staff during production.</w:t>
      </w:r>
    </w:p>
    <w:p>
      <w:pPr>
        <w:pStyle w:val="MDPI72copyright"/>
      </w:pPr>
      <w:r>
        <w:t>Copyright: © 2026 by the author. Submitted for possible open access publication under the terms and conditions of the Creative Commons Attribution (CC BY) license (https://creativecommons.org/licenses/by/4.0/).</w:t>
      </w:r>
    </w:p>
    <w:p>
      <w:pPr>
        <w:pStyle w:val="MDPI16affiliation"/>
      </w:pPr>
      <w:r>
        <w:rPr>
          <w:vertAlign w:val="superscript"/>
        </w:rPr>
        <w:t>1</w:t>
      </w:r>
      <w:r>
        <w:t xml:space="preserve"> Affiliation; e-mail@e-mail.com</w:t>
      </w:r>
    </w:p>
    <w:p>
      <w:pPr>
        <w:pStyle w:val="MDPI16affiliation"/>
      </w:pPr>
      <w:r>
        <w:t>* Correspondence: e-mail@e-mail.com</w:t>
      </w:r>
    </w:p>
    <w:p>
      <w:pPr>
        <w:pStyle w:val="MDPI17abstract"/>
      </w:pPr>
      <w:r>
        <w:rPr>
          <w:b/>
        </w:rPr>
        <w:t>Abstract</w:t>
      </w:r>
    </w:p>
    <w:p>
      <w:pPr>
        <w:pStyle w:val="MDPI17abstract"/>
      </w:pPr>
      <w:r>
        <w:rPr>
          <w:b w:val="0"/>
          <w:i w:val="0"/>
        </w:rPr>
        <w:t>Generative artificial intelligence (GenAI) is diffusing fastest through exactly the codified, routine-cognitive tasks that have traditionally formed the entry port of professional careers, and early evidence indicates a disproportionate contraction of employment among workers aged 22–25 in exposed occupations. Reduced-form accounts treat this as a technological outcome. We argue instead that it is a system-level outcome: the entry port is simultaneously a production input and the intake stage of the firm's own capability pipeline, so its contraction feeds back on organisational learning, on the supply of experienced staff and, with a delay, on the firm's ability to absorb the technology at all. We formulate a six-stock socio-technical system dynamics model in which displacement, task reinstatement, learning-by-collaborating, pipeline replenishment and competitive scale interact, and we calibrate its diffusion and augmentation parameters to four independent published benchmarks. The model passes a standard battery of structure, extreme-condition, integration-error and behaviour-reproduction tests. In the calibrated baseline, entry employment falls 15.0% by year three, troughs at −37.2% in year seven and remains 30.7% below the no-GenAI counterfactual after 25 years, while the output fulfilment ratio settles at 0.86 because the experienced-staff pipeline has been thinned. The sign of the long-run effect is not technologically determined: over a two-dimensional design space it ranges from −70.0% to +19.2%, and it turns positive in 17.1% of configurations. A pre-specified 2 × 2 factorial shows that work redesign and learning-system investment are complements, with a positive interaction of 2.74 percentage points, supporting the joint-optimisation principle of socio-technical design. An automation-first strategy is a capability trap: it delivers the fastest unit-cost reduction of any configuration over the first three years yet leaves output 15.7% below the counterfactual after 25 years.</w:t>
      </w:r>
    </w:p>
    <w:p>
      <w:pPr>
        <w:pStyle w:val="MDPI18keywords"/>
      </w:pPr>
      <w:r>
        <w:rPr>
          <w:b/>
        </w:rPr>
        <w:t xml:space="preserve">Keywords: </w:t>
      </w:r>
      <w:r>
        <w:t>generative artificial intelligence; youth employment; system dynamics; socio-technical systems; organisational learning; human–AI collaboration; workforce development; feedback loops; capability trap</w:t>
      </w:r>
    </w:p>
    <w:p>
      <w:pPr>
        <w:pStyle w:val="MDPI19line"/>
      </w:pPr>
    </w:p>
    <w:p>
      <w:pPr>
        <w:pStyle w:val="MDPI21heading1"/>
      </w:pPr>
      <w:r>
        <w:t>1. Introduction</w:t>
      </w:r>
    </w:p>
    <w:p>
      <w:pPr>
        <w:pStyle w:val="MDPI32textnoindent"/>
      </w:pPr>
      <w:r>
        <w:rPr>
          <w:b w:val="0"/>
          <w:i w:val="0"/>
        </w:rPr>
        <w:t xml:space="preserve">Within three years of the public release of large language models, generative artificial intelligence (GenAI) has moved from novelty to infrastructure in knowledge-intensive work. Field experiments and quasi-experiments consistently report double-digit productivity gains: customer-support agents resolved 14% more issues per hour </w:t>
      </w:r>
      <w:r>
        <w:t>[</w:t>
      </w:r>
      <w:r>
        <w:fldChar w:fldCharType="begin"/>
      </w:r>
      <w:r>
        <w:instrText xml:space="preserve"> REF _Ref_1 \h </w:instrText>
      </w:r>
      <w:r>
        <w:fldChar w:fldCharType="separate"/>
      </w:r>
      <w:r>
        <w:t>1</w:t>
      </w:r>
      <w:r>
        <w:fldChar w:fldCharType="end"/>
      </w:r>
      <w:r>
        <w:t>]</w:t>
      </w:r>
      <w:r>
        <w:rPr>
          <w:b w:val="0"/>
          <w:i w:val="0"/>
        </w:rPr>
        <w:t xml:space="preserve"> professional writers completed tasks roughly 40% faster with higher rated quality </w:t>
      </w:r>
      <w:r>
        <w:t>[</w:t>
      </w:r>
      <w:r>
        <w:fldChar w:fldCharType="begin"/>
      </w:r>
      <w:r>
        <w:instrText xml:space="preserve"> REF _Ref_2 \h </w:instrText>
      </w:r>
      <w:r>
        <w:fldChar w:fldCharType="separate"/>
      </w:r>
      <w:r>
        <w:t>2</w:t>
      </w:r>
      <w:r>
        <w:fldChar w:fldCharType="end"/>
      </w:r>
      <w:r>
        <w:t>]</w:t>
      </w:r>
      <w:r>
        <w:rPr>
          <w:b w:val="0"/>
          <w:i w:val="0"/>
        </w:rPr>
        <w:t xml:space="preserve"> consultants improved both speed and quality on tasks inside the technology's frontier </w:t>
      </w:r>
      <w:r>
        <w:t>[</w:t>
      </w:r>
      <w:r>
        <w:fldChar w:fldCharType="begin"/>
      </w:r>
      <w:r>
        <w:instrText xml:space="preserve"> REF _Ref_3 \h </w:instrText>
      </w:r>
      <w:r>
        <w:fldChar w:fldCharType="separate"/>
      </w:r>
      <w:r>
        <w:t>3</w:t>
      </w:r>
      <w:r>
        <w:fldChar w:fldCharType="end"/>
      </w:r>
      <w:r>
        <w:t>]</w:t>
      </w:r>
      <w:r>
        <w:rPr>
          <w:b w:val="0"/>
          <w:i w:val="0"/>
        </w:rPr>
        <w:t xml:space="preserve"> and software developers completed 26% more tasks across three randomised deployments </w:t>
      </w:r>
      <w:r>
        <w:t>[</w:t>
      </w:r>
      <w:r>
        <w:fldChar w:fldCharType="begin"/>
      </w:r>
      <w:r>
        <w:instrText xml:space="preserve"> REF _Ref_4 \h </w:instrText>
      </w:r>
      <w:r>
        <w:fldChar w:fldCharType="separate"/>
      </w:r>
      <w:r>
        <w:t>4</w:t>
      </w:r>
      <w:r>
        <w:fldChar w:fldCharType="end"/>
      </w:r>
      <w:r>
        <w:t>]</w:t>
      </w:r>
      <w:r>
        <w:rPr>
          <w:b w:val="0"/>
          <w:i w:val="0"/>
        </w:rPr>
        <w:t xml:space="preserve">. A robust and consequential regularity runs through these studies: the gains are concentrated among the least experienced. Novice support agents gained about 30% while their most experienced colleagues gained little or nothing </w:t>
      </w:r>
      <w:r>
        <w:t>[</w:t>
      </w:r>
      <w:r>
        <w:fldChar w:fldCharType="begin"/>
      </w:r>
      <w:r>
        <w:instrText xml:space="preserve"> REF _Ref_1 \h </w:instrText>
      </w:r>
      <w:r>
        <w:fldChar w:fldCharType="separate"/>
      </w:r>
      <w:r>
        <w:t>1</w:t>
      </w:r>
      <w:r>
        <w:fldChar w:fldCharType="end"/>
      </w:r>
      <w:r>
        <w:t>]</w:t>
      </w:r>
      <w:r>
        <w:rPr>
          <w:b w:val="0"/>
          <w:i w:val="0"/>
        </w:rPr>
        <w:t xml:space="preserve"> the lowest-performing entrepreneurs benefited while the highest-performing ones did not </w:t>
      </w:r>
      <w:r>
        <w:t>[</w:t>
      </w:r>
      <w:r>
        <w:fldChar w:fldCharType="begin"/>
      </w:r>
      <w:r>
        <w:instrText xml:space="preserve"> REF _Ref_5 \h </w:instrText>
      </w:r>
      <w:r>
        <w:fldChar w:fldCharType="separate"/>
      </w:r>
      <w:r>
        <w:t>5</w:t>
      </w:r>
      <w:r>
        <w:fldChar w:fldCharType="end"/>
      </w:r>
      <w:r>
        <w:t>]</w:t>
      </w:r>
      <w:r>
        <w:rPr>
          <w:b w:val="0"/>
          <w:i w:val="0"/>
        </w:rPr>
        <w:t xml:space="preserve"> and less experienced developers both adopted the tool more readily and gained more from it </w:t>
      </w:r>
      <w:r>
        <w:t>[</w:t>
      </w:r>
      <w:r>
        <w:fldChar w:fldCharType="begin"/>
      </w:r>
      <w:r>
        <w:instrText xml:space="preserve"> REF _Ref_4 \h </w:instrText>
      </w:r>
      <w:r>
        <w:fldChar w:fldCharType="separate"/>
      </w:r>
      <w:r>
        <w:t>4</w:t>
      </w:r>
      <w:r>
        <w:fldChar w:fldCharType="end"/>
      </w:r>
      <w:r>
        <w:t>]</w:t>
      </w:r>
      <w:r>
        <w:rPr>
          <w:b w:val="0"/>
          <w:i w:val="0"/>
        </w:rPr>
        <w:t>. GenAI compresses experience.</w:t>
      </w:r>
    </w:p>
    <w:p>
      <w:pPr>
        <w:pStyle w:val="MDPI31text"/>
      </w:pPr>
      <w:r>
        <w:rPr>
          <w:b w:val="0"/>
          <w:i w:val="0"/>
        </w:rPr>
        <w:t xml:space="preserve">That same property has a darker corollary. Experience compression means that the technology is closest to substituting for precisely those workers whose comparative advantage was the codified, routine-cognitive work that constitutes the entry port of a professional career: first-draft writing, structured summarisation, basic coding, standard analysis. Occupational exposure measures confirm the concentration </w:t>
      </w:r>
      <w:r>
        <w:t>[</w:t>
      </w:r>
      <w:r>
        <w:fldChar w:fldCharType="begin"/>
      </w:r>
      <w:r>
        <w:instrText xml:space="preserve"> REF _Ref_6 \h </w:instrText>
      </w:r>
      <w:r>
        <w:fldChar w:fldCharType="separate"/>
      </w:r>
      <w:r>
        <w:t>6</w:t>
      </w:r>
      <w:r>
        <w:fldChar w:fldCharType="end"/>
      </w:r>
      <w:r>
        <w:t>,</w:t>
      </w:r>
      <w:r>
        <w:fldChar w:fldCharType="begin"/>
      </w:r>
      <w:r>
        <w:instrText xml:space="preserve"> REF _Ref_7 \h </w:instrText>
      </w:r>
      <w:r>
        <w:fldChar w:fldCharType="separate"/>
      </w:r>
      <w:r>
        <w:t>7</w:t>
      </w:r>
      <w:r>
        <w:fldChar w:fldCharType="end"/>
      </w:r>
      <w:r>
        <w:t>]</w:t>
      </w:r>
      <w:r>
        <w:rPr>
          <w:b w:val="0"/>
          <w:i w:val="0"/>
        </w:rPr>
        <w:t xml:space="preserve"> and the earliest high-frequency employment evidence is consistent with it. Using United States payroll microdata, Brynjolfsson, Chandar and Chen document a relative employment decline on the order of 13–16% for workers aged 22–25 in the most AI-exposed occupations after late 2022, with essentially no corresponding movement for experienced workers in the same occupations and firms, and with the adjustment operating through headcount rather than pay </w:t>
      </w:r>
      <w:r>
        <w:t>[</w:t>
      </w:r>
      <w:r>
        <w:fldChar w:fldCharType="begin"/>
      </w:r>
      <w:r>
        <w:instrText xml:space="preserve"> REF _Ref_8 \h </w:instrText>
      </w:r>
      <w:r>
        <w:fldChar w:fldCharType="separate"/>
      </w:r>
      <w:r>
        <w:t>8</w:t>
      </w:r>
      <w:r>
        <w:fldChar w:fldCharType="end"/>
      </w:r>
      <w:r>
        <w:t>]</w:t>
      </w:r>
      <w:r>
        <w:rPr>
          <w:b w:val="0"/>
          <w:i w:val="0"/>
        </w:rPr>
        <w:t xml:space="preserve">. Other designs find much smaller aggregate effects over the same window </w:t>
      </w:r>
      <w:r>
        <w:t>[</w:t>
      </w:r>
      <w:r>
        <w:fldChar w:fldCharType="begin"/>
      </w:r>
      <w:r>
        <w:instrText xml:space="preserve"> REF _Ref_9 \h </w:instrText>
      </w:r>
      <w:r>
        <w:fldChar w:fldCharType="separate"/>
      </w:r>
      <w:r>
        <w:t>9</w:t>
      </w:r>
      <w:r>
        <w:fldChar w:fldCharType="end"/>
      </w:r>
      <w:r>
        <w:t>]</w:t>
      </w:r>
      <w:r>
        <w:rPr>
          <w:b w:val="0"/>
          <w:i w:val="0"/>
        </w:rPr>
        <w:t xml:space="preserve"> which is itself informative: the impact is not a technological constant but something that varies across organisational settings.</w:t>
      </w:r>
    </w:p>
    <w:p>
      <w:pPr>
        <w:pStyle w:val="MDPI31text"/>
      </w:pPr>
      <w:r>
        <w:rPr>
          <w:b w:val="0"/>
          <w:i w:val="0"/>
        </w:rPr>
        <w:t xml:space="preserve">The stakes are high because entry employment is not an ordinary margin of adjustment. Entering the labour market in a weak period depresses earnings for a decade or more and leaves durable marks on occupational attainment and health </w:t>
      </w:r>
      <w:r>
        <w:t>[</w:t>
      </w:r>
      <w:r>
        <w:fldChar w:fldCharType="begin"/>
      </w:r>
      <w:r>
        <w:instrText xml:space="preserve"> REF _Ref_10 \h </w:instrText>
      </w:r>
      <w:r>
        <w:fldChar w:fldCharType="separate"/>
      </w:r>
      <w:r>
        <w:t>10</w:t>
      </w:r>
      <w:r>
        <w:fldChar w:fldCharType="end"/>
      </w:r>
      <w:r>
        <w:t>–</w:t>
      </w:r>
      <w:r>
        <w:fldChar w:fldCharType="begin"/>
      </w:r>
      <w:r>
        <w:instrText xml:space="preserve"> REF _Ref_12 \h </w:instrText>
      </w:r>
      <w:r>
        <w:fldChar w:fldCharType="separate"/>
      </w:r>
      <w:r>
        <w:t>12</w:t>
      </w:r>
      <w:r>
        <w:fldChar w:fldCharType="end"/>
      </w:r>
      <w:r>
        <w:t>]</w:t>
      </w:r>
      <w:r>
        <w:rPr>
          <w:b w:val="0"/>
          <w:i w:val="0"/>
        </w:rPr>
        <w:t xml:space="preserve">. Globally, youth unemployment and the share of young people not in employment, education or training remain the most stubborn features of the labour market </w:t>
      </w:r>
      <w:r>
        <w:t>[</w:t>
      </w:r>
      <w:r>
        <w:fldChar w:fldCharType="begin"/>
      </w:r>
      <w:r>
        <w:instrText xml:space="preserve"> REF _Ref_13 \h </w:instrText>
      </w:r>
      <w:r>
        <w:fldChar w:fldCharType="separate"/>
      </w:r>
      <w:r>
        <w:t>13</w:t>
      </w:r>
      <w:r>
        <w:fldChar w:fldCharType="end"/>
      </w:r>
      <w:r>
        <w:t>]</w:t>
      </w:r>
      <w:r>
        <w:rPr>
          <w:b w:val="0"/>
          <w:i w:val="0"/>
        </w:rPr>
        <w:t xml:space="preserve"> and employers themselves anticipate that AI will simultaneously displace and create work at unprecedented speed </w:t>
      </w:r>
      <w:r>
        <w:t>[</w:t>
      </w:r>
      <w:r>
        <w:fldChar w:fldCharType="begin"/>
      </w:r>
      <w:r>
        <w:instrText xml:space="preserve"> REF _Ref_14 \h </w:instrText>
      </w:r>
      <w:r>
        <w:fldChar w:fldCharType="separate"/>
      </w:r>
      <w:r>
        <w:t>14</w:t>
      </w:r>
      <w:r>
        <w:fldChar w:fldCharType="end"/>
      </w:r>
      <w:r>
        <w:t>]</w:t>
      </w:r>
      <w:r>
        <w:rPr>
          <w:b w:val="0"/>
          <w:i w:val="0"/>
        </w:rPr>
        <w:t>. Whether GenAI narrows or widens the first rung of the career ladder is therefore a first-order question for workforce development.</w:t>
      </w:r>
    </w:p>
    <w:p>
      <w:pPr>
        <w:pStyle w:val="MDPI31text"/>
      </w:pPr>
      <w:r>
        <w:rPr>
          <w:b w:val="0"/>
          <w:i w:val="0"/>
        </w:rPr>
        <w:t xml:space="preserve">Existing answers are dominated by two literatures that, taken separately, cannot settle it. The task-based framework in economics explains the tension between displacement and reinstatement effects and shows that the net employment consequence of automation depends on which of the two dominates </w:t>
      </w:r>
      <w:r>
        <w:t>[</w:t>
      </w:r>
      <w:r>
        <w:fldChar w:fldCharType="begin"/>
      </w:r>
      <w:r>
        <w:instrText xml:space="preserve"> REF _Ref_15 \h </w:instrText>
      </w:r>
      <w:r>
        <w:fldChar w:fldCharType="separate"/>
      </w:r>
      <w:r>
        <w:t>15</w:t>
      </w:r>
      <w:r>
        <w:fldChar w:fldCharType="end"/>
      </w:r>
      <w:r>
        <w:t>–</w:t>
      </w:r>
      <w:r>
        <w:fldChar w:fldCharType="begin"/>
      </w:r>
      <w:r>
        <w:instrText xml:space="preserve"> REF _Ref_17 \h </w:instrText>
      </w:r>
      <w:r>
        <w:fldChar w:fldCharType="separate"/>
      </w:r>
      <w:r>
        <w:t>17</w:t>
      </w:r>
      <w:r>
        <w:fldChar w:fldCharType="end"/>
      </w:r>
      <w:r>
        <w:t>]</w:t>
      </w:r>
      <w:r>
        <w:rPr>
          <w:b w:val="0"/>
          <w:i w:val="0"/>
        </w:rPr>
        <w:t xml:space="preserve">. It is, however, largely silent on the organisational conditions that determine the balance, and it treats skill supply as exogenous to the firm. The management literature on human–AI collaboration, in turn, has established that automation and augmentation are interdependent rather than alternative design choices </w:t>
      </w:r>
      <w:r>
        <w:t>[</w:t>
      </w:r>
      <w:r>
        <w:fldChar w:fldCharType="begin"/>
      </w:r>
      <w:r>
        <w:instrText xml:space="preserve"> REF _Ref_18 \h </w:instrText>
      </w:r>
      <w:r>
        <w:fldChar w:fldCharType="separate"/>
      </w:r>
      <w:r>
        <w:t>18</w:t>
      </w:r>
      <w:r>
        <w:fldChar w:fldCharType="end"/>
      </w:r>
      <w:r>
        <w:t>]</w:t>
      </w:r>
      <w:r>
        <w:rPr>
          <w:b w:val="0"/>
          <w:i w:val="0"/>
        </w:rPr>
        <w:t xml:space="preserve"> that agency is conjoined rather than partitioned </w:t>
      </w:r>
      <w:r>
        <w:t>[</w:t>
      </w:r>
      <w:r>
        <w:fldChar w:fldCharType="begin"/>
      </w:r>
      <w:r>
        <w:instrText xml:space="preserve"> REF _Ref_19 \h </w:instrText>
      </w:r>
      <w:r>
        <w:fldChar w:fldCharType="separate"/>
      </w:r>
      <w:r>
        <w:t>19</w:t>
      </w:r>
      <w:r>
        <w:fldChar w:fldCharType="end"/>
      </w:r>
      <w:r>
        <w:t>]</w:t>
      </w:r>
      <w:r>
        <w:rPr>
          <w:b w:val="0"/>
          <w:i w:val="0"/>
        </w:rPr>
        <w:t xml:space="preserve"> and that competitive advantage migrates towards the capabilities that complement the machine </w:t>
      </w:r>
      <w:r>
        <w:t>[</w:t>
      </w:r>
      <w:r>
        <w:fldChar w:fldCharType="begin"/>
      </w:r>
      <w:r>
        <w:instrText xml:space="preserve"> REF _Ref_20 \h </w:instrText>
      </w:r>
      <w:r>
        <w:fldChar w:fldCharType="separate"/>
      </w:r>
      <w:r>
        <w:t>20</w:t>
      </w:r>
      <w:r>
        <w:fldChar w:fldCharType="end"/>
      </w:r>
      <w:r>
        <w:t>]</w:t>
      </w:r>
      <w:r>
        <w:rPr>
          <w:b w:val="0"/>
          <w:i w:val="0"/>
        </w:rPr>
        <w:t>. It rarely models the intertemporal consequences of those choices for the stock of human capability that the firm will need later.</w:t>
      </w:r>
    </w:p>
    <w:p>
      <w:pPr>
        <w:pStyle w:val="MDPI31text"/>
      </w:pPr>
      <w:r>
        <w:rPr>
          <w:b w:val="0"/>
          <w:i w:val="0"/>
        </w:rPr>
        <w:t xml:space="preserve">What both perspectives under-weight is that the entry port performs two functions at once. It is a factor of production, and it is the intake stage of the firm's own capability pipeline. Junior work is where tacit judgement is acquired through legitimate peripheral participation in real tasks </w:t>
      </w:r>
      <w:r>
        <w:t>[</w:t>
      </w:r>
      <w:r>
        <w:fldChar w:fldCharType="begin"/>
      </w:r>
      <w:r>
        <w:instrText xml:space="preserve"> REF _Ref_21 \h </w:instrText>
      </w:r>
      <w:r>
        <w:fldChar w:fldCharType="separate"/>
      </w:r>
      <w:r>
        <w:t>21</w:t>
      </w:r>
      <w:r>
        <w:fldChar w:fldCharType="end"/>
      </w:r>
      <w:r>
        <w:t>,</w:t>
      </w:r>
      <w:r>
        <w:fldChar w:fldCharType="begin"/>
      </w:r>
      <w:r>
        <w:instrText xml:space="preserve"> REF _Ref_22 \h </w:instrText>
      </w:r>
      <w:r>
        <w:fldChar w:fldCharType="separate"/>
      </w:r>
      <w:r>
        <w:t>22</w:t>
      </w:r>
      <w:r>
        <w:fldChar w:fldCharType="end"/>
      </w:r>
      <w:r>
        <w:t>]</w:t>
      </w:r>
      <w:r>
        <w:rPr>
          <w:b w:val="0"/>
          <w:i w:val="0"/>
        </w:rPr>
        <w:t xml:space="preserve">. When a technology absorbs that work, it removes not only a cost but also a curriculum. Ethnographic evidence from robotic surgery shows exactly this displacement of the learning opportunity, and the informal workarounds that trainees devise when the approved route to competence disappears </w:t>
      </w:r>
      <w:r>
        <w:t>[</w:t>
      </w:r>
      <w:r>
        <w:fldChar w:fldCharType="begin"/>
      </w:r>
      <w:r>
        <w:instrText xml:space="preserve"> REF _Ref_23 \h </w:instrText>
      </w:r>
      <w:r>
        <w:fldChar w:fldCharType="separate"/>
      </w:r>
      <w:r>
        <w:t>23</w:t>
      </w:r>
      <w:r>
        <w:fldChar w:fldCharType="end"/>
      </w:r>
      <w:r>
        <w:t>]</w:t>
      </w:r>
      <w:r>
        <w:rPr>
          <w:b w:val="0"/>
          <w:i w:val="0"/>
        </w:rPr>
        <w:t xml:space="preserve">; parallel findings concern the black-boxing of analytical technologies in knowledge work </w:t>
      </w:r>
      <w:r>
        <w:t>[</w:t>
      </w:r>
      <w:r>
        <w:fldChar w:fldCharType="begin"/>
      </w:r>
      <w:r>
        <w:instrText xml:space="preserve"> REF _Ref_24 \h </w:instrText>
      </w:r>
      <w:r>
        <w:fldChar w:fldCharType="separate"/>
      </w:r>
      <w:r>
        <w:t>24</w:t>
      </w:r>
      <w:r>
        <w:fldChar w:fldCharType="end"/>
      </w:r>
      <w:r>
        <w:t>]</w:t>
      </w:r>
      <w:r>
        <w:rPr>
          <w:b w:val="0"/>
          <w:i w:val="0"/>
        </w:rPr>
        <w:t xml:space="preserve"> and the reluctance of professionals to engage with opaque systems for critical judgements </w:t>
      </w:r>
      <w:r>
        <w:t>[</w:t>
      </w:r>
      <w:r>
        <w:fldChar w:fldCharType="begin"/>
      </w:r>
      <w:r>
        <w:instrText xml:space="preserve"> REF _Ref_25 \h </w:instrText>
      </w:r>
      <w:r>
        <w:fldChar w:fldCharType="separate"/>
      </w:r>
      <w:r>
        <w:t>25</w:t>
      </w:r>
      <w:r>
        <w:fldChar w:fldCharType="end"/>
      </w:r>
      <w:r>
        <w:t>]</w:t>
      </w:r>
      <w:r>
        <w:rPr>
          <w:b w:val="0"/>
          <w:i w:val="0"/>
        </w:rPr>
        <w:t xml:space="preserve">. Because the resulting capability deficit appears only after the time required to develop a senior professional, it is invisible in the short-run accounting that drives the hiring decision. This is the structural signature of a capability trap </w:t>
      </w:r>
      <w:r>
        <w:t>[</w:t>
      </w:r>
      <w:r>
        <w:fldChar w:fldCharType="begin"/>
      </w:r>
      <w:r>
        <w:instrText xml:space="preserve"> REF _Ref_26 \h </w:instrText>
      </w:r>
      <w:r>
        <w:fldChar w:fldCharType="separate"/>
      </w:r>
      <w:r>
        <w:t>26</w:t>
      </w:r>
      <w:r>
        <w:fldChar w:fldCharType="end"/>
      </w:r>
      <w:r>
        <w:t>,</w:t>
      </w:r>
      <w:r>
        <w:fldChar w:fldCharType="begin"/>
      </w:r>
      <w:r>
        <w:instrText xml:space="preserve"> REF _Ref_27 \h </w:instrText>
      </w:r>
      <w:r>
        <w:fldChar w:fldCharType="separate"/>
      </w:r>
      <w:r>
        <w:t>27</w:t>
      </w:r>
      <w:r>
        <w:fldChar w:fldCharType="end"/>
      </w:r>
      <w:r>
        <w:t>]</w:t>
      </w:r>
      <w:r>
        <w:rPr>
          <w:b w:val="0"/>
          <w:i w:val="0"/>
        </w:rPr>
        <w:t>.</w:t>
      </w:r>
    </w:p>
    <w:p>
      <w:pPr>
        <w:pStyle w:val="MDPI31text"/>
      </w:pPr>
      <w:r>
        <w:rPr>
          <w:b w:val="0"/>
          <w:i w:val="0"/>
        </w:rPr>
        <w:t xml:space="preserve">A problem with interdependent stocks, accumulation, delays and feedback is a systems problem, and we address it with the systems method that is designed for it. We formulate and analyse a socio-technical system dynamics model </w:t>
      </w:r>
      <w:r>
        <w:t>[</w:t>
      </w:r>
      <w:r>
        <w:fldChar w:fldCharType="begin"/>
      </w:r>
      <w:r>
        <w:instrText xml:space="preserve"> REF _Ref_28 \h </w:instrText>
      </w:r>
      <w:r>
        <w:fldChar w:fldCharType="separate"/>
      </w:r>
      <w:r>
        <w:t>28</w:t>
      </w:r>
      <w:r>
        <w:fldChar w:fldCharType="end"/>
      </w:r>
      <w:r>
        <w:t>–</w:t>
      </w:r>
      <w:r>
        <w:fldChar w:fldCharType="begin"/>
      </w:r>
      <w:r>
        <w:instrText xml:space="preserve"> REF _Ref_30 \h </w:instrText>
      </w:r>
      <w:r>
        <w:fldChar w:fldCharType="separate"/>
      </w:r>
      <w:r>
        <w:t>30</w:t>
      </w:r>
      <w:r>
        <w:fldChar w:fldCharType="end"/>
      </w:r>
      <w:r>
        <w:t>]</w:t>
      </w:r>
      <w:r>
        <w:rPr>
          <w:b w:val="0"/>
          <w:i w:val="0"/>
        </w:rPr>
        <w:t xml:space="preserve"> of a representative knowledge-intensive organisation, in which six stocks — early-career staff, experienced staff, GenAI capability, human–AI collaboration routines, planned output and perceived unit cost — interact through five explicit feedback loops. Displacement, task reinstatement, learning-by-collaborating, pipeline replenishment and competitive scale are all endogenous. The diffusion and augmentation parameters are calibrated to four independent published benchmarks, the model is subjected to the standard battery of validity tests </w:t>
      </w:r>
      <w:r>
        <w:t>[</w:t>
      </w:r>
      <w:r>
        <w:fldChar w:fldCharType="begin"/>
      </w:r>
      <w:r>
        <w:instrText xml:space="preserve"> REF _Ref_31 \h </w:instrText>
      </w:r>
      <w:r>
        <w:fldChar w:fldCharType="separate"/>
      </w:r>
      <w:r>
        <w:t>31</w:t>
      </w:r>
      <w:r>
        <w:fldChar w:fldCharType="end"/>
      </w:r>
      <w:r>
        <w:t>,</w:t>
      </w:r>
      <w:r>
        <w:fldChar w:fldCharType="begin"/>
      </w:r>
      <w:r>
        <w:instrText xml:space="preserve"> REF _Ref_32 \h </w:instrText>
      </w:r>
      <w:r>
        <w:fldChar w:fldCharType="separate"/>
      </w:r>
      <w:r>
        <w:t>32</w:t>
      </w:r>
      <w:r>
        <w:fldChar w:fldCharType="end"/>
      </w:r>
      <w:r>
        <w:t>]</w:t>
      </w:r>
      <w:r>
        <w:rPr>
          <w:b w:val="0"/>
          <w:i w:val="0"/>
        </w:rPr>
        <w:t xml:space="preserve"> and the analysis follows current reporting guidelines for simulation-based social science </w:t>
      </w:r>
      <w:r>
        <w:t>[</w:t>
      </w:r>
      <w:r>
        <w:fldChar w:fldCharType="begin"/>
      </w:r>
      <w:r>
        <w:instrText xml:space="preserve"> REF _Ref_33 \h </w:instrText>
      </w:r>
      <w:r>
        <w:fldChar w:fldCharType="separate"/>
      </w:r>
      <w:r>
        <w:t>33</w:t>
      </w:r>
      <w:r>
        <w:fldChar w:fldCharType="end"/>
      </w:r>
      <w:r>
        <w:t>]</w:t>
      </w:r>
      <w:r>
        <w:rPr>
          <w:b w:val="0"/>
          <w:i w:val="0"/>
        </w:rPr>
        <w:t>.</w:t>
      </w:r>
    </w:p>
    <w:p>
      <w:pPr>
        <w:pStyle w:val="MDPI31text"/>
      </w:pPr>
      <w:r>
        <w:rPr>
          <w:b w:val="0"/>
          <w:i w:val="0"/>
        </w:rPr>
        <w:t xml:space="preserve">The paper makes three contributions. First, it reframes the effect of GenAI on youth employment as a property of loop dominance rather than of technology. We derive a closed-form net entry-port elasticity that decomposes the marginal effect of AI capability on entry labour demand into displacement, reinstatement and headcount-saving components, and we show that its sign is governed by two organisational design parameters — how far the firm pushes automation into entry tasks, and how far it reinstates higher-level work to AI-assisted juniors. Over the resulting design space the 25-year effect on entry employment ranges from −70.0% to +19.2%. Second, it identifies and quantifies the delayed feedback that makes an automation-first strategy self-defeating: thinning the entry port depletes the learning stock and the promotion flow, and because the sector's external market for experienced staff is itself fed by that promotion flow, the shortfall cannot be purchased back. Under an automation-first strategy the firm obtains the largest short-run unit-cost reduction of any scenario yet ends the horizon with output 15.7% below the no-GenAI counterfactual. Third, it supplies a direct numerical test of the joint-optimisation principle that has been asserted in socio-technical design since Trist and Bamforth </w:t>
      </w:r>
      <w:r>
        <w:t>[</w:t>
      </w:r>
      <w:r>
        <w:fldChar w:fldCharType="begin"/>
      </w:r>
      <w:r>
        <w:instrText xml:space="preserve"> REF _Ref_28 \h </w:instrText>
      </w:r>
      <w:r>
        <w:fldChar w:fldCharType="separate"/>
      </w:r>
      <w:r>
        <w:t>28</w:t>
      </w:r>
      <w:r>
        <w:fldChar w:fldCharType="end"/>
      </w:r>
      <w:r>
        <w:t>]</w:t>
      </w:r>
      <w:r>
        <w:rPr>
          <w:b w:val="0"/>
          <w:i w:val="0"/>
        </w:rPr>
        <w:t xml:space="preserve"> and Cherns </w:t>
      </w:r>
      <w:r>
        <w:t>[</w:t>
      </w:r>
      <w:r>
        <w:fldChar w:fldCharType="begin"/>
      </w:r>
      <w:r>
        <w:instrText xml:space="preserve"> REF _Ref_34 \h </w:instrText>
      </w:r>
      <w:r>
        <w:fldChar w:fldCharType="separate"/>
      </w:r>
      <w:r>
        <w:t>34</w:t>
      </w:r>
      <w:r>
        <w:fldChar w:fldCharType="end"/>
      </w:r>
      <w:r>
        <w:t>]</w:t>
      </w:r>
      <w:r>
        <w:rPr>
          <w:b w:val="0"/>
          <w:i w:val="0"/>
        </w:rPr>
        <w:t xml:space="preserve"> but rarely quantified: in a pre-specified 2 × 2 factorial, changing the technical subsystem (work redesign) and the social subsystem (investment in collaboration routines) interact positively, with an interaction term of 2.74 percentage points on entry employment.</w:t>
      </w:r>
    </w:p>
    <w:p>
      <w:pPr>
        <w:pStyle w:val="MDPI31text"/>
      </w:pPr>
      <w:r>
        <w:rPr>
          <w:b w:val="0"/>
          <w:i w:val="0"/>
        </w:rPr>
        <w:t>The remainder of the paper is organised as follows. Section 2 develops the theoretical background and the feedback structure and states four propositions. Section 3 formulates the model, reports its parameterisation and calibration, and documents validation. Section 4 presents the baseline dynamics, the loop dominance analysis, the regime maps, the design experiments, the model-boundary comparison and the global sensitivity analysis. Section 5 discusses theoretical, managerial and policy implications and the limitations of the study. Section 6 concludes.</w:t>
      </w:r>
    </w:p>
    <w:p>
      <w:pPr>
        <w:pStyle w:val="MDPI21heading1"/>
      </w:pPr>
      <w:r>
        <w:t>2. Theoretical Background and Feedback Structure</w:t>
      </w:r>
    </w:p>
    <w:p>
      <w:pPr>
        <w:pStyle w:val="MDPI22heading2"/>
      </w:pPr>
      <w:r>
        <w:t>2.1. Generative AI and the Task Composition of Entry-Level Work</w:t>
      </w:r>
    </w:p>
    <w:p>
      <w:pPr>
        <w:pStyle w:val="MDPI32textnoindent"/>
      </w:pPr>
      <w:r>
        <w:rPr>
          <w:b w:val="0"/>
          <w:i w:val="0"/>
        </w:rPr>
        <w:t xml:space="preserve">The task-based framework treats production as a continuum of tasks allocated between capital and labour. Automation reassigns tasks from labour to capital and reduces labour demand at given output, whereas reinstatement creates or reallocates tasks in which labour holds the comparative advantage; the net effect on employment is the difference between the two forces, augmented by the scale effect that follows from lower unit costs </w:t>
      </w:r>
      <w:r>
        <w:t>[</w:t>
      </w:r>
      <w:r>
        <w:fldChar w:fldCharType="begin"/>
      </w:r>
      <w:r>
        <w:instrText xml:space="preserve"> REF _Ref_15 \h </w:instrText>
      </w:r>
      <w:r>
        <w:fldChar w:fldCharType="separate"/>
      </w:r>
      <w:r>
        <w:t>15</w:t>
      </w:r>
      <w:r>
        <w:fldChar w:fldCharType="end"/>
      </w:r>
      <w:r>
        <w:t>,</w:t>
      </w:r>
      <w:r>
        <w:fldChar w:fldCharType="begin"/>
      </w:r>
      <w:r>
        <w:instrText xml:space="preserve"> REF _Ref_16 \h </w:instrText>
      </w:r>
      <w:r>
        <w:fldChar w:fldCharType="separate"/>
      </w:r>
      <w:r>
        <w:t>16</w:t>
      </w:r>
      <w:r>
        <w:fldChar w:fldCharType="end"/>
      </w:r>
      <w:r>
        <w:t>,</w:t>
      </w:r>
      <w:r>
        <w:fldChar w:fldCharType="begin"/>
      </w:r>
      <w:r>
        <w:instrText xml:space="preserve"> REF _Ref_35 \h </w:instrText>
      </w:r>
      <w:r>
        <w:fldChar w:fldCharType="separate"/>
      </w:r>
      <w:r>
        <w:t>35</w:t>
      </w:r>
      <w:r>
        <w:fldChar w:fldCharType="end"/>
      </w:r>
      <w:r>
        <w:t>]</w:t>
      </w:r>
      <w:r>
        <w:rPr>
          <w:b w:val="0"/>
          <w:i w:val="0"/>
        </w:rPr>
        <w:t xml:space="preserve">. Applied to GenAI, the framework has an unusual implication. Because the technology is a general-purpose technology whose complementary intangibles must be built inside organisations </w:t>
      </w:r>
      <w:r>
        <w:t>[</w:t>
      </w:r>
      <w:r>
        <w:fldChar w:fldCharType="begin"/>
      </w:r>
      <w:r>
        <w:instrText xml:space="preserve"> REF _Ref_36 \h </w:instrText>
      </w:r>
      <w:r>
        <w:fldChar w:fldCharType="separate"/>
      </w:r>
      <w:r>
        <w:t>36</w:t>
      </w:r>
      <w:r>
        <w:fldChar w:fldCharType="end"/>
      </w:r>
      <w:r>
        <w:t>,</w:t>
      </w:r>
      <w:r>
        <w:fldChar w:fldCharType="begin"/>
      </w:r>
      <w:r>
        <w:instrText xml:space="preserve"> REF _Ref_37 \h </w:instrText>
      </w:r>
      <w:r>
        <w:fldChar w:fldCharType="separate"/>
      </w:r>
      <w:r>
        <w:t>37</w:t>
      </w:r>
      <w:r>
        <w:fldChar w:fldCharType="end"/>
      </w:r>
      <w:r>
        <w:t>]</w:t>
      </w:r>
      <w:r>
        <w:rPr>
          <w:b w:val="0"/>
          <w:i w:val="0"/>
        </w:rPr>
        <w:t xml:space="preserve"> both the automation frontier and the reinstatement frontier are partly endogenous to organisational choice rather than fixed by the artefact.</w:t>
      </w:r>
    </w:p>
    <w:p>
      <w:pPr>
        <w:pStyle w:val="MDPI31text"/>
      </w:pPr>
      <w:r>
        <w:rPr>
          <w:b w:val="0"/>
          <w:i w:val="0"/>
        </w:rPr>
        <w:t xml:space="preserve">Two empirical regularities discipline the way we represent this. The first is the concentration of exposure. Roughly 46% of occupations have at least half their tasks exposed once complementary software is accounted for </w:t>
      </w:r>
      <w:r>
        <w:t>[</w:t>
      </w:r>
      <w:r>
        <w:fldChar w:fldCharType="begin"/>
      </w:r>
      <w:r>
        <w:instrText xml:space="preserve"> REF _Ref_6 \h </w:instrText>
      </w:r>
      <w:r>
        <w:fldChar w:fldCharType="separate"/>
      </w:r>
      <w:r>
        <w:t>6</w:t>
      </w:r>
      <w:r>
        <w:fldChar w:fldCharType="end"/>
      </w:r>
      <w:r>
        <w:t>]</w:t>
      </w:r>
      <w:r>
        <w:rPr>
          <w:b w:val="0"/>
          <w:i w:val="0"/>
        </w:rPr>
        <w:t xml:space="preserve"> and exposure is highest in the codified, verifiable, text-and-code tasks that firms conventionally allocate to new entrants </w:t>
      </w:r>
      <w:r>
        <w:t>[</w:t>
      </w:r>
      <w:r>
        <w:fldChar w:fldCharType="begin"/>
      </w:r>
      <w:r>
        <w:instrText xml:space="preserve"> REF _Ref_7 \h </w:instrText>
      </w:r>
      <w:r>
        <w:fldChar w:fldCharType="separate"/>
      </w:r>
      <w:r>
        <w:t>7</w:t>
      </w:r>
      <w:r>
        <w:fldChar w:fldCharType="end"/>
      </w:r>
      <w:r>
        <w:t>]</w:t>
      </w:r>
      <w:r>
        <w:rPr>
          <w:b w:val="0"/>
          <w:i w:val="0"/>
        </w:rPr>
        <w:t xml:space="preserve">. The second is experience compression. Across settings the measured productivity gain is largest for the least experienced and smallest, sometimes zero or negative, for the most experienced </w:t>
      </w:r>
      <w:r>
        <w:t>[</w:t>
      </w:r>
      <w:r>
        <w:fldChar w:fldCharType="begin"/>
      </w:r>
      <w:r>
        <w:instrText xml:space="preserve"> REF _Ref_1 \h </w:instrText>
      </w:r>
      <w:r>
        <w:fldChar w:fldCharType="separate"/>
      </w:r>
      <w:r>
        <w:t>1</w:t>
      </w:r>
      <w:r>
        <w:fldChar w:fldCharType="end"/>
      </w:r>
      <w:r>
        <w:t>,</w:t>
      </w:r>
      <w:r>
        <w:fldChar w:fldCharType="begin"/>
      </w:r>
      <w:r>
        <w:instrText xml:space="preserve"> REF _Ref_2 \h </w:instrText>
      </w:r>
      <w:r>
        <w:fldChar w:fldCharType="separate"/>
      </w:r>
      <w:r>
        <w:t>2</w:t>
      </w:r>
      <w:r>
        <w:fldChar w:fldCharType="end"/>
      </w:r>
      <w:r>
        <w:t>,</w:t>
      </w:r>
      <w:r>
        <w:fldChar w:fldCharType="begin"/>
      </w:r>
      <w:r>
        <w:instrText xml:space="preserve"> REF _Ref_4 \h </w:instrText>
      </w:r>
      <w:r>
        <w:fldChar w:fldCharType="separate"/>
      </w:r>
      <w:r>
        <w:t>4</w:t>
      </w:r>
      <w:r>
        <w:fldChar w:fldCharType="end"/>
      </w:r>
      <w:r>
        <w:t>,</w:t>
      </w:r>
      <w:r>
        <w:fldChar w:fldCharType="begin"/>
      </w:r>
      <w:r>
        <w:instrText xml:space="preserve"> REF _Ref_5 \h </w:instrText>
      </w:r>
      <w:r>
        <w:fldChar w:fldCharType="separate"/>
      </w:r>
      <w:r>
        <w:t>5</w:t>
      </w:r>
      <w:r>
        <w:fldChar w:fldCharType="end"/>
      </w:r>
      <w:r>
        <w:t>,</w:t>
      </w:r>
      <w:r>
        <w:fldChar w:fldCharType="begin"/>
      </w:r>
      <w:r>
        <w:instrText xml:space="preserve"> REF _Ref_38 \h </w:instrText>
      </w:r>
      <w:r>
        <w:fldChar w:fldCharType="separate"/>
      </w:r>
      <w:r>
        <w:t>38</w:t>
      </w:r>
      <w:r>
        <w:fldChar w:fldCharType="end"/>
      </w:r>
      <w:r>
        <w:t>]</w:t>
      </w:r>
      <w:r>
        <w:rPr>
          <w:b w:val="0"/>
          <w:i w:val="0"/>
        </w:rPr>
        <w:t xml:space="preserve">; the meta-analytic evidence on human–AI combinations reaches the same conclusion, with gains concentrated where the human baseline is weak </w:t>
      </w:r>
      <w:r>
        <w:t>[</w:t>
      </w:r>
      <w:r>
        <w:fldChar w:fldCharType="begin"/>
      </w:r>
      <w:r>
        <w:instrText xml:space="preserve"> REF _Ref_39 \h </w:instrText>
      </w:r>
      <w:r>
        <w:fldChar w:fldCharType="separate"/>
      </w:r>
      <w:r>
        <w:t>39</w:t>
      </w:r>
      <w:r>
        <w:fldChar w:fldCharType="end"/>
      </w:r>
      <w:r>
        <w:t>]</w:t>
      </w:r>
      <w:r>
        <w:rPr>
          <w:b w:val="0"/>
          <w:i w:val="0"/>
        </w:rPr>
        <w:t>.</w:t>
      </w:r>
    </w:p>
    <w:p>
      <w:pPr>
        <w:pStyle w:val="MDPI31text"/>
      </w:pPr>
      <w:r>
        <w:rPr>
          <w:b w:val="0"/>
          <w:i w:val="0"/>
        </w:rPr>
        <w:t xml:space="preserve">Experience compression cuts both ways, and this ambivalence is the substantive core of the paper. On the displacement side it raises the automatable share of entry tasks. On the reinstatement side it means that an AI-assisted junior can now perform work that previously required a senior, which expands rather than contracts the entry port. Whether the second channel is realised is not a property of the model weights. It requires the organisation to redesign the division of labour so that such work is actually delegated, and to possess the routines, review protocols and quality assurance that make the delegation safe </w:t>
      </w:r>
      <w:r>
        <w:t>[</w:t>
      </w:r>
      <w:r>
        <w:fldChar w:fldCharType="begin"/>
      </w:r>
      <w:r>
        <w:instrText xml:space="preserve"> REF _Ref_18 \h </w:instrText>
      </w:r>
      <w:r>
        <w:fldChar w:fldCharType="separate"/>
      </w:r>
      <w:r>
        <w:t>18</w:t>
      </w:r>
      <w:r>
        <w:fldChar w:fldCharType="end"/>
      </w:r>
      <w:r>
        <w:t>,</w:t>
      </w:r>
      <w:r>
        <w:fldChar w:fldCharType="begin"/>
      </w:r>
      <w:r>
        <w:instrText xml:space="preserve"> REF _Ref_19 \h </w:instrText>
      </w:r>
      <w:r>
        <w:fldChar w:fldCharType="separate"/>
      </w:r>
      <w:r>
        <w:t>19</w:t>
      </w:r>
      <w:r>
        <w:fldChar w:fldCharType="end"/>
      </w:r>
      <w:r>
        <w:t>,</w:t>
      </w:r>
      <w:r>
        <w:fldChar w:fldCharType="begin"/>
      </w:r>
      <w:r>
        <w:instrText xml:space="preserve"> REF _Ref_40 \h </w:instrText>
      </w:r>
      <w:r>
        <w:fldChar w:fldCharType="separate"/>
      </w:r>
      <w:r>
        <w:t>40</w:t>
      </w:r>
      <w:r>
        <w:fldChar w:fldCharType="end"/>
      </w:r>
      <w:r>
        <w:t>]</w:t>
      </w:r>
      <w:r>
        <w:rPr>
          <w:b w:val="0"/>
          <w:i w:val="0"/>
        </w:rPr>
        <w:t>. We therefore represent the automation ceiling and the reinstatement ceiling as two distinct design parameters and let the realised reinstatement depend on an accumulated stock of collaboration routines.</w:t>
      </w:r>
    </w:p>
    <w:p>
      <w:pPr>
        <w:pStyle w:val="MDPI22heading2"/>
      </w:pPr>
      <w:r>
        <w:t>2.2. The Entry Port as an Organisational Learning System</w:t>
      </w:r>
    </w:p>
    <w:p>
      <w:pPr>
        <w:pStyle w:val="MDPI32textnoindent"/>
      </w:pPr>
      <w:r>
        <w:rPr>
          <w:b w:val="0"/>
          <w:i w:val="0"/>
        </w:rPr>
        <w:t xml:space="preserve">The second building block is that entry-level work produces skill as a joint product. Occupational competence is acquired through participation in consequential tasks under supervision, an argument that runs from situated learning theory </w:t>
      </w:r>
      <w:r>
        <w:t>[</w:t>
      </w:r>
      <w:r>
        <w:fldChar w:fldCharType="begin"/>
      </w:r>
      <w:r>
        <w:instrText xml:space="preserve"> REF _Ref_21 \h </w:instrText>
      </w:r>
      <w:r>
        <w:fldChar w:fldCharType="separate"/>
      </w:r>
      <w:r>
        <w:t>21</w:t>
      </w:r>
      <w:r>
        <w:fldChar w:fldCharType="end"/>
      </w:r>
      <w:r>
        <w:t>]</w:t>
      </w:r>
      <w:r>
        <w:rPr>
          <w:b w:val="0"/>
          <w:i w:val="0"/>
        </w:rPr>
        <w:t xml:space="preserve"> through the experience-to-knowledge conversion literature in organisation science </w:t>
      </w:r>
      <w:r>
        <w:t>[</w:t>
      </w:r>
      <w:r>
        <w:fldChar w:fldCharType="begin"/>
      </w:r>
      <w:r>
        <w:instrText xml:space="preserve"> REF _Ref_22 \h </w:instrText>
      </w:r>
      <w:r>
        <w:fldChar w:fldCharType="separate"/>
      </w:r>
      <w:r>
        <w:t>22</w:t>
      </w:r>
      <w:r>
        <w:fldChar w:fldCharType="end"/>
      </w:r>
      <w:r>
        <w:t>,</w:t>
      </w:r>
      <w:r>
        <w:fldChar w:fldCharType="begin"/>
      </w:r>
      <w:r>
        <w:instrText xml:space="preserve"> REF _Ref_41 \h </w:instrText>
      </w:r>
      <w:r>
        <w:fldChar w:fldCharType="separate"/>
      </w:r>
      <w:r>
        <w:t>41</w:t>
      </w:r>
      <w:r>
        <w:fldChar w:fldCharType="end"/>
      </w:r>
      <w:r>
        <w:t>–</w:t>
      </w:r>
      <w:r>
        <w:fldChar w:fldCharType="begin"/>
      </w:r>
      <w:r>
        <w:instrText xml:space="preserve"> REF _Ref_43 \h </w:instrText>
      </w:r>
      <w:r>
        <w:fldChar w:fldCharType="separate"/>
      </w:r>
      <w:r>
        <w:t>43</w:t>
      </w:r>
      <w:r>
        <w:fldChar w:fldCharType="end"/>
      </w:r>
      <w:r>
        <w:t>]</w:t>
      </w:r>
      <w:r>
        <w:rPr>
          <w:b w:val="0"/>
          <w:i w:val="0"/>
        </w:rPr>
        <w:t xml:space="preserve"> is embedded in the idea of the learning organisation </w:t>
      </w:r>
      <w:r>
        <w:t>[</w:t>
      </w:r>
      <w:r>
        <w:fldChar w:fldCharType="begin"/>
      </w:r>
      <w:r>
        <w:instrText xml:space="preserve"> REF _Ref_44 \h </w:instrText>
      </w:r>
      <w:r>
        <w:fldChar w:fldCharType="separate"/>
      </w:r>
      <w:r>
        <w:t>44</w:t>
      </w:r>
      <w:r>
        <w:fldChar w:fldCharType="end"/>
      </w:r>
      <w:r>
        <w:t>]</w:t>
      </w:r>
      <w:r>
        <w:rPr>
          <w:b w:val="0"/>
          <w:i w:val="0"/>
        </w:rPr>
        <w:t xml:space="preserve"> and is grounded in the classic account of learning by doing </w:t>
      </w:r>
      <w:r>
        <w:t>[</w:t>
      </w:r>
      <w:r>
        <w:fldChar w:fldCharType="begin"/>
      </w:r>
      <w:r>
        <w:instrText xml:space="preserve"> REF _Ref_45 \h </w:instrText>
      </w:r>
      <w:r>
        <w:fldChar w:fldCharType="separate"/>
      </w:r>
      <w:r>
        <w:t>45</w:t>
      </w:r>
      <w:r>
        <w:fldChar w:fldCharType="end"/>
      </w:r>
      <w:r>
        <w:t>]</w:t>
      </w:r>
      <w:r>
        <w:rPr>
          <w:b w:val="0"/>
          <w:i w:val="0"/>
        </w:rPr>
        <w:t>. Three implications follow for a system model.</w:t>
      </w:r>
    </w:p>
    <w:p>
      <w:pPr>
        <w:pStyle w:val="MDPI31text"/>
      </w:pPr>
      <w:r>
        <w:rPr>
          <w:b w:val="0"/>
          <w:i w:val="0"/>
        </w:rPr>
        <w:t xml:space="preserve">First, the promotion flow from junior to senior is not a free parameter: it is constrained by mentoring capacity, which is itself proportional to the senior stock. This creates a reinforcing loop in which a large senior stock sustains the development of its own successors and a depleted one cannot. Second, the learning content of junior work is not invariant to how that work is done. Ethnographic and survey evidence indicates that AI-mediated task performance builds less tacit skill per unit of time than unmediated performance unless the organisation deliberately designs for it — trainees are pushed to the periphery of the consequential work </w:t>
      </w:r>
      <w:r>
        <w:t>[</w:t>
      </w:r>
      <w:r>
        <w:fldChar w:fldCharType="begin"/>
      </w:r>
      <w:r>
        <w:instrText xml:space="preserve"> REF _Ref_23 \h </w:instrText>
      </w:r>
      <w:r>
        <w:fldChar w:fldCharType="separate"/>
      </w:r>
      <w:r>
        <w:t>23</w:t>
      </w:r>
      <w:r>
        <w:fldChar w:fldCharType="end"/>
      </w:r>
      <w:r>
        <w:t>]</w:t>
      </w:r>
      <w:r>
        <w:rPr>
          <w:b w:val="0"/>
          <w:i w:val="0"/>
        </w:rPr>
        <w:t xml:space="preserve"> analytic assumptions are black-boxed </w:t>
      </w:r>
      <w:r>
        <w:t>[</w:t>
      </w:r>
      <w:r>
        <w:fldChar w:fldCharType="begin"/>
      </w:r>
      <w:r>
        <w:instrText xml:space="preserve"> REF _Ref_24 \h </w:instrText>
      </w:r>
      <w:r>
        <w:fldChar w:fldCharType="separate"/>
      </w:r>
      <w:r>
        <w:t>24</w:t>
      </w:r>
      <w:r>
        <w:fldChar w:fldCharType="end"/>
      </w:r>
      <w:r>
        <w:t>]</w:t>
      </w:r>
      <w:r>
        <w:rPr>
          <w:b w:val="0"/>
          <w:i w:val="0"/>
        </w:rPr>
        <w:t xml:space="preserve"> and dependence on the tool can produce deskilling as readily as upskilling </w:t>
      </w:r>
      <w:r>
        <w:t>[</w:t>
      </w:r>
      <w:r>
        <w:fldChar w:fldCharType="begin"/>
      </w:r>
      <w:r>
        <w:instrText xml:space="preserve"> REF _Ref_46 \h </w:instrText>
      </w:r>
      <w:r>
        <w:fldChar w:fldCharType="separate"/>
      </w:r>
      <w:r>
        <w:t>46</w:t>
      </w:r>
      <w:r>
        <w:fldChar w:fldCharType="end"/>
      </w:r>
      <w:r>
        <w:t>]</w:t>
      </w:r>
      <w:r>
        <w:rPr>
          <w:b w:val="0"/>
          <w:i w:val="0"/>
        </w:rPr>
        <w:t xml:space="preserve">. Third, the firm's ability to absorb the technology at all depends on prior related knowledge </w:t>
      </w:r>
      <w:r>
        <w:t>[</w:t>
      </w:r>
      <w:r>
        <w:fldChar w:fldCharType="begin"/>
      </w:r>
      <w:r>
        <w:instrText xml:space="preserve"> REF _Ref_47 \h </w:instrText>
      </w:r>
      <w:r>
        <w:fldChar w:fldCharType="separate"/>
      </w:r>
      <w:r>
        <w:t>47</w:t>
      </w:r>
      <w:r>
        <w:fldChar w:fldCharType="end"/>
      </w:r>
      <w:r>
        <w:t>]</w:t>
      </w:r>
      <w:r>
        <w:rPr>
          <w:b w:val="0"/>
          <w:i w:val="0"/>
        </w:rPr>
        <w:t xml:space="preserve">; absorptive capacity is accumulated, not purchased, and it decays </w:t>
      </w:r>
      <w:r>
        <w:t>[</w:t>
      </w:r>
      <w:r>
        <w:fldChar w:fldCharType="begin"/>
      </w:r>
      <w:r>
        <w:instrText xml:space="preserve"> REF _Ref_48 \h </w:instrText>
      </w:r>
      <w:r>
        <w:fldChar w:fldCharType="separate"/>
      </w:r>
      <w:r>
        <w:t>48</w:t>
      </w:r>
      <w:r>
        <w:fldChar w:fldCharType="end"/>
      </w:r>
      <w:r>
        <w:t>,</w:t>
      </w:r>
      <w:r>
        <w:fldChar w:fldCharType="begin"/>
      </w:r>
      <w:r>
        <w:instrText xml:space="preserve"> REF _Ref_49 \h </w:instrText>
      </w:r>
      <w:r>
        <w:fldChar w:fldCharType="separate"/>
      </w:r>
      <w:r>
        <w:t>49</w:t>
      </w:r>
      <w:r>
        <w:fldChar w:fldCharType="end"/>
      </w:r>
      <w:r>
        <w:t>]</w:t>
      </w:r>
      <w:r>
        <w:rPr>
          <w:b w:val="0"/>
          <w:i w:val="0"/>
        </w:rPr>
        <w:t>.</w:t>
      </w:r>
    </w:p>
    <w:p>
      <w:pPr>
        <w:pStyle w:val="MDPI31text"/>
      </w:pPr>
      <w:r>
        <w:rPr>
          <w:b w:val="0"/>
          <w:i w:val="0"/>
        </w:rPr>
        <w:t xml:space="preserve">Taken together, these features imply that the entry port sits at the intersection of the firm's production system and its capability system. A decision that is locally efficient in the first can be destructive in the second, and because the second responds only after the time required to develop a senior professional, the destruction is not visible when the decision is taken. Analogous structures — where a locally rational reduction in an unmeasured investment erodes the capability that generated the performance in the first place — have been formalised as quality erosion in services </w:t>
      </w:r>
      <w:r>
        <w:t>[</w:t>
      </w:r>
      <w:r>
        <w:fldChar w:fldCharType="begin"/>
      </w:r>
      <w:r>
        <w:instrText xml:space="preserve"> REF _Ref_50 \h </w:instrText>
      </w:r>
      <w:r>
        <w:fldChar w:fldCharType="separate"/>
      </w:r>
      <w:r>
        <w:t>50</w:t>
      </w:r>
      <w:r>
        <w:fldChar w:fldCharType="end"/>
      </w:r>
      <w:r>
        <w:t>]</w:t>
      </w:r>
      <w:r>
        <w:rPr>
          <w:b w:val="0"/>
          <w:i w:val="0"/>
        </w:rPr>
        <w:t xml:space="preserve"> as capability traps in process improvement </w:t>
      </w:r>
      <w:r>
        <w:t>[</w:t>
      </w:r>
      <w:r>
        <w:fldChar w:fldCharType="begin"/>
      </w:r>
      <w:r>
        <w:instrText xml:space="preserve"> REF _Ref_26 \h </w:instrText>
      </w:r>
      <w:r>
        <w:fldChar w:fldCharType="separate"/>
      </w:r>
      <w:r>
        <w:t>26</w:t>
      </w:r>
      <w:r>
        <w:fldChar w:fldCharType="end"/>
      </w:r>
      <w:r>
        <w:t>]</w:t>
      </w:r>
      <w:r>
        <w:rPr>
          <w:b w:val="0"/>
          <w:i w:val="0"/>
        </w:rPr>
        <w:t xml:space="preserve"> and as capability erosion dynamics in strategy </w:t>
      </w:r>
      <w:r>
        <w:t>[</w:t>
      </w:r>
      <w:r>
        <w:fldChar w:fldCharType="begin"/>
      </w:r>
      <w:r>
        <w:instrText xml:space="preserve"> REF _Ref_27 \h </w:instrText>
      </w:r>
      <w:r>
        <w:fldChar w:fldCharType="separate"/>
      </w:r>
      <w:r>
        <w:t>27</w:t>
      </w:r>
      <w:r>
        <w:fldChar w:fldCharType="end"/>
      </w:r>
      <w:r>
        <w:t>]</w:t>
      </w:r>
      <w:r>
        <w:rPr>
          <w:b w:val="0"/>
          <w:i w:val="0"/>
        </w:rPr>
        <w:t>. Our contribution is to identify the youth entry port as a site where the same structure operates, and to show that GenAI activates it.</w:t>
      </w:r>
    </w:p>
    <w:p>
      <w:pPr>
        <w:pStyle w:val="MDPI22heading2"/>
      </w:pPr>
      <w:r>
        <w:t>2.3. A Socio-Technical Reading: Joint Optimisation and Loop Dominance</w:t>
      </w:r>
    </w:p>
    <w:p>
      <w:pPr>
        <w:pStyle w:val="MDPI32textnoindent"/>
      </w:pPr>
      <w:r>
        <w:rPr>
          <w:b w:val="0"/>
          <w:i w:val="0"/>
        </w:rPr>
        <w:t xml:space="preserve">Socio-technical systems theory holds that the social and technical subsystems of an organisation are jointly responsible for performance, so that optimising either in isolation degrades the whole </w:t>
      </w:r>
      <w:r>
        <w:t>[</w:t>
      </w:r>
      <w:r>
        <w:fldChar w:fldCharType="begin"/>
      </w:r>
      <w:r>
        <w:instrText xml:space="preserve"> REF _Ref_28 \h </w:instrText>
      </w:r>
      <w:r>
        <w:fldChar w:fldCharType="separate"/>
      </w:r>
      <w:r>
        <w:t>28</w:t>
      </w:r>
      <w:r>
        <w:fldChar w:fldCharType="end"/>
      </w:r>
      <w:r>
        <w:t>,</w:t>
      </w:r>
      <w:r>
        <w:fldChar w:fldCharType="begin"/>
      </w:r>
      <w:r>
        <w:instrText xml:space="preserve"> REF _Ref_34 \h </w:instrText>
      </w:r>
      <w:r>
        <w:fldChar w:fldCharType="separate"/>
      </w:r>
      <w:r>
        <w:t>34</w:t>
      </w:r>
      <w:r>
        <w:fldChar w:fldCharType="end"/>
      </w:r>
      <w:r>
        <w:t>]</w:t>
      </w:r>
      <w:r>
        <w:rPr>
          <w:b w:val="0"/>
          <w:i w:val="0"/>
        </w:rPr>
        <w:t xml:space="preserve">. The principle has been carried into information systems as the sociotechnical axis of the discipline </w:t>
      </w:r>
      <w:r>
        <w:t>[</w:t>
      </w:r>
      <w:r>
        <w:fldChar w:fldCharType="begin"/>
      </w:r>
      <w:r>
        <w:instrText xml:space="preserve"> REF _Ref_51 \h </w:instrText>
      </w:r>
      <w:r>
        <w:fldChar w:fldCharType="separate"/>
      </w:r>
      <w:r>
        <w:t>51</w:t>
      </w:r>
      <w:r>
        <w:fldChar w:fldCharType="end"/>
      </w:r>
      <w:r>
        <w:t>,</w:t>
      </w:r>
      <w:r>
        <w:fldChar w:fldCharType="begin"/>
      </w:r>
      <w:r>
        <w:instrText xml:space="preserve"> REF _Ref_52 \h </w:instrText>
      </w:r>
      <w:r>
        <w:fldChar w:fldCharType="separate"/>
      </w:r>
      <w:r>
        <w:t>52</w:t>
      </w:r>
      <w:r>
        <w:fldChar w:fldCharType="end"/>
      </w:r>
      <w:r>
        <w:t>]</w:t>
      </w:r>
      <w:r>
        <w:rPr>
          <w:b w:val="0"/>
          <w:i w:val="0"/>
        </w:rPr>
        <w:t xml:space="preserve"> and it is being restated for GenAI, which is increasingly analysed as a complex adaptive system of people, policies, data and processes rather than as a tool </w:t>
      </w:r>
      <w:r>
        <w:t>[</w:t>
      </w:r>
      <w:r>
        <w:fldChar w:fldCharType="begin"/>
      </w:r>
      <w:r>
        <w:instrText xml:space="preserve"> REF _Ref_53 \h </w:instrText>
      </w:r>
      <w:r>
        <w:fldChar w:fldCharType="separate"/>
      </w:r>
      <w:r>
        <w:t>53</w:t>
      </w:r>
      <w:r>
        <w:fldChar w:fldCharType="end"/>
      </w:r>
      <w:r>
        <w:t>,</w:t>
      </w:r>
      <w:r>
        <w:fldChar w:fldCharType="begin"/>
      </w:r>
      <w:r>
        <w:instrText xml:space="preserve"> REF _Ref_54 \h </w:instrText>
      </w:r>
      <w:r>
        <w:fldChar w:fldCharType="separate"/>
      </w:r>
      <w:r>
        <w:t>54</w:t>
      </w:r>
      <w:r>
        <w:fldChar w:fldCharType="end"/>
      </w:r>
      <w:r>
        <w:t>]</w:t>
      </w:r>
      <w:r>
        <w:rPr>
          <w:b w:val="0"/>
          <w:i w:val="0"/>
        </w:rPr>
        <w:t>. In our setting the technical subsystem is the allocation of tasks between the model, the junior and the senior; the social subsystem is the set of routines, review practices and mentoring arrangements through which people and models work together. Joint optimisation predicts a positive interaction between changes in the two, which is a testable statement about a simulated system rather than a metaphor, and which we test directly in Section 4.4.</w:t>
      </w:r>
    </w:p>
    <w:p>
      <w:pPr>
        <w:pStyle w:val="MDPI31text"/>
      </w:pPr>
      <w:r>
        <w:rPr>
          <w:b w:val="0"/>
          <w:i w:val="0"/>
        </w:rPr>
        <w:t xml:space="preserve">Systems theory also supplies the analytical vocabulary for the central question, from the law of requisite variety </w:t>
      </w:r>
      <w:r>
        <w:t>[</w:t>
      </w:r>
      <w:r>
        <w:fldChar w:fldCharType="begin"/>
      </w:r>
      <w:r>
        <w:instrText xml:space="preserve"> REF _Ref_55 \h </w:instrText>
      </w:r>
      <w:r>
        <w:fldChar w:fldCharType="separate"/>
      </w:r>
      <w:r>
        <w:t>55</w:t>
      </w:r>
      <w:r>
        <w:fldChar w:fldCharType="end"/>
      </w:r>
      <w:r>
        <w:t>]</w:t>
      </w:r>
      <w:r>
        <w:rPr>
          <w:b w:val="0"/>
          <w:i w:val="0"/>
        </w:rPr>
        <w:t xml:space="preserve"> to the conditions a system must satisfy if it is to remain viable by reproducing its own capability over time </w:t>
      </w:r>
      <w:r>
        <w:t>[</w:t>
      </w:r>
      <w:r>
        <w:fldChar w:fldCharType="begin"/>
      </w:r>
      <w:r>
        <w:instrText xml:space="preserve"> REF _Ref_56 \h </w:instrText>
      </w:r>
      <w:r>
        <w:fldChar w:fldCharType="separate"/>
      </w:r>
      <w:r>
        <w:t>56</w:t>
      </w:r>
      <w:r>
        <w:fldChar w:fldCharType="end"/>
      </w:r>
      <w:r>
        <w:t>]</w:t>
      </w:r>
      <w:r>
        <w:rPr>
          <w:b w:val="0"/>
          <w:i w:val="0"/>
        </w:rPr>
        <w:t xml:space="preserve">. Whether the entry port widens or narrows is a question of loop dominance: which of the reinforcing and balancing structures shown in Figure 1 governs behaviour at a given time and in a given configuration </w:t>
      </w:r>
      <w:r>
        <w:t>[</w:t>
      </w:r>
      <w:r>
        <w:fldChar w:fldCharType="begin"/>
      </w:r>
      <w:r>
        <w:instrText xml:space="preserve"> REF _Ref_30 \h </w:instrText>
      </w:r>
      <w:r>
        <w:fldChar w:fldCharType="separate"/>
      </w:r>
      <w:r>
        <w:t>30</w:t>
      </w:r>
      <w:r>
        <w:fldChar w:fldCharType="end"/>
      </w:r>
      <w:r>
        <w:t>,</w:t>
      </w:r>
      <w:r>
        <w:fldChar w:fldCharType="begin"/>
      </w:r>
      <w:r>
        <w:instrText xml:space="preserve"> REF _Ref_57 \h </w:instrText>
      </w:r>
      <w:r>
        <w:fldChar w:fldCharType="separate"/>
      </w:r>
      <w:r>
        <w:t>57</w:t>
      </w:r>
      <w:r>
        <w:fldChar w:fldCharType="end"/>
      </w:r>
      <w:r>
        <w:t>]</w:t>
      </w:r>
      <w:r>
        <w:rPr>
          <w:b w:val="0"/>
          <w:i w:val="0"/>
        </w:rPr>
        <w:t xml:space="preserve">. Because dominance can shift over time, and because the shift is driven by accumulations with different time constants, the sign of the effect can differ between the short and the long run — a possibility that reduced-form estimation over a three-year window cannot detect, and that complexity-theoretic accounts of organisation lead us to expect </w:t>
      </w:r>
      <w:r>
        <w:t>[</w:t>
      </w:r>
      <w:r>
        <w:fldChar w:fldCharType="begin"/>
      </w:r>
      <w:r>
        <w:instrText xml:space="preserve"> REF _Ref_58 \h </w:instrText>
      </w:r>
      <w:r>
        <w:fldChar w:fldCharType="separate"/>
      </w:r>
      <w:r>
        <w:t>58</w:t>
      </w:r>
      <w:r>
        <w:fldChar w:fldCharType="end"/>
      </w:r>
      <w:r>
        <w:t>,</w:t>
      </w:r>
      <w:r>
        <w:fldChar w:fldCharType="begin"/>
      </w:r>
      <w:r>
        <w:instrText xml:space="preserve"> REF _Ref_59 \h </w:instrText>
      </w:r>
      <w:r>
        <w:fldChar w:fldCharType="separate"/>
      </w:r>
      <w:r>
        <w:t>59</w:t>
      </w:r>
      <w:r>
        <w:fldChar w:fldCharType="end"/>
      </w:r>
      <w:r>
        <w:t>]</w:t>
      </w:r>
      <w:r>
        <w:rPr>
          <w:b w:val="0"/>
          <w:i w:val="0"/>
        </w:rPr>
        <w:t>.</w:t>
      </w:r>
    </w:p>
    <w:p>
      <w:pPr>
        <w:pStyle w:val="MDPI22heading2"/>
      </w:pPr>
      <w:r>
        <w:t>2.4. Feedback Structure and Propositions</w:t>
      </w:r>
    </w:p>
    <w:p>
      <w:pPr>
        <w:pStyle w:val="MDPI32textnoindent"/>
      </w:pPr>
      <w:r>
        <w:rPr>
          <w:b w:val="0"/>
          <w:i w:val="0"/>
        </w:rPr>
        <w:t xml:space="preserve">Figure 1 summarises the causal structure. Five loops are relevant. Loop B1, entry-port displacement, is balancing: greater GenAI capability automates a larger share of entry tasks, which reduces the volume of entry work available to juniors and hence early-career employment, which in turn slows the accumulation of collaboration routines and therefore the firm's capacity to absorb further capability. Loop B2 is the classical productivity–headcount channel: higher junior effective productivity reduces the headcount required for a given task volume. Loop R1, task reinstatement, is reinforcing: collaboration routines allow core work to be delegated to AI-assisted juniors, which raises the entry task volume. Loop R2, the organisational learning engine, is the mechanism by which routines accumulate — learning by collaborating requires both the experimentation of juniors and the judgement of seniors, so it is strongest when the two stocks are balanced and collapses when either is depleted. Loop R3, the development pipeline, is reinforcing and slow: promotions replenish the senior stock, seniors provide the mentoring that makes promotion possible, and a thinning of either end of the pipeline is self-propagating. Loop R4 is the scale loop: lower unit cost raises demand and hence all task volumes </w:t>
      </w:r>
      <w:r>
        <w:t>[</w:t>
      </w:r>
      <w:r>
        <w:fldChar w:fldCharType="begin"/>
      </w:r>
      <w:r>
        <w:instrText xml:space="preserve"> REF _Ref_15 \h </w:instrText>
      </w:r>
      <w:r>
        <w:fldChar w:fldCharType="separate"/>
      </w:r>
      <w:r>
        <w:t>15</w:t>
      </w:r>
      <w:r>
        <w:fldChar w:fldCharType="end"/>
      </w:r>
      <w:r>
        <w:t>,</w:t>
      </w:r>
      <w:r>
        <w:fldChar w:fldCharType="begin"/>
      </w:r>
      <w:r>
        <w:instrText xml:space="preserve"> REF _Ref_60 \h </w:instrText>
      </w:r>
      <w:r>
        <w:fldChar w:fldCharType="separate"/>
      </w:r>
      <w:r>
        <w:t>60</w:t>
      </w:r>
      <w:r>
        <w:fldChar w:fldCharType="end"/>
      </w:r>
      <w:r>
        <w:t>]</w:t>
      </w:r>
      <w:r>
        <w:rPr>
          <w:b w:val="0"/>
          <w:i w:val="0"/>
        </w:rPr>
        <w:t>.</w:t>
      </w:r>
    </w:p>
    <w:p>
      <w:pPr>
        <w:pStyle w:val="MDPI52figure"/>
        <w:keepNext/>
        <w:jc w:val="center"/>
      </w:pPr>
      <w:r>
        <w:drawing>
          <wp:inline xmlns:a="http://schemas.openxmlformats.org/drawingml/2006/main" xmlns:pic="http://schemas.openxmlformats.org/drawingml/2006/picture">
            <wp:extent cx="6120000" cy="3202492"/>
            <wp:docPr id="1" name="Picture 1"/>
            <wp:cNvGraphicFramePr>
              <a:graphicFrameLocks noChangeAspect="1"/>
            </wp:cNvGraphicFramePr>
            <a:graphic>
              <a:graphicData uri="http://schemas.openxmlformats.org/drawingml/2006/picture">
                <pic:pic>
                  <pic:nvPicPr>
                    <pic:cNvPr id="0" name="figure1_cld.png"/>
                    <pic:cNvPicPr/>
                  </pic:nvPicPr>
                  <pic:blipFill>
                    <a:blip r:embed="rId1"/>
                    <a:stretch>
                      <a:fillRect/>
                    </a:stretch>
                  </pic:blipFill>
                  <pic:spPr>
                    <a:xfrm>
                      <a:off x="0" y="0"/>
                      <a:ext cx="6120000" cy="3202492"/>
                    </a:xfrm>
                    <a:prstGeom prst="rect"/>
                  </pic:spPr>
                </pic:pic>
              </a:graphicData>
            </a:graphic>
          </wp:inline>
        </w:drawing>
      </w:r>
    </w:p>
    <w:p>
      <w:pPr>
        <w:pStyle w:val="MDPI51figurecaption"/>
        <w:keepNext/>
        <w:spacing w:after="40"/>
      </w:pPr>
      <w:r>
        <w:rPr>
          <w:b/>
          <w:sz w:val="18"/>
        </w:rPr>
        <w:t xml:space="preserve">Figure 1. </w:t>
      </w:r>
      <w:r>
        <w:rPr>
          <w:b w:val="0"/>
          <w:i w:val="0"/>
          <w:sz w:val="18"/>
        </w:rPr>
        <w:t>Causal loop diagram of the youth entry port under generative artificial intelligence.</w:t>
      </w:r>
    </w:p>
    <w:p>
      <w:pPr>
        <w:pStyle w:val="MDPI51figurecaption"/>
        <w:spacing w:line="240" w:lineRule="auto" w:before="0" w:after="200"/>
        <w:ind w:left="2608" w:firstLine="0"/>
      </w:pPr>
      <w:r>
        <w:rPr>
          <w:i/>
          <w:sz w:val="16"/>
        </w:rPr>
        <w:t xml:space="preserve">Note: </w:t>
      </w:r>
      <w:r>
        <w:rPr>
          <w:b w:val="0"/>
          <w:i w:val="0"/>
          <w:sz w:val="16"/>
        </w:rPr>
        <w:t>Arrows denote causal links; “+” indicates that the two variables move in the same direction and “−” that they move in opposite directions. B denotes a balancing loop and R a reinforcing loop: B1 entry-port displacement; B2 productivity–headcount; R1 task reinstatement; R2 organisational learning engine; R3 development pipeline; R4 scale and competitiveness.</w:t>
      </w:r>
    </w:p>
    <w:p>
      <w:pPr>
        <w:pStyle w:val="MDPI31text"/>
      </w:pPr>
      <w:r>
        <w:rPr>
          <w:b w:val="0"/>
          <w:i w:val="0"/>
        </w:rPr>
        <w:t>This structure yields four propositions, which the model in Section 3 makes precise and the experiments in Section 4 test.</w:t>
      </w:r>
    </w:p>
    <w:p>
      <w:pPr>
        <w:pStyle w:val="MDPI32textnoindent"/>
        <w:spacing w:before="80" w:after="80"/>
        <w:ind w:left="2948" w:firstLine="0"/>
      </w:pPr>
      <w:r>
        <w:rPr>
          <w:b/>
        </w:rPr>
        <w:t xml:space="preserve">Proposition 1. </w:t>
      </w:r>
      <w:r>
        <w:rPr>
          <w:b w:val="0"/>
          <w:i/>
        </w:rPr>
        <w:t>The sign of the long-run effect of GenAI on entry employment is not determined by the technology. It is determined by loop dominance, which in turn is set by the organisational parameters governing how far automation is pushed into entry tasks and how far higher-level work is reinstated to AI-assisted juniors.</w:t>
      </w:r>
    </w:p>
    <w:p>
      <w:pPr>
        <w:pStyle w:val="MDPI32textnoindent"/>
        <w:spacing w:before="80" w:after="80"/>
        <w:ind w:left="2948" w:firstLine="0"/>
      </w:pPr>
      <w:r>
        <w:rPr>
          <w:b/>
        </w:rPr>
        <w:t xml:space="preserve">Proposition 2. </w:t>
      </w:r>
      <w:r>
        <w:rPr>
          <w:b w:val="0"/>
          <w:i/>
        </w:rPr>
        <w:t>Because the reinstatement loop R1 is gated by an accumulated stock of collaboration routines while the displacement loop B1 is not, displacement dominates in the short run even in configurations in which reinstatement dominates in the long run. The trajectory of entry employment is therefore worse before better.</w:t>
      </w:r>
    </w:p>
    <w:p>
      <w:pPr>
        <w:pStyle w:val="MDPI32textnoindent"/>
        <w:spacing w:before="80" w:after="80"/>
        <w:ind w:left="2948" w:firstLine="0"/>
      </w:pPr>
      <w:r>
        <w:rPr>
          <w:b/>
        </w:rPr>
        <w:t xml:space="preserve">Proposition 3. </w:t>
      </w:r>
      <w:r>
        <w:rPr>
          <w:b w:val="0"/>
          <w:i/>
        </w:rPr>
        <w:t>Contraction of the entry port propagates, with a delay of the order of the time to competence, into the stock of experienced staff, into mentoring capacity and into the learning engine. An automation-first strategy that maximises short-run cost reduction is consequently a capability trap: it lowers long-run output relative to the counterfactual in which the technology is not adopted at all.</w:t>
      </w:r>
    </w:p>
    <w:p>
      <w:pPr>
        <w:pStyle w:val="MDPI32textnoindent"/>
        <w:spacing w:before="80" w:after="80"/>
        <w:ind w:left="2948" w:firstLine="0"/>
      </w:pPr>
      <w:r>
        <w:rPr>
          <w:b/>
        </w:rPr>
        <w:t xml:space="preserve">Proposition 4. </w:t>
      </w:r>
      <w:r>
        <w:rPr>
          <w:b w:val="0"/>
          <w:i/>
        </w:rPr>
        <w:t>Interventions in the technical subsystem (work redesign) and in the social subsystem (investment in collaboration routines) are complements. Their joint effect on entry employment exceeds the sum of their separate effects.</w:t>
      </w:r>
    </w:p>
    <w:p>
      <w:pPr>
        <w:pStyle w:val="MDPI21heading1"/>
      </w:pPr>
      <w:r>
        <w:t>3. Model Formulation</w:t>
      </w:r>
    </w:p>
    <w:p>
      <w:pPr>
        <w:pStyle w:val="MDPI22heading2"/>
      </w:pPr>
      <w:r>
        <w:t>3.1. Model Boundary, Aggregation and Assumptions</w:t>
      </w:r>
    </w:p>
    <w:p>
      <w:pPr>
        <w:pStyle w:val="MDPI32textnoindent"/>
      </w:pPr>
      <w:r>
        <w:rPr>
          <w:b w:val="0"/>
          <w:i w:val="0"/>
        </w:rPr>
        <w:t xml:space="preserve">The model represents a representative knowledge-intensive organisation in a highly exposed sector over a 25-year horizon, with </w:t>
      </w:r>
      <m:oMath>
        <m:r>
          <m:t xml:space="preserve">t</m:t>
        </m:r>
        <m:r>
          <m:rPr>
            <m:sty m:val="p"/>
          </m:rPr>
          <m:t xml:space="preserve">=</m:t>
        </m:r>
        <m:r>
          <m:rPr>
            <m:sty m:val="p"/>
          </m:rPr>
          <m:t xml:space="preserve">0</m:t>
        </m:r>
      </m:oMath>
      <w:r>
        <w:rPr>
          <w:b w:val="0"/>
          <w:i w:val="0"/>
        </w:rPr>
        <w:t xml:space="preserve"> corresponding to the point at which a general-purpose GenAI frontier becomes available. Six state variables are endogenous: early-career staff </w:t>
      </w:r>
      <m:oMath>
        <m:r>
          <m:t xml:space="preserve">J</m:t>
        </m:r>
      </m:oMath>
      <w:r>
        <w:rPr>
          <w:b w:val="0"/>
          <w:i w:val="0"/>
        </w:rPr>
        <w:t xml:space="preserve">, experienced staff </w:t>
      </w:r>
      <m:oMath>
        <m:r>
          <m:t xml:space="preserve">S</m:t>
        </m:r>
      </m:oMath>
      <w:r>
        <w:rPr>
          <w:b w:val="0"/>
          <w:i w:val="0"/>
        </w:rPr>
        <w:t xml:space="preserve">, GenAI capability </w:t>
      </w:r>
      <m:oMath>
        <m:r>
          <m:t xml:space="preserve">A</m:t>
        </m:r>
      </m:oMath>
      <w:r>
        <w:rPr>
          <w:b w:val="0"/>
          <w:i w:val="0"/>
        </w:rPr>
        <w:t xml:space="preserve">, human–AI collaboration routines </w:t>
      </w:r>
      <m:oMath>
        <m:r>
          <m:t xml:space="preserve">K</m:t>
        </m:r>
      </m:oMath>
      <w:r>
        <w:rPr>
          <w:b w:val="0"/>
          <w:i w:val="0"/>
        </w:rPr>
        <w:t xml:space="preserve">, planned output </w:t>
      </w:r>
      <m:oMath>
        <m:sSub>
          <m:e>
            <m:r>
              <m:t xml:space="preserve">Y</m:t>
            </m:r>
          </m:e>
          <m:sub>
            <m:r>
              <m:t xml:space="preserve">d</m:t>
            </m:r>
          </m:sub>
        </m:sSub>
      </m:oMath>
      <w:r>
        <w:rPr>
          <w:b w:val="0"/>
          <w:i w:val="0"/>
        </w:rPr>
        <w:t xml:space="preserve"> and perceived unit cost </w:t>
      </w:r>
      <m:oMath>
        <m:acc>
          <m:accPr>
            <m:chr m:val="^"/>
          </m:accPr>
          <m:e>
            <m:r>
              <m:t xml:space="preserve">C</m:t>
            </m:r>
          </m:e>
        </m:acc>
      </m:oMath>
      <w:r>
        <w:rPr>
          <w:b w:val="0"/>
          <w:i w:val="0"/>
        </w:rPr>
        <w:t>. The external technological frontier, the autonomous growth of demand and relative wages are exogenous. Table 1 lists all variables and Figure 2 shows the stock-and-flow structure.</w:t>
      </w:r>
    </w:p>
    <w:p>
      <w:pPr>
        <w:pStyle w:val="MDPI52figure"/>
        <w:keepNext/>
        <w:jc w:val="center"/>
      </w:pPr>
      <w:r>
        <w:drawing>
          <wp:inline xmlns:a="http://schemas.openxmlformats.org/drawingml/2006/main" xmlns:pic="http://schemas.openxmlformats.org/drawingml/2006/picture">
            <wp:extent cx="6120000" cy="3652164"/>
            <wp:docPr id="2" name="Picture 2"/>
            <wp:cNvGraphicFramePr>
              <a:graphicFrameLocks noChangeAspect="1"/>
            </wp:cNvGraphicFramePr>
            <a:graphic>
              <a:graphicData uri="http://schemas.openxmlformats.org/drawingml/2006/picture">
                <pic:pic>
                  <pic:nvPicPr>
                    <pic:cNvPr id="0" name="figure2_sfd.png"/>
                    <pic:cNvPicPr/>
                  </pic:nvPicPr>
                  <pic:blipFill>
                    <a:blip r:embed="rId18"/>
                    <a:stretch>
                      <a:fillRect/>
                    </a:stretch>
                  </pic:blipFill>
                  <pic:spPr>
                    <a:xfrm>
                      <a:off x="0" y="0"/>
                      <a:ext cx="6120000" cy="3652164"/>
                    </a:xfrm>
                    <a:prstGeom prst="rect"/>
                  </pic:spPr>
                </pic:pic>
              </a:graphicData>
            </a:graphic>
          </wp:inline>
        </w:drawing>
      </w:r>
    </w:p>
    <w:p>
      <w:pPr>
        <w:pStyle w:val="MDPI51figurecaption"/>
        <w:keepNext/>
        <w:spacing w:after="40"/>
      </w:pPr>
      <w:r>
        <w:rPr>
          <w:b/>
          <w:sz w:val="18"/>
        </w:rPr>
        <w:t xml:space="preserve">Figure 2. </w:t>
      </w:r>
      <w:r>
        <w:rPr>
          <w:b w:val="0"/>
          <w:i w:val="0"/>
          <w:sz w:val="18"/>
        </w:rPr>
        <w:t>Stock-and-flow structure of the model.</w:t>
      </w:r>
    </w:p>
    <w:p>
      <w:pPr>
        <w:pStyle w:val="MDPI51figurecaption"/>
        <w:spacing w:line="240" w:lineRule="auto" w:before="0" w:after="200"/>
        <w:ind w:left="2608" w:firstLine="0"/>
      </w:pPr>
      <w:r>
        <w:rPr>
          <w:i/>
          <w:sz w:val="16"/>
        </w:rPr>
        <w:t xml:space="preserve">Note: </w:t>
      </w:r>
      <w:r>
        <w:rPr>
          <w:b w:val="0"/>
          <w:i w:val="0"/>
          <w:sz w:val="16"/>
        </w:rPr>
        <w:t>Rectangles are stocks, double arrows with valves are flows, dashed arrows are information links and clouds mark the boundary of the system. The corresponding equations are given in Section 3.2.</w:t>
      </w:r>
    </w:p>
    <w:p>
      <w:pPr>
        <w:pStyle w:val="MDPI31text"/>
      </w:pPr>
      <w:r>
        <w:rPr>
          <w:b w:val="0"/>
          <w:i w:val="0"/>
        </w:rPr>
        <w:t xml:space="preserve">Three modelling choices deserve comment because they define the boundary. First, the workforce is aggregated into two competence classes rather than a continuous vintage structure. This is the minimum representation that supports a pipeline with a development delay, and it keeps the number of free parameters small enough for the sensitivity analysis to be informative </w:t>
      </w:r>
      <w:r>
        <w:t>[</w:t>
      </w:r>
      <w:r>
        <w:fldChar w:fldCharType="begin"/>
      </w:r>
      <w:r>
        <w:instrText xml:space="preserve"> REF _Ref_30 \h </w:instrText>
      </w:r>
      <w:r>
        <w:fldChar w:fldCharType="separate"/>
      </w:r>
      <w:r>
        <w:t>30</w:t>
      </w:r>
      <w:r>
        <w:fldChar w:fldCharType="end"/>
      </w:r>
      <w:r>
        <w:t>,</w:t>
      </w:r>
      <w:r>
        <w:fldChar w:fldCharType="begin"/>
      </w:r>
      <w:r>
        <w:instrText xml:space="preserve"> REF _Ref_33 \h </w:instrText>
      </w:r>
      <w:r>
        <w:fldChar w:fldCharType="separate"/>
      </w:r>
      <w:r>
        <w:t>33</w:t>
      </w:r>
      <w:r>
        <w:fldChar w:fldCharType="end"/>
      </w:r>
      <w:r>
        <w:t>]</w:t>
      </w:r>
      <w:r>
        <w:rPr>
          <w:b w:val="0"/>
          <w:i w:val="0"/>
        </w:rPr>
        <w:t xml:space="preserve">. Second, the representative organisation is interpreted as the sector, so the external market for experienced staff is fed by the sector's own promotion flow. Buying experienced staff is therefore possible but bounded, and the bound tightens when the sector as a whole thins its entry port. We treat this sector-consistent closure as the default and report the partial-equilibrium closure, in which the external market is unaffected by the firm's own behaviour, as a comparison in Section 4.5. Third, the model is deterministic. Uncertainty is handled through global sensitivity analysis over the parameter space rather than through stochastic shocks, which is the appropriate treatment when the object of interest is structural behaviour rather than forecast intervals </w:t>
      </w:r>
      <w:r>
        <w:t>[</w:t>
      </w:r>
      <w:r>
        <w:fldChar w:fldCharType="begin"/>
      </w:r>
      <w:r>
        <w:instrText xml:space="preserve"> REF _Ref_32 \h </w:instrText>
      </w:r>
      <w:r>
        <w:fldChar w:fldCharType="separate"/>
      </w:r>
      <w:r>
        <w:t>32</w:t>
      </w:r>
      <w:r>
        <w:fldChar w:fldCharType="end"/>
      </w:r>
      <w:r>
        <w:t>]</w:t>
      </w:r>
      <w:r>
        <w:rPr>
          <w:b w:val="0"/>
          <w:i w:val="0"/>
        </w:rPr>
        <w:t>.</w:t>
      </w:r>
    </w:p>
    <w:p>
      <w:pPr>
        <w:pStyle w:val="MDPI41tablecaption"/>
        <w:keepNext/>
        <w:spacing w:after="60"/>
      </w:pPr>
      <w:r>
        <w:rPr>
          <w:b/>
          <w:sz w:val="18"/>
        </w:rPr>
        <w:t xml:space="preserve">Table 1. </w:t>
      </w:r>
      <w:r>
        <w:rPr>
          <w:b w:val="0"/>
          <w:i w:val="0"/>
          <w:sz w:val="18"/>
        </w:rPr>
        <w:t>Model variables.</w:t>
      </w:r>
    </w:p>
    <w:tbl>
      <w:tblPr>
        <w:tblStyle w:val="MDPI41threelinetable"/>
        <w:tblW w:w="7859" w:type="dxa"/>
        <w:tblInd w:w="2608" w:type="dxa"/>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CellMar>
          <w:top w:w="0" w:type="dxa"/>
          <w:left w:w="57" w:type="dxa"/>
          <w:bottom w:w="0" w:type="dxa"/>
          <w:right w:w="57" w:type="dxa"/>
        </w:tblCellMar>
        <w:tblLook w:firstColumn="1" w:firstRow="1" w:lastColumn="0" w:lastRow="0" w:noHBand="0" w:noVBand="1" w:val="04A0"/>
      </w:tblPr>
      <w:tblGrid>
        <w:gridCol w:w="1178"/>
        <w:gridCol w:w="4715"/>
        <w:gridCol w:w="1964"/>
      </w:tblGrid>
      <w:tr>
        <w:tc>
          <w:tcPr>
            <w:tcW w:type="dxa" w:w="1178"/>
            <w:tcBorders>
              <w:bottom w:val="single" w:sz="8" w:space="0" w:color="auto"/>
            </w:tcBorders>
          </w:tcPr>
          <w:p>
            <w:pPr>
              <w:pStyle w:val="MDPI42tablebody"/>
              <w:spacing w:line="240" w:lineRule="auto" w:before="30" w:after="30"/>
              <w:jc w:val="center"/>
            </w:pPr>
            <w:r>
              <w:rPr>
                <w:b/>
                <w:i w:val="0"/>
                <w:sz w:val="18"/>
              </w:rPr>
              <w:t>Symbol</w:t>
            </w:r>
          </w:p>
        </w:tc>
        <w:tc>
          <w:tcPr>
            <w:tcW w:type="dxa" w:w="4715"/>
            <w:tcBorders>
              <w:bottom w:val="single" w:sz="8" w:space="0" w:color="auto"/>
            </w:tcBorders>
          </w:tcPr>
          <w:p>
            <w:pPr>
              <w:pStyle w:val="MDPI42tablebody"/>
              <w:spacing w:line="240" w:lineRule="auto" w:before="30" w:after="30"/>
              <w:jc w:val="center"/>
            </w:pPr>
            <w:r>
              <w:rPr>
                <w:b/>
                <w:i w:val="0"/>
                <w:sz w:val="18"/>
              </w:rPr>
              <w:t>Variable</w:t>
            </w:r>
          </w:p>
        </w:tc>
        <w:tc>
          <w:tcPr>
            <w:tcW w:type="dxa" w:w="1964"/>
            <w:tcBorders>
              <w:bottom w:val="single" w:sz="8" w:space="0" w:color="auto"/>
            </w:tcBorders>
          </w:tcPr>
          <w:p>
            <w:pPr>
              <w:pStyle w:val="MDPI42tablebody"/>
              <w:spacing w:line="240" w:lineRule="auto" w:before="30" w:after="30"/>
              <w:jc w:val="center"/>
            </w:pPr>
            <w:r>
              <w:rPr>
                <w:b/>
                <w:i w:val="0"/>
                <w:sz w:val="18"/>
              </w:rPr>
              <w:t>Unit</w:t>
            </w:r>
          </w:p>
        </w:tc>
      </w:tr>
      <w:tr>
        <w:tc>
          <w:tcPr>
            <w:tcW w:type="dxa" w:w="7859"/>
            <w:gridSpan w:val="3"/>
          </w:tcPr>
          <w:p>
            <w:pPr>
              <w:pStyle w:val="MDPI42tablebody"/>
              <w:spacing w:line="240" w:lineRule="auto" w:before="60" w:after="30"/>
              <w:jc w:val="left"/>
            </w:pPr>
            <w:r>
              <w:rPr>
                <w:b/>
                <w:i/>
                <w:sz w:val="18"/>
              </w:rPr>
              <w:t>Stocks</w:t>
            </w:r>
          </w:p>
        </w:tc>
      </w:tr>
      <w:tr>
        <w:tc>
          <w:tcPr>
            <w:tcW w:type="dxa" w:w="1178"/>
          </w:tcPr>
          <w:p>
            <w:pPr>
              <w:pStyle w:val="MDPI42tablebody"/>
              <w:spacing w:line="240" w:lineRule="auto" w:before="30" w:after="30"/>
              <w:jc w:val="left"/>
            </w:pPr>
            <w:r>
              <w:rPr>
                <w:b w:val="0"/>
                <w:i/>
                <w:sz w:val="18"/>
              </w:rPr>
              <w:t>J</w:t>
            </w:r>
          </w:p>
        </w:tc>
        <w:tc>
          <w:tcPr>
            <w:tcW w:type="dxa" w:w="4715"/>
          </w:tcPr>
          <w:p>
            <w:pPr>
              <w:pStyle w:val="MDPI42tablebody"/>
              <w:spacing w:line="240" w:lineRule="auto" w:before="30" w:after="30"/>
              <w:jc w:val="left"/>
            </w:pPr>
            <w:r>
              <w:rPr>
                <w:b w:val="0"/>
                <w:i w:val="0"/>
                <w:sz w:val="18"/>
              </w:rPr>
              <w:t>Early-career (junior) staff</w:t>
            </w:r>
          </w:p>
        </w:tc>
        <w:tc>
          <w:tcPr>
            <w:tcW w:type="dxa" w:w="1964"/>
          </w:tcPr>
          <w:p>
            <w:pPr>
              <w:pStyle w:val="MDPI42tablebody"/>
              <w:spacing w:line="240" w:lineRule="auto" w:before="30" w:after="30"/>
              <w:jc w:val="left"/>
            </w:pPr>
            <w:r>
              <w:rPr>
                <w:b w:val="0"/>
                <w:i w:val="0"/>
                <w:sz w:val="18"/>
              </w:rPr>
              <w:t>persons</w:t>
            </w:r>
          </w:p>
        </w:tc>
      </w:tr>
      <w:tr>
        <w:tc>
          <w:tcPr>
            <w:tcW w:type="dxa" w:w="1178"/>
          </w:tcPr>
          <w:p>
            <w:pPr>
              <w:pStyle w:val="MDPI42tablebody"/>
              <w:spacing w:line="240" w:lineRule="auto" w:before="30" w:after="30"/>
              <w:jc w:val="left"/>
            </w:pPr>
            <w:r>
              <w:rPr>
                <w:b w:val="0"/>
                <w:i/>
                <w:sz w:val="18"/>
              </w:rPr>
              <w:t>S</w:t>
            </w:r>
          </w:p>
        </w:tc>
        <w:tc>
          <w:tcPr>
            <w:tcW w:type="dxa" w:w="4715"/>
          </w:tcPr>
          <w:p>
            <w:pPr>
              <w:pStyle w:val="MDPI42tablebody"/>
              <w:spacing w:line="240" w:lineRule="auto" w:before="30" w:after="30"/>
              <w:jc w:val="left"/>
            </w:pPr>
            <w:r>
              <w:rPr>
                <w:b w:val="0"/>
                <w:i w:val="0"/>
                <w:sz w:val="18"/>
              </w:rPr>
              <w:t>Experienced (senior) staff</w:t>
            </w:r>
          </w:p>
        </w:tc>
        <w:tc>
          <w:tcPr>
            <w:tcW w:type="dxa" w:w="1964"/>
          </w:tcPr>
          <w:p>
            <w:pPr>
              <w:pStyle w:val="MDPI42tablebody"/>
              <w:spacing w:line="240" w:lineRule="auto" w:before="30" w:after="30"/>
              <w:jc w:val="left"/>
            </w:pPr>
            <w:r>
              <w:rPr>
                <w:b w:val="0"/>
                <w:i w:val="0"/>
                <w:sz w:val="18"/>
              </w:rPr>
              <w:t>persons</w:t>
            </w:r>
          </w:p>
        </w:tc>
      </w:tr>
      <w:tr>
        <w:tc>
          <w:tcPr>
            <w:tcW w:type="dxa" w:w="1178"/>
          </w:tcPr>
          <w:p>
            <w:pPr>
              <w:pStyle w:val="MDPI42tablebody"/>
              <w:spacing w:line="240" w:lineRule="auto" w:before="30" w:after="30"/>
              <w:jc w:val="left"/>
            </w:pPr>
            <w:r>
              <w:rPr>
                <w:b w:val="0"/>
                <w:i/>
                <w:sz w:val="18"/>
              </w:rPr>
              <w:t>A</w:t>
            </w:r>
          </w:p>
        </w:tc>
        <w:tc>
          <w:tcPr>
            <w:tcW w:type="dxa" w:w="4715"/>
          </w:tcPr>
          <w:p>
            <w:pPr>
              <w:pStyle w:val="MDPI42tablebody"/>
              <w:spacing w:line="240" w:lineRule="auto" w:before="30" w:after="30"/>
              <w:jc w:val="left"/>
            </w:pPr>
            <w:r>
              <w:rPr>
                <w:b w:val="0"/>
                <w:i w:val="0"/>
                <w:sz w:val="18"/>
              </w:rPr>
              <w:t>Generative-AI capability</w:t>
            </w:r>
          </w:p>
        </w:tc>
        <w:tc>
          <w:tcPr>
            <w:tcW w:type="dxa" w:w="1964"/>
          </w:tcPr>
          <w:p>
            <w:pPr>
              <w:pStyle w:val="MDPI42tablebody"/>
              <w:spacing w:line="240" w:lineRule="auto" w:before="30" w:after="30"/>
              <w:jc w:val="left"/>
            </w:pPr>
            <w:r>
              <w:rPr>
                <w:b w:val="0"/>
                <w:i w:val="0"/>
                <w:sz w:val="18"/>
              </w:rPr>
              <w:t>index (0–1)</w:t>
            </w:r>
          </w:p>
        </w:tc>
      </w:tr>
      <w:tr>
        <w:tc>
          <w:tcPr>
            <w:tcW w:type="dxa" w:w="1178"/>
          </w:tcPr>
          <w:p>
            <w:pPr>
              <w:pStyle w:val="MDPI42tablebody"/>
              <w:spacing w:line="240" w:lineRule="auto" w:before="30" w:after="30"/>
              <w:jc w:val="left"/>
            </w:pPr>
            <w:r>
              <w:rPr>
                <w:b w:val="0"/>
                <w:i/>
                <w:sz w:val="18"/>
              </w:rPr>
              <w:t>K</w:t>
            </w:r>
          </w:p>
        </w:tc>
        <w:tc>
          <w:tcPr>
            <w:tcW w:type="dxa" w:w="4715"/>
          </w:tcPr>
          <w:p>
            <w:pPr>
              <w:pStyle w:val="MDPI42tablebody"/>
              <w:spacing w:line="240" w:lineRule="auto" w:before="30" w:after="30"/>
              <w:jc w:val="left"/>
            </w:pPr>
            <w:r>
              <w:rPr>
                <w:b w:val="0"/>
                <w:i w:val="0"/>
                <w:sz w:val="18"/>
              </w:rPr>
              <w:t>Human–AI collaboration routines</w:t>
            </w:r>
          </w:p>
        </w:tc>
        <w:tc>
          <w:tcPr>
            <w:tcW w:type="dxa" w:w="1964"/>
          </w:tcPr>
          <w:p>
            <w:pPr>
              <w:pStyle w:val="MDPI42tablebody"/>
              <w:spacing w:line="240" w:lineRule="auto" w:before="30" w:after="30"/>
              <w:jc w:val="left"/>
            </w:pPr>
            <w:r>
              <w:rPr>
                <w:b w:val="0"/>
                <w:i w:val="0"/>
                <w:sz w:val="18"/>
              </w:rPr>
              <w:t>index</w:t>
            </w:r>
          </w:p>
        </w:tc>
      </w:tr>
      <w:tr>
        <w:tc>
          <w:tcPr>
            <w:tcW w:type="dxa" w:w="1178"/>
          </w:tcPr>
          <w:p>
            <w:pPr>
              <w:pStyle w:val="MDPI42tablebody"/>
              <w:spacing w:line="240" w:lineRule="auto" w:before="30" w:after="30"/>
              <w:jc w:val="left"/>
            </w:pPr>
            <w:r>
              <w:rPr>
                <w:b w:val="0"/>
                <w:i/>
                <w:sz w:val="18"/>
              </w:rPr>
              <w:t>Y</w:t>
            </w:r>
            <w:r>
              <w:rPr>
                <w:b w:val="0"/>
                <w:i/>
                <w:sz w:val="18"/>
                <w:vertAlign w:val="subscript"/>
              </w:rPr>
              <w:t>d</w:t>
            </w:r>
          </w:p>
        </w:tc>
        <w:tc>
          <w:tcPr>
            <w:tcW w:type="dxa" w:w="4715"/>
          </w:tcPr>
          <w:p>
            <w:pPr>
              <w:pStyle w:val="MDPI42tablebody"/>
              <w:spacing w:line="240" w:lineRule="auto" w:before="30" w:after="30"/>
              <w:jc w:val="left"/>
            </w:pPr>
            <w:r>
              <w:rPr>
                <w:b w:val="0"/>
                <w:i w:val="0"/>
                <w:sz w:val="18"/>
              </w:rPr>
              <w:t>Planned output</w:t>
            </w:r>
          </w:p>
        </w:tc>
        <w:tc>
          <w:tcPr>
            <w:tcW w:type="dxa" w:w="1964"/>
          </w:tcPr>
          <w:p>
            <w:pPr>
              <w:pStyle w:val="MDPI42tablebody"/>
              <w:spacing w:line="240" w:lineRule="auto" w:before="30" w:after="30"/>
              <w:jc w:val="left"/>
            </w:pPr>
            <w:r>
              <w:rPr>
                <w:b w:val="0"/>
                <w:i w:val="0"/>
                <w:sz w:val="18"/>
              </w:rPr>
              <w:t>output units yr⁻¹</w:t>
            </w:r>
          </w:p>
        </w:tc>
      </w:tr>
      <w:tr>
        <w:tc>
          <w:tcPr>
            <w:tcW w:type="dxa" w:w="1178"/>
          </w:tcPr>
          <w:p>
            <w:pPr>
              <w:pStyle w:val="MDPI42tablebody"/>
              <w:spacing w:line="240" w:lineRule="auto" w:before="30" w:after="30"/>
              <w:jc w:val="left"/>
            </w:pPr>
            <w:r>
              <w:rPr>
                <w:b w:val="0"/>
                <w:i/>
                <w:sz w:val="18"/>
              </w:rPr>
              <w:t>Ĉ</w:t>
            </w:r>
          </w:p>
        </w:tc>
        <w:tc>
          <w:tcPr>
            <w:tcW w:type="dxa" w:w="4715"/>
          </w:tcPr>
          <w:p>
            <w:pPr>
              <w:pStyle w:val="MDPI42tablebody"/>
              <w:spacing w:line="240" w:lineRule="auto" w:before="30" w:after="30"/>
              <w:jc w:val="left"/>
            </w:pPr>
            <w:r>
              <w:rPr>
                <w:b w:val="0"/>
                <w:i w:val="0"/>
                <w:sz w:val="18"/>
              </w:rPr>
              <w:t>Perceived unit cost</w:t>
            </w:r>
          </w:p>
        </w:tc>
        <w:tc>
          <w:tcPr>
            <w:tcW w:type="dxa" w:w="1964"/>
          </w:tcPr>
          <w:p>
            <w:pPr>
              <w:pStyle w:val="MDPI42tablebody"/>
              <w:spacing w:line="240" w:lineRule="auto" w:before="30" w:after="30"/>
              <w:jc w:val="left"/>
            </w:pPr>
            <w:r>
              <w:rPr>
                <w:b w:val="0"/>
                <w:i w:val="0"/>
                <w:sz w:val="18"/>
              </w:rPr>
              <w:t>cost per output unit</w:t>
            </w:r>
          </w:p>
        </w:tc>
      </w:tr>
      <w:tr>
        <w:tc>
          <w:tcPr>
            <w:tcW w:type="dxa" w:w="7859"/>
            <w:gridSpan w:val="3"/>
          </w:tcPr>
          <w:p>
            <w:pPr>
              <w:pStyle w:val="MDPI42tablebody"/>
              <w:spacing w:line="240" w:lineRule="auto" w:before="60" w:after="30"/>
              <w:jc w:val="left"/>
            </w:pPr>
            <w:r>
              <w:rPr>
                <w:b/>
                <w:i/>
                <w:sz w:val="18"/>
              </w:rPr>
              <w:t>Flows</w:t>
            </w:r>
          </w:p>
        </w:tc>
      </w:tr>
      <w:tr>
        <w:tc>
          <w:tcPr>
            <w:tcW w:type="dxa" w:w="1178"/>
          </w:tcPr>
          <w:p>
            <w:pPr>
              <w:pStyle w:val="MDPI42tablebody"/>
              <w:spacing w:line="240" w:lineRule="auto" w:before="30" w:after="30"/>
              <w:jc w:val="left"/>
            </w:pPr>
            <w:r>
              <w:rPr>
                <w:b w:val="0"/>
                <w:i/>
                <w:sz w:val="18"/>
              </w:rPr>
              <w:t>h</w:t>
            </w:r>
          </w:p>
        </w:tc>
        <w:tc>
          <w:tcPr>
            <w:tcW w:type="dxa" w:w="4715"/>
          </w:tcPr>
          <w:p>
            <w:pPr>
              <w:pStyle w:val="MDPI42tablebody"/>
              <w:spacing w:line="240" w:lineRule="auto" w:before="30" w:after="30"/>
              <w:jc w:val="left"/>
            </w:pPr>
            <w:r>
              <w:rPr>
                <w:b w:val="0"/>
                <w:i w:val="0"/>
                <w:sz w:val="18"/>
              </w:rPr>
              <w:t>Entry hiring rate</w:t>
            </w:r>
          </w:p>
        </w:tc>
        <w:tc>
          <w:tcPr>
            <w:tcW w:type="dxa" w:w="1964"/>
          </w:tcPr>
          <w:p>
            <w:pPr>
              <w:pStyle w:val="MDPI42tablebody"/>
              <w:spacing w:line="240" w:lineRule="auto" w:before="30" w:after="30"/>
              <w:jc w:val="left"/>
            </w:pPr>
            <w:r>
              <w:rPr>
                <w:b w:val="0"/>
                <w:i w:val="0"/>
                <w:sz w:val="18"/>
              </w:rPr>
              <w:t>persons yr⁻¹</w:t>
            </w:r>
          </w:p>
        </w:tc>
      </w:tr>
      <w:tr>
        <w:tc>
          <w:tcPr>
            <w:tcW w:type="dxa" w:w="1178"/>
          </w:tcPr>
          <w:p>
            <w:pPr>
              <w:pStyle w:val="MDPI42tablebody"/>
              <w:spacing w:line="240" w:lineRule="auto" w:before="30" w:after="30"/>
              <w:jc w:val="left"/>
            </w:pPr>
            <w:r>
              <w:rPr>
                <w:b w:val="0"/>
                <w:i/>
                <w:sz w:val="18"/>
              </w:rPr>
              <w:t>c</w:t>
            </w:r>
          </w:p>
        </w:tc>
        <w:tc>
          <w:tcPr>
            <w:tcW w:type="dxa" w:w="4715"/>
          </w:tcPr>
          <w:p>
            <w:pPr>
              <w:pStyle w:val="MDPI42tablebody"/>
              <w:spacing w:line="240" w:lineRule="auto" w:before="30" w:after="30"/>
              <w:jc w:val="left"/>
            </w:pPr>
            <w:r>
              <w:rPr>
                <w:b w:val="0"/>
                <w:i w:val="0"/>
                <w:sz w:val="18"/>
              </w:rPr>
              <w:t>Promotion flow from junior to senior</w:t>
            </w:r>
          </w:p>
        </w:tc>
        <w:tc>
          <w:tcPr>
            <w:tcW w:type="dxa" w:w="1964"/>
          </w:tcPr>
          <w:p>
            <w:pPr>
              <w:pStyle w:val="MDPI42tablebody"/>
              <w:spacing w:line="240" w:lineRule="auto" w:before="30" w:after="30"/>
              <w:jc w:val="left"/>
            </w:pPr>
            <w:r>
              <w:rPr>
                <w:b w:val="0"/>
                <w:i w:val="0"/>
                <w:sz w:val="18"/>
              </w:rPr>
              <w:t>persons yr⁻¹</w:t>
            </w:r>
          </w:p>
        </w:tc>
      </w:tr>
      <w:tr>
        <w:tc>
          <w:tcPr>
            <w:tcW w:type="dxa" w:w="1178"/>
          </w:tcPr>
          <w:p>
            <w:pPr>
              <w:pStyle w:val="MDPI42tablebody"/>
              <w:spacing w:line="240" w:lineRule="auto" w:before="30" w:after="30"/>
              <w:jc w:val="left"/>
            </w:pPr>
            <w:r>
              <w:rPr>
                <w:b w:val="0"/>
                <w:i/>
                <w:sz w:val="18"/>
              </w:rPr>
              <w:t>e</w:t>
            </w:r>
            <w:r>
              <w:rPr>
                <w:b w:val="0"/>
                <w:i/>
                <w:sz w:val="18"/>
                <w:vertAlign w:val="subscript"/>
              </w:rPr>
              <w:t>S</w:t>
            </w:r>
          </w:p>
        </w:tc>
        <w:tc>
          <w:tcPr>
            <w:tcW w:type="dxa" w:w="4715"/>
          </w:tcPr>
          <w:p>
            <w:pPr>
              <w:pStyle w:val="MDPI42tablebody"/>
              <w:spacing w:line="240" w:lineRule="auto" w:before="30" w:after="30"/>
              <w:jc w:val="left"/>
            </w:pPr>
            <w:r>
              <w:rPr>
                <w:b w:val="0"/>
                <w:i w:val="0"/>
                <w:sz w:val="18"/>
              </w:rPr>
              <w:t>External recruitment of senior staff</w:t>
            </w:r>
          </w:p>
        </w:tc>
        <w:tc>
          <w:tcPr>
            <w:tcW w:type="dxa" w:w="1964"/>
          </w:tcPr>
          <w:p>
            <w:pPr>
              <w:pStyle w:val="MDPI42tablebody"/>
              <w:spacing w:line="240" w:lineRule="auto" w:before="30" w:after="30"/>
              <w:jc w:val="left"/>
            </w:pPr>
            <w:r>
              <w:rPr>
                <w:b w:val="0"/>
                <w:i w:val="0"/>
                <w:sz w:val="18"/>
              </w:rPr>
              <w:t>persons yr⁻¹</w:t>
            </w:r>
          </w:p>
        </w:tc>
      </w:tr>
      <w:tr>
        <w:tc>
          <w:tcPr>
            <w:tcW w:type="dxa" w:w="1178"/>
          </w:tcPr>
          <w:p>
            <w:pPr>
              <w:pStyle w:val="MDPI42tablebody"/>
              <w:spacing w:line="240" w:lineRule="auto" w:before="30" w:after="30"/>
              <w:jc w:val="left"/>
            </w:pPr>
            <w:r>
              <w:rPr>
                <w:b w:val="0"/>
                <w:i/>
                <w:sz w:val="18"/>
              </w:rPr>
              <w:t>ℓ</w:t>
            </w:r>
          </w:p>
        </w:tc>
        <w:tc>
          <w:tcPr>
            <w:tcW w:type="dxa" w:w="4715"/>
          </w:tcPr>
          <w:p>
            <w:pPr>
              <w:pStyle w:val="MDPI42tablebody"/>
              <w:spacing w:line="240" w:lineRule="auto" w:before="30" w:after="30"/>
              <w:jc w:val="left"/>
            </w:pPr>
            <w:r>
              <w:rPr>
                <w:b w:val="0"/>
                <w:i w:val="0"/>
                <w:sz w:val="18"/>
              </w:rPr>
              <w:t>Learning-by-collaborating inflow</w:t>
            </w:r>
          </w:p>
        </w:tc>
        <w:tc>
          <w:tcPr>
            <w:tcW w:type="dxa" w:w="1964"/>
          </w:tcPr>
          <w:p>
            <w:pPr>
              <w:pStyle w:val="MDPI42tablebody"/>
              <w:spacing w:line="240" w:lineRule="auto" w:before="30" w:after="30"/>
              <w:jc w:val="left"/>
            </w:pPr>
            <w:r>
              <w:rPr>
                <w:b w:val="0"/>
                <w:i w:val="0"/>
                <w:sz w:val="18"/>
              </w:rPr>
              <w:t>index yr⁻¹</w:t>
            </w:r>
          </w:p>
        </w:tc>
      </w:tr>
      <w:tr>
        <w:tc>
          <w:tcPr>
            <w:tcW w:type="dxa" w:w="7859"/>
            <w:gridSpan w:val="3"/>
          </w:tcPr>
          <w:p>
            <w:pPr>
              <w:pStyle w:val="MDPI42tablebody"/>
              <w:spacing w:line="240" w:lineRule="auto" w:before="60" w:after="30"/>
              <w:jc w:val="left"/>
            </w:pPr>
            <w:r>
              <w:rPr>
                <w:b/>
                <w:i/>
                <w:sz w:val="18"/>
              </w:rPr>
              <w:t>Auxiliary variables</w:t>
            </w:r>
          </w:p>
        </w:tc>
      </w:tr>
      <w:tr>
        <w:tc>
          <w:tcPr>
            <w:tcW w:type="dxa" w:w="1178"/>
          </w:tcPr>
          <w:p>
            <w:pPr>
              <w:pStyle w:val="MDPI42tablebody"/>
              <w:spacing w:line="240" w:lineRule="auto" w:before="30" w:after="30"/>
              <w:jc w:val="left"/>
            </w:pPr>
            <w:r>
              <w:rPr>
                <w:b w:val="0"/>
                <w:i/>
                <w:sz w:val="18"/>
              </w:rPr>
              <w:t>F</w:t>
            </w:r>
          </w:p>
        </w:tc>
        <w:tc>
          <w:tcPr>
            <w:tcW w:type="dxa" w:w="4715"/>
          </w:tcPr>
          <w:p>
            <w:pPr>
              <w:pStyle w:val="MDPI42tablebody"/>
              <w:spacing w:line="240" w:lineRule="auto" w:before="30" w:after="30"/>
              <w:jc w:val="left"/>
            </w:pPr>
            <w:r>
              <w:rPr>
                <w:b w:val="0"/>
                <w:i w:val="0"/>
                <w:sz w:val="18"/>
              </w:rPr>
              <w:t>External generative-AI frontier</w:t>
            </w:r>
          </w:p>
        </w:tc>
        <w:tc>
          <w:tcPr>
            <w:tcW w:type="dxa" w:w="1964"/>
          </w:tcPr>
          <w:p>
            <w:pPr>
              <w:pStyle w:val="MDPI42tablebody"/>
              <w:spacing w:line="240" w:lineRule="auto" w:before="30" w:after="30"/>
              <w:jc w:val="left"/>
            </w:pPr>
            <w:r>
              <w:rPr>
                <w:b w:val="0"/>
                <w:i w:val="0"/>
                <w:sz w:val="18"/>
              </w:rPr>
              <w:t>index (0–1)</w:t>
            </w:r>
          </w:p>
        </w:tc>
      </w:tr>
      <w:tr>
        <w:tc>
          <w:tcPr>
            <w:tcW w:type="dxa" w:w="1178"/>
          </w:tcPr>
          <w:p>
            <w:pPr>
              <w:pStyle w:val="MDPI42tablebody"/>
              <w:spacing w:line="240" w:lineRule="auto" w:before="30" w:after="30"/>
              <w:jc w:val="left"/>
            </w:pPr>
            <w:r>
              <w:rPr>
                <w:b w:val="0"/>
                <w:i/>
                <w:sz w:val="18"/>
              </w:rPr>
              <w:t>u</w:t>
            </w:r>
          </w:p>
        </w:tc>
        <w:tc>
          <w:tcPr>
            <w:tcW w:type="dxa" w:w="4715"/>
          </w:tcPr>
          <w:p>
            <w:pPr>
              <w:pStyle w:val="MDPI42tablebody"/>
              <w:spacing w:line="240" w:lineRule="auto" w:before="30" w:after="30"/>
              <w:jc w:val="left"/>
            </w:pPr>
            <w:r>
              <w:rPr>
                <w:b w:val="0"/>
                <w:i w:val="0"/>
                <w:sz w:val="18"/>
              </w:rPr>
              <w:t>AI utilisation intensity</w:t>
            </w:r>
          </w:p>
        </w:tc>
        <w:tc>
          <w:tcPr>
            <w:tcW w:type="dxa" w:w="1964"/>
          </w:tcPr>
          <w:p>
            <w:pPr>
              <w:pStyle w:val="MDPI42tablebody"/>
              <w:spacing w:line="240" w:lineRule="auto" w:before="30" w:after="30"/>
              <w:jc w:val="left"/>
            </w:pPr>
            <w:r>
              <w:rPr>
                <w:b w:val="0"/>
                <w:i w:val="0"/>
                <w:sz w:val="18"/>
              </w:rPr>
              <w:t>share</w:t>
            </w:r>
          </w:p>
        </w:tc>
      </w:tr>
      <w:tr>
        <w:tc>
          <w:tcPr>
            <w:tcW w:type="dxa" w:w="1178"/>
          </w:tcPr>
          <w:p>
            <w:pPr>
              <w:pStyle w:val="MDPI42tablebody"/>
              <w:spacing w:line="240" w:lineRule="auto" w:before="30" w:after="30"/>
              <w:jc w:val="left"/>
            </w:pPr>
            <w:r>
              <w:rPr>
                <w:b w:val="0"/>
                <w:i/>
                <w:sz w:val="18"/>
              </w:rPr>
              <w:t>Λ</w:t>
            </w:r>
          </w:p>
        </w:tc>
        <w:tc>
          <w:tcPr>
            <w:tcW w:type="dxa" w:w="4715"/>
          </w:tcPr>
          <w:p>
            <w:pPr>
              <w:pStyle w:val="MDPI42tablebody"/>
              <w:spacing w:line="240" w:lineRule="auto" w:before="30" w:after="30"/>
              <w:jc w:val="left"/>
            </w:pPr>
            <w:r>
              <w:rPr>
                <w:b w:val="0"/>
                <w:i w:val="0"/>
                <w:sz w:val="18"/>
              </w:rPr>
              <w:t>Absorptive-capacity multiplier</w:t>
            </w:r>
          </w:p>
        </w:tc>
        <w:tc>
          <w:tcPr>
            <w:tcW w:type="dxa" w:w="1964"/>
          </w:tcPr>
          <w:p>
            <w:pPr>
              <w:pStyle w:val="MDPI42tablebody"/>
              <w:spacing w:line="240" w:lineRule="auto" w:before="30" w:after="30"/>
              <w:jc w:val="left"/>
            </w:pPr>
            <w:r>
              <w:rPr>
                <w:b w:val="0"/>
                <w:i w:val="0"/>
                <w:sz w:val="18"/>
              </w:rPr>
              <w:t>share</w:t>
            </w:r>
          </w:p>
        </w:tc>
      </w:tr>
      <w:tr>
        <w:tc>
          <w:tcPr>
            <w:tcW w:type="dxa" w:w="1178"/>
          </w:tcPr>
          <w:p>
            <w:pPr>
              <w:pStyle w:val="MDPI42tablebody"/>
              <w:spacing w:line="240" w:lineRule="auto" w:before="30" w:after="30"/>
              <w:jc w:val="left"/>
            </w:pPr>
            <w:r>
              <w:rPr>
                <w:b w:val="0"/>
                <w:i/>
                <w:sz w:val="18"/>
              </w:rPr>
              <w:t>α</w:t>
            </w:r>
          </w:p>
        </w:tc>
        <w:tc>
          <w:tcPr>
            <w:tcW w:type="dxa" w:w="4715"/>
          </w:tcPr>
          <w:p>
            <w:pPr>
              <w:pStyle w:val="MDPI42tablebody"/>
              <w:spacing w:line="240" w:lineRule="auto" w:before="30" w:after="30"/>
              <w:jc w:val="left"/>
            </w:pPr>
            <w:r>
              <w:rPr>
                <w:b w:val="0"/>
                <w:i w:val="0"/>
                <w:sz w:val="18"/>
              </w:rPr>
              <w:t>Automated share of entry tasks</w:t>
            </w:r>
          </w:p>
        </w:tc>
        <w:tc>
          <w:tcPr>
            <w:tcW w:type="dxa" w:w="1964"/>
          </w:tcPr>
          <w:p>
            <w:pPr>
              <w:pStyle w:val="MDPI42tablebody"/>
              <w:spacing w:line="240" w:lineRule="auto" w:before="30" w:after="30"/>
              <w:jc w:val="left"/>
            </w:pPr>
            <w:r>
              <w:rPr>
                <w:b w:val="0"/>
                <w:i w:val="0"/>
                <w:sz w:val="18"/>
              </w:rPr>
              <w:t>share</w:t>
            </w:r>
          </w:p>
        </w:tc>
      </w:tr>
      <w:tr>
        <w:tc>
          <w:tcPr>
            <w:tcW w:type="dxa" w:w="1178"/>
          </w:tcPr>
          <w:p>
            <w:pPr>
              <w:pStyle w:val="MDPI42tablebody"/>
              <w:spacing w:line="240" w:lineRule="auto" w:before="30" w:after="30"/>
              <w:jc w:val="left"/>
            </w:pPr>
            <w:r>
              <w:rPr>
                <w:b w:val="0"/>
                <w:i/>
                <w:sz w:val="18"/>
              </w:rPr>
              <w:t>ρ</w:t>
            </w:r>
          </w:p>
        </w:tc>
        <w:tc>
          <w:tcPr>
            <w:tcW w:type="dxa" w:w="4715"/>
          </w:tcPr>
          <w:p>
            <w:pPr>
              <w:pStyle w:val="MDPI42tablebody"/>
              <w:spacing w:line="240" w:lineRule="auto" w:before="30" w:after="30"/>
              <w:jc w:val="left"/>
            </w:pPr>
            <w:r>
              <w:rPr>
                <w:b w:val="0"/>
                <w:i w:val="0"/>
                <w:sz w:val="18"/>
              </w:rPr>
              <w:t>Core tasks reinstated to AI-assisted juniors</w:t>
            </w:r>
          </w:p>
        </w:tc>
        <w:tc>
          <w:tcPr>
            <w:tcW w:type="dxa" w:w="1964"/>
          </w:tcPr>
          <w:p>
            <w:pPr>
              <w:pStyle w:val="MDPI42tablebody"/>
              <w:spacing w:line="240" w:lineRule="auto" w:before="30" w:after="30"/>
              <w:jc w:val="left"/>
            </w:pPr>
            <w:r>
              <w:rPr>
                <w:b w:val="0"/>
                <w:i w:val="0"/>
                <w:sz w:val="18"/>
              </w:rPr>
              <w:t>share</w:t>
            </w:r>
          </w:p>
        </w:tc>
      </w:tr>
      <w:tr>
        <w:tc>
          <w:tcPr>
            <w:tcW w:type="dxa" w:w="1178"/>
          </w:tcPr>
          <w:p>
            <w:pPr>
              <w:pStyle w:val="MDPI42tablebody"/>
              <w:spacing w:line="240" w:lineRule="auto" w:before="30" w:after="30"/>
              <w:jc w:val="left"/>
            </w:pPr>
            <w:r>
              <w:rPr>
                <w:b w:val="0"/>
                <w:i/>
                <w:sz w:val="18"/>
              </w:rPr>
              <w:t>π</w:t>
            </w:r>
            <w:r>
              <w:rPr>
                <w:b w:val="0"/>
                <w:i/>
                <w:sz w:val="18"/>
                <w:vertAlign w:val="subscript"/>
              </w:rPr>
              <w:t>J</w:t>
            </w:r>
            <w:r>
              <w:rPr>
                <w:b w:val="0"/>
                <w:i/>
                <w:sz w:val="18"/>
              </w:rPr>
              <w:t>, π</w:t>
            </w:r>
            <w:r>
              <w:rPr>
                <w:b w:val="0"/>
                <w:i/>
                <w:sz w:val="18"/>
                <w:vertAlign w:val="subscript"/>
              </w:rPr>
              <w:t>S</w:t>
            </w:r>
          </w:p>
        </w:tc>
        <w:tc>
          <w:tcPr>
            <w:tcW w:type="dxa" w:w="4715"/>
          </w:tcPr>
          <w:p>
            <w:pPr>
              <w:pStyle w:val="MDPI42tablebody"/>
              <w:spacing w:line="240" w:lineRule="auto" w:before="30" w:after="30"/>
              <w:jc w:val="left"/>
            </w:pPr>
            <w:r>
              <w:rPr>
                <w:b w:val="0"/>
                <w:i w:val="0"/>
                <w:sz w:val="18"/>
              </w:rPr>
              <w:t>Effective productivity, junior and senior</w:t>
            </w:r>
          </w:p>
        </w:tc>
        <w:tc>
          <w:tcPr>
            <w:tcW w:type="dxa" w:w="1964"/>
          </w:tcPr>
          <w:p>
            <w:pPr>
              <w:pStyle w:val="MDPI42tablebody"/>
              <w:spacing w:line="240" w:lineRule="auto" w:before="30" w:after="30"/>
              <w:jc w:val="left"/>
            </w:pPr>
            <w:r>
              <w:rPr>
                <w:b w:val="0"/>
                <w:i w:val="0"/>
                <w:sz w:val="18"/>
              </w:rPr>
              <w:t>output person⁻¹ yr⁻¹</w:t>
            </w:r>
          </w:p>
        </w:tc>
      </w:tr>
      <w:tr>
        <w:tc>
          <w:tcPr>
            <w:tcW w:type="dxa" w:w="1178"/>
          </w:tcPr>
          <w:p>
            <w:pPr>
              <w:pStyle w:val="MDPI42tablebody"/>
              <w:spacing w:line="240" w:lineRule="auto" w:before="30" w:after="30"/>
              <w:jc w:val="left"/>
            </w:pPr>
            <w:r>
              <w:rPr>
                <w:b w:val="0"/>
                <w:i/>
                <w:sz w:val="18"/>
              </w:rPr>
              <w:t>i</w:t>
            </w:r>
            <w:r>
              <w:rPr>
                <w:b w:val="0"/>
                <w:i/>
                <w:sz w:val="18"/>
                <w:vertAlign w:val="subscript"/>
              </w:rPr>
              <w:t>J</w:t>
            </w:r>
            <w:r>
              <w:rPr>
                <w:b w:val="0"/>
                <w:i/>
                <w:sz w:val="18"/>
              </w:rPr>
              <w:t>, i</w:t>
            </w:r>
            <w:r>
              <w:rPr>
                <w:b w:val="0"/>
                <w:i/>
                <w:sz w:val="18"/>
                <w:vertAlign w:val="subscript"/>
              </w:rPr>
              <w:t>S</w:t>
            </w:r>
          </w:p>
        </w:tc>
        <w:tc>
          <w:tcPr>
            <w:tcW w:type="dxa" w:w="4715"/>
          </w:tcPr>
          <w:p>
            <w:pPr>
              <w:pStyle w:val="MDPI42tablebody"/>
              <w:spacing w:line="240" w:lineRule="auto" w:before="30" w:after="30"/>
              <w:jc w:val="left"/>
            </w:pPr>
            <w:r>
              <w:rPr>
                <w:b w:val="0"/>
                <w:i w:val="0"/>
                <w:sz w:val="18"/>
              </w:rPr>
              <w:t>Task intensity per unit of output, junior and senior</w:t>
            </w:r>
          </w:p>
        </w:tc>
        <w:tc>
          <w:tcPr>
            <w:tcW w:type="dxa" w:w="1964"/>
          </w:tcPr>
          <w:p>
            <w:pPr>
              <w:pStyle w:val="MDPI42tablebody"/>
              <w:spacing w:line="240" w:lineRule="auto" w:before="30" w:after="30"/>
              <w:jc w:val="left"/>
            </w:pPr>
            <w:r>
              <w:rPr>
                <w:b w:val="0"/>
                <w:i w:val="0"/>
                <w:sz w:val="18"/>
              </w:rPr>
              <w:t>dimensionless</w:t>
            </w:r>
          </w:p>
        </w:tc>
      </w:tr>
      <w:tr>
        <w:tc>
          <w:tcPr>
            <w:tcW w:type="dxa" w:w="1178"/>
          </w:tcPr>
          <w:p>
            <w:pPr>
              <w:pStyle w:val="MDPI42tablebody"/>
              <w:spacing w:line="240" w:lineRule="auto" w:before="30" w:after="30"/>
              <w:jc w:val="left"/>
            </w:pPr>
            <w:r>
              <w:rPr>
                <w:b w:val="0"/>
                <w:i/>
                <w:sz w:val="18"/>
              </w:rPr>
              <w:t>D</w:t>
            </w:r>
            <w:r>
              <w:rPr>
                <w:b w:val="0"/>
                <w:i/>
                <w:sz w:val="18"/>
                <w:vertAlign w:val="subscript"/>
              </w:rPr>
              <w:t>J</w:t>
            </w:r>
            <w:r>
              <w:rPr>
                <w:b w:val="0"/>
                <w:i/>
                <w:sz w:val="18"/>
              </w:rPr>
              <w:t>, D</w:t>
            </w:r>
            <w:r>
              <w:rPr>
                <w:b w:val="0"/>
                <w:i/>
                <w:sz w:val="18"/>
                <w:vertAlign w:val="subscript"/>
              </w:rPr>
              <w:t>S</w:t>
            </w:r>
          </w:p>
        </w:tc>
        <w:tc>
          <w:tcPr>
            <w:tcW w:type="dxa" w:w="4715"/>
          </w:tcPr>
          <w:p>
            <w:pPr>
              <w:pStyle w:val="MDPI42tablebody"/>
              <w:spacing w:line="240" w:lineRule="auto" w:before="30" w:after="30"/>
              <w:jc w:val="left"/>
            </w:pPr>
            <w:r>
              <w:rPr>
                <w:b w:val="0"/>
                <w:i w:val="0"/>
                <w:sz w:val="18"/>
              </w:rPr>
              <w:t>Desired junior and senior labour</w:t>
            </w:r>
          </w:p>
        </w:tc>
        <w:tc>
          <w:tcPr>
            <w:tcW w:type="dxa" w:w="1964"/>
          </w:tcPr>
          <w:p>
            <w:pPr>
              <w:pStyle w:val="MDPI42tablebody"/>
              <w:spacing w:line="240" w:lineRule="auto" w:before="30" w:after="30"/>
              <w:jc w:val="left"/>
            </w:pPr>
            <w:r>
              <w:rPr>
                <w:b w:val="0"/>
                <w:i w:val="0"/>
                <w:sz w:val="18"/>
              </w:rPr>
              <w:t>persons</w:t>
            </w:r>
          </w:p>
        </w:tc>
      </w:tr>
      <w:tr>
        <w:tc>
          <w:tcPr>
            <w:tcW w:type="dxa" w:w="1178"/>
          </w:tcPr>
          <w:p>
            <w:pPr>
              <w:pStyle w:val="MDPI42tablebody"/>
              <w:spacing w:line="240" w:lineRule="auto" w:before="30" w:after="30"/>
              <w:jc w:val="left"/>
            </w:pPr>
            <w:r>
              <w:rPr>
                <w:b w:val="0"/>
                <w:i/>
                <w:sz w:val="18"/>
              </w:rPr>
              <w:t>q</w:t>
            </w:r>
          </w:p>
        </w:tc>
        <w:tc>
          <w:tcPr>
            <w:tcW w:type="dxa" w:w="4715"/>
          </w:tcPr>
          <w:p>
            <w:pPr>
              <w:pStyle w:val="MDPI42tablebody"/>
              <w:spacing w:line="240" w:lineRule="auto" w:before="30" w:after="30"/>
              <w:jc w:val="left"/>
            </w:pPr>
            <w:r>
              <w:rPr>
                <w:b w:val="0"/>
                <w:i w:val="0"/>
                <w:sz w:val="18"/>
              </w:rPr>
              <w:t>Mentoring adequacy per junior</w:t>
            </w:r>
          </w:p>
        </w:tc>
        <w:tc>
          <w:tcPr>
            <w:tcW w:type="dxa" w:w="1964"/>
          </w:tcPr>
          <w:p>
            <w:pPr>
              <w:pStyle w:val="MDPI42tablebody"/>
              <w:spacing w:line="240" w:lineRule="auto" w:before="30" w:after="30"/>
              <w:jc w:val="left"/>
            </w:pPr>
            <w:r>
              <w:rPr>
                <w:b w:val="0"/>
                <w:i w:val="0"/>
                <w:sz w:val="18"/>
              </w:rPr>
              <w:t>dimensionless</w:t>
            </w:r>
          </w:p>
        </w:tc>
      </w:tr>
      <w:tr>
        <w:tc>
          <w:tcPr>
            <w:tcW w:type="dxa" w:w="1178"/>
          </w:tcPr>
          <w:p>
            <w:pPr>
              <w:pStyle w:val="MDPI42tablebody"/>
              <w:spacing w:line="240" w:lineRule="auto" w:before="30" w:after="30"/>
              <w:jc w:val="left"/>
            </w:pPr>
            <w:r>
              <w:rPr>
                <w:b w:val="0"/>
                <w:i/>
                <w:sz w:val="18"/>
              </w:rPr>
              <w:t>ψ</w:t>
            </w:r>
          </w:p>
        </w:tc>
        <w:tc>
          <w:tcPr>
            <w:tcW w:type="dxa" w:w="4715"/>
          </w:tcPr>
          <w:p>
            <w:pPr>
              <w:pStyle w:val="MDPI42tablebody"/>
              <w:spacing w:line="240" w:lineRule="auto" w:before="30" w:after="30"/>
              <w:jc w:val="left"/>
            </w:pPr>
            <w:r>
              <w:rPr>
                <w:b w:val="0"/>
                <w:i w:val="0"/>
                <w:sz w:val="18"/>
              </w:rPr>
              <w:t>Fraction of juniors reaching competence</w:t>
            </w:r>
          </w:p>
        </w:tc>
        <w:tc>
          <w:tcPr>
            <w:tcW w:type="dxa" w:w="1964"/>
          </w:tcPr>
          <w:p>
            <w:pPr>
              <w:pStyle w:val="MDPI42tablebody"/>
              <w:spacing w:line="240" w:lineRule="auto" w:before="30" w:after="30"/>
              <w:jc w:val="left"/>
            </w:pPr>
            <w:r>
              <w:rPr>
                <w:b w:val="0"/>
                <w:i w:val="0"/>
                <w:sz w:val="18"/>
              </w:rPr>
              <w:t>share</w:t>
            </w:r>
          </w:p>
        </w:tc>
      </w:tr>
      <w:tr>
        <w:tc>
          <w:tcPr>
            <w:tcW w:type="dxa" w:w="1178"/>
          </w:tcPr>
          <w:p>
            <w:pPr>
              <w:pStyle w:val="MDPI42tablebody"/>
              <w:spacing w:line="240" w:lineRule="auto" w:before="30" w:after="30"/>
              <w:jc w:val="left"/>
            </w:pPr>
            <w:r>
              <w:rPr>
                <w:b w:val="0"/>
                <w:i/>
                <w:sz w:val="18"/>
              </w:rPr>
              <w:t>x</w:t>
            </w:r>
          </w:p>
        </w:tc>
        <w:tc>
          <w:tcPr>
            <w:tcW w:type="dxa" w:w="4715"/>
          </w:tcPr>
          <w:p>
            <w:pPr>
              <w:pStyle w:val="MDPI42tablebody"/>
              <w:spacing w:line="240" w:lineRule="auto" w:before="30" w:after="30"/>
              <w:jc w:val="left"/>
            </w:pPr>
            <w:r>
              <w:rPr>
                <w:b w:val="0"/>
                <w:i w:val="0"/>
                <w:sz w:val="18"/>
              </w:rPr>
              <w:t>Experiential-quality index of junior work</w:t>
            </w:r>
          </w:p>
        </w:tc>
        <w:tc>
          <w:tcPr>
            <w:tcW w:type="dxa" w:w="1964"/>
          </w:tcPr>
          <w:p>
            <w:pPr>
              <w:pStyle w:val="MDPI42tablebody"/>
              <w:spacing w:line="240" w:lineRule="auto" w:before="30" w:after="30"/>
              <w:jc w:val="left"/>
            </w:pPr>
            <w:r>
              <w:rPr>
                <w:b w:val="0"/>
                <w:i w:val="0"/>
                <w:sz w:val="18"/>
              </w:rPr>
              <w:t>index (1 at t = 0)</w:t>
            </w:r>
          </w:p>
        </w:tc>
      </w:tr>
      <w:tr>
        <w:tc>
          <w:tcPr>
            <w:tcW w:type="dxa" w:w="1178"/>
          </w:tcPr>
          <w:p>
            <w:pPr>
              <w:pStyle w:val="MDPI42tablebody"/>
              <w:spacing w:line="240" w:lineRule="auto" w:before="30" w:after="30"/>
              <w:jc w:val="left"/>
            </w:pPr>
            <w:r>
              <w:rPr>
                <w:b w:val="0"/>
                <w:i/>
                <w:sz w:val="18"/>
              </w:rPr>
              <w:t>Ω</w:t>
            </w:r>
          </w:p>
        </w:tc>
        <w:tc>
          <w:tcPr>
            <w:tcW w:type="dxa" w:w="4715"/>
          </w:tcPr>
          <w:p>
            <w:pPr>
              <w:pStyle w:val="MDPI42tablebody"/>
              <w:spacing w:line="240" w:lineRule="auto" w:before="30" w:after="30"/>
              <w:jc w:val="left"/>
            </w:pPr>
            <w:r>
              <w:rPr>
                <w:b w:val="0"/>
                <w:i w:val="0"/>
                <w:sz w:val="18"/>
              </w:rPr>
              <w:t>External availability index for senior staff</w:t>
            </w:r>
          </w:p>
        </w:tc>
        <w:tc>
          <w:tcPr>
            <w:tcW w:type="dxa" w:w="1964"/>
          </w:tcPr>
          <w:p>
            <w:pPr>
              <w:pStyle w:val="MDPI42tablebody"/>
              <w:spacing w:line="240" w:lineRule="auto" w:before="30" w:after="30"/>
              <w:jc w:val="left"/>
            </w:pPr>
            <w:r>
              <w:rPr>
                <w:b w:val="0"/>
                <w:i w:val="0"/>
                <w:sz w:val="18"/>
              </w:rPr>
              <w:t>index (1 at t = 0)</w:t>
            </w:r>
          </w:p>
        </w:tc>
      </w:tr>
      <w:tr>
        <w:tc>
          <w:tcPr>
            <w:tcW w:type="dxa" w:w="1178"/>
          </w:tcPr>
          <w:p>
            <w:pPr>
              <w:pStyle w:val="MDPI42tablebody"/>
              <w:spacing w:line="240" w:lineRule="auto" w:before="30" w:after="30"/>
              <w:jc w:val="left"/>
            </w:pPr>
            <w:r>
              <w:rPr>
                <w:b w:val="0"/>
                <w:i/>
                <w:sz w:val="18"/>
              </w:rPr>
              <w:t>Φ</w:t>
            </w:r>
          </w:p>
        </w:tc>
        <w:tc>
          <w:tcPr>
            <w:tcW w:type="dxa" w:w="4715"/>
          </w:tcPr>
          <w:p>
            <w:pPr>
              <w:pStyle w:val="MDPI42tablebody"/>
              <w:spacing w:line="240" w:lineRule="auto" w:before="30" w:after="30"/>
              <w:jc w:val="left"/>
            </w:pPr>
            <w:r>
              <w:rPr>
                <w:b w:val="0"/>
                <w:i w:val="0"/>
                <w:sz w:val="18"/>
              </w:rPr>
              <w:t>Output fulfilment ratio</w:t>
            </w:r>
          </w:p>
        </w:tc>
        <w:tc>
          <w:tcPr>
            <w:tcW w:type="dxa" w:w="1964"/>
          </w:tcPr>
          <w:p>
            <w:pPr>
              <w:pStyle w:val="MDPI42tablebody"/>
              <w:spacing w:line="240" w:lineRule="auto" w:before="30" w:after="30"/>
              <w:jc w:val="left"/>
            </w:pPr>
            <w:r>
              <w:rPr>
                <w:b w:val="0"/>
                <w:i w:val="0"/>
                <w:sz w:val="18"/>
              </w:rPr>
              <w:t>share</w:t>
            </w:r>
          </w:p>
        </w:tc>
      </w:tr>
      <w:tr>
        <w:tc>
          <w:tcPr>
            <w:tcW w:type="dxa" w:w="1178"/>
          </w:tcPr>
          <w:p>
            <w:pPr>
              <w:pStyle w:val="MDPI42tablebody"/>
              <w:spacing w:line="240" w:lineRule="auto" w:before="30" w:after="30"/>
              <w:jc w:val="left"/>
            </w:pPr>
            <w:r>
              <w:rPr>
                <w:b w:val="0"/>
                <w:i/>
                <w:sz w:val="18"/>
              </w:rPr>
              <w:t>Y</w:t>
            </w:r>
          </w:p>
        </w:tc>
        <w:tc>
          <w:tcPr>
            <w:tcW w:type="dxa" w:w="4715"/>
          </w:tcPr>
          <w:p>
            <w:pPr>
              <w:pStyle w:val="MDPI42tablebody"/>
              <w:spacing w:line="240" w:lineRule="auto" w:before="30" w:after="30"/>
              <w:jc w:val="left"/>
            </w:pPr>
            <w:r>
              <w:rPr>
                <w:b w:val="0"/>
                <w:i w:val="0"/>
                <w:sz w:val="18"/>
              </w:rPr>
              <w:t>Delivered output</w:t>
            </w:r>
          </w:p>
        </w:tc>
        <w:tc>
          <w:tcPr>
            <w:tcW w:type="dxa" w:w="1964"/>
          </w:tcPr>
          <w:p>
            <w:pPr>
              <w:pStyle w:val="MDPI42tablebody"/>
              <w:spacing w:line="240" w:lineRule="auto" w:before="30" w:after="30"/>
              <w:jc w:val="left"/>
            </w:pPr>
            <w:r>
              <w:rPr>
                <w:b w:val="0"/>
                <w:i w:val="0"/>
                <w:sz w:val="18"/>
              </w:rPr>
              <w:t>output units yr⁻¹</w:t>
            </w:r>
          </w:p>
        </w:tc>
      </w:tr>
      <w:tr>
        <w:tc>
          <w:tcPr>
            <w:tcW w:type="dxa" w:w="1178"/>
          </w:tcPr>
          <w:p>
            <w:pPr>
              <w:pStyle w:val="MDPI42tablebody"/>
              <w:spacing w:line="240" w:lineRule="auto" w:before="30" w:after="30"/>
              <w:jc w:val="left"/>
            </w:pPr>
            <w:r>
              <w:rPr>
                <w:b w:val="0"/>
                <w:i/>
                <w:sz w:val="18"/>
              </w:rPr>
              <w:t>C</w:t>
            </w:r>
          </w:p>
        </w:tc>
        <w:tc>
          <w:tcPr>
            <w:tcW w:type="dxa" w:w="4715"/>
          </w:tcPr>
          <w:p>
            <w:pPr>
              <w:pStyle w:val="MDPI42tablebody"/>
              <w:spacing w:line="240" w:lineRule="auto" w:before="30" w:after="30"/>
              <w:jc w:val="left"/>
            </w:pPr>
            <w:r>
              <w:rPr>
                <w:b w:val="0"/>
                <w:i w:val="0"/>
                <w:sz w:val="18"/>
              </w:rPr>
              <w:t>Unit cost</w:t>
            </w:r>
          </w:p>
        </w:tc>
        <w:tc>
          <w:tcPr>
            <w:tcW w:type="dxa" w:w="1964"/>
          </w:tcPr>
          <w:p>
            <w:pPr>
              <w:pStyle w:val="MDPI42tablebody"/>
              <w:spacing w:line="240" w:lineRule="auto" w:before="30" w:after="30"/>
              <w:jc w:val="left"/>
            </w:pPr>
            <w:r>
              <w:rPr>
                <w:b w:val="0"/>
                <w:i w:val="0"/>
                <w:sz w:val="18"/>
              </w:rPr>
              <w:t>cost per output unit</w:t>
            </w:r>
          </w:p>
        </w:tc>
      </w:tr>
      <w:tr>
        <w:tc>
          <w:tcPr>
            <w:tcW w:type="dxa" w:w="1178"/>
          </w:tcPr>
          <w:p>
            <w:pPr>
              <w:pStyle w:val="MDPI42tablebody"/>
              <w:spacing w:line="240" w:lineRule="auto" w:before="30" w:after="30"/>
              <w:jc w:val="left"/>
            </w:pPr>
            <w:r>
              <w:rPr>
                <w:b w:val="0"/>
                <w:i/>
                <w:sz w:val="18"/>
              </w:rPr>
              <w:t>E</w:t>
            </w:r>
          </w:p>
        </w:tc>
        <w:tc>
          <w:tcPr>
            <w:tcW w:type="dxa" w:w="4715"/>
          </w:tcPr>
          <w:p>
            <w:pPr>
              <w:pStyle w:val="MDPI42tablebody"/>
              <w:spacing w:line="240" w:lineRule="auto" w:before="30" w:after="30"/>
              <w:jc w:val="left"/>
            </w:pPr>
            <w:r>
              <w:rPr>
                <w:b w:val="0"/>
                <w:i w:val="0"/>
                <w:sz w:val="18"/>
              </w:rPr>
              <w:t>Net entry-port elasticity, Equation (19)</w:t>
            </w:r>
          </w:p>
        </w:tc>
        <w:tc>
          <w:tcPr>
            <w:tcW w:type="dxa" w:w="1964"/>
          </w:tcPr>
          <w:p>
            <w:pPr>
              <w:pStyle w:val="MDPI42tablebody"/>
              <w:spacing w:line="240" w:lineRule="auto" w:before="30" w:after="30"/>
              <w:jc w:val="left"/>
            </w:pPr>
            <w:r>
              <w:rPr>
                <w:b w:val="0"/>
                <w:i w:val="0"/>
                <w:sz w:val="18"/>
              </w:rPr>
              <w:t>dimensionless</w:t>
            </w:r>
          </w:p>
        </w:tc>
      </w:tr>
    </w:tbl>
    <w:p>
      <w:pPr>
        <w:pStyle w:val="MDPI22heading2"/>
      </w:pPr>
      <w:r>
        <w:t>3.2. Stocks, Flows and Auxiliary Relationships</w:t>
      </w:r>
    </w:p>
    <w:p>
      <w:pPr>
        <w:pStyle w:val="MDPI32textnoindent"/>
      </w:pPr>
      <w:r>
        <w:rPr>
          <w:b w:val="0"/>
          <w:i w:val="0"/>
        </w:rPr>
        <w:t>The external frontier follows a logistic path that represents the maturation of generally available model capability,</w:t>
      </w:r>
    </w:p>
    <w:tbl>
      <w:tblPr>
        <w:tblW w:w="7859" w:type="dxa"/>
        <w:tblInd w:w="26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Pr>
      <w:tblGrid>
        <w:gridCol w:w="7428"/>
        <w:gridCol w:w="431"/>
      </w:tblGrid>
      <w:tr>
        <w:tc>
          <w:tcPr>
            <w:tcW w:type="dxa" w:w="7428"/>
          </w:tcPr>
          <w:p>
            <w:pPr>
              <w:pStyle w:val="MDPI39equation"/>
              <w:ind w:left="0"/>
              <w:jc w:val="center"/>
            </w:pPr>
            <m:oMath>
              <m:r>
                <m:t xml:space="preserve">F</m:t>
              </m:r>
              <m:r>
                <m:rPr>
                  <m:sty m:val="p"/>
                </m:rPr>
                <m:t xml:space="preserve">(</m:t>
              </m:r>
              <m:r>
                <m:t xml:space="preserve">t</m:t>
              </m:r>
              <m:r>
                <m:rPr>
                  <m:sty m:val="p"/>
                </m:rPr>
                <m:t xml:space="preserve">)</m:t>
              </m:r>
              <m:r>
                <m:rPr>
                  <m:sty m:val="p"/>
                </m:rPr>
                <m:t xml:space="preserve">=</m:t>
              </m:r>
              <m:f>
                <m:num>
                  <m:sSub>
                    <m:e>
                      <m:r>
                        <m:t xml:space="preserve">F</m:t>
                      </m:r>
                    </m:e>
                    <m:sub>
                      <m:r>
                        <m:rPr>
                          <m:sty m:val="p"/>
                        </m:rPr>
                        <m:t xml:space="preserve">max</m:t>
                      </m:r>
                    </m:sub>
                  </m:sSub>
                </m:num>
                <m:den>
                  <m:r>
                    <m:rPr>
                      <m:sty m:val="p"/>
                    </m:rPr>
                    <m:t xml:space="preserve">1</m:t>
                  </m:r>
                  <m:r>
                    <m:rPr>
                      <m:sty m:val="p"/>
                    </m:rPr>
                    <m:t xml:space="preserve">+</m:t>
                  </m:r>
                  <m:sSup>
                    <m:e>
                      <m:r>
                        <m:t xml:space="preserve">e</m:t>
                      </m:r>
                    </m:e>
                    <m:sup>
                      <m:r>
                        <m:rPr>
                          <m:sty m:val="p"/>
                        </m:rPr>
                        <m:t xml:space="preserve">-</m:t>
                      </m:r>
                      <m:sSub>
                        <m:e>
                          <m:r>
                            <m:t xml:space="preserve">g</m:t>
                          </m:r>
                        </m:e>
                        <m:sub>
                          <m:r>
                            <m:t xml:space="preserve">F</m:t>
                          </m:r>
                        </m:sub>
                      </m:sSub>
                      <m:r>
                        <m:rPr>
                          <m:sty m:val="p"/>
                        </m:rPr>
                        <m:t xml:space="preserve">(</m:t>
                      </m:r>
                      <m:r>
                        <m:t xml:space="preserve">t</m:t>
                      </m:r>
                      <m:r>
                        <m:rPr>
                          <m:sty m:val="p"/>
                        </m:rPr>
                        <m:t xml:space="preserve">-</m:t>
                      </m:r>
                      <m:sSub>
                        <m:e>
                          <m:r>
                            <m:t xml:space="preserve">t</m:t>
                          </m:r>
                        </m:e>
                        <m:sub>
                          <m:r>
                            <m:t xml:space="preserve">F</m:t>
                          </m:r>
                        </m:sub>
                      </m:sSub>
                      <m:r>
                        <m:rPr>
                          <m:sty m:val="p"/>
                        </m:rPr>
                        <m:t xml:space="preserve">)</m:t>
                      </m:r>
                    </m:sup>
                  </m:sSup>
                </m:den>
              </m:f>
            </m:oMath>
          </w:p>
        </w:tc>
        <w:tc>
          <w:tcPr>
            <w:tcW w:type="dxa" w:w="431"/>
          </w:tcPr>
          <w:p>
            <w:pPr>
              <w:pStyle w:val="MDPI3aequationnumber"/>
              <w:jc w:val="right"/>
            </w:pPr>
            <w:r>
              <w:t>(1)</w:t>
            </w:r>
          </w:p>
        </w:tc>
      </w:tr>
    </w:tbl>
    <w:p>
      <w:pPr>
        <w:pStyle w:val="MDPI32textnoindent"/>
      </w:pPr>
      <w:r>
        <w:rPr>
          <w:b w:val="0"/>
          <w:i w:val="0"/>
        </w:rPr>
        <w:t xml:space="preserve">and the firm closes the gap to that frontier at a rate that is gated by its own absorptive capacity, so that capability is accumulated rather than bought </w:t>
      </w:r>
      <w:r>
        <w:t>[</w:t>
      </w:r>
      <w:r>
        <w:fldChar w:fldCharType="begin"/>
      </w:r>
      <w:r>
        <w:instrText xml:space="preserve"> REF _Ref_37 \h </w:instrText>
      </w:r>
      <w:r>
        <w:fldChar w:fldCharType="separate"/>
      </w:r>
      <w:r>
        <w:t>37</w:t>
      </w:r>
      <w:r>
        <w:fldChar w:fldCharType="end"/>
      </w:r>
      <w:r>
        <w:t>,</w:t>
      </w:r>
      <w:r>
        <w:fldChar w:fldCharType="begin"/>
      </w:r>
      <w:r>
        <w:instrText xml:space="preserve"> REF _Ref_47 \h </w:instrText>
      </w:r>
      <w:r>
        <w:fldChar w:fldCharType="separate"/>
      </w:r>
      <w:r>
        <w:t>47</w:t>
      </w:r>
      <w:r>
        <w:fldChar w:fldCharType="end"/>
      </w:r>
      <w:r>
        <w:t>]</w:t>
      </w:r>
    </w:p>
    <w:tbl>
      <w:tblPr>
        <w:tblW w:w="1046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Pr>
      <w:tblGrid>
        <w:gridCol w:w="10036"/>
        <w:gridCol w:w="431"/>
      </w:tblGrid>
      <w:tr>
        <w:tc>
          <w:tcPr>
            <w:tcW w:type="dxa" w:w="10036"/>
          </w:tcPr>
          <w:p>
            <w:pPr>
              <w:pStyle w:val="MDPI39equation"/>
              <w:ind w:left="0"/>
              <w:jc w:val="center"/>
            </w:pPr>
            <m:oMath>
              <m:f>
                <m:num>
                  <m:r>
                    <m:t xml:space="preserve">dA</m:t>
                  </m:r>
                </m:num>
                <m:den>
                  <m:r>
                    <m:t xml:space="preserve">dt</m:t>
                  </m:r>
                </m:den>
              </m:f>
              <m:r>
                <m:rPr>
                  <m:sty m:val="p"/>
                </m:rPr>
                <m:t xml:space="preserve">=</m:t>
              </m:r>
              <m:r>
                <m:t xml:space="preserve">ν</m:t>
              </m:r>
              <m:r>
                <m:t xml:space="preserve"> </m:t>
              </m:r>
              <m:sSub>
                <m:e>
                  <m:r>
                    <m:t xml:space="preserve">Λ</m:t>
                  </m:r>
                </m:e>
                <m:sub>
                  <m:r>
                    <m:t xml:space="preserve">A</m:t>
                  </m:r>
                </m:sub>
              </m:sSub>
              <m:r>
                <m:t xml:space="preserve"> </m:t>
              </m:r>
              <m:r>
                <m:rPr>
                  <m:sty m:val="p"/>
                </m:rPr>
                <m:t xml:space="preserve">[</m:t>
              </m:r>
              <m:r>
                <m:t xml:space="preserve">F</m:t>
              </m:r>
              <m:r>
                <m:rPr>
                  <m:sty m:val="p"/>
                </m:rPr>
                <m:t xml:space="preserve">(</m:t>
              </m:r>
              <m:r>
                <m:t xml:space="preserve">t</m:t>
              </m:r>
              <m:r>
                <m:rPr>
                  <m:sty m:val="p"/>
                </m:rPr>
                <m:t xml:space="preserve">)</m:t>
              </m:r>
              <m:r>
                <m:rPr>
                  <m:sty m:val="p"/>
                </m:rPr>
                <m:t xml:space="preserve">-</m:t>
              </m:r>
              <m:r>
                <m:t xml:space="preserve">A</m:t>
              </m:r>
              <m:r>
                <m:rPr>
                  <m:sty m:val="p"/>
                </m:rPr>
                <m:t xml:space="preserve">]</m:t>
              </m:r>
              <m:r>
                <m:rPr>
                  <m:sty m:val="p"/>
                </m:rPr>
                <m:t xml:space="preserve">-</m:t>
              </m:r>
              <m:sSub>
                <m:e>
                  <m:r>
                    <m:t xml:space="preserve">δ</m:t>
                  </m:r>
                </m:e>
                <m:sub>
                  <m:r>
                    <m:t xml:space="preserve">A</m:t>
                  </m:r>
                </m:sub>
              </m:sSub>
              <m:r>
                <m:t xml:space="preserve"> </m:t>
              </m:r>
              <m:r>
                <m:t xml:space="preserve">A</m:t>
              </m:r>
              <m:r>
                <m:t xml:space="preserve">,</m:t>
              </m:r>
              <m:r>
                <m:t xml:space="preserve"> </m:t>
              </m:r>
              <m:r>
                <m:t xml:space="preserve"> </m:t>
              </m:r>
              <m:r>
                <m:t xml:space="preserve"> </m:t>
              </m:r>
              <m:sSub>
                <m:e>
                  <m:r>
                    <m:t xml:space="preserve">Λ</m:t>
                  </m:r>
                </m:e>
                <m:sub>
                  <m:r>
                    <m:t xml:space="preserve">A</m:t>
                  </m:r>
                </m:sub>
              </m:sSub>
              <m:r>
                <m:rPr>
                  <m:sty m:val="p"/>
                </m:rPr>
                <m:t xml:space="preserve">=</m:t>
              </m:r>
              <m:sSub>
                <m:e>
                  <m:r>
                    <m:t xml:space="preserve">φ</m:t>
                  </m:r>
                </m:e>
                <m:sub>
                  <m:r>
                    <m:rPr>
                      <m:sty m:val="p"/>
                    </m:rPr>
                    <m:t xml:space="preserve">0</m:t>
                  </m:r>
                </m:sub>
              </m:sSub>
              <m:r>
                <m:rPr>
                  <m:sty m:val="p"/>
                </m:rPr>
                <m:t xml:space="preserve">+</m:t>
              </m:r>
              <m:r>
                <m:rPr>
                  <m:sty m:val="p"/>
                </m:rPr>
                <m:t xml:space="preserve">(</m:t>
              </m:r>
              <m:r>
                <m:rPr>
                  <m:sty m:val="p"/>
                </m:rPr>
                <m:t xml:space="preserve">1</m:t>
              </m:r>
              <m:r>
                <m:rPr>
                  <m:sty m:val="p"/>
                </m:rPr>
                <m:t xml:space="preserve">-</m:t>
              </m:r>
              <m:sSub>
                <m:e>
                  <m:r>
                    <m:t xml:space="preserve">φ</m:t>
                  </m:r>
                </m:e>
                <m:sub>
                  <m:r>
                    <m:rPr>
                      <m:sty m:val="p"/>
                    </m:rPr>
                    <m:t xml:space="preserve">0</m:t>
                  </m:r>
                </m:sub>
              </m:sSub>
              <m:r>
                <m:rPr>
                  <m:sty m:val="p"/>
                </m:rPr>
                <m:t xml:space="preserve">)</m:t>
              </m:r>
              <m:r>
                <m:t xml:space="preserve">Λ</m:t>
              </m:r>
            </m:oMath>
          </w:p>
        </w:tc>
        <w:tc>
          <w:tcPr>
            <w:tcW w:type="dxa" w:w="431"/>
          </w:tcPr>
          <w:p>
            <w:pPr>
              <w:pStyle w:val="MDPI3aequationnumber"/>
              <w:jc w:val="right"/>
            </w:pPr>
            <w:r>
              <w:t>(2)</w:t>
            </w:r>
          </w:p>
        </w:tc>
      </w:tr>
    </w:tbl>
    <w:p>
      <w:pPr>
        <w:pStyle w:val="MDPI32textnoindent"/>
      </w:pPr>
      <w:r>
        <w:rPr>
          <w:b w:val="0"/>
          <w:i w:val="0"/>
        </w:rPr>
        <w:t xml:space="preserve">where </w:t>
      </w:r>
      <m:oMath>
        <m:r>
          <m:t xml:space="preserve">Λ</m:t>
        </m:r>
      </m:oMath>
      <w:r>
        <w:rPr>
          <w:b w:val="0"/>
          <w:i w:val="0"/>
        </w:rPr>
        <w:t xml:space="preserve"> is the absorptive-capacity multiplier defined below and </w:t>
      </w:r>
      <m:oMath>
        <m:sSub>
          <m:e>
            <m:r>
              <m:t xml:space="preserve">φ</m:t>
            </m:r>
          </m:e>
          <m:sub>
            <m:r>
              <m:rPr>
                <m:sty m:val="p"/>
              </m:rPr>
              <m:t xml:space="preserve">0</m:t>
            </m:r>
          </m:sub>
        </m:sSub>
      </m:oMath>
      <w:r>
        <w:rPr>
          <w:b w:val="0"/>
          <w:i w:val="0"/>
        </w:rPr>
        <w:t xml:space="preserve"> is the floor that a firm with no routines still achieves. Utilisation intensity and the multiplier are increasing, saturating functions of the two capability stocks,</w:t>
      </w:r>
    </w:p>
    <w:tbl>
      <w:tblPr>
        <w:tblW w:w="7859" w:type="dxa"/>
        <w:tblInd w:w="26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Pr>
      <w:tblGrid>
        <w:gridCol w:w="7428"/>
        <w:gridCol w:w="431"/>
      </w:tblGrid>
      <w:tr>
        <w:tc>
          <w:tcPr>
            <w:tcW w:type="dxa" w:w="7428"/>
          </w:tcPr>
          <w:p>
            <w:pPr>
              <w:pStyle w:val="MDPI39equation"/>
              <w:ind w:left="0"/>
              <w:jc w:val="center"/>
            </w:pPr>
            <m:oMath>
              <m:r>
                <m:t xml:space="preserve">u</m:t>
              </m:r>
              <m:r>
                <m:rPr>
                  <m:sty m:val="p"/>
                </m:rPr>
                <m:t xml:space="preserve">=</m:t>
              </m:r>
              <m:sSub>
                <m:e>
                  <m:r>
                    <m:t xml:space="preserve">u</m:t>
                  </m:r>
                </m:e>
                <m:sub>
                  <m:r>
                    <m:rPr>
                      <m:sty m:val="p"/>
                    </m:rPr>
                    <m:t xml:space="preserve">max</m:t>
                  </m:r>
                </m:sub>
              </m:sSub>
              <m:f>
                <m:num>
                  <m:r>
                    <m:t xml:space="preserve">A</m:t>
                  </m:r>
                </m:num>
                <m:den>
                  <m:r>
                    <m:t xml:space="preserve">A</m:t>
                  </m:r>
                  <m:r>
                    <m:rPr>
                      <m:sty m:val="p"/>
                    </m:rPr>
                    <m:t xml:space="preserve">+</m:t>
                  </m:r>
                  <m:sSub>
                    <m:e>
                      <m:r>
                        <m:t xml:space="preserve">a</m:t>
                      </m:r>
                    </m:e>
                    <m:sub>
                      <m:r>
                        <m:t xml:space="preserve">u</m:t>
                      </m:r>
                    </m:sub>
                  </m:sSub>
                </m:den>
              </m:f>
              <m:r>
                <m:t xml:space="preserve">,</m:t>
              </m:r>
              <m:r>
                <m:t xml:space="preserve"> </m:t>
              </m:r>
              <m:r>
                <m:t xml:space="preserve"> </m:t>
              </m:r>
              <m:r>
                <m:t xml:space="preserve"> </m:t>
              </m:r>
              <m:r>
                <m:t xml:space="preserve">Λ</m:t>
              </m:r>
              <m:r>
                <m:rPr>
                  <m:sty m:val="p"/>
                </m:rPr>
                <m:t xml:space="preserve">=</m:t>
              </m:r>
              <m:f>
                <m:num>
                  <m:r>
                    <m:t xml:space="preserve">K</m:t>
                  </m:r>
                </m:num>
                <m:den>
                  <m:r>
                    <m:t xml:space="preserve">K</m:t>
                  </m:r>
                  <m:r>
                    <m:rPr>
                      <m:sty m:val="p"/>
                    </m:rPr>
                    <m:t xml:space="preserve">+</m:t>
                  </m:r>
                  <m:sSub>
                    <m:e>
                      <m:r>
                        <m:t xml:space="preserve">k</m:t>
                      </m:r>
                    </m:e>
                    <m:sub>
                      <m:r>
                        <m:t xml:space="preserve">h</m:t>
                      </m:r>
                    </m:sub>
                  </m:sSub>
                </m:den>
              </m:f>
            </m:oMath>
          </w:p>
        </w:tc>
        <w:tc>
          <w:tcPr>
            <w:tcW w:type="dxa" w:w="431"/>
          </w:tcPr>
          <w:p>
            <w:pPr>
              <w:pStyle w:val="MDPI3aequationnumber"/>
              <w:jc w:val="right"/>
            </w:pPr>
            <w:r>
              <w:t>(3)</w:t>
            </w:r>
          </w:p>
        </w:tc>
      </w:tr>
    </w:tbl>
    <w:p>
      <w:pPr>
        <w:pStyle w:val="MDPI32textnoindent"/>
      </w:pPr>
      <w:r>
        <w:rPr>
          <w:b w:val="0"/>
          <w:i w:val="0"/>
        </w:rPr>
        <w:t xml:space="preserve">The automated share of entry tasks rises with capability along a sigmoid whose ceiling </w:t>
      </w:r>
      <m:oMath>
        <m:sSub>
          <m:e>
            <m:r>
              <m:t xml:space="preserve">α</m:t>
            </m:r>
          </m:e>
          <m:sub>
            <m:r>
              <m:rPr>
                <m:sty m:val="p"/>
              </m:rPr>
              <m:t xml:space="preserve">max</m:t>
            </m:r>
          </m:sub>
        </m:sSub>
      </m:oMath>
      <w:r>
        <w:rPr>
          <w:b w:val="0"/>
          <w:i w:val="0"/>
        </w:rPr>
        <w:t xml:space="preserve"> is the technical design parameter of the organisation, that is, how far it chooses and is able to push automation into the entry port,</w:t>
      </w:r>
    </w:p>
    <w:tbl>
      <w:tblPr>
        <w:tblW w:w="1046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Pr>
      <w:tblGrid>
        <w:gridCol w:w="10036"/>
        <w:gridCol w:w="431"/>
      </w:tblGrid>
      <w:tr>
        <w:tc>
          <w:tcPr>
            <w:tcW w:type="dxa" w:w="10036"/>
          </w:tcPr>
          <w:p>
            <w:pPr>
              <w:pStyle w:val="MDPI39equation"/>
              <w:ind w:left="0"/>
              <w:jc w:val="center"/>
            </w:pPr>
            <m:oMath>
              <m:r>
                <m:t xml:space="preserve">α</m:t>
              </m:r>
              <m:r>
                <m:rPr>
                  <m:sty m:val="p"/>
                </m:rPr>
                <m:t xml:space="preserve">=</m:t>
              </m:r>
              <m:sSub>
                <m:e>
                  <m:r>
                    <m:t xml:space="preserve">α</m:t>
                  </m:r>
                </m:e>
                <m:sub>
                  <m:r>
                    <m:rPr>
                      <m:sty m:val="p"/>
                    </m:rPr>
                    <m:t xml:space="preserve">max</m:t>
                  </m:r>
                </m:sub>
              </m:sSub>
              <m:f>
                <m:num>
                  <m:sSup>
                    <m:e>
                      <m:r>
                        <m:t xml:space="preserve">A</m:t>
                      </m:r>
                    </m:e>
                    <m:sup>
                      <m:r>
                        <m:t xml:space="preserve">γ</m:t>
                      </m:r>
                    </m:sup>
                  </m:sSup>
                </m:num>
                <m:den>
                  <m:sSup>
                    <m:e>
                      <m:r>
                        <m:t xml:space="preserve">A</m:t>
                      </m:r>
                    </m:e>
                    <m:sup>
                      <m:r>
                        <m:t xml:space="preserve">γ</m:t>
                      </m:r>
                    </m:sup>
                  </m:sSup>
                  <m:r>
                    <m:rPr>
                      <m:sty m:val="p"/>
                    </m:rPr>
                    <m:t xml:space="preserve">+</m:t>
                  </m:r>
                  <m:sSubSup>
                    <m:e>
                      <m:r>
                        <m:t xml:space="preserve">a</m:t>
                      </m:r>
                    </m:e>
                    <m:sub>
                      <m:r>
                        <m:t xml:space="preserve">α</m:t>
                      </m:r>
                    </m:sub>
                    <m:sup>
                      <m:r>
                        <m:t xml:space="preserve">γ</m:t>
                      </m:r>
                    </m:sup>
                  </m:sSubSup>
                </m:den>
              </m:f>
            </m:oMath>
          </w:p>
        </w:tc>
        <w:tc>
          <w:tcPr>
            <w:tcW w:type="dxa" w:w="431"/>
          </w:tcPr>
          <w:p>
            <w:pPr>
              <w:pStyle w:val="MDPI3aequationnumber"/>
              <w:jc w:val="right"/>
            </w:pPr>
            <w:r>
              <w:t>(4)</w:t>
            </w:r>
          </w:p>
        </w:tc>
      </w:tr>
    </w:tbl>
    <w:p>
      <w:pPr>
        <w:pStyle w:val="MDPI32textnoindent"/>
      </w:pPr>
      <w:r>
        <w:rPr>
          <w:b w:val="0"/>
          <w:i w:val="0"/>
        </w:rPr>
        <w:t xml:space="preserve">The reinstatement share is the share of core tasks that the organisation delegates to AI-assisted juniors. It is bounded by a second design parameter </w:t>
      </w:r>
      <m:oMath>
        <m:sSub>
          <m:e>
            <m:r>
              <m:t xml:space="preserve">ρ</m:t>
            </m:r>
          </m:e>
          <m:sub>
            <m:r>
              <m:rPr>
                <m:sty m:val="p"/>
              </m:rPr>
              <m:t xml:space="preserve">max</m:t>
            </m:r>
          </m:sub>
        </m:sSub>
      </m:oMath>
      <w:r>
        <w:rPr>
          <w:b w:val="0"/>
          <w:i w:val="0"/>
        </w:rPr>
        <w:t xml:space="preserve"> and, crucially, is gated by both utilisation and routines, because delegation without collaboration routines is unsafe and is not sustained </w:t>
      </w:r>
      <w:r>
        <w:t>[</w:t>
      </w:r>
      <w:r>
        <w:fldChar w:fldCharType="begin"/>
      </w:r>
      <w:r>
        <w:instrText xml:space="preserve"> REF _Ref_18 \h </w:instrText>
      </w:r>
      <w:r>
        <w:fldChar w:fldCharType="separate"/>
      </w:r>
      <w:r>
        <w:t>18</w:t>
      </w:r>
      <w:r>
        <w:fldChar w:fldCharType="end"/>
      </w:r>
      <w:r>
        <w:t>,</w:t>
      </w:r>
      <w:r>
        <w:fldChar w:fldCharType="begin"/>
      </w:r>
      <w:r>
        <w:instrText xml:space="preserve"> REF _Ref_25 \h </w:instrText>
      </w:r>
      <w:r>
        <w:fldChar w:fldCharType="separate"/>
      </w:r>
      <w:r>
        <w:t>25</w:t>
      </w:r>
      <w:r>
        <w:fldChar w:fldCharType="end"/>
      </w:r>
      <w:r>
        <w:t>]</w:t>
      </w:r>
    </w:p>
    <w:tbl>
      <w:tblPr>
        <w:tblW w:w="7859" w:type="dxa"/>
        <w:tblInd w:w="26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Pr>
      <w:tblGrid>
        <w:gridCol w:w="7428"/>
        <w:gridCol w:w="431"/>
      </w:tblGrid>
      <w:tr>
        <w:tc>
          <w:tcPr>
            <w:tcW w:type="dxa" w:w="7428"/>
          </w:tcPr>
          <w:p>
            <w:pPr>
              <w:pStyle w:val="MDPI39equation"/>
              <w:ind w:left="0"/>
              <w:jc w:val="center"/>
            </w:pPr>
            <m:oMath>
              <m:r>
                <m:t xml:space="preserve">ρ</m:t>
              </m:r>
              <m:r>
                <m:rPr>
                  <m:sty m:val="p"/>
                </m:rPr>
                <m:t xml:space="preserve">=</m:t>
              </m:r>
              <m:sSub>
                <m:e>
                  <m:r>
                    <m:t xml:space="preserve">ρ</m:t>
                  </m:r>
                </m:e>
                <m:sub>
                  <m:r>
                    <m:rPr>
                      <m:sty m:val="p"/>
                    </m:rPr>
                    <m:t xml:space="preserve">max</m:t>
                  </m:r>
                </m:sub>
              </m:sSub>
              <m:r>
                <m:t xml:space="preserve"> </m:t>
              </m:r>
              <m:r>
                <m:t xml:space="preserve">u</m:t>
              </m:r>
              <m:r>
                <m:t xml:space="preserve"> </m:t>
              </m:r>
              <m:r>
                <m:t xml:space="preserve">Λ</m:t>
              </m:r>
            </m:oMath>
          </w:p>
        </w:tc>
        <w:tc>
          <w:tcPr>
            <w:tcW w:type="dxa" w:w="431"/>
          </w:tcPr>
          <w:p>
            <w:pPr>
              <w:pStyle w:val="MDPI3aequationnumber"/>
              <w:jc w:val="right"/>
            </w:pPr>
            <w:r>
              <w:t>(5)</w:t>
            </w:r>
          </w:p>
        </w:tc>
      </w:tr>
    </w:tbl>
    <w:p>
      <w:pPr>
        <w:pStyle w:val="MDPI32textnoindent"/>
      </w:pPr>
      <w:r>
        <w:rPr>
          <w:b w:val="0"/>
          <w:i w:val="0"/>
        </w:rPr>
        <w:t xml:space="preserve">Effective productivities embody experience compression through </w:t>
      </w:r>
      <m:oMath>
        <m:sSub>
          <m:e>
            <m:r>
              <m:t xml:space="preserve">β</m:t>
            </m:r>
          </m:e>
          <m:sub>
            <m:r>
              <m:t xml:space="preserve">J</m:t>
            </m:r>
          </m:sub>
        </m:sSub>
        <m:r>
          <m:rPr>
            <m:sty m:val="p"/>
          </m:rPr>
          <m:t xml:space="preserve">&gt;</m:t>
        </m:r>
        <m:sSub>
          <m:e>
            <m:r>
              <m:t xml:space="preserve">β</m:t>
            </m:r>
          </m:e>
          <m:sub>
            <m:r>
              <m:t xml:space="preserve">S</m:t>
            </m:r>
          </m:sub>
        </m:sSub>
      </m:oMath>
      <w:r>
        <w:rPr>
          <w:b w:val="0"/>
          <w:i w:val="0"/>
        </w:rPr>
        <w:t>,</w:t>
      </w:r>
    </w:p>
    <w:tbl>
      <w:tblPr>
        <w:tblW w:w="1046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Pr>
      <w:tblGrid>
        <w:gridCol w:w="10036"/>
        <w:gridCol w:w="431"/>
      </w:tblGrid>
      <w:tr>
        <w:tc>
          <w:tcPr>
            <w:tcW w:type="dxa" w:w="10036"/>
          </w:tcPr>
          <w:p>
            <w:pPr>
              <w:pStyle w:val="MDPI39equation"/>
              <w:ind w:left="0"/>
              <w:jc w:val="center"/>
            </w:pPr>
            <m:oMath>
              <m:sSub>
                <m:e>
                  <m:r>
                    <m:t xml:space="preserve">π</m:t>
                  </m:r>
                </m:e>
                <m:sub>
                  <m:r>
                    <m:t xml:space="preserve">J</m:t>
                  </m:r>
                </m:sub>
              </m:sSub>
              <m:r>
                <m:rPr>
                  <m:sty m:val="p"/>
                </m:rPr>
                <m:t xml:space="preserve">=</m:t>
              </m:r>
              <m:sSub>
                <m:e>
                  <m:r>
                    <m:t xml:space="preserve">π</m:t>
                  </m:r>
                </m:e>
                <m:sub>
                  <m:r>
                    <m:t xml:space="preserve">J0</m:t>
                  </m:r>
                </m:sub>
              </m:sSub>
              <m:r>
                <m:rPr>
                  <m:sty m:val="p"/>
                </m:rPr>
                <m:t xml:space="preserve">(</m:t>
              </m:r>
              <m:r>
                <m:rPr>
                  <m:sty m:val="p"/>
                </m:rPr>
                <m:t xml:space="preserve">1</m:t>
              </m:r>
              <m:r>
                <m:rPr>
                  <m:sty m:val="p"/>
                </m:rPr>
                <m:t xml:space="preserve">+</m:t>
              </m:r>
              <m:sSub>
                <m:e>
                  <m:r>
                    <m:t xml:space="preserve">β</m:t>
                  </m:r>
                </m:e>
                <m:sub>
                  <m:r>
                    <m:t xml:space="preserve">J</m:t>
                  </m:r>
                </m:sub>
              </m:sSub>
              <m:r>
                <m:t xml:space="preserve"> </m:t>
              </m:r>
              <m:r>
                <m:t xml:space="preserve">u</m:t>
              </m:r>
              <m:r>
                <m:t xml:space="preserve">Λ</m:t>
              </m:r>
              <m:r>
                <m:rPr>
                  <m:sty m:val="p"/>
                </m:rPr>
                <m:t xml:space="preserve">)</m:t>
              </m:r>
              <m:r>
                <m:t xml:space="preserve">,</m:t>
              </m:r>
              <m:r>
                <m:t xml:space="preserve"> </m:t>
              </m:r>
              <m:r>
                <m:t xml:space="preserve"> </m:t>
              </m:r>
              <m:r>
                <m:t xml:space="preserve"> </m:t>
              </m:r>
              <m:sSub>
                <m:e>
                  <m:r>
                    <m:t xml:space="preserve">π</m:t>
                  </m:r>
                </m:e>
                <m:sub>
                  <m:r>
                    <m:t xml:space="preserve">S</m:t>
                  </m:r>
                </m:sub>
              </m:sSub>
              <m:r>
                <m:rPr>
                  <m:sty m:val="p"/>
                </m:rPr>
                <m:t xml:space="preserve">=</m:t>
              </m:r>
              <m:sSub>
                <m:e>
                  <m:r>
                    <m:t xml:space="preserve">π</m:t>
                  </m:r>
                </m:e>
                <m:sub>
                  <m:r>
                    <m:t xml:space="preserve">S0</m:t>
                  </m:r>
                </m:sub>
              </m:sSub>
              <m:r>
                <m:rPr>
                  <m:sty m:val="p"/>
                </m:rPr>
                <m:t xml:space="preserve">(</m:t>
              </m:r>
              <m:r>
                <m:rPr>
                  <m:sty m:val="p"/>
                </m:rPr>
                <m:t xml:space="preserve">1</m:t>
              </m:r>
              <m:r>
                <m:rPr>
                  <m:sty m:val="p"/>
                </m:rPr>
                <m:t xml:space="preserve">+</m:t>
              </m:r>
              <m:sSub>
                <m:e>
                  <m:r>
                    <m:t xml:space="preserve">β</m:t>
                  </m:r>
                </m:e>
                <m:sub>
                  <m:r>
                    <m:t xml:space="preserve">S</m:t>
                  </m:r>
                </m:sub>
              </m:sSub>
              <m:r>
                <m:t xml:space="preserve"> </m:t>
              </m:r>
              <m:r>
                <m:t xml:space="preserve">u</m:t>
              </m:r>
              <m:r>
                <m:t xml:space="preserve">Λ</m:t>
              </m:r>
              <m:r>
                <m:rPr>
                  <m:sty m:val="p"/>
                </m:rPr>
                <m:t xml:space="preserve">)</m:t>
              </m:r>
            </m:oMath>
          </w:p>
        </w:tc>
        <w:tc>
          <w:tcPr>
            <w:tcW w:type="dxa" w:w="431"/>
          </w:tcPr>
          <w:p>
            <w:pPr>
              <w:pStyle w:val="MDPI3aequationnumber"/>
              <w:jc w:val="right"/>
            </w:pPr>
            <w:r>
              <w:t>(6)</w:t>
            </w:r>
          </w:p>
        </w:tc>
      </w:tr>
    </w:tbl>
    <w:p>
      <w:pPr>
        <w:pStyle w:val="MDPI32textnoindent"/>
      </w:pPr>
      <w:r>
        <w:rPr>
          <w:b w:val="0"/>
          <w:i w:val="0"/>
        </w:rPr>
        <w:t xml:space="preserve">Total task volume is normalised to unity and partitioned into entry tasks </w:t>
      </w:r>
      <m:oMath>
        <m:sSub>
          <m:e>
            <m:r>
              <m:t xml:space="preserve">θ</m:t>
            </m:r>
          </m:e>
          <m:sub>
            <m:r>
              <m:t xml:space="preserve">E</m:t>
            </m:r>
          </m:sub>
        </m:sSub>
      </m:oMath>
      <w:r>
        <w:rPr>
          <w:b w:val="0"/>
          <w:i w:val="0"/>
        </w:rPr>
        <w:t xml:space="preserve">, core tasks </w:t>
      </w:r>
      <m:oMath>
        <m:sSub>
          <m:e>
            <m:r>
              <m:t xml:space="preserve">θ</m:t>
            </m:r>
          </m:e>
          <m:sub>
            <m:r>
              <m:t xml:space="preserve">C</m:t>
            </m:r>
          </m:sub>
        </m:sSub>
      </m:oMath>
      <w:r>
        <w:rPr>
          <w:b w:val="0"/>
          <w:i w:val="0"/>
        </w:rPr>
        <w:t xml:space="preserve"> and judgement tasks </w:t>
      </w:r>
      <m:oMath>
        <m:sSub>
          <m:e>
            <m:r>
              <m:t xml:space="preserve">θ</m:t>
            </m:r>
          </m:e>
          <m:sub>
            <m:r>
              <m:t xml:space="preserve">G</m:t>
            </m:r>
          </m:sub>
        </m:sSub>
      </m:oMath>
      <w:r>
        <w:rPr>
          <w:b w:val="0"/>
          <w:i w:val="0"/>
        </w:rPr>
        <w:t>. Task intensities per unit of output for the two labour classes are then</w:t>
      </w:r>
    </w:p>
    <w:tbl>
      <w:tblPr>
        <w:tblW w:w="1046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Pr>
      <w:tblGrid>
        <w:gridCol w:w="10036"/>
        <w:gridCol w:w="431"/>
      </w:tblGrid>
      <w:tr>
        <w:tc>
          <w:tcPr>
            <w:tcW w:type="dxa" w:w="10036"/>
          </w:tcPr>
          <w:p>
            <w:pPr>
              <w:pStyle w:val="MDPI39equation"/>
              <w:ind w:left="0"/>
              <w:jc w:val="center"/>
            </w:pPr>
            <m:oMath>
              <m:sSub>
                <m:e>
                  <m:r>
                    <m:t xml:space="preserve">i</m:t>
                  </m:r>
                </m:e>
                <m:sub>
                  <m:r>
                    <m:t xml:space="preserve">J</m:t>
                  </m:r>
                </m:sub>
              </m:sSub>
              <m:r>
                <m:rPr>
                  <m:sty m:val="p"/>
                </m:rPr>
                <m:t xml:space="preserve">=</m:t>
              </m:r>
              <m:r>
                <m:rPr>
                  <m:sty m:val="p"/>
                </m:rPr>
                <m:t xml:space="preserve">(</m:t>
              </m:r>
              <m:r>
                <m:rPr>
                  <m:sty m:val="p"/>
                </m:rPr>
                <m:t xml:space="preserve">1</m:t>
              </m:r>
              <m:r>
                <m:rPr>
                  <m:sty m:val="p"/>
                </m:rPr>
                <m:t xml:space="preserve">-</m:t>
              </m:r>
              <m:r>
                <m:t xml:space="preserve">α</m:t>
              </m:r>
              <m:r>
                <m:rPr>
                  <m:sty m:val="p"/>
                </m:rPr>
                <m:t xml:space="preserve">)</m:t>
              </m:r>
              <m:sSub>
                <m:e>
                  <m:r>
                    <m:t xml:space="preserve">θ</m:t>
                  </m:r>
                </m:e>
                <m:sub>
                  <m:r>
                    <m:t xml:space="preserve">E</m:t>
                  </m:r>
                </m:sub>
              </m:sSub>
              <m:r>
                <m:rPr>
                  <m:sty m:val="p"/>
                </m:rPr>
                <m:t xml:space="preserve">+</m:t>
              </m:r>
              <m:r>
                <m:t xml:space="preserve">ρ</m:t>
              </m:r>
              <m:sSub>
                <m:e>
                  <m:r>
                    <m:t xml:space="preserve">θ</m:t>
                  </m:r>
                </m:e>
                <m:sub>
                  <m:r>
                    <m:t xml:space="preserve">C</m:t>
                  </m:r>
                </m:sub>
              </m:sSub>
              <m:r>
                <m:t xml:space="preserve">,</m:t>
              </m:r>
              <m:r>
                <m:t xml:space="preserve"> </m:t>
              </m:r>
              <m:r>
                <m:t xml:space="preserve"> </m:t>
              </m:r>
              <m:r>
                <m:t xml:space="preserve"> </m:t>
              </m:r>
              <m:sSub>
                <m:e>
                  <m:r>
                    <m:t xml:space="preserve">i</m:t>
                  </m:r>
                </m:e>
                <m:sub>
                  <m:r>
                    <m:t xml:space="preserve">S</m:t>
                  </m:r>
                </m:sub>
              </m:sSub>
              <m:r>
                <m:rPr>
                  <m:sty m:val="p"/>
                </m:rPr>
                <m:t xml:space="preserve">=</m:t>
              </m:r>
              <m:sSub>
                <m:e>
                  <m:r>
                    <m:t xml:space="preserve">θ</m:t>
                  </m:r>
                </m:e>
                <m:sub>
                  <m:r>
                    <m:t xml:space="preserve">G</m:t>
                  </m:r>
                </m:sub>
              </m:sSub>
              <m:r>
                <m:rPr>
                  <m:sty m:val="p"/>
                </m:rPr>
                <m:t xml:space="preserve">+</m:t>
              </m:r>
              <m:r>
                <m:rPr>
                  <m:sty m:val="p"/>
                </m:rPr>
                <m:t xml:space="preserve">(</m:t>
              </m:r>
              <m:r>
                <m:rPr>
                  <m:sty m:val="p"/>
                </m:rPr>
                <m:t xml:space="preserve">1</m:t>
              </m:r>
              <m:r>
                <m:rPr>
                  <m:sty m:val="p"/>
                </m:rPr>
                <m:t xml:space="preserve">-</m:t>
              </m:r>
              <m:r>
                <m:t xml:space="preserve">ρ</m:t>
              </m:r>
              <m:r>
                <m:rPr>
                  <m:sty m:val="p"/>
                </m:rPr>
                <m:t xml:space="preserve">)</m:t>
              </m:r>
              <m:sSub>
                <m:e>
                  <m:r>
                    <m:t xml:space="preserve">θ</m:t>
                  </m:r>
                </m:e>
                <m:sub>
                  <m:r>
                    <m:t xml:space="preserve">C</m:t>
                  </m:r>
                </m:sub>
              </m:sSub>
            </m:oMath>
          </w:p>
        </w:tc>
        <w:tc>
          <w:tcPr>
            <w:tcW w:type="dxa" w:w="431"/>
          </w:tcPr>
          <w:p>
            <w:pPr>
              <w:pStyle w:val="MDPI3aequationnumber"/>
              <w:jc w:val="right"/>
            </w:pPr>
            <w:r>
              <w:t>(7)</w:t>
            </w:r>
          </w:p>
        </w:tc>
      </w:tr>
    </w:tbl>
    <w:p>
      <w:pPr>
        <w:pStyle w:val="MDPI32textnoindent"/>
      </w:pPr>
      <w:r>
        <w:rPr>
          <w:b w:val="0"/>
          <w:i w:val="0"/>
        </w:rPr>
        <w:t>so that desired labour, anchored on planned output, is</w:t>
      </w:r>
    </w:p>
    <w:tbl>
      <w:tblPr>
        <w:tblW w:w="7859" w:type="dxa"/>
        <w:tblInd w:w="26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Pr>
      <w:tblGrid>
        <w:gridCol w:w="7428"/>
        <w:gridCol w:w="431"/>
      </w:tblGrid>
      <w:tr>
        <w:tc>
          <w:tcPr>
            <w:tcW w:type="dxa" w:w="7428"/>
          </w:tcPr>
          <w:p>
            <w:pPr>
              <w:pStyle w:val="MDPI39equation"/>
              <w:ind w:left="0"/>
              <w:jc w:val="center"/>
            </w:pPr>
            <m:oMath>
              <m:sSub>
                <m:e>
                  <m:r>
                    <m:t xml:space="preserve">D</m:t>
                  </m:r>
                </m:e>
                <m:sub>
                  <m:r>
                    <m:t xml:space="preserve">J</m:t>
                  </m:r>
                </m:sub>
              </m:sSub>
              <m:r>
                <m:rPr>
                  <m:sty m:val="p"/>
                </m:rPr>
                <m:t xml:space="preserve">=</m:t>
              </m:r>
              <m:f>
                <m:num>
                  <m:sSub>
                    <m:e>
                      <m:r>
                        <m:t xml:space="preserve">Y</m:t>
                      </m:r>
                    </m:e>
                    <m:sub>
                      <m:r>
                        <m:t xml:space="preserve">d</m:t>
                      </m:r>
                    </m:sub>
                  </m:sSub>
                  <m:r>
                    <m:t xml:space="preserve"> </m:t>
                  </m:r>
                  <m:sSub>
                    <m:e>
                      <m:r>
                        <m:t xml:space="preserve">i</m:t>
                      </m:r>
                    </m:e>
                    <m:sub>
                      <m:r>
                        <m:t xml:space="preserve">J</m:t>
                      </m:r>
                    </m:sub>
                  </m:sSub>
                </m:num>
                <m:den>
                  <m:sSub>
                    <m:e>
                      <m:r>
                        <m:t xml:space="preserve">π</m:t>
                      </m:r>
                    </m:e>
                    <m:sub>
                      <m:r>
                        <m:t xml:space="preserve">J</m:t>
                      </m:r>
                    </m:sub>
                  </m:sSub>
                </m:den>
              </m:f>
              <m:r>
                <m:t xml:space="preserve">,</m:t>
              </m:r>
              <m:r>
                <m:t xml:space="preserve"> </m:t>
              </m:r>
              <m:r>
                <m:t xml:space="preserve"> </m:t>
              </m:r>
              <m:r>
                <m:t xml:space="preserve"> </m:t>
              </m:r>
              <m:sSub>
                <m:e>
                  <m:r>
                    <m:t xml:space="preserve">D</m:t>
                  </m:r>
                </m:e>
                <m:sub>
                  <m:r>
                    <m:t xml:space="preserve">S</m:t>
                  </m:r>
                </m:sub>
              </m:sSub>
              <m:r>
                <m:rPr>
                  <m:sty m:val="p"/>
                </m:rPr>
                <m:t xml:space="preserve">=</m:t>
              </m:r>
              <m:f>
                <m:num>
                  <m:sSub>
                    <m:e>
                      <m:r>
                        <m:t xml:space="preserve">Y</m:t>
                      </m:r>
                    </m:e>
                    <m:sub>
                      <m:r>
                        <m:t xml:space="preserve">d</m:t>
                      </m:r>
                    </m:sub>
                  </m:sSub>
                  <m:r>
                    <m:t xml:space="preserve"> </m:t>
                  </m:r>
                  <m:sSub>
                    <m:e>
                      <m:r>
                        <m:t xml:space="preserve">i</m:t>
                      </m:r>
                    </m:e>
                    <m:sub>
                      <m:r>
                        <m:t xml:space="preserve">S</m:t>
                      </m:r>
                    </m:sub>
                  </m:sSub>
                </m:num>
                <m:den>
                  <m:sSub>
                    <m:e>
                      <m:r>
                        <m:t xml:space="preserve">π</m:t>
                      </m:r>
                    </m:e>
                    <m:sub>
                      <m:r>
                        <m:t xml:space="preserve">S</m:t>
                      </m:r>
                    </m:sub>
                  </m:sSub>
                </m:den>
              </m:f>
            </m:oMath>
          </w:p>
        </w:tc>
        <w:tc>
          <w:tcPr>
            <w:tcW w:type="dxa" w:w="431"/>
          </w:tcPr>
          <w:p>
            <w:pPr>
              <w:pStyle w:val="MDPI3aequationnumber"/>
              <w:jc w:val="right"/>
            </w:pPr>
            <w:r>
              <w:t>(8)</w:t>
            </w:r>
          </w:p>
        </w:tc>
      </w:tr>
    </w:tbl>
    <w:p>
      <w:pPr>
        <w:pStyle w:val="MDPI32textnoindent"/>
      </w:pPr>
      <w:r>
        <w:rPr>
          <w:b w:val="0"/>
          <w:i w:val="0"/>
        </w:rPr>
        <w:t xml:space="preserve">Delivered output is limited by whichever class is short. The output fulfilment ratio </w:t>
      </w:r>
      <m:oMath>
        <m:r>
          <m:t xml:space="preserve">Φ</m:t>
        </m:r>
      </m:oMath>
      <w:r>
        <w:rPr>
          <w:b w:val="0"/>
          <w:i w:val="0"/>
        </w:rPr>
        <w:t xml:space="preserve"> and realised output are</w:t>
      </w:r>
    </w:p>
    <w:tbl>
      <w:tblPr>
        <w:tblW w:w="1046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Pr>
      <w:tblGrid>
        <w:gridCol w:w="10036"/>
        <w:gridCol w:w="431"/>
      </w:tblGrid>
      <w:tr>
        <w:tc>
          <w:tcPr>
            <w:tcW w:type="dxa" w:w="10036"/>
          </w:tcPr>
          <w:p>
            <w:pPr>
              <w:pStyle w:val="MDPI39equation"/>
              <w:ind w:left="0"/>
              <w:jc w:val="center"/>
            </w:pPr>
            <m:oMath>
              <m:r>
                <m:t xml:space="preserve">Φ</m:t>
              </m:r>
              <m:r>
                <m:rPr>
                  <m:sty m:val="p"/>
                </m:rPr>
                <m:t xml:space="preserve">=</m:t>
              </m:r>
              <m:r>
                <m:rPr>
                  <m:sty m:val="p"/>
                </m:rPr>
                <m:t xml:space="preserve">min</m:t>
              </m:r>
              <m:d>
                <m:dPr>
                  <m:begChr m:val="("/>
                  <m:endChr m:val=")"/>
                </m:dPr>
                <m:e>
                  <m:r>
                    <m:rPr>
                      <m:sty m:val="p"/>
                    </m:rPr>
                    <m:t xml:space="preserve">1</m:t>
                  </m:r>
                  <m:r>
                    <m:t xml:space="preserve">,</m:t>
                  </m:r>
                  <m:f>
                    <m:num>
                      <m:sSub>
                        <m:e>
                          <m:r>
                            <m:t xml:space="preserve">π</m:t>
                          </m:r>
                        </m:e>
                        <m:sub>
                          <m:r>
                            <m:t xml:space="preserve">J</m:t>
                          </m:r>
                        </m:sub>
                      </m:sSub>
                      <m:r>
                        <m:t xml:space="preserve"> </m:t>
                      </m:r>
                      <m:r>
                        <m:t xml:space="preserve">J</m:t>
                      </m:r>
                    </m:num>
                    <m:den>
                      <m:sSub>
                        <m:e>
                          <m:r>
                            <m:t xml:space="preserve">Y</m:t>
                          </m:r>
                        </m:e>
                        <m:sub>
                          <m:r>
                            <m:t xml:space="preserve">d</m:t>
                          </m:r>
                        </m:sub>
                      </m:sSub>
                      <m:r>
                        <m:t xml:space="preserve"> </m:t>
                      </m:r>
                      <m:sSub>
                        <m:e>
                          <m:r>
                            <m:t xml:space="preserve">i</m:t>
                          </m:r>
                        </m:e>
                        <m:sub>
                          <m:r>
                            <m:t xml:space="preserve">J</m:t>
                          </m:r>
                        </m:sub>
                      </m:sSub>
                    </m:den>
                  </m:f>
                  <m:r>
                    <m:t xml:space="preserve">,</m:t>
                  </m:r>
                  <m:f>
                    <m:num>
                      <m:sSub>
                        <m:e>
                          <m:r>
                            <m:t xml:space="preserve">π</m:t>
                          </m:r>
                        </m:e>
                        <m:sub>
                          <m:r>
                            <m:t xml:space="preserve">S</m:t>
                          </m:r>
                        </m:sub>
                      </m:sSub>
                      <m:r>
                        <m:t xml:space="preserve"> </m:t>
                      </m:r>
                      <m:r>
                        <m:t xml:space="preserve">S</m:t>
                      </m:r>
                    </m:num>
                    <m:den>
                      <m:sSub>
                        <m:e>
                          <m:r>
                            <m:t xml:space="preserve">Y</m:t>
                          </m:r>
                        </m:e>
                        <m:sub>
                          <m:r>
                            <m:t xml:space="preserve">d</m:t>
                          </m:r>
                        </m:sub>
                      </m:sSub>
                      <m:r>
                        <m:t xml:space="preserve"> </m:t>
                      </m:r>
                      <m:sSub>
                        <m:e>
                          <m:r>
                            <m:t xml:space="preserve">i</m:t>
                          </m:r>
                        </m:e>
                        <m:sub>
                          <m:r>
                            <m:t xml:space="preserve">S</m:t>
                          </m:r>
                        </m:sub>
                      </m:sSub>
                    </m:den>
                  </m:f>
                </m:e>
              </m:d>
              <m:r>
                <m:t xml:space="preserve">,</m:t>
              </m:r>
              <m:r>
                <m:t xml:space="preserve"> </m:t>
              </m:r>
              <m:r>
                <m:t xml:space="preserve"> </m:t>
              </m:r>
              <m:r>
                <m:t xml:space="preserve"> </m:t>
              </m:r>
              <m:r>
                <m:t xml:space="preserve">Y</m:t>
              </m:r>
              <m:r>
                <m:rPr>
                  <m:sty m:val="p"/>
                </m:rPr>
                <m:t xml:space="preserve">=</m:t>
              </m:r>
              <m:r>
                <m:t xml:space="preserve">Φ</m:t>
              </m:r>
              <m:r>
                <m:t xml:space="preserve"> </m:t>
              </m:r>
              <m:sSub>
                <m:e>
                  <m:r>
                    <m:t xml:space="preserve">Y</m:t>
                  </m:r>
                </m:e>
                <m:sub>
                  <m:r>
                    <m:t xml:space="preserve">d</m:t>
                  </m:r>
                </m:sub>
              </m:sSub>
            </m:oMath>
          </w:p>
        </w:tc>
        <w:tc>
          <w:tcPr>
            <w:tcW w:type="dxa" w:w="431"/>
          </w:tcPr>
          <w:p>
            <w:pPr>
              <w:pStyle w:val="MDPI3aequationnumber"/>
              <w:jc w:val="right"/>
            </w:pPr>
            <w:r>
              <w:t>(9)</w:t>
            </w:r>
          </w:p>
        </w:tc>
      </w:tr>
    </w:tbl>
    <w:p>
      <w:pPr>
        <w:pStyle w:val="MDPI32textnoindent"/>
      </w:pPr>
      <w:r>
        <w:rPr>
          <w:b w:val="0"/>
          <w:i w:val="0"/>
        </w:rPr>
        <w:t xml:space="preserve">Hiring follows the standard anchoring-and-adjustment formulation: the firm replaces separations and promotions and closes a fraction of the remaining gap each period </w:t>
      </w:r>
      <w:r>
        <w:t>[</w:t>
      </w:r>
      <w:r>
        <w:fldChar w:fldCharType="begin"/>
      </w:r>
      <w:r>
        <w:instrText xml:space="preserve"> REF _Ref_30 \h </w:instrText>
      </w:r>
      <w:r>
        <w:fldChar w:fldCharType="separate"/>
      </w:r>
      <w:r>
        <w:t>30</w:t>
      </w:r>
      <w:r>
        <w:fldChar w:fldCharType="end"/>
      </w:r>
      <w:r>
        <w:t>]</w:t>
      </w:r>
    </w:p>
    <w:tbl>
      <w:tblPr>
        <w:tblW w:w="7859" w:type="dxa"/>
        <w:tblInd w:w="26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Pr>
      <w:tblGrid>
        <w:gridCol w:w="7428"/>
        <w:gridCol w:w="431"/>
      </w:tblGrid>
      <w:tr>
        <w:tc>
          <w:tcPr>
            <w:tcW w:type="dxa" w:w="7428"/>
          </w:tcPr>
          <w:p>
            <w:pPr>
              <w:pStyle w:val="MDPI39equation"/>
              <w:ind w:left="0"/>
              <w:jc w:val="center"/>
            </w:pPr>
            <m:oMath>
              <m:r>
                <m:t xml:space="preserve">h</m:t>
              </m:r>
              <m:r>
                <m:rPr>
                  <m:sty m:val="p"/>
                </m:rPr>
                <m:t xml:space="preserve">=</m:t>
              </m:r>
              <m:r>
                <m:rPr>
                  <m:sty m:val="p"/>
                </m:rPr>
                <m:t xml:space="preserve">max</m:t>
              </m:r>
              <m:d>
                <m:dPr>
                  <m:begChr m:val="("/>
                  <m:endChr m:val=")"/>
                </m:dPr>
                <m:e>
                  <m:r>
                    <m:rPr>
                      <m:sty m:val="p"/>
                    </m:rPr>
                    <m:t xml:space="preserve">0</m:t>
                  </m:r>
                  <m:r>
                    <m:t xml:space="preserve">,</m:t>
                  </m:r>
                  <m:f>
                    <m:num>
                      <m:sSub>
                        <m:e>
                          <m:r>
                            <m:t xml:space="preserve">D</m:t>
                          </m:r>
                        </m:e>
                        <m:sub>
                          <m:r>
                            <m:t xml:space="preserve">J</m:t>
                          </m:r>
                        </m:sub>
                      </m:sSub>
                      <m:r>
                        <m:rPr>
                          <m:sty m:val="p"/>
                        </m:rPr>
                        <m:t xml:space="preserve">-</m:t>
                      </m:r>
                      <m:r>
                        <m:t xml:space="preserve">J</m:t>
                      </m:r>
                    </m:num>
                    <m:den>
                      <m:sSub>
                        <m:e>
                          <m:r>
                            <m:t xml:space="preserve">τ</m:t>
                          </m:r>
                        </m:e>
                        <m:sub>
                          <m:r>
                            <m:t xml:space="preserve">J</m:t>
                          </m:r>
                        </m:sub>
                      </m:sSub>
                    </m:den>
                  </m:f>
                  <m:r>
                    <m:rPr>
                      <m:sty m:val="p"/>
                    </m:rPr>
                    <m:t xml:space="preserve">+</m:t>
                  </m:r>
                  <m:sSub>
                    <m:e>
                      <m:r>
                        <m:t xml:space="preserve">δ</m:t>
                      </m:r>
                    </m:e>
                    <m:sub>
                      <m:r>
                        <m:t xml:space="preserve">J</m:t>
                      </m:r>
                    </m:sub>
                  </m:sSub>
                  <m:r>
                    <m:t xml:space="preserve"> </m:t>
                  </m:r>
                  <m:r>
                    <m:t xml:space="preserve">J</m:t>
                  </m:r>
                  <m:r>
                    <m:rPr>
                      <m:sty m:val="p"/>
                    </m:rPr>
                    <m:t xml:space="preserve">+</m:t>
                  </m:r>
                  <m:r>
                    <m:t xml:space="preserve">c</m:t>
                  </m:r>
                </m:e>
              </m:d>
            </m:oMath>
          </w:p>
        </w:tc>
        <w:tc>
          <w:tcPr>
            <w:tcW w:type="dxa" w:w="431"/>
          </w:tcPr>
          <w:p>
            <w:pPr>
              <w:pStyle w:val="MDPI3aequationnumber"/>
              <w:jc w:val="right"/>
            </w:pPr>
            <w:r>
              <w:t>(10)</w:t>
            </w:r>
          </w:p>
        </w:tc>
      </w:tr>
    </w:tbl>
    <w:p>
      <w:pPr>
        <w:pStyle w:val="MDPI32textnoindent"/>
      </w:pPr>
      <w:r>
        <w:rPr>
          <w:b w:val="0"/>
          <w:i w:val="0"/>
        </w:rPr>
        <w:t>The development pipeline is where the socio-technical structure bites. Mentoring adequacy per junior combines human supervision, proportional to the senior stock, with AI-mediated scaffolding, and the fraction of juniors who reach competence is a saturating function of it,</w:t>
      </w:r>
    </w:p>
    <w:tbl>
      <w:tblPr>
        <w:tblW w:w="7859" w:type="dxa"/>
        <w:tblInd w:w="26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Pr>
      <w:tblGrid>
        <w:gridCol w:w="7428"/>
        <w:gridCol w:w="431"/>
      </w:tblGrid>
      <w:tr>
        <w:tc>
          <w:tcPr>
            <w:tcW w:type="dxa" w:w="7428"/>
          </w:tcPr>
          <w:p>
            <w:pPr>
              <w:pStyle w:val="MDPI39equation"/>
              <w:ind w:left="0"/>
              <w:jc w:val="center"/>
            </w:pPr>
            <m:oMath>
              <m:r>
                <m:t xml:space="preserve">q</m:t>
              </m:r>
              <m:r>
                <m:rPr>
                  <m:sty m:val="p"/>
                </m:rPr>
                <m:t xml:space="preserve">=</m:t>
              </m:r>
              <m:f>
                <m:num>
                  <m:r>
                    <m:t xml:space="preserve">m</m:t>
                  </m:r>
                  <m:r>
                    <m:t xml:space="preserve"> </m:t>
                  </m:r>
                  <m:r>
                    <m:t xml:space="preserve">S</m:t>
                  </m:r>
                </m:num>
                <m:den>
                  <m:r>
                    <m:t xml:space="preserve">J</m:t>
                  </m:r>
                </m:den>
              </m:f>
              <m:r>
                <m:rPr>
                  <m:sty m:val="p"/>
                </m:rPr>
                <m:t xml:space="preserve">+</m:t>
              </m:r>
              <m:r>
                <m:t xml:space="preserve">η</m:t>
              </m:r>
              <m:r>
                <m:t xml:space="preserve"> </m:t>
              </m:r>
              <m:r>
                <m:t xml:space="preserve">A</m:t>
              </m:r>
              <m:r>
                <m:t xml:space="preserve">Λ</m:t>
              </m:r>
              <m:r>
                <m:t xml:space="preserve">,</m:t>
              </m:r>
              <m:r>
                <m:t xml:space="preserve"> </m:t>
              </m:r>
              <m:r>
                <m:t xml:space="preserve"> </m:t>
              </m:r>
              <m:r>
                <m:t xml:space="preserve"> </m:t>
              </m:r>
              <m:r>
                <m:t xml:space="preserve">ψ</m:t>
              </m:r>
              <m:r>
                <m:rPr>
                  <m:sty m:val="p"/>
                </m:rPr>
                <m:t xml:space="preserve">=</m:t>
              </m:r>
              <m:f>
                <m:num>
                  <m:r>
                    <m:t xml:space="preserve">q</m:t>
                  </m:r>
                </m:num>
                <m:den>
                  <m:r>
                    <m:t xml:space="preserve">q</m:t>
                  </m:r>
                  <m:r>
                    <m:rPr>
                      <m:sty m:val="p"/>
                    </m:rPr>
                    <m:t xml:space="preserve">+</m:t>
                  </m:r>
                  <m:sSub>
                    <m:e>
                      <m:r>
                        <m:t xml:space="preserve">q</m:t>
                      </m:r>
                    </m:e>
                    <m:sub>
                      <m:r>
                        <m:rPr>
                          <m:sty m:val="p"/>
                        </m:rPr>
                        <m:t xml:space="preserve">0</m:t>
                      </m:r>
                    </m:sub>
                  </m:sSub>
                </m:den>
              </m:f>
            </m:oMath>
          </w:p>
        </w:tc>
        <w:tc>
          <w:tcPr>
            <w:tcW w:type="dxa" w:w="431"/>
          </w:tcPr>
          <w:p>
            <w:pPr>
              <w:pStyle w:val="MDPI3aequationnumber"/>
              <w:jc w:val="right"/>
            </w:pPr>
            <w:r>
              <w:t>(11)</w:t>
            </w:r>
          </w:p>
        </w:tc>
      </w:tr>
    </w:tbl>
    <w:p>
      <w:pPr>
        <w:pStyle w:val="MDPI32textnoindent"/>
      </w:pPr>
      <w:r>
        <w:rPr>
          <w:b w:val="0"/>
          <w:i w:val="0"/>
        </w:rPr>
        <w:t xml:space="preserve">Skill formation also depends on what juniors actually do. Unmediated entry work is a full teacher; AI-mediated core work builds tacit skill only to the extent that the organisation has built the routines that make the mediation instructive </w:t>
      </w:r>
      <w:r>
        <w:t>[</w:t>
      </w:r>
      <w:r>
        <w:fldChar w:fldCharType="begin"/>
      </w:r>
      <w:r>
        <w:instrText xml:space="preserve"> REF _Ref_23 \h </w:instrText>
      </w:r>
      <w:r>
        <w:fldChar w:fldCharType="separate"/>
      </w:r>
      <w:r>
        <w:t>23</w:t>
      </w:r>
      <w:r>
        <w:fldChar w:fldCharType="end"/>
      </w:r>
      <w:r>
        <w:t>,</w:t>
      </w:r>
      <w:r>
        <w:fldChar w:fldCharType="begin"/>
      </w:r>
      <w:r>
        <w:instrText xml:space="preserve"> REF _Ref_24 \h </w:instrText>
      </w:r>
      <w:r>
        <w:fldChar w:fldCharType="separate"/>
      </w:r>
      <w:r>
        <w:t>24</w:t>
      </w:r>
      <w:r>
        <w:fldChar w:fldCharType="end"/>
      </w:r>
      <w:r>
        <w:t>,</w:t>
      </w:r>
      <w:r>
        <w:fldChar w:fldCharType="begin"/>
      </w:r>
      <w:r>
        <w:instrText xml:space="preserve"> REF _Ref_46 \h </w:instrText>
      </w:r>
      <w:r>
        <w:fldChar w:fldCharType="separate"/>
      </w:r>
      <w:r>
        <w:t>46</w:t>
      </w:r>
      <w:r>
        <w:fldChar w:fldCharType="end"/>
      </w:r>
      <w:r>
        <w:t>]</w:t>
      </w:r>
      <w:r>
        <w:rPr>
          <w:b w:val="0"/>
          <w:i w:val="0"/>
        </w:rPr>
        <w:t>. We capture this with an experiential-quality index that equals one in the pre-GenAI state,</w:t>
      </w:r>
    </w:p>
    <w:tbl>
      <w:tblPr>
        <w:tblW w:w="7859" w:type="dxa"/>
        <w:tblInd w:w="26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Pr>
      <w:tblGrid>
        <w:gridCol w:w="7428"/>
        <w:gridCol w:w="431"/>
      </w:tblGrid>
      <w:tr>
        <w:tc>
          <w:tcPr>
            <w:tcW w:type="dxa" w:w="7428"/>
          </w:tcPr>
          <w:p>
            <w:pPr>
              <w:pStyle w:val="MDPI39equation"/>
              <w:ind w:left="0"/>
              <w:jc w:val="center"/>
            </w:pPr>
            <m:oMath>
              <m:r>
                <m:t xml:space="preserve">x</m:t>
              </m:r>
              <m:r>
                <m:rPr>
                  <m:sty m:val="p"/>
                </m:rPr>
                <m:t xml:space="preserve">=</m:t>
              </m:r>
              <m:f>
                <m:num>
                  <m:r>
                    <m:rPr>
                      <m:sty m:val="p"/>
                    </m:rPr>
                    <m:t xml:space="preserve">(</m:t>
                  </m:r>
                  <m:r>
                    <m:rPr>
                      <m:sty m:val="p"/>
                    </m:rPr>
                    <m:t xml:space="preserve">1</m:t>
                  </m:r>
                  <m:r>
                    <m:rPr>
                      <m:sty m:val="p"/>
                    </m:rPr>
                    <m:t xml:space="preserve">-</m:t>
                  </m:r>
                  <m:r>
                    <m:t xml:space="preserve">α</m:t>
                  </m:r>
                  <m:r>
                    <m:rPr>
                      <m:sty m:val="p"/>
                    </m:rPr>
                    <m:t xml:space="preserve">)</m:t>
                  </m:r>
                  <m:sSub>
                    <m:e>
                      <m:r>
                        <m:t xml:space="preserve">θ</m:t>
                      </m:r>
                    </m:e>
                    <m:sub>
                      <m:r>
                        <m:t xml:space="preserve">E</m:t>
                      </m:r>
                    </m:sub>
                  </m:sSub>
                  <m:r>
                    <m:rPr>
                      <m:sty m:val="p"/>
                    </m:rPr>
                    <m:t xml:space="preserve">+</m:t>
                  </m:r>
                  <m:r>
                    <m:t xml:space="preserve">ρ</m:t>
                  </m:r>
                  <m:sSub>
                    <m:e>
                      <m:r>
                        <m:t xml:space="preserve">θ</m:t>
                      </m:r>
                    </m:e>
                    <m:sub>
                      <m:r>
                        <m:t xml:space="preserve">C</m:t>
                      </m:r>
                    </m:sub>
                  </m:sSub>
                  <m:r>
                    <m:rPr>
                      <m:sty m:val="p"/>
                    </m:rPr>
                    <m:t xml:space="preserve">[</m:t>
                  </m:r>
                  <m:sSub>
                    <m:e>
                      <m:r>
                        <m:t xml:space="preserve">ζ</m:t>
                      </m:r>
                    </m:e>
                    <m:sub>
                      <m:r>
                        <m:rPr>
                          <m:sty m:val="p"/>
                        </m:rPr>
                        <m:t xml:space="preserve">0</m:t>
                      </m:r>
                    </m:sub>
                  </m:sSub>
                  <m:r>
                    <m:rPr>
                      <m:sty m:val="p"/>
                    </m:rPr>
                    <m:t xml:space="preserve">+</m:t>
                  </m:r>
                  <m:r>
                    <m:rPr>
                      <m:sty m:val="p"/>
                    </m:rPr>
                    <m:t xml:space="preserve">(</m:t>
                  </m:r>
                  <m:r>
                    <m:rPr>
                      <m:sty m:val="p"/>
                    </m:rPr>
                    <m:t xml:space="preserve">1</m:t>
                  </m:r>
                  <m:r>
                    <m:rPr>
                      <m:sty m:val="p"/>
                    </m:rPr>
                    <m:t xml:space="preserve">-</m:t>
                  </m:r>
                  <m:sSub>
                    <m:e>
                      <m:r>
                        <m:t xml:space="preserve">ζ</m:t>
                      </m:r>
                    </m:e>
                    <m:sub>
                      <m:r>
                        <m:rPr>
                          <m:sty m:val="p"/>
                        </m:rPr>
                        <m:t xml:space="preserve">0</m:t>
                      </m:r>
                    </m:sub>
                  </m:sSub>
                  <m:r>
                    <m:rPr>
                      <m:sty m:val="p"/>
                    </m:rPr>
                    <m:t xml:space="preserve">)</m:t>
                  </m:r>
                  <m:r>
                    <m:t xml:space="preserve">Λ</m:t>
                  </m:r>
                  <m:r>
                    <m:rPr>
                      <m:sty m:val="p"/>
                    </m:rPr>
                    <m:t xml:space="preserve">]</m:t>
                  </m:r>
                </m:num>
                <m:den>
                  <m:sSub>
                    <m:e>
                      <m:r>
                        <m:t xml:space="preserve">i</m:t>
                      </m:r>
                    </m:e>
                    <m:sub>
                      <m:r>
                        <m:t xml:space="preserve">J</m:t>
                      </m:r>
                    </m:sub>
                  </m:sSub>
                </m:den>
              </m:f>
            </m:oMath>
          </w:p>
        </w:tc>
        <w:tc>
          <w:tcPr>
            <w:tcW w:type="dxa" w:w="431"/>
          </w:tcPr>
          <w:p>
            <w:pPr>
              <w:pStyle w:val="MDPI3aequationnumber"/>
              <w:jc w:val="right"/>
            </w:pPr>
            <w:r>
              <w:t>(12)</w:t>
            </w:r>
          </w:p>
        </w:tc>
      </w:tr>
    </w:tbl>
    <w:p>
      <w:pPr>
        <w:pStyle w:val="MDPI32textnoindent"/>
      </w:pPr>
      <w:r>
        <w:rPr>
          <w:b w:val="0"/>
          <w:i w:val="0"/>
        </w:rPr>
        <w:t>so that the promotion flow is</w:t>
      </w:r>
    </w:p>
    <w:tbl>
      <w:tblPr>
        <w:tblW w:w="7859" w:type="dxa"/>
        <w:tblInd w:w="26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Pr>
      <w:tblGrid>
        <w:gridCol w:w="7428"/>
        <w:gridCol w:w="431"/>
      </w:tblGrid>
      <w:tr>
        <w:tc>
          <w:tcPr>
            <w:tcW w:type="dxa" w:w="7428"/>
          </w:tcPr>
          <w:p>
            <w:pPr>
              <w:pStyle w:val="MDPI39equation"/>
              <w:ind w:left="0"/>
              <w:jc w:val="center"/>
            </w:pPr>
            <m:oMath>
              <m:r>
                <m:t xml:space="preserve">c</m:t>
              </m:r>
              <m:r>
                <m:rPr>
                  <m:sty m:val="p"/>
                </m:rPr>
                <m:t xml:space="preserve">=</m:t>
              </m:r>
              <m:r>
                <m:t xml:space="preserve">ψ</m:t>
              </m:r>
              <m:r>
                <m:t xml:space="preserve"> </m:t>
              </m:r>
              <m:r>
                <m:t xml:space="preserve">x</m:t>
              </m:r>
              <m:r>
                <m:t xml:space="preserve"> </m:t>
              </m:r>
              <m:f>
                <m:num>
                  <m:r>
                    <m:t xml:space="preserve">J</m:t>
                  </m:r>
                </m:num>
                <m:den>
                  <m:sSub>
                    <m:e>
                      <m:r>
                        <m:t xml:space="preserve">τ</m:t>
                      </m:r>
                    </m:e>
                    <m:sub>
                      <m:r>
                        <m:rPr>
                          <m:sty m:val="p"/>
                        </m:rPr>
                        <m:t xml:space="preserve">dev</m:t>
                      </m:r>
                    </m:sub>
                  </m:sSub>
                </m:den>
              </m:f>
            </m:oMath>
          </w:p>
        </w:tc>
        <w:tc>
          <w:tcPr>
            <w:tcW w:type="dxa" w:w="431"/>
          </w:tcPr>
          <w:p>
            <w:pPr>
              <w:pStyle w:val="MDPI3aequationnumber"/>
              <w:jc w:val="right"/>
            </w:pPr>
            <w:r>
              <w:t>(13)</w:t>
            </w:r>
          </w:p>
        </w:tc>
      </w:tr>
    </w:tbl>
    <w:p>
      <w:pPr>
        <w:pStyle w:val="MDPI32textnoindent"/>
      </w:pPr>
      <w:r>
        <w:rPr>
          <w:b w:val="0"/>
          <w:i w:val="0"/>
        </w:rPr>
        <w:t>Experienced staff can also be recruited externally, subject to a ceiling that is itself proportional to the sector's promotion flow relative to its replacement need. This is the formal expression of the sector-consistent closure: when every organisation thins its entry port, the external pool from which experienced staff are drawn contracts as well,</w:t>
      </w:r>
    </w:p>
    <w:tbl>
      <w:tblPr>
        <w:tblW w:w="1046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Pr>
      <w:tblGrid>
        <w:gridCol w:w="10036"/>
        <w:gridCol w:w="431"/>
      </w:tblGrid>
      <w:tr>
        <w:tc>
          <w:tcPr>
            <w:tcW w:type="dxa" w:w="10036"/>
          </w:tcPr>
          <w:p>
            <w:pPr>
              <w:pStyle w:val="MDPI39equation"/>
              <w:ind w:left="0"/>
              <w:jc w:val="center"/>
            </w:pPr>
            <m:oMath>
              <m:sSub>
                <m:e>
                  <m:r>
                    <m:t xml:space="preserve">e</m:t>
                  </m:r>
                </m:e>
                <m:sub>
                  <m:r>
                    <m:t xml:space="preserve">S</m:t>
                  </m:r>
                </m:sub>
              </m:sSub>
              <m:r>
                <m:rPr>
                  <m:sty m:val="p"/>
                </m:rPr>
                <m:t xml:space="preserve">=</m:t>
              </m:r>
              <m:r>
                <m:rPr>
                  <m:sty m:val="p"/>
                </m:rPr>
                <m:t xml:space="preserve">min</m:t>
              </m:r>
              <m:d>
                <m:dPr>
                  <m:begChr m:val="("/>
                  <m:endChr m:val=")"/>
                </m:dPr>
                <m:e>
                  <m:r>
                    <m:rPr>
                      <m:sty m:val="p"/>
                    </m:rPr>
                    <m:t xml:space="preserve">max</m:t>
                  </m:r>
                  <m:d>
                    <m:dPr>
                      <m:begChr m:val="("/>
                      <m:endChr m:val=")"/>
                    </m:dPr>
                    <m:e>
                      <m:f>
                        <m:num>
                          <m:sSub>
                            <m:e>
                              <m:r>
                                <m:t xml:space="preserve">D</m:t>
                              </m:r>
                            </m:e>
                            <m:sub>
                              <m:r>
                                <m:t xml:space="preserve">S</m:t>
                              </m:r>
                            </m:sub>
                          </m:sSub>
                          <m:r>
                            <m:rPr>
                              <m:sty m:val="p"/>
                            </m:rPr>
                            <m:t xml:space="preserve">-</m:t>
                          </m:r>
                          <m:r>
                            <m:t xml:space="preserve">S</m:t>
                          </m:r>
                        </m:num>
                        <m:den>
                          <m:sSub>
                            <m:e>
                              <m:r>
                                <m:t xml:space="preserve">τ</m:t>
                              </m:r>
                            </m:e>
                            <m:sub>
                              <m:r>
                                <m:t xml:space="preserve">S</m:t>
                              </m:r>
                            </m:sub>
                          </m:sSub>
                        </m:den>
                      </m:f>
                      <m:r>
                        <m:t xml:space="preserve">,</m:t>
                      </m:r>
                      <m:r>
                        <m:rPr>
                          <m:sty m:val="p"/>
                        </m:rPr>
                        <m:t xml:space="preserve">0</m:t>
                      </m:r>
                    </m:e>
                  </m:d>
                  <m:r>
                    <m:t xml:space="preserve">,</m:t>
                  </m:r>
                  <m:sSub>
                    <m:e>
                      <m:r>
                        <m:t xml:space="preserve">χ</m:t>
                      </m:r>
                    </m:e>
                    <m:sub>
                      <m:r>
                        <m:t xml:space="preserve">S</m:t>
                      </m:r>
                    </m:sub>
                  </m:sSub>
                  <m:r>
                    <m:t xml:space="preserve"> </m:t>
                  </m:r>
                  <m:r>
                    <m:t xml:space="preserve">S</m:t>
                  </m:r>
                  <m:r>
                    <m:t xml:space="preserve"> </m:t>
                  </m:r>
                  <m:r>
                    <m:t xml:space="preserve">Ω</m:t>
                  </m:r>
                </m:e>
              </m:d>
              <m:r>
                <m:t xml:space="preserve">,</m:t>
              </m:r>
              <m:r>
                <m:t xml:space="preserve"> </m:t>
              </m:r>
              <m:r>
                <m:t xml:space="preserve"> </m:t>
              </m:r>
              <m:r>
                <m:t xml:space="preserve"> </m:t>
              </m:r>
              <m:r>
                <m:t xml:space="preserve">Ω</m:t>
              </m:r>
              <m:r>
                <m:rPr>
                  <m:sty m:val="p"/>
                </m:rPr>
                <m:t xml:space="preserve">=</m:t>
              </m:r>
              <m:r>
                <m:rPr>
                  <m:sty m:val="p"/>
                </m:rPr>
                <m:t xml:space="preserve">min</m:t>
              </m:r>
              <m:d>
                <m:dPr>
                  <m:begChr m:val="["/>
                  <m:endChr m:val="]"/>
                </m:dPr>
                <m:e>
                  <m:sSup>
                    <m:e>
                      <m:d>
                        <m:dPr>
                          <m:begChr m:val="("/>
                          <m:endChr m:val=")"/>
                        </m:dPr>
                        <m:e>
                          <m:f>
                            <m:num>
                              <m:r>
                                <m:t xml:space="preserve">c</m:t>
                              </m:r>
                            </m:num>
                            <m:den>
                              <m:sSub>
                                <m:e>
                                  <m:r>
                                    <m:t xml:space="preserve">δ</m:t>
                                  </m:r>
                                </m:e>
                                <m:sub>
                                  <m:r>
                                    <m:t xml:space="preserve">S</m:t>
                                  </m:r>
                                </m:sub>
                              </m:sSub>
                              <m:r>
                                <m:t xml:space="preserve"> </m:t>
                              </m:r>
                              <m:r>
                                <m:t xml:space="preserve">S</m:t>
                              </m:r>
                            </m:den>
                          </m:f>
                        </m:e>
                      </m:d>
                    </m:e>
                    <m:sup>
                      <m:r>
                        <m:t xml:space="preserve">ω</m:t>
                      </m:r>
                    </m:sup>
                  </m:sSup>
                  <m:r>
                    <m:t xml:space="preserve">,</m:t>
                  </m:r>
                  <m:sSub>
                    <m:e>
                      <m:r>
                        <m:t xml:space="preserve">Ω</m:t>
                      </m:r>
                    </m:e>
                    <m:sub>
                      <m:r>
                        <m:rPr>
                          <m:sty m:val="p"/>
                        </m:rPr>
                        <m:t xml:space="preserve">max</m:t>
                      </m:r>
                    </m:sub>
                  </m:sSub>
                </m:e>
              </m:d>
            </m:oMath>
          </w:p>
        </w:tc>
        <w:tc>
          <w:tcPr>
            <w:tcW w:type="dxa" w:w="431"/>
          </w:tcPr>
          <w:p>
            <w:pPr>
              <w:pStyle w:val="MDPI3aequationnumber"/>
              <w:jc w:val="right"/>
            </w:pPr>
            <w:r>
              <w:t>(14)</w:t>
            </w:r>
          </w:p>
        </w:tc>
      </w:tr>
    </w:tbl>
    <w:p>
      <w:pPr>
        <w:pStyle w:val="MDPI32textnoindent"/>
      </w:pPr>
      <w:r>
        <w:rPr>
          <w:b w:val="0"/>
          <w:i w:val="0"/>
        </w:rPr>
        <w:t>The workforce stocks then evolve according to</w:t>
      </w:r>
    </w:p>
    <w:tbl>
      <w:tblPr>
        <w:tblW w:w="7859" w:type="dxa"/>
        <w:tblInd w:w="26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Pr>
      <w:tblGrid>
        <w:gridCol w:w="7428"/>
        <w:gridCol w:w="431"/>
      </w:tblGrid>
      <w:tr>
        <w:tc>
          <w:tcPr>
            <w:tcW w:type="dxa" w:w="7428"/>
          </w:tcPr>
          <w:p>
            <w:pPr>
              <w:pStyle w:val="MDPI39equation"/>
              <w:ind w:left="0"/>
              <w:jc w:val="center"/>
            </w:pPr>
            <m:oMath>
              <m:f>
                <m:num>
                  <m:r>
                    <m:t xml:space="preserve">dJ</m:t>
                  </m:r>
                </m:num>
                <m:den>
                  <m:r>
                    <m:t xml:space="preserve">dt</m:t>
                  </m:r>
                </m:den>
              </m:f>
              <m:r>
                <m:rPr>
                  <m:sty m:val="p"/>
                </m:rPr>
                <m:t xml:space="preserve">=</m:t>
              </m:r>
              <m:r>
                <m:t xml:space="preserve">h</m:t>
              </m:r>
              <m:r>
                <m:rPr>
                  <m:sty m:val="p"/>
                </m:rPr>
                <m:t xml:space="preserve">-</m:t>
              </m:r>
              <m:r>
                <m:t xml:space="preserve">c</m:t>
              </m:r>
              <m:r>
                <m:rPr>
                  <m:sty m:val="p"/>
                </m:rPr>
                <m:t xml:space="preserve">-</m:t>
              </m:r>
              <m:sSub>
                <m:e>
                  <m:r>
                    <m:t xml:space="preserve">δ</m:t>
                  </m:r>
                </m:e>
                <m:sub>
                  <m:r>
                    <m:t xml:space="preserve">J</m:t>
                  </m:r>
                </m:sub>
              </m:sSub>
              <m:r>
                <m:t xml:space="preserve"> </m:t>
              </m:r>
              <m:r>
                <m:t xml:space="preserve">J</m:t>
              </m:r>
              <m:r>
                <m:t xml:space="preserve">,</m:t>
              </m:r>
              <m:r>
                <m:t xml:space="preserve"> </m:t>
              </m:r>
              <m:r>
                <m:t xml:space="preserve"> </m:t>
              </m:r>
              <m:r>
                <m:t xml:space="preserve"> </m:t>
              </m:r>
              <m:f>
                <m:num>
                  <m:r>
                    <m:t xml:space="preserve">dS</m:t>
                  </m:r>
                </m:num>
                <m:den>
                  <m:r>
                    <m:t xml:space="preserve">dt</m:t>
                  </m:r>
                </m:den>
              </m:f>
              <m:r>
                <m:rPr>
                  <m:sty m:val="p"/>
                </m:rPr>
                <m:t xml:space="preserve">=</m:t>
              </m:r>
              <m:r>
                <m:t xml:space="preserve">c</m:t>
              </m:r>
              <m:r>
                <m:rPr>
                  <m:sty m:val="p"/>
                </m:rPr>
                <m:t xml:space="preserve">+</m:t>
              </m:r>
              <m:sSub>
                <m:e>
                  <m:r>
                    <m:t xml:space="preserve">e</m:t>
                  </m:r>
                </m:e>
                <m:sub>
                  <m:r>
                    <m:t xml:space="preserve">S</m:t>
                  </m:r>
                </m:sub>
              </m:sSub>
              <m:r>
                <m:rPr>
                  <m:sty m:val="p"/>
                </m:rPr>
                <m:t xml:space="preserve">-</m:t>
              </m:r>
              <m:sSub>
                <m:e>
                  <m:r>
                    <m:t xml:space="preserve">δ</m:t>
                  </m:r>
                </m:e>
                <m:sub>
                  <m:r>
                    <m:t xml:space="preserve">S</m:t>
                  </m:r>
                </m:sub>
              </m:sSub>
              <m:r>
                <m:t xml:space="preserve"> </m:t>
              </m:r>
              <m:r>
                <m:t xml:space="preserve">S</m:t>
              </m:r>
            </m:oMath>
          </w:p>
        </w:tc>
        <w:tc>
          <w:tcPr>
            <w:tcW w:type="dxa" w:w="431"/>
          </w:tcPr>
          <w:p>
            <w:pPr>
              <w:pStyle w:val="MDPI3aequationnumber"/>
              <w:jc w:val="right"/>
            </w:pPr>
            <w:r>
              <w:t>(15)</w:t>
            </w:r>
          </w:p>
        </w:tc>
      </w:tr>
    </w:tbl>
    <w:p>
      <w:pPr>
        <w:pStyle w:val="MDPI32textnoindent"/>
      </w:pPr>
      <w:r>
        <w:rPr>
          <w:b w:val="0"/>
          <w:i w:val="0"/>
        </w:rPr>
        <w:t xml:space="preserve">Collaboration routines accumulate through learning by collaborating. The inflow is the geometric mean of the two workforce stocks scaled by utilisation, a specification that formalises the requirement that codified human–AI practice needs both the experimentation of newcomers and the judgement of incumbents </w:t>
      </w:r>
      <w:r>
        <w:t>[</w:t>
      </w:r>
      <w:r>
        <w:fldChar w:fldCharType="begin"/>
      </w:r>
      <w:r>
        <w:instrText xml:space="preserve"> REF _Ref_22 \h </w:instrText>
      </w:r>
      <w:r>
        <w:fldChar w:fldCharType="separate"/>
      </w:r>
      <w:r>
        <w:t>22</w:t>
      </w:r>
      <w:r>
        <w:fldChar w:fldCharType="end"/>
      </w:r>
      <w:r>
        <w:t>,</w:t>
      </w:r>
      <w:r>
        <w:fldChar w:fldCharType="begin"/>
      </w:r>
      <w:r>
        <w:instrText xml:space="preserve"> REF _Ref_43 \h </w:instrText>
      </w:r>
      <w:r>
        <w:fldChar w:fldCharType="separate"/>
      </w:r>
      <w:r>
        <w:t>43</w:t>
      </w:r>
      <w:r>
        <w:fldChar w:fldCharType="end"/>
      </w:r>
      <w:r>
        <w:t>]</w:t>
      </w:r>
      <w:r>
        <w:rPr>
          <w:b w:val="0"/>
          <w:i w:val="0"/>
        </w:rPr>
        <w:t>; routines also depreciate rapidly, because model generations turn over,</w:t>
      </w:r>
    </w:p>
    <w:tbl>
      <w:tblPr>
        <w:tblW w:w="1046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Pr>
      <w:tblGrid>
        <w:gridCol w:w="10036"/>
        <w:gridCol w:w="431"/>
      </w:tblGrid>
      <w:tr>
        <w:tc>
          <w:tcPr>
            <w:tcW w:type="dxa" w:w="10036"/>
          </w:tcPr>
          <w:p>
            <w:pPr>
              <w:pStyle w:val="MDPI39equation"/>
              <w:ind w:left="0"/>
              <w:jc w:val="center"/>
            </w:pPr>
            <m:oMath>
              <m:r>
                <m:rPr>
                  <m:sty m:val="p"/>
                </m:rPr>
                <m:t xml:space="preserve">ℓ</m:t>
              </m:r>
              <m:r>
                <m:rPr>
                  <m:sty m:val="p"/>
                </m:rPr>
                <m:t xml:space="preserve">=</m:t>
              </m:r>
              <m:f>
                <m:num>
                  <m:r>
                    <m:rPr>
                      <m:sty m:val="p"/>
                    </m:rPr>
                    <m:t xml:space="preserve">2</m:t>
                  </m:r>
                  <m:r>
                    <m:t xml:space="preserve">λ</m:t>
                  </m:r>
                  <m:r>
                    <m:t xml:space="preserve"> </m:t>
                  </m:r>
                  <m:r>
                    <m:t xml:space="preserve">u</m:t>
                  </m:r>
                  <m:rad>
                    <m:radPr>
                      <m:degHide m:val="1"/>
                    </m:radPr>
                    <m:deg/>
                    <m:e>
                      <m:r>
                        <m:t xml:space="preserve">J</m:t>
                      </m:r>
                      <m:r>
                        <m:t xml:space="preserve"> </m:t>
                      </m:r>
                      <m:r>
                        <m:t xml:space="preserve">S</m:t>
                      </m:r>
                    </m:e>
                  </m:rad>
                </m:num>
                <m:den>
                  <m:sSub>
                    <m:e>
                      <m:r>
                        <m:t xml:space="preserve">N</m:t>
                      </m:r>
                    </m:e>
                    <m:sub>
                      <m:r>
                        <m:rPr>
                          <m:sty m:val="p"/>
                        </m:rPr>
                        <m:t xml:space="preserve">ref</m:t>
                      </m:r>
                    </m:sub>
                  </m:sSub>
                </m:den>
              </m:f>
              <m:r>
                <m:t xml:space="preserve">,</m:t>
              </m:r>
              <m:r>
                <m:t xml:space="preserve"> </m:t>
              </m:r>
              <m:r>
                <m:t xml:space="preserve"> </m:t>
              </m:r>
              <m:r>
                <m:t xml:space="preserve"> </m:t>
              </m:r>
              <m:f>
                <m:num>
                  <m:r>
                    <m:t xml:space="preserve">dK</m:t>
                  </m:r>
                </m:num>
                <m:den>
                  <m:r>
                    <m:t xml:space="preserve">dt</m:t>
                  </m:r>
                </m:den>
              </m:f>
              <m:r>
                <m:rPr>
                  <m:sty m:val="p"/>
                </m:rPr>
                <m:t xml:space="preserve">=</m:t>
              </m:r>
              <m:r>
                <m:rPr>
                  <m:sty m:val="p"/>
                </m:rPr>
                <m:t xml:space="preserve">ℓ</m:t>
              </m:r>
              <m:r>
                <m:rPr>
                  <m:sty m:val="p"/>
                </m:rPr>
                <m:t xml:space="preserve">-</m:t>
              </m:r>
              <m:sSub>
                <m:e>
                  <m:r>
                    <m:t xml:space="preserve">δ</m:t>
                  </m:r>
                </m:e>
                <m:sub>
                  <m:r>
                    <m:t xml:space="preserve">K</m:t>
                  </m:r>
                </m:sub>
              </m:sSub>
              <m:r>
                <m:t xml:space="preserve"> </m:t>
              </m:r>
              <m:r>
                <m:t xml:space="preserve">K</m:t>
              </m:r>
            </m:oMath>
          </w:p>
        </w:tc>
        <w:tc>
          <w:tcPr>
            <w:tcW w:type="dxa" w:w="431"/>
          </w:tcPr>
          <w:p>
            <w:pPr>
              <w:pStyle w:val="MDPI3aequationnumber"/>
              <w:jc w:val="right"/>
            </w:pPr>
            <w:r>
              <w:t>(16)</w:t>
            </w:r>
          </w:p>
        </w:tc>
      </w:tr>
    </w:tbl>
    <w:p>
      <w:pPr>
        <w:pStyle w:val="MDPI32textnoindent"/>
      </w:pPr>
      <w:r>
        <w:rPr>
          <w:b w:val="0"/>
          <w:i w:val="0"/>
        </w:rPr>
        <w:t>Unit cost aggregates compensation, the operating cost of the technology and the cost of the learning investment,</w:t>
      </w:r>
    </w:p>
    <w:tbl>
      <w:tblPr>
        <w:tblW w:w="7859" w:type="dxa"/>
        <w:tblInd w:w="26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Pr>
      <w:tblGrid>
        <w:gridCol w:w="7428"/>
        <w:gridCol w:w="431"/>
      </w:tblGrid>
      <w:tr>
        <w:tc>
          <w:tcPr>
            <w:tcW w:type="dxa" w:w="7428"/>
          </w:tcPr>
          <w:p>
            <w:pPr>
              <w:pStyle w:val="MDPI39equation"/>
              <w:ind w:left="0"/>
              <w:jc w:val="center"/>
            </w:pPr>
            <m:oMath>
              <m:r>
                <m:t xml:space="preserve">C</m:t>
              </m:r>
              <m:r>
                <m:rPr>
                  <m:sty m:val="p"/>
                </m:rPr>
                <m:t xml:space="preserve">=</m:t>
              </m:r>
              <m:f>
                <m:num>
                  <m:sSub>
                    <m:e>
                      <m:r>
                        <m:t xml:space="preserve">w</m:t>
                      </m:r>
                    </m:e>
                    <m:sub>
                      <m:r>
                        <m:t xml:space="preserve">J</m:t>
                      </m:r>
                    </m:sub>
                  </m:sSub>
                  <m:r>
                    <m:t xml:space="preserve"> </m:t>
                  </m:r>
                  <m:r>
                    <m:t xml:space="preserve">J</m:t>
                  </m:r>
                  <m:r>
                    <m:rPr>
                      <m:sty m:val="p"/>
                    </m:rPr>
                    <m:t xml:space="preserve">+</m:t>
                  </m:r>
                  <m:sSub>
                    <m:e>
                      <m:r>
                        <m:t xml:space="preserve">w</m:t>
                      </m:r>
                    </m:e>
                    <m:sub>
                      <m:r>
                        <m:t xml:space="preserve">S</m:t>
                      </m:r>
                    </m:sub>
                  </m:sSub>
                  <m:r>
                    <m:t xml:space="preserve"> </m:t>
                  </m:r>
                  <m:r>
                    <m:t xml:space="preserve">S</m:t>
                  </m:r>
                  <m:r>
                    <m:rPr>
                      <m:sty m:val="p"/>
                    </m:rPr>
                    <m:t xml:space="preserve">+</m:t>
                  </m:r>
                  <m:sSub>
                    <m:e>
                      <m:r>
                        <m:t xml:space="preserve">p</m:t>
                      </m:r>
                    </m:e>
                    <m:sub>
                      <m:r>
                        <m:t xml:space="preserve">A</m:t>
                      </m:r>
                    </m:sub>
                  </m:sSub>
                  <m:r>
                    <m:t xml:space="preserve"> </m:t>
                  </m:r>
                  <m:r>
                    <m:t xml:space="preserve">u</m:t>
                  </m:r>
                  <m:r>
                    <m:t xml:space="preserve"> </m:t>
                  </m:r>
                  <m:r>
                    <m:t xml:space="preserve">Y</m:t>
                  </m:r>
                  <m:r>
                    <m:rPr>
                      <m:sty m:val="p"/>
                    </m:rPr>
                    <m:t xml:space="preserve">+</m:t>
                  </m:r>
                  <m:sSub>
                    <m:e>
                      <m:r>
                        <m:t xml:space="preserve">p</m:t>
                      </m:r>
                    </m:e>
                    <m:sub>
                      <m:r>
                        <m:t xml:space="preserve">K</m:t>
                      </m:r>
                    </m:sub>
                  </m:sSub>
                  <m:r>
                    <m:t xml:space="preserve"> </m:t>
                  </m:r>
                  <m:r>
                    <m:rPr>
                      <m:sty m:val="p"/>
                    </m:rPr>
                    <m:t xml:space="preserve">ℓ</m:t>
                  </m:r>
                  <m:r>
                    <m:t xml:space="preserve"> </m:t>
                  </m:r>
                  <m:sSub>
                    <m:e>
                      <m:r>
                        <m:t xml:space="preserve">N</m:t>
                      </m:r>
                    </m:e>
                    <m:sub>
                      <m:r>
                        <m:rPr>
                          <m:sty m:val="p"/>
                        </m:rPr>
                        <m:t xml:space="preserve">ref</m:t>
                      </m:r>
                    </m:sub>
                  </m:sSub>
                </m:num>
                <m:den>
                  <m:r>
                    <m:t xml:space="preserve">Y</m:t>
                  </m:r>
                </m:den>
              </m:f>
            </m:oMath>
          </w:p>
        </w:tc>
        <w:tc>
          <w:tcPr>
            <w:tcW w:type="dxa" w:w="431"/>
          </w:tcPr>
          <w:p>
            <w:pPr>
              <w:pStyle w:val="MDPI3aequationnumber"/>
              <w:jc w:val="right"/>
            </w:pPr>
            <w:r>
              <w:t>(17)</w:t>
            </w:r>
          </w:p>
        </w:tc>
      </w:tr>
    </w:tbl>
    <w:p>
      <w:pPr>
        <w:pStyle w:val="MDPI32textnoindent"/>
      </w:pPr>
      <w:r>
        <w:rPr>
          <w:b w:val="0"/>
          <w:i w:val="0"/>
        </w:rPr>
        <w:t>and planned output adjusts with a delay towards the level implied by autonomous growth and by competitiveness, with unit cost perceived through a first-order smooth,</w:t>
      </w:r>
    </w:p>
    <w:tbl>
      <w:tblPr>
        <w:tblW w:w="1046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Pr>
      <w:tblGrid>
        <w:gridCol w:w="10036"/>
        <w:gridCol w:w="431"/>
      </w:tblGrid>
      <w:tr>
        <w:tc>
          <w:tcPr>
            <w:tcW w:type="dxa" w:w="10036"/>
          </w:tcPr>
          <w:p>
            <w:pPr>
              <w:pStyle w:val="MDPI39equation"/>
              <w:ind w:left="0"/>
              <w:jc w:val="center"/>
            </w:pPr>
            <m:oMath>
              <m:f>
                <m:num>
                  <m:sSub>
                    <m:e>
                      <m:r>
                        <m:t xml:space="preserve">dY</m:t>
                      </m:r>
                    </m:e>
                    <m:sub>
                      <m:r>
                        <m:t xml:space="preserve">d</m:t>
                      </m:r>
                    </m:sub>
                  </m:sSub>
                </m:num>
                <m:den>
                  <m:r>
                    <m:t xml:space="preserve">dt</m:t>
                  </m:r>
                </m:den>
              </m:f>
              <m:r>
                <m:rPr>
                  <m:sty m:val="p"/>
                </m:rPr>
                <m:t xml:space="preserve">=</m:t>
              </m:r>
              <m:f>
                <m:num>
                  <m:r>
                    <m:rPr>
                      <m:sty m:val="p"/>
                    </m:rPr>
                    <m:t xml:space="preserve">1</m:t>
                  </m:r>
                </m:num>
                <m:den>
                  <m:sSub>
                    <m:e>
                      <m:r>
                        <m:t xml:space="preserve">τ</m:t>
                      </m:r>
                    </m:e>
                    <m:sub>
                      <m:r>
                        <m:t xml:space="preserve">Y</m:t>
                      </m:r>
                    </m:sub>
                  </m:sSub>
                </m:den>
              </m:f>
              <m:d>
                <m:dPr>
                  <m:begChr m:val="["/>
                  <m:endChr m:val="]"/>
                </m:dPr>
                <m:e>
                  <m:sSub>
                    <m:e>
                      <m:r>
                        <m:t xml:space="preserve">Y</m:t>
                      </m:r>
                    </m:e>
                    <m:sub>
                      <m:r>
                        <m:rPr>
                          <m:sty m:val="p"/>
                        </m:rPr>
                        <m:t xml:space="preserve">0</m:t>
                      </m:r>
                    </m:sub>
                  </m:sSub>
                  <m:r>
                    <m:t xml:space="preserve"> </m:t>
                  </m:r>
                  <m:sSup>
                    <m:e>
                      <m:r>
                        <m:t xml:space="preserve">e</m:t>
                      </m:r>
                    </m:e>
                    <m:sup>
                      <m:sSub>
                        <m:e>
                          <m:r>
                            <m:t xml:space="preserve">g</m:t>
                          </m:r>
                        </m:e>
                        <m:sub>
                          <m:r>
                            <m:t xml:space="preserve">Y</m:t>
                          </m:r>
                        </m:sub>
                      </m:sSub>
                      <m:r>
                        <m:t xml:space="preserve"> </m:t>
                      </m:r>
                      <m:r>
                        <m:t xml:space="preserve">t</m:t>
                      </m:r>
                    </m:sup>
                  </m:sSup>
                  <m:sSup>
                    <m:e>
                      <m:d>
                        <m:dPr>
                          <m:begChr m:val="("/>
                          <m:endChr m:val=")"/>
                        </m:dPr>
                        <m:e>
                          <m:f>
                            <m:num>
                              <m:sSub>
                                <m:e>
                                  <m:r>
                                    <m:t xml:space="preserve">C</m:t>
                                  </m:r>
                                </m:e>
                                <m:sub>
                                  <m:r>
                                    <m:rPr>
                                      <m:sty m:val="p"/>
                                    </m:rPr>
                                    <m:t xml:space="preserve">0</m:t>
                                  </m:r>
                                </m:sub>
                              </m:sSub>
                            </m:num>
                            <m:den>
                              <m:acc>
                                <m:accPr>
                                  <m:chr m:val="^"/>
                                </m:accPr>
                                <m:e>
                                  <m:r>
                                    <m:t xml:space="preserve">C</m:t>
                                  </m:r>
                                </m:e>
                              </m:acc>
                            </m:den>
                          </m:f>
                        </m:e>
                      </m:d>
                    </m:e>
                    <m:sup>
                      <m:r>
                        <m:t xml:space="preserve">ε</m:t>
                      </m:r>
                    </m:sup>
                  </m:sSup>
                  <m:r>
                    <m:rPr>
                      <m:sty m:val="p"/>
                    </m:rPr>
                    <m:t xml:space="preserve">-</m:t>
                  </m:r>
                  <m:sSub>
                    <m:e>
                      <m:r>
                        <m:t xml:space="preserve">Y</m:t>
                      </m:r>
                    </m:e>
                    <m:sub>
                      <m:r>
                        <m:t xml:space="preserve">d</m:t>
                      </m:r>
                    </m:sub>
                  </m:sSub>
                </m:e>
              </m:d>
              <m:r>
                <m:t xml:space="preserve">,</m:t>
              </m:r>
              <m:r>
                <m:t xml:space="preserve"> </m:t>
              </m:r>
              <m:r>
                <m:t xml:space="preserve"> </m:t>
              </m:r>
              <m:r>
                <m:t xml:space="preserve"> </m:t>
              </m:r>
              <m:f>
                <m:num>
                  <m:r>
                    <m:t xml:space="preserve">d</m:t>
                  </m:r>
                  <m:acc>
                    <m:accPr>
                      <m:chr m:val="^"/>
                    </m:accPr>
                    <m:e>
                      <m:r>
                        <m:t xml:space="preserve">C</m:t>
                      </m:r>
                    </m:e>
                  </m:acc>
                </m:num>
                <m:den>
                  <m:r>
                    <m:t xml:space="preserve">dt</m:t>
                  </m:r>
                </m:den>
              </m:f>
              <m:r>
                <m:rPr>
                  <m:sty m:val="p"/>
                </m:rPr>
                <m:t xml:space="preserve">=</m:t>
              </m:r>
              <m:f>
                <m:num>
                  <m:r>
                    <m:t xml:space="preserve">C</m:t>
                  </m:r>
                  <m:r>
                    <m:rPr>
                      <m:sty m:val="p"/>
                    </m:rPr>
                    <m:t xml:space="preserve">-</m:t>
                  </m:r>
                  <m:acc>
                    <m:accPr>
                      <m:chr m:val="^"/>
                    </m:accPr>
                    <m:e>
                      <m:r>
                        <m:t xml:space="preserve">C</m:t>
                      </m:r>
                    </m:e>
                  </m:acc>
                </m:num>
                <m:den>
                  <m:sSub>
                    <m:e>
                      <m:r>
                        <m:t xml:space="preserve">τ</m:t>
                      </m:r>
                    </m:e>
                    <m:sub>
                      <m:r>
                        <m:t xml:space="preserve">C</m:t>
                      </m:r>
                    </m:sub>
                  </m:sSub>
                </m:den>
              </m:f>
            </m:oMath>
          </w:p>
        </w:tc>
        <w:tc>
          <w:tcPr>
            <w:tcW w:type="dxa" w:w="431"/>
          </w:tcPr>
          <w:p>
            <w:pPr>
              <w:pStyle w:val="MDPI3aequationnumber"/>
              <w:jc w:val="right"/>
            </w:pPr>
            <w:r>
              <w:t>(18)</w:t>
            </w:r>
          </w:p>
        </w:tc>
      </w:tr>
    </w:tbl>
    <w:p>
      <w:pPr>
        <w:pStyle w:val="MDPI22heading2"/>
      </w:pPr>
      <w:r>
        <w:t>3.3. The Net Entry-Port Elasticity</w:t>
      </w:r>
    </w:p>
    <w:p>
      <w:pPr>
        <w:pStyle w:val="MDPI32textnoindent"/>
      </w:pPr>
      <w:r>
        <w:rPr>
          <w:b w:val="0"/>
          <w:i w:val="0"/>
        </w:rPr>
        <w:t>Loop dominance can be read directly from the model. Differentiating desired junior labour in Equation (8) with respect to AI capability at constant planned output yields the net entry-port elasticity</w:t>
      </w:r>
    </w:p>
    <w:tbl>
      <w:tblPr>
        <w:tblW w:w="1046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Pr>
      <w:tblGrid>
        <w:gridCol w:w="10036"/>
        <w:gridCol w:w="431"/>
      </w:tblGrid>
      <w:tr>
        <w:tc>
          <w:tcPr>
            <w:tcW w:type="dxa" w:w="10036"/>
          </w:tcPr>
          <w:p>
            <w:pPr>
              <w:pStyle w:val="MDPI39equation"/>
              <w:ind w:left="0"/>
              <w:jc w:val="center"/>
            </w:pPr>
            <m:oMath>
              <m:r>
                <m:t xml:space="preserve">E</m:t>
              </m:r>
              <m:r>
                <m:rPr>
                  <m:sty m:val="p"/>
                </m:rPr>
                <m:t xml:space="preserve">=</m:t>
              </m:r>
              <m:f>
                <m:num>
                  <m:r>
                    <m:rPr>
                      <m:sty m:val="p"/>
                    </m:rPr>
                    <m:t xml:space="preserve">∂</m:t>
                  </m:r>
                  <m:r>
                    <m:t xml:space="preserve"> </m:t>
                  </m:r>
                  <m:r>
                    <m:rPr>
                      <m:sty m:val="p"/>
                    </m:rPr>
                    <m:t xml:space="preserve">ln</m:t>
                  </m:r>
                  <m:r>
                    <m:t xml:space="preserve"> </m:t>
                  </m:r>
                  <m:sSub>
                    <m:e>
                      <m:r>
                        <m:t xml:space="preserve">D</m:t>
                      </m:r>
                    </m:e>
                    <m:sub>
                      <m:r>
                        <m:t xml:space="preserve">J</m:t>
                      </m:r>
                    </m:sub>
                  </m:sSub>
                </m:num>
                <m:den>
                  <m:r>
                    <m:rPr>
                      <m:sty m:val="p"/>
                    </m:rPr>
                    <m:t xml:space="preserve">∂</m:t>
                  </m:r>
                  <m:r>
                    <m:t xml:space="preserve"> </m:t>
                  </m:r>
                  <m:r>
                    <m:rPr>
                      <m:sty m:val="p"/>
                    </m:rPr>
                    <m:t xml:space="preserve">ln</m:t>
                  </m:r>
                  <m:r>
                    <m:t xml:space="preserve"> </m:t>
                  </m:r>
                  <m:r>
                    <m:t xml:space="preserve">A</m:t>
                  </m:r>
                </m:den>
              </m:f>
              <m:r>
                <m:rPr>
                  <m:sty m:val="p"/>
                </m:rPr>
                <m:t xml:space="preserve">=</m:t>
              </m:r>
              <m:f>
                <m:num>
                  <m:sSub>
                    <m:e>
                      <m:r>
                        <m:t xml:space="preserve">θ</m:t>
                      </m:r>
                    </m:e>
                    <m:sub>
                      <m:r>
                        <m:t xml:space="preserve">C</m:t>
                      </m:r>
                    </m:sub>
                  </m:sSub>
                  <m:f>
                    <m:num>
                      <m:r>
                        <m:rPr>
                          <m:sty m:val="p"/>
                        </m:rPr>
                        <m:t xml:space="preserve">∂</m:t>
                      </m:r>
                      <m:r>
                        <m:t xml:space="preserve">ρ</m:t>
                      </m:r>
                    </m:num>
                    <m:den>
                      <m:r>
                        <m:rPr>
                          <m:sty m:val="p"/>
                        </m:rPr>
                        <m:t xml:space="preserve">∂</m:t>
                      </m:r>
                      <m:r>
                        <m:rPr>
                          <m:sty m:val="p"/>
                        </m:rPr>
                        <m:t xml:space="preserve">ln</m:t>
                      </m:r>
                      <m:r>
                        <m:t xml:space="preserve"> </m:t>
                      </m:r>
                      <m:r>
                        <m:t xml:space="preserve">A</m:t>
                      </m:r>
                    </m:den>
                  </m:f>
                  <m:r>
                    <m:rPr>
                      <m:sty m:val="p"/>
                    </m:rPr>
                    <m:t xml:space="preserve">-</m:t>
                  </m:r>
                  <m:sSub>
                    <m:e>
                      <m:r>
                        <m:t xml:space="preserve">θ</m:t>
                      </m:r>
                    </m:e>
                    <m:sub>
                      <m:r>
                        <m:t xml:space="preserve">E</m:t>
                      </m:r>
                    </m:sub>
                  </m:sSub>
                  <m:f>
                    <m:num>
                      <m:r>
                        <m:rPr>
                          <m:sty m:val="p"/>
                        </m:rPr>
                        <m:t xml:space="preserve">∂</m:t>
                      </m:r>
                      <m:r>
                        <m:t xml:space="preserve">α</m:t>
                      </m:r>
                    </m:num>
                    <m:den>
                      <m:r>
                        <m:rPr>
                          <m:sty m:val="p"/>
                        </m:rPr>
                        <m:t xml:space="preserve">∂</m:t>
                      </m:r>
                      <m:r>
                        <m:rPr>
                          <m:sty m:val="p"/>
                        </m:rPr>
                        <m:t xml:space="preserve">ln</m:t>
                      </m:r>
                      <m:r>
                        <m:t xml:space="preserve"> </m:t>
                      </m:r>
                      <m:r>
                        <m:t xml:space="preserve">A</m:t>
                      </m:r>
                    </m:den>
                  </m:f>
                </m:num>
                <m:den>
                  <m:sSub>
                    <m:e>
                      <m:r>
                        <m:t xml:space="preserve">i</m:t>
                      </m:r>
                    </m:e>
                    <m:sub>
                      <m:r>
                        <m:t xml:space="preserve">J</m:t>
                      </m:r>
                    </m:sub>
                  </m:sSub>
                </m:den>
              </m:f>
              <m:r>
                <m:rPr>
                  <m:sty m:val="p"/>
                </m:rPr>
                <m:t xml:space="preserve">-</m:t>
              </m:r>
              <m:f>
                <m:num>
                  <m:r>
                    <m:rPr>
                      <m:sty m:val="p"/>
                    </m:rPr>
                    <m:t xml:space="preserve">∂</m:t>
                  </m:r>
                  <m:r>
                    <m:rPr>
                      <m:sty m:val="p"/>
                    </m:rPr>
                    <m:t xml:space="preserve">ln</m:t>
                  </m:r>
                  <m:sSub>
                    <m:e>
                      <m:r>
                        <m:t xml:space="preserve">π</m:t>
                      </m:r>
                    </m:e>
                    <m:sub>
                      <m:r>
                        <m:t xml:space="preserve">J</m:t>
                      </m:r>
                    </m:sub>
                  </m:sSub>
                </m:num>
                <m:den>
                  <m:r>
                    <m:rPr>
                      <m:sty m:val="p"/>
                    </m:rPr>
                    <m:t xml:space="preserve">∂</m:t>
                  </m:r>
                  <m:r>
                    <m:rPr>
                      <m:sty m:val="p"/>
                    </m:rPr>
                    <m:t xml:space="preserve">ln</m:t>
                  </m:r>
                  <m:r>
                    <m:t xml:space="preserve"> </m:t>
                  </m:r>
                  <m:r>
                    <m:t xml:space="preserve">A</m:t>
                  </m:r>
                </m:den>
              </m:f>
            </m:oMath>
          </w:p>
        </w:tc>
        <w:tc>
          <w:tcPr>
            <w:tcW w:type="dxa" w:w="431"/>
          </w:tcPr>
          <w:p>
            <w:pPr>
              <w:pStyle w:val="MDPI3aequationnumber"/>
              <w:jc w:val="right"/>
            </w:pPr>
            <w:r>
              <w:t>(19)</w:t>
            </w:r>
          </w:p>
        </w:tc>
      </w:tr>
    </w:tbl>
    <w:p>
      <w:pPr>
        <w:pStyle w:val="MDPI32textnoindent"/>
      </w:pPr>
      <w:r>
        <w:rPr>
          <w:b w:val="0"/>
          <w:i w:val="0"/>
        </w:rPr>
        <w:t>whose three components are the reinstatement force, the displacement force and the headcount-saving force. All three are available in closed form; in particular</w:t>
      </w:r>
    </w:p>
    <w:tbl>
      <w:tblPr>
        <w:tblW w:w="1046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Pr>
      <w:tblGrid>
        <w:gridCol w:w="10036"/>
        <w:gridCol w:w="431"/>
      </w:tblGrid>
      <w:tr>
        <w:tc>
          <w:tcPr>
            <w:tcW w:type="dxa" w:w="10036"/>
          </w:tcPr>
          <w:p>
            <w:pPr>
              <w:pStyle w:val="MDPI39equation"/>
              <w:ind w:left="0"/>
              <w:jc w:val="center"/>
            </w:pPr>
            <m:oMath>
              <m:f>
                <m:num>
                  <m:r>
                    <m:rPr>
                      <m:sty m:val="p"/>
                    </m:rPr>
                    <m:t xml:space="preserve">∂</m:t>
                  </m:r>
                  <m:r>
                    <m:t xml:space="preserve">α</m:t>
                  </m:r>
                </m:num>
                <m:den>
                  <m:r>
                    <m:rPr>
                      <m:sty m:val="p"/>
                    </m:rPr>
                    <m:t xml:space="preserve">∂</m:t>
                  </m:r>
                  <m:r>
                    <m:rPr>
                      <m:sty m:val="p"/>
                    </m:rPr>
                    <m:t xml:space="preserve">ln</m:t>
                  </m:r>
                  <m:r>
                    <m:t xml:space="preserve"> </m:t>
                  </m:r>
                  <m:r>
                    <m:t xml:space="preserve">A</m:t>
                  </m:r>
                </m:den>
              </m:f>
              <m:r>
                <m:rPr>
                  <m:sty m:val="p"/>
                </m:rPr>
                <m:t xml:space="preserve">=</m:t>
              </m:r>
              <m:f>
                <m:num>
                  <m:sSub>
                    <m:e>
                      <m:r>
                        <m:t xml:space="preserve">α</m:t>
                      </m:r>
                    </m:e>
                    <m:sub>
                      <m:r>
                        <m:rPr>
                          <m:sty m:val="p"/>
                        </m:rPr>
                        <m:t xml:space="preserve">max</m:t>
                      </m:r>
                    </m:sub>
                  </m:sSub>
                  <m:r>
                    <m:t xml:space="preserve">γ</m:t>
                  </m:r>
                  <m:r>
                    <m:t xml:space="preserve"> </m:t>
                  </m:r>
                  <m:sSup>
                    <m:e>
                      <m:r>
                        <m:t xml:space="preserve">A</m:t>
                      </m:r>
                    </m:e>
                    <m:sup>
                      <m:r>
                        <m:t xml:space="preserve">γ</m:t>
                      </m:r>
                    </m:sup>
                  </m:sSup>
                  <m:sSubSup>
                    <m:e>
                      <m:r>
                        <m:t xml:space="preserve">a</m:t>
                      </m:r>
                    </m:e>
                    <m:sub>
                      <m:r>
                        <m:t xml:space="preserve">α</m:t>
                      </m:r>
                    </m:sub>
                    <m:sup>
                      <m:r>
                        <m:t xml:space="preserve">γ</m:t>
                      </m:r>
                    </m:sup>
                  </m:sSubSup>
                </m:num>
                <m:den>
                  <m:r>
                    <m:rPr>
                      <m:sty m:val="p"/>
                    </m:rPr>
                    <m:t xml:space="preserve">(</m:t>
                  </m:r>
                  <m:sSup>
                    <m:e>
                      <m:r>
                        <m:t xml:space="preserve">A</m:t>
                      </m:r>
                    </m:e>
                    <m:sup>
                      <m:r>
                        <m:t xml:space="preserve">γ</m:t>
                      </m:r>
                    </m:sup>
                  </m:sSup>
                  <m:r>
                    <m:rPr>
                      <m:sty m:val="p"/>
                    </m:rPr>
                    <m:t xml:space="preserve">+</m:t>
                  </m:r>
                  <m:sSubSup>
                    <m:e>
                      <m:r>
                        <m:t xml:space="preserve">a</m:t>
                      </m:r>
                    </m:e>
                    <m:sub>
                      <m:r>
                        <m:t xml:space="preserve">α</m:t>
                      </m:r>
                    </m:sub>
                    <m:sup>
                      <m:r>
                        <m:t xml:space="preserve">γ</m:t>
                      </m:r>
                    </m:sup>
                  </m:sSubSup>
                  <m:sSup>
                    <m:e>
                      <m:r>
                        <m:rPr>
                          <m:sty m:val="p"/>
                        </m:rPr>
                        <m:t xml:space="preserve">)</m:t>
                      </m:r>
                    </m:e>
                    <m:sup>
                      <m:r>
                        <m:rPr>
                          <m:sty m:val="p"/>
                        </m:rPr>
                        <m:t xml:space="preserve">2</m:t>
                      </m:r>
                    </m:sup>
                  </m:sSup>
                </m:den>
              </m:f>
              <m:r>
                <m:t xml:space="preserve">,</m:t>
              </m:r>
              <m:r>
                <m:t xml:space="preserve"> </m:t>
              </m:r>
              <m:r>
                <m:t xml:space="preserve"> </m:t>
              </m:r>
              <m:r>
                <m:t xml:space="preserve"> </m:t>
              </m:r>
              <m:f>
                <m:num>
                  <m:r>
                    <m:rPr>
                      <m:sty m:val="p"/>
                    </m:rPr>
                    <m:t xml:space="preserve">∂</m:t>
                  </m:r>
                  <m:r>
                    <m:t xml:space="preserve">ρ</m:t>
                  </m:r>
                </m:num>
                <m:den>
                  <m:r>
                    <m:rPr>
                      <m:sty m:val="p"/>
                    </m:rPr>
                    <m:t xml:space="preserve">∂</m:t>
                  </m:r>
                  <m:r>
                    <m:rPr>
                      <m:sty m:val="p"/>
                    </m:rPr>
                    <m:t xml:space="preserve">ln</m:t>
                  </m:r>
                  <m:r>
                    <m:t xml:space="preserve"> </m:t>
                  </m:r>
                  <m:r>
                    <m:t xml:space="preserve">A</m:t>
                  </m:r>
                </m:den>
              </m:f>
              <m:r>
                <m:rPr>
                  <m:sty m:val="p"/>
                </m:rPr>
                <m:t xml:space="preserve">=</m:t>
              </m:r>
              <m:sSub>
                <m:e>
                  <m:r>
                    <m:t xml:space="preserve">ρ</m:t>
                  </m:r>
                </m:e>
                <m:sub>
                  <m:r>
                    <m:rPr>
                      <m:sty m:val="p"/>
                    </m:rPr>
                    <m:t xml:space="preserve">max</m:t>
                  </m:r>
                </m:sub>
              </m:sSub>
              <m:r>
                <m:t xml:space="preserve">Λ</m:t>
              </m:r>
              <m:r>
                <m:t xml:space="preserve"> </m:t>
              </m:r>
              <m:sSub>
                <m:e>
                  <m:r>
                    <m:t xml:space="preserve">u</m:t>
                  </m:r>
                </m:e>
                <m:sub>
                  <m:r>
                    <m:rPr>
                      <m:sty m:val="p"/>
                    </m:rPr>
                    <m:t xml:space="preserve">max</m:t>
                  </m:r>
                </m:sub>
              </m:sSub>
              <m:f>
                <m:num>
                  <m:sSub>
                    <m:e>
                      <m:r>
                        <m:t xml:space="preserve">a</m:t>
                      </m:r>
                    </m:e>
                    <m:sub>
                      <m:r>
                        <m:t xml:space="preserve">u</m:t>
                      </m:r>
                    </m:sub>
                  </m:sSub>
                  <m:r>
                    <m:t xml:space="preserve"> </m:t>
                  </m:r>
                  <m:r>
                    <m:t xml:space="preserve">A</m:t>
                  </m:r>
                </m:num>
                <m:den>
                  <m:r>
                    <m:rPr>
                      <m:sty m:val="p"/>
                    </m:rPr>
                    <m:t xml:space="preserve">(</m:t>
                  </m:r>
                  <m:r>
                    <m:t xml:space="preserve">A</m:t>
                  </m:r>
                  <m:r>
                    <m:rPr>
                      <m:sty m:val="p"/>
                    </m:rPr>
                    <m:t xml:space="preserve">+</m:t>
                  </m:r>
                  <m:sSub>
                    <m:e>
                      <m:r>
                        <m:t xml:space="preserve">a</m:t>
                      </m:r>
                    </m:e>
                    <m:sub>
                      <m:r>
                        <m:t xml:space="preserve">u</m:t>
                      </m:r>
                    </m:sub>
                  </m:sSub>
                  <m:sSup>
                    <m:e>
                      <m:r>
                        <m:rPr>
                          <m:sty m:val="p"/>
                        </m:rPr>
                        <m:t xml:space="preserve">)</m:t>
                      </m:r>
                    </m:e>
                    <m:sup>
                      <m:r>
                        <m:rPr>
                          <m:sty m:val="p"/>
                        </m:rPr>
                        <m:t xml:space="preserve">2</m:t>
                      </m:r>
                    </m:sup>
                  </m:sSup>
                </m:den>
              </m:f>
            </m:oMath>
          </w:p>
        </w:tc>
        <w:tc>
          <w:tcPr>
            <w:tcW w:type="dxa" w:w="431"/>
          </w:tcPr>
          <w:p>
            <w:pPr>
              <w:pStyle w:val="MDPI3aequationnumber"/>
              <w:jc w:val="right"/>
            </w:pPr>
            <w:r>
              <w:t>(20)</w:t>
            </w:r>
          </w:p>
        </w:tc>
      </w:tr>
    </w:tbl>
    <w:p>
      <w:pPr>
        <w:pStyle w:val="MDPI32textnoindent"/>
      </w:pPr>
      <w:r>
        <w:rPr>
          <w:b w:val="0"/>
          <w:i w:val="0"/>
        </w:rPr>
        <w:t xml:space="preserve">Equation (20) makes the central asymmetry explicit. The displacement force does not depend on the routine stock, whereas the reinstatement force is proportional to </w:t>
      </w:r>
      <m:oMath>
        <m:r>
          <m:t xml:space="preserve">Λ</m:t>
        </m:r>
      </m:oMath>
      <w:r>
        <w:rPr>
          <w:b w:val="0"/>
          <w:i w:val="0"/>
        </w:rPr>
        <w:t xml:space="preserve">. A firm that adopts the technology without building routines therefore experiences the displacement force at full strength and the reinstatement force at a fraction of it, which is the analytical content of Proposition 2. </w:t>
      </w:r>
      <m:oMath>
        <m:r>
          <m:t xml:space="preserve">E</m:t>
        </m:r>
        <m:r>
          <m:rPr>
            <m:sty m:val="p"/>
          </m:rPr>
          <m:t xml:space="preserve">&gt;</m:t>
        </m:r>
        <m:r>
          <m:rPr>
            <m:sty m:val="p"/>
          </m:rPr>
          <m:t xml:space="preserve">0</m:t>
        </m:r>
      </m:oMath>
      <w:r>
        <w:rPr>
          <w:b w:val="0"/>
          <w:i w:val="0"/>
        </w:rPr>
        <w:t xml:space="preserve"> indicates that the reinforcing loops R1 and R2 dominate and the entry port widens with capability; </w:t>
      </w:r>
      <m:oMath>
        <m:r>
          <m:t xml:space="preserve">E</m:t>
        </m:r>
        <m:r>
          <m:rPr>
            <m:sty m:val="p"/>
          </m:rPr>
          <m:t xml:space="preserve">&lt;</m:t>
        </m:r>
        <m:r>
          <m:rPr>
            <m:sty m:val="p"/>
          </m:rPr>
          <m:t xml:space="preserve">0</m:t>
        </m:r>
      </m:oMath>
      <w:r>
        <w:rPr>
          <w:b w:val="0"/>
          <w:i w:val="0"/>
        </w:rPr>
        <w:t xml:space="preserve"> indicates dominance of B1 and B2.</w:t>
      </w:r>
    </w:p>
    <w:p>
      <w:pPr>
        <w:pStyle w:val="MDPI22heading2"/>
      </w:pPr>
      <w:r>
        <w:t>3.4. Parameterisation and Calibration</w:t>
      </w:r>
    </w:p>
    <w:p>
      <w:pPr>
        <w:pStyle w:val="MDPI32textnoindent"/>
      </w:pPr>
      <w:r>
        <w:rPr>
          <w:b w:val="0"/>
          <w:i w:val="0"/>
        </w:rPr>
        <w:t xml:space="preserve">Table 2 reports the full parameter set with sources. Structural parameters are taken from the literature or from accounting identities. The task shares follow the exposure literature, which places roughly one third of the task volume of highly exposed knowledge occupations in the codified, entry-level band </w:t>
      </w:r>
      <w:r>
        <w:t>[</w:t>
      </w:r>
      <w:r>
        <w:fldChar w:fldCharType="begin"/>
      </w:r>
      <w:r>
        <w:instrText xml:space="preserve"> REF _Ref_6 \h </w:instrText>
      </w:r>
      <w:r>
        <w:fldChar w:fldCharType="separate"/>
      </w:r>
      <w:r>
        <w:t>6</w:t>
      </w:r>
      <w:r>
        <w:fldChar w:fldCharType="end"/>
      </w:r>
      <w:r>
        <w:t>,</w:t>
      </w:r>
      <w:r>
        <w:fldChar w:fldCharType="begin"/>
      </w:r>
      <w:r>
        <w:instrText xml:space="preserve"> REF _Ref_7 \h </w:instrText>
      </w:r>
      <w:r>
        <w:fldChar w:fldCharType="separate"/>
      </w:r>
      <w:r>
        <w:t>7</w:t>
      </w:r>
      <w:r>
        <w:fldChar w:fldCharType="end"/>
      </w:r>
      <w:r>
        <w:t>]</w:t>
      </w:r>
      <w:r>
        <w:rPr>
          <w:b w:val="0"/>
          <w:i w:val="0"/>
        </w:rPr>
        <w:t xml:space="preserve">. The time to competence, separation rates and relative productivities are conventional values for professional service work. The mentoring coefficient </w:t>
      </w:r>
      <m:oMath>
        <m:r>
          <m:t xml:space="preserve">m</m:t>
        </m:r>
      </m:oMath>
      <w:r>
        <w:rPr>
          <w:b w:val="0"/>
          <w:i w:val="0"/>
        </w:rPr>
        <w:t xml:space="preserve"> is not free: it is derived analytically as the value at which the workforce structure implied by task-based labour demand coincides with the structure implied by the promotion–separation balance, which places the model in an exact pre-GenAI steady state and eliminates initialisation drift as a source of spurious behaviour.</w:t>
      </w:r>
    </w:p>
    <w:p>
      <w:pPr>
        <w:pStyle w:val="MDPI41tablecaption"/>
        <w:keepNext/>
        <w:spacing w:after="60"/>
      </w:pPr>
      <w:r>
        <w:rPr>
          <w:b/>
          <w:sz w:val="18"/>
        </w:rPr>
        <w:t xml:space="preserve">Table 2. </w:t>
      </w:r>
      <w:r>
        <w:rPr>
          <w:b w:val="0"/>
          <w:i w:val="0"/>
          <w:sz w:val="18"/>
        </w:rPr>
        <w:t>Parameters, baseline values and their basis.</w:t>
      </w:r>
    </w:p>
    <w:tbl>
      <w:tblPr>
        <w:tblStyle w:val="MDPI41threelinetable"/>
        <w:tblW w:w="10467"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CellMar>
          <w:top w:w="0" w:type="dxa"/>
          <w:left w:w="57" w:type="dxa"/>
          <w:bottom w:w="0" w:type="dxa"/>
          <w:right w:w="57" w:type="dxa"/>
        </w:tblCellMar>
        <w:tblLook w:firstColumn="1" w:firstRow="1" w:lastColumn="0" w:lastRow="0" w:noHBand="0" w:noVBand="1" w:val="04A0"/>
      </w:tblPr>
      <w:tblGrid>
        <w:gridCol w:w="1570"/>
        <w:gridCol w:w="4500"/>
        <w:gridCol w:w="1779"/>
        <w:gridCol w:w="2616"/>
      </w:tblGrid>
      <w:tr>
        <w:tc>
          <w:tcPr>
            <w:tcW w:type="dxa" w:w="1570"/>
            <w:tcBorders>
              <w:bottom w:val="single" w:sz="8" w:space="0" w:color="auto"/>
            </w:tcBorders>
          </w:tcPr>
          <w:p>
            <w:pPr>
              <w:pStyle w:val="MDPI42tablebody"/>
              <w:spacing w:line="240" w:lineRule="auto" w:before="30" w:after="30"/>
              <w:jc w:val="center"/>
            </w:pPr>
            <w:r>
              <w:rPr>
                <w:b/>
                <w:i w:val="0"/>
                <w:sz w:val="18"/>
              </w:rPr>
              <w:t>Symbol</w:t>
            </w:r>
          </w:p>
        </w:tc>
        <w:tc>
          <w:tcPr>
            <w:tcW w:type="dxa" w:w="4500"/>
            <w:tcBorders>
              <w:bottom w:val="single" w:sz="8" w:space="0" w:color="auto"/>
            </w:tcBorders>
          </w:tcPr>
          <w:p>
            <w:pPr>
              <w:pStyle w:val="MDPI42tablebody"/>
              <w:spacing w:line="240" w:lineRule="auto" w:before="30" w:after="30"/>
              <w:jc w:val="center"/>
            </w:pPr>
            <w:r>
              <w:rPr>
                <w:b/>
                <w:i w:val="0"/>
                <w:sz w:val="18"/>
              </w:rPr>
              <w:t>Description</w:t>
            </w:r>
          </w:p>
        </w:tc>
        <w:tc>
          <w:tcPr>
            <w:tcW w:type="dxa" w:w="1779"/>
            <w:tcBorders>
              <w:bottom w:val="single" w:sz="8" w:space="0" w:color="auto"/>
            </w:tcBorders>
          </w:tcPr>
          <w:p>
            <w:pPr>
              <w:pStyle w:val="MDPI42tablebody"/>
              <w:spacing w:line="240" w:lineRule="auto" w:before="30" w:after="30"/>
              <w:jc w:val="center"/>
            </w:pPr>
            <w:r>
              <w:rPr>
                <w:b/>
                <w:i w:val="0"/>
                <w:sz w:val="18"/>
              </w:rPr>
              <w:t>Value</w:t>
            </w:r>
          </w:p>
        </w:tc>
        <w:tc>
          <w:tcPr>
            <w:tcW w:type="dxa" w:w="2616"/>
            <w:tcBorders>
              <w:bottom w:val="single" w:sz="8" w:space="0" w:color="auto"/>
            </w:tcBorders>
          </w:tcPr>
          <w:p>
            <w:pPr>
              <w:pStyle w:val="MDPI42tablebody"/>
              <w:spacing w:line="240" w:lineRule="auto" w:before="30" w:after="30"/>
              <w:jc w:val="center"/>
            </w:pPr>
            <w:r>
              <w:rPr>
                <w:b/>
                <w:i w:val="0"/>
                <w:sz w:val="18"/>
              </w:rPr>
              <w:t>Basis</w:t>
            </w:r>
          </w:p>
        </w:tc>
      </w:tr>
      <w:tr>
        <w:tc>
          <w:tcPr>
            <w:tcW w:type="dxa" w:w="10467"/>
            <w:gridSpan w:val="4"/>
          </w:tcPr>
          <w:p>
            <w:pPr>
              <w:pStyle w:val="MDPI42tablebody"/>
              <w:spacing w:line="240" w:lineRule="auto" w:before="60" w:after="30"/>
              <w:jc w:val="left"/>
            </w:pPr>
            <w:r>
              <w:rPr>
                <w:b/>
                <w:i/>
                <w:sz w:val="18"/>
              </w:rPr>
              <w:t>Task structure</w:t>
            </w:r>
          </w:p>
        </w:tc>
      </w:tr>
      <w:tr>
        <w:tc>
          <w:tcPr>
            <w:tcW w:type="dxa" w:w="1570"/>
          </w:tcPr>
          <w:p>
            <w:pPr>
              <w:pStyle w:val="MDPI42tablebody"/>
              <w:spacing w:line="240" w:lineRule="auto" w:before="30" w:after="30"/>
              <w:jc w:val="left"/>
            </w:pPr>
            <w:r>
              <w:rPr>
                <w:b w:val="0"/>
                <w:i/>
                <w:sz w:val="18"/>
              </w:rPr>
              <w:t>θ</w:t>
            </w:r>
            <w:r>
              <w:rPr>
                <w:b w:val="0"/>
                <w:i/>
                <w:sz w:val="18"/>
                <w:vertAlign w:val="subscript"/>
              </w:rPr>
              <w:t>E</w:t>
            </w:r>
          </w:p>
        </w:tc>
        <w:tc>
          <w:tcPr>
            <w:tcW w:type="dxa" w:w="4500"/>
          </w:tcPr>
          <w:p>
            <w:pPr>
              <w:pStyle w:val="MDPI42tablebody"/>
              <w:spacing w:line="240" w:lineRule="auto" w:before="30" w:after="30"/>
              <w:jc w:val="left"/>
            </w:pPr>
            <w:r>
              <w:rPr>
                <w:b w:val="0"/>
                <w:i w:val="0"/>
                <w:sz w:val="18"/>
              </w:rPr>
              <w:t>Share of entry (codified, routine-cognitive) tasks</w:t>
            </w:r>
          </w:p>
        </w:tc>
        <w:tc>
          <w:tcPr>
            <w:tcW w:type="dxa" w:w="1779"/>
          </w:tcPr>
          <w:p>
            <w:pPr>
              <w:pStyle w:val="MDPI42tablebody"/>
              <w:spacing w:line="240" w:lineRule="auto" w:before="30" w:after="30"/>
              <w:jc w:val="center"/>
            </w:pPr>
            <w:r>
              <w:rPr>
                <w:b w:val="0"/>
                <w:i w:val="0"/>
                <w:sz w:val="18"/>
              </w:rPr>
              <w:t>0.30</w:t>
            </w:r>
          </w:p>
        </w:tc>
        <w:tc>
          <w:tcPr>
            <w:tcW w:type="dxa" w:w="2616"/>
          </w:tcPr>
          <w:p>
            <w:pPr>
              <w:pStyle w:val="MDPI42tablebody"/>
              <w:spacing w:line="240" w:lineRule="auto" w:before="30" w:after="30"/>
              <w:jc w:val="left"/>
            </w:pPr>
            <w:r>
              <w:rPr>
                <w:b w:val="0"/>
                <w:i w:val="0"/>
                <w:sz w:val="18"/>
              </w:rPr>
              <w:t>Occupational-exposure evidence</w:t>
            </w:r>
          </w:p>
        </w:tc>
      </w:tr>
      <w:tr>
        <w:tc>
          <w:tcPr>
            <w:tcW w:type="dxa" w:w="1570"/>
          </w:tcPr>
          <w:p>
            <w:pPr>
              <w:pStyle w:val="MDPI42tablebody"/>
              <w:spacing w:line="240" w:lineRule="auto" w:before="30" w:after="30"/>
              <w:jc w:val="left"/>
            </w:pPr>
            <w:r>
              <w:rPr>
                <w:b w:val="0"/>
                <w:i/>
                <w:sz w:val="18"/>
              </w:rPr>
              <w:t>θ</w:t>
            </w:r>
            <w:r>
              <w:rPr>
                <w:b w:val="0"/>
                <w:i/>
                <w:sz w:val="18"/>
                <w:vertAlign w:val="subscript"/>
              </w:rPr>
              <w:t>C</w:t>
            </w:r>
          </w:p>
        </w:tc>
        <w:tc>
          <w:tcPr>
            <w:tcW w:type="dxa" w:w="4500"/>
          </w:tcPr>
          <w:p>
            <w:pPr>
              <w:pStyle w:val="MDPI42tablebody"/>
              <w:spacing w:line="240" w:lineRule="auto" w:before="30" w:after="30"/>
              <w:jc w:val="left"/>
            </w:pPr>
            <w:r>
              <w:rPr>
                <w:b w:val="0"/>
                <w:i w:val="0"/>
                <w:sz w:val="18"/>
              </w:rPr>
              <w:t>Share of core (intermediate) tasks</w:t>
            </w:r>
          </w:p>
        </w:tc>
        <w:tc>
          <w:tcPr>
            <w:tcW w:type="dxa" w:w="1779"/>
          </w:tcPr>
          <w:p>
            <w:pPr>
              <w:pStyle w:val="MDPI42tablebody"/>
              <w:spacing w:line="240" w:lineRule="auto" w:before="30" w:after="30"/>
              <w:jc w:val="center"/>
            </w:pPr>
            <w:r>
              <w:rPr>
                <w:b w:val="0"/>
                <w:i w:val="0"/>
                <w:sz w:val="18"/>
              </w:rPr>
              <w:t>0.45</w:t>
            </w:r>
          </w:p>
        </w:tc>
        <w:tc>
          <w:tcPr>
            <w:tcW w:type="dxa" w:w="2616"/>
          </w:tcPr>
          <w:p>
            <w:pPr>
              <w:pStyle w:val="MDPI42tablebody"/>
              <w:spacing w:line="240" w:lineRule="auto" w:before="30" w:after="30"/>
              <w:jc w:val="left"/>
            </w:pPr>
            <w:r>
              <w:rPr>
                <w:b w:val="0"/>
                <w:i w:val="0"/>
                <w:sz w:val="18"/>
              </w:rPr>
              <w:t>Occupational-exposure evidence</w:t>
            </w:r>
          </w:p>
        </w:tc>
      </w:tr>
      <w:tr>
        <w:tc>
          <w:tcPr>
            <w:tcW w:type="dxa" w:w="1570"/>
          </w:tcPr>
          <w:p>
            <w:pPr>
              <w:pStyle w:val="MDPI42tablebody"/>
              <w:spacing w:line="240" w:lineRule="auto" w:before="30" w:after="30"/>
              <w:jc w:val="left"/>
            </w:pPr>
            <w:r>
              <w:rPr>
                <w:b w:val="0"/>
                <w:i/>
                <w:sz w:val="18"/>
              </w:rPr>
              <w:t>θ</w:t>
            </w:r>
            <w:r>
              <w:rPr>
                <w:b w:val="0"/>
                <w:i/>
                <w:sz w:val="18"/>
                <w:vertAlign w:val="subscript"/>
              </w:rPr>
              <w:t>G</w:t>
            </w:r>
          </w:p>
        </w:tc>
        <w:tc>
          <w:tcPr>
            <w:tcW w:type="dxa" w:w="4500"/>
          </w:tcPr>
          <w:p>
            <w:pPr>
              <w:pStyle w:val="MDPI42tablebody"/>
              <w:spacing w:line="240" w:lineRule="auto" w:before="30" w:after="30"/>
              <w:jc w:val="left"/>
            </w:pPr>
            <w:r>
              <w:rPr>
                <w:b w:val="0"/>
                <w:i w:val="0"/>
                <w:sz w:val="18"/>
              </w:rPr>
              <w:t>Share of judgement (senior-only) tasks</w:t>
            </w:r>
          </w:p>
        </w:tc>
        <w:tc>
          <w:tcPr>
            <w:tcW w:type="dxa" w:w="1779"/>
          </w:tcPr>
          <w:p>
            <w:pPr>
              <w:pStyle w:val="MDPI42tablebody"/>
              <w:spacing w:line="240" w:lineRule="auto" w:before="30" w:after="30"/>
              <w:jc w:val="center"/>
            </w:pPr>
            <w:r>
              <w:rPr>
                <w:b w:val="0"/>
                <w:i w:val="0"/>
                <w:sz w:val="18"/>
              </w:rPr>
              <w:t>0.25</w:t>
            </w:r>
          </w:p>
        </w:tc>
        <w:tc>
          <w:tcPr>
            <w:tcW w:type="dxa" w:w="2616"/>
          </w:tcPr>
          <w:p>
            <w:pPr>
              <w:pStyle w:val="MDPI42tablebody"/>
              <w:spacing w:line="240" w:lineRule="auto" w:before="30" w:after="30"/>
              <w:jc w:val="left"/>
            </w:pPr>
            <w:r>
              <w:rPr>
                <w:b w:val="0"/>
                <w:i w:val="0"/>
                <w:sz w:val="18"/>
              </w:rPr>
              <w:t>Residual</w:t>
            </w:r>
          </w:p>
        </w:tc>
      </w:tr>
      <w:tr>
        <w:tc>
          <w:tcPr>
            <w:tcW w:type="dxa" w:w="10467"/>
            <w:gridSpan w:val="4"/>
          </w:tcPr>
          <w:p>
            <w:pPr>
              <w:pStyle w:val="MDPI42tablebody"/>
              <w:spacing w:line="240" w:lineRule="auto" w:before="60" w:after="30"/>
              <w:jc w:val="left"/>
            </w:pPr>
            <w:r>
              <w:rPr>
                <w:b/>
                <w:i/>
                <w:sz w:val="18"/>
              </w:rPr>
              <w:t>Technical design and diffusion</w:t>
            </w:r>
          </w:p>
        </w:tc>
      </w:tr>
      <w:tr>
        <w:tc>
          <w:tcPr>
            <w:tcW w:type="dxa" w:w="1570"/>
          </w:tcPr>
          <w:p>
            <w:pPr>
              <w:pStyle w:val="MDPI42tablebody"/>
              <w:spacing w:line="240" w:lineRule="auto" w:before="30" w:after="30"/>
              <w:jc w:val="left"/>
            </w:pPr>
            <w:r>
              <w:rPr>
                <w:b w:val="0"/>
                <w:i/>
                <w:sz w:val="18"/>
              </w:rPr>
              <w:t>α</w:t>
            </w:r>
            <w:r>
              <w:rPr>
                <w:b w:val="0"/>
                <w:i/>
                <w:sz w:val="18"/>
                <w:vertAlign w:val="subscript"/>
              </w:rPr>
              <w:t>max</w:t>
            </w:r>
          </w:p>
        </w:tc>
        <w:tc>
          <w:tcPr>
            <w:tcW w:type="dxa" w:w="4500"/>
          </w:tcPr>
          <w:p>
            <w:pPr>
              <w:pStyle w:val="MDPI42tablebody"/>
              <w:spacing w:line="240" w:lineRule="auto" w:before="30" w:after="30"/>
              <w:jc w:val="left"/>
            </w:pPr>
            <w:r>
              <w:rPr>
                <w:b w:val="0"/>
                <w:i w:val="0"/>
                <w:sz w:val="18"/>
              </w:rPr>
              <w:t>Automation ceiling for entry tasks</w:t>
            </w:r>
          </w:p>
        </w:tc>
        <w:tc>
          <w:tcPr>
            <w:tcW w:type="dxa" w:w="1779"/>
          </w:tcPr>
          <w:p>
            <w:pPr>
              <w:pStyle w:val="MDPI42tablebody"/>
              <w:spacing w:line="240" w:lineRule="auto" w:before="30" w:after="30"/>
              <w:jc w:val="center"/>
            </w:pPr>
            <w:r>
              <w:rPr>
                <w:b w:val="0"/>
                <w:i w:val="0"/>
                <w:sz w:val="18"/>
              </w:rPr>
              <w:t>0.60</w:t>
            </w:r>
          </w:p>
        </w:tc>
        <w:tc>
          <w:tcPr>
            <w:tcW w:type="dxa" w:w="2616"/>
          </w:tcPr>
          <w:p>
            <w:pPr>
              <w:pStyle w:val="MDPI42tablebody"/>
              <w:spacing w:line="240" w:lineRule="auto" w:before="30" w:after="30"/>
              <w:jc w:val="left"/>
            </w:pPr>
            <w:r>
              <w:rPr>
                <w:b w:val="0"/>
                <w:i w:val="0"/>
                <w:sz w:val="18"/>
              </w:rPr>
              <w:t>Design parameter; varied in Figure 5a</w:t>
            </w:r>
          </w:p>
        </w:tc>
      </w:tr>
      <w:tr>
        <w:tc>
          <w:tcPr>
            <w:tcW w:type="dxa" w:w="1570"/>
          </w:tcPr>
          <w:p>
            <w:pPr>
              <w:pStyle w:val="MDPI42tablebody"/>
              <w:spacing w:line="240" w:lineRule="auto" w:before="30" w:after="30"/>
              <w:jc w:val="left"/>
            </w:pPr>
            <w:r>
              <w:rPr>
                <w:b w:val="0"/>
                <w:i/>
                <w:sz w:val="18"/>
              </w:rPr>
              <w:t>ρ</w:t>
            </w:r>
            <w:r>
              <w:rPr>
                <w:b w:val="0"/>
                <w:i/>
                <w:sz w:val="18"/>
                <w:vertAlign w:val="subscript"/>
              </w:rPr>
              <w:t>max</w:t>
            </w:r>
          </w:p>
        </w:tc>
        <w:tc>
          <w:tcPr>
            <w:tcW w:type="dxa" w:w="4500"/>
          </w:tcPr>
          <w:p>
            <w:pPr>
              <w:pStyle w:val="MDPI42tablebody"/>
              <w:spacing w:line="240" w:lineRule="auto" w:before="30" w:after="30"/>
              <w:jc w:val="left"/>
            </w:pPr>
            <w:r>
              <w:rPr>
                <w:b w:val="0"/>
                <w:i w:val="0"/>
                <w:sz w:val="18"/>
              </w:rPr>
              <w:t>Reinstatement ceiling for core tasks</w:t>
            </w:r>
          </w:p>
        </w:tc>
        <w:tc>
          <w:tcPr>
            <w:tcW w:type="dxa" w:w="1779"/>
          </w:tcPr>
          <w:p>
            <w:pPr>
              <w:pStyle w:val="MDPI42tablebody"/>
              <w:spacing w:line="240" w:lineRule="auto" w:before="30" w:after="30"/>
              <w:jc w:val="center"/>
            </w:pPr>
            <w:r>
              <w:rPr>
                <w:b w:val="0"/>
                <w:i w:val="0"/>
                <w:sz w:val="18"/>
              </w:rPr>
              <w:t>0.35</w:t>
            </w:r>
          </w:p>
        </w:tc>
        <w:tc>
          <w:tcPr>
            <w:tcW w:type="dxa" w:w="2616"/>
          </w:tcPr>
          <w:p>
            <w:pPr>
              <w:pStyle w:val="MDPI42tablebody"/>
              <w:spacing w:line="240" w:lineRule="auto" w:before="30" w:after="30"/>
              <w:jc w:val="left"/>
            </w:pPr>
            <w:r>
              <w:rPr>
                <w:b w:val="0"/>
                <w:i w:val="0"/>
                <w:sz w:val="18"/>
              </w:rPr>
              <w:t>Design parameter; varied in Figure 5</w:t>
            </w:r>
          </w:p>
        </w:tc>
      </w:tr>
      <w:tr>
        <w:tc>
          <w:tcPr>
            <w:tcW w:type="dxa" w:w="1570"/>
          </w:tcPr>
          <w:p>
            <w:pPr>
              <w:pStyle w:val="MDPI42tablebody"/>
              <w:spacing w:line="240" w:lineRule="auto" w:before="30" w:after="30"/>
              <w:jc w:val="left"/>
            </w:pPr>
            <w:r>
              <w:rPr>
                <w:b w:val="0"/>
                <w:i/>
                <w:sz w:val="18"/>
              </w:rPr>
              <w:t>a</w:t>
            </w:r>
            <w:r>
              <w:rPr>
                <w:b w:val="0"/>
                <w:i/>
                <w:sz w:val="18"/>
                <w:vertAlign w:val="subscript"/>
              </w:rPr>
              <w:t>α</w:t>
            </w:r>
            <w:r>
              <w:rPr>
                <w:b w:val="0"/>
                <w:i/>
                <w:sz w:val="18"/>
              </w:rPr>
              <w:t>, γ</w:t>
            </w:r>
          </w:p>
        </w:tc>
        <w:tc>
          <w:tcPr>
            <w:tcW w:type="dxa" w:w="4500"/>
          </w:tcPr>
          <w:p>
            <w:pPr>
              <w:pStyle w:val="MDPI42tablebody"/>
              <w:spacing w:line="240" w:lineRule="auto" w:before="30" w:after="30"/>
              <w:jc w:val="left"/>
            </w:pPr>
            <w:r>
              <w:rPr>
                <w:b w:val="0"/>
                <w:i w:val="0"/>
                <w:sz w:val="18"/>
              </w:rPr>
              <w:t>Half-saturation and exponent of the automation sigmoid</w:t>
            </w:r>
          </w:p>
        </w:tc>
        <w:tc>
          <w:tcPr>
            <w:tcW w:type="dxa" w:w="1779"/>
          </w:tcPr>
          <w:p>
            <w:pPr>
              <w:pStyle w:val="MDPI42tablebody"/>
              <w:spacing w:line="240" w:lineRule="auto" w:before="30" w:after="30"/>
              <w:jc w:val="center"/>
            </w:pPr>
            <w:r>
              <w:rPr>
                <w:b w:val="0"/>
                <w:i w:val="0"/>
                <w:sz w:val="18"/>
              </w:rPr>
              <w:t>0.50, 2.0</w:t>
            </w:r>
          </w:p>
        </w:tc>
        <w:tc>
          <w:tcPr>
            <w:tcW w:type="dxa" w:w="2616"/>
          </w:tcPr>
          <w:p>
            <w:pPr>
              <w:pStyle w:val="MDPI42tablebody"/>
              <w:spacing w:line="240" w:lineRule="auto" w:before="30" w:after="30"/>
              <w:jc w:val="left"/>
            </w:pPr>
            <w:r>
              <w:rPr>
                <w:b w:val="0"/>
                <w:i w:val="0"/>
                <w:sz w:val="18"/>
              </w:rPr>
              <w:t>Assumption</w:t>
            </w:r>
          </w:p>
        </w:tc>
      </w:tr>
      <w:tr>
        <w:tc>
          <w:tcPr>
            <w:tcW w:type="dxa" w:w="1570"/>
          </w:tcPr>
          <w:p>
            <w:pPr>
              <w:pStyle w:val="MDPI42tablebody"/>
              <w:spacing w:line="240" w:lineRule="auto" w:before="30" w:after="30"/>
              <w:jc w:val="left"/>
            </w:pPr>
            <w:r>
              <w:rPr>
                <w:b w:val="0"/>
                <w:i/>
                <w:sz w:val="18"/>
              </w:rPr>
              <w:t>F</w:t>
            </w:r>
            <w:r>
              <w:rPr>
                <w:b w:val="0"/>
                <w:i/>
                <w:sz w:val="18"/>
                <w:vertAlign w:val="subscript"/>
              </w:rPr>
              <w:t>max</w:t>
            </w:r>
            <w:r>
              <w:rPr>
                <w:b w:val="0"/>
                <w:i/>
                <w:sz w:val="18"/>
              </w:rPr>
              <w:t>, g</w:t>
            </w:r>
            <w:r>
              <w:rPr>
                <w:b w:val="0"/>
                <w:i/>
                <w:sz w:val="18"/>
                <w:vertAlign w:val="subscript"/>
              </w:rPr>
              <w:t>F</w:t>
            </w:r>
            <w:r>
              <w:rPr>
                <w:b w:val="0"/>
                <w:i/>
                <w:sz w:val="18"/>
              </w:rPr>
              <w:t>, t</w:t>
            </w:r>
            <w:r>
              <w:rPr>
                <w:b w:val="0"/>
                <w:i/>
                <w:sz w:val="18"/>
                <w:vertAlign w:val="subscript"/>
              </w:rPr>
              <w:t>F</w:t>
            </w:r>
          </w:p>
        </w:tc>
        <w:tc>
          <w:tcPr>
            <w:tcW w:type="dxa" w:w="4500"/>
          </w:tcPr>
          <w:p>
            <w:pPr>
              <w:pStyle w:val="MDPI42tablebody"/>
              <w:spacing w:line="240" w:lineRule="auto" w:before="30" w:after="30"/>
              <w:jc w:val="left"/>
            </w:pPr>
            <w:r>
              <w:rPr>
                <w:b w:val="0"/>
                <w:i w:val="0"/>
                <w:sz w:val="18"/>
              </w:rPr>
              <w:t>Ceiling, growth rate and inflection of the external frontier</w:t>
            </w:r>
          </w:p>
        </w:tc>
        <w:tc>
          <w:tcPr>
            <w:tcW w:type="dxa" w:w="1779"/>
          </w:tcPr>
          <w:p>
            <w:pPr>
              <w:pStyle w:val="MDPI42tablebody"/>
              <w:spacing w:line="240" w:lineRule="auto" w:before="30" w:after="30"/>
              <w:jc w:val="center"/>
            </w:pPr>
            <w:r>
              <w:rPr>
                <w:b w:val="0"/>
                <w:i w:val="0"/>
                <w:sz w:val="18"/>
              </w:rPr>
              <w:t>1.00, 1.00, 1.285</w:t>
            </w:r>
          </w:p>
        </w:tc>
        <w:tc>
          <w:tcPr>
            <w:tcW w:type="dxa" w:w="2616"/>
          </w:tcPr>
          <w:p>
            <w:pPr>
              <w:pStyle w:val="MDPI42tablebody"/>
              <w:spacing w:line="240" w:lineRule="auto" w:before="30" w:after="30"/>
              <w:jc w:val="left"/>
            </w:pPr>
            <w:r>
              <w:rPr>
                <w:b w:val="0"/>
                <w:i w:val="0"/>
                <w:sz w:val="18"/>
              </w:rPr>
              <w:t>Inflection calibrated (Table 3)</w:t>
            </w:r>
          </w:p>
        </w:tc>
      </w:tr>
      <w:tr>
        <w:tc>
          <w:tcPr>
            <w:tcW w:type="dxa" w:w="1570"/>
          </w:tcPr>
          <w:p>
            <w:pPr>
              <w:pStyle w:val="MDPI42tablebody"/>
              <w:spacing w:line="240" w:lineRule="auto" w:before="30" w:after="30"/>
              <w:jc w:val="left"/>
            </w:pPr>
            <w:r>
              <w:rPr>
                <w:b w:val="0"/>
                <w:i/>
                <w:sz w:val="18"/>
              </w:rPr>
              <w:t>ν, δ</w:t>
            </w:r>
            <w:r>
              <w:rPr>
                <w:b w:val="0"/>
                <w:i/>
                <w:sz w:val="18"/>
                <w:vertAlign w:val="subscript"/>
              </w:rPr>
              <w:t>A</w:t>
            </w:r>
            <w:r>
              <w:rPr>
                <w:b w:val="0"/>
                <w:i/>
                <w:sz w:val="18"/>
              </w:rPr>
              <w:t>, φ</w:t>
            </w:r>
            <w:r>
              <w:rPr>
                <w:b w:val="0"/>
                <w:i/>
                <w:sz w:val="18"/>
                <w:vertAlign w:val="subscript"/>
              </w:rPr>
              <w:t>0</w:t>
            </w:r>
          </w:p>
        </w:tc>
        <w:tc>
          <w:tcPr>
            <w:tcW w:type="dxa" w:w="4500"/>
          </w:tcPr>
          <w:p>
            <w:pPr>
              <w:pStyle w:val="MDPI42tablebody"/>
              <w:spacing w:line="240" w:lineRule="auto" w:before="30" w:after="30"/>
              <w:jc w:val="left"/>
            </w:pPr>
            <w:r>
              <w:rPr>
                <w:b w:val="0"/>
                <w:i w:val="0"/>
                <w:sz w:val="18"/>
              </w:rPr>
              <w:t>Adoption rate, capability depreciation, absorptive-capacity floor</w:t>
            </w:r>
          </w:p>
        </w:tc>
        <w:tc>
          <w:tcPr>
            <w:tcW w:type="dxa" w:w="1779"/>
          </w:tcPr>
          <w:p>
            <w:pPr>
              <w:pStyle w:val="MDPI42tablebody"/>
              <w:spacing w:line="240" w:lineRule="auto" w:before="30" w:after="30"/>
              <w:jc w:val="center"/>
            </w:pPr>
            <w:r>
              <w:rPr>
                <w:b w:val="0"/>
                <w:i w:val="0"/>
                <w:sz w:val="18"/>
              </w:rPr>
              <w:t>1.328, 0.05, 0.25</w:t>
            </w:r>
          </w:p>
        </w:tc>
        <w:tc>
          <w:tcPr>
            <w:tcW w:type="dxa" w:w="2616"/>
          </w:tcPr>
          <w:p>
            <w:pPr>
              <w:pStyle w:val="MDPI42tablebody"/>
              <w:spacing w:line="240" w:lineRule="auto" w:before="30" w:after="30"/>
              <w:jc w:val="left"/>
            </w:pPr>
            <w:r>
              <w:rPr>
                <w:b w:val="0"/>
                <w:i w:val="0"/>
                <w:sz w:val="18"/>
              </w:rPr>
              <w:t>Adoption rate calibrated (Table 3)</w:t>
            </w:r>
          </w:p>
        </w:tc>
      </w:tr>
      <w:tr>
        <w:tc>
          <w:tcPr>
            <w:tcW w:type="dxa" w:w="1570"/>
          </w:tcPr>
          <w:p>
            <w:pPr>
              <w:pStyle w:val="MDPI42tablebody"/>
              <w:spacing w:line="240" w:lineRule="auto" w:before="30" w:after="30"/>
              <w:jc w:val="left"/>
            </w:pPr>
            <w:r>
              <w:rPr>
                <w:b w:val="0"/>
                <w:i/>
                <w:sz w:val="18"/>
              </w:rPr>
              <w:t>u</w:t>
            </w:r>
            <w:r>
              <w:rPr>
                <w:b w:val="0"/>
                <w:i/>
                <w:sz w:val="18"/>
                <w:vertAlign w:val="subscript"/>
              </w:rPr>
              <w:t>max</w:t>
            </w:r>
            <w:r>
              <w:rPr>
                <w:b w:val="0"/>
                <w:i/>
                <w:sz w:val="18"/>
              </w:rPr>
              <w:t>, a</w:t>
            </w:r>
            <w:r>
              <w:rPr>
                <w:b w:val="0"/>
                <w:i/>
                <w:sz w:val="18"/>
                <w:vertAlign w:val="subscript"/>
              </w:rPr>
              <w:t>u</w:t>
            </w:r>
          </w:p>
        </w:tc>
        <w:tc>
          <w:tcPr>
            <w:tcW w:type="dxa" w:w="4500"/>
          </w:tcPr>
          <w:p>
            <w:pPr>
              <w:pStyle w:val="MDPI42tablebody"/>
              <w:spacing w:line="240" w:lineRule="auto" w:before="30" w:after="30"/>
              <w:jc w:val="left"/>
            </w:pPr>
            <w:r>
              <w:rPr>
                <w:b w:val="0"/>
                <w:i w:val="0"/>
                <w:sz w:val="18"/>
              </w:rPr>
              <w:t>Ceiling and half-saturation of AI utilisation</w:t>
            </w:r>
          </w:p>
        </w:tc>
        <w:tc>
          <w:tcPr>
            <w:tcW w:type="dxa" w:w="1779"/>
          </w:tcPr>
          <w:p>
            <w:pPr>
              <w:pStyle w:val="MDPI42tablebody"/>
              <w:spacing w:line="240" w:lineRule="auto" w:before="30" w:after="30"/>
              <w:jc w:val="center"/>
            </w:pPr>
            <w:r>
              <w:rPr>
                <w:b w:val="0"/>
                <w:i w:val="0"/>
                <w:sz w:val="18"/>
              </w:rPr>
              <w:t>0.85, 0.215</w:t>
            </w:r>
          </w:p>
        </w:tc>
        <w:tc>
          <w:tcPr>
            <w:tcW w:type="dxa" w:w="2616"/>
          </w:tcPr>
          <w:p>
            <w:pPr>
              <w:pStyle w:val="MDPI42tablebody"/>
              <w:spacing w:line="240" w:lineRule="auto" w:before="30" w:after="30"/>
              <w:jc w:val="left"/>
            </w:pPr>
            <w:r>
              <w:rPr>
                <w:b w:val="0"/>
                <w:i w:val="0"/>
                <w:sz w:val="18"/>
              </w:rPr>
              <w:t>Half-saturation calibrated (Table 3)</w:t>
            </w:r>
          </w:p>
        </w:tc>
      </w:tr>
      <w:tr>
        <w:tc>
          <w:tcPr>
            <w:tcW w:type="dxa" w:w="10467"/>
            <w:gridSpan w:val="4"/>
          </w:tcPr>
          <w:p>
            <w:pPr>
              <w:pStyle w:val="MDPI42tablebody"/>
              <w:spacing w:line="240" w:lineRule="auto" w:before="60" w:after="30"/>
              <w:jc w:val="left"/>
            </w:pPr>
            <w:r>
              <w:rPr>
                <w:b/>
                <w:i/>
                <w:sz w:val="18"/>
              </w:rPr>
              <w:t>Augmentation and learning</w:t>
            </w:r>
          </w:p>
        </w:tc>
      </w:tr>
      <w:tr>
        <w:tc>
          <w:tcPr>
            <w:tcW w:type="dxa" w:w="1570"/>
          </w:tcPr>
          <w:p>
            <w:pPr>
              <w:pStyle w:val="MDPI42tablebody"/>
              <w:spacing w:line="240" w:lineRule="auto" w:before="30" w:after="30"/>
              <w:jc w:val="left"/>
            </w:pPr>
            <w:r>
              <w:rPr>
                <w:b w:val="0"/>
                <w:i/>
                <w:sz w:val="18"/>
              </w:rPr>
              <w:t>β</w:t>
            </w:r>
            <w:r>
              <w:rPr>
                <w:b w:val="0"/>
                <w:i/>
                <w:sz w:val="18"/>
                <w:vertAlign w:val="subscript"/>
              </w:rPr>
              <w:t>J</w:t>
            </w:r>
            <w:r>
              <w:rPr>
                <w:b w:val="0"/>
                <w:i/>
                <w:sz w:val="18"/>
              </w:rPr>
              <w:t>, β</w:t>
            </w:r>
            <w:r>
              <w:rPr>
                <w:b w:val="0"/>
                <w:i/>
                <w:sz w:val="18"/>
                <w:vertAlign w:val="subscript"/>
              </w:rPr>
              <w:t>S</w:t>
            </w:r>
          </w:p>
        </w:tc>
        <w:tc>
          <w:tcPr>
            <w:tcW w:type="dxa" w:w="4500"/>
          </w:tcPr>
          <w:p>
            <w:pPr>
              <w:pStyle w:val="MDPI42tablebody"/>
              <w:spacing w:line="240" w:lineRule="auto" w:before="30" w:after="30"/>
              <w:jc w:val="left"/>
            </w:pPr>
            <w:r>
              <w:rPr>
                <w:b w:val="0"/>
                <w:i w:val="0"/>
                <w:sz w:val="18"/>
              </w:rPr>
              <w:t>AI productivity elasticity, junior and senior</w:t>
            </w:r>
          </w:p>
        </w:tc>
        <w:tc>
          <w:tcPr>
            <w:tcW w:type="dxa" w:w="1779"/>
          </w:tcPr>
          <w:p>
            <w:pPr>
              <w:pStyle w:val="MDPI42tablebody"/>
              <w:spacing w:line="240" w:lineRule="auto" w:before="30" w:after="30"/>
              <w:jc w:val="center"/>
            </w:pPr>
            <w:r>
              <w:rPr>
                <w:b w:val="0"/>
                <w:i w:val="0"/>
                <w:sz w:val="18"/>
              </w:rPr>
              <w:t>0.739, 0.246</w:t>
            </w:r>
          </w:p>
        </w:tc>
        <w:tc>
          <w:tcPr>
            <w:tcW w:type="dxa" w:w="2616"/>
          </w:tcPr>
          <w:p>
            <w:pPr>
              <w:pStyle w:val="MDPI42tablebody"/>
              <w:spacing w:line="240" w:lineRule="auto" w:before="30" w:after="30"/>
              <w:jc w:val="left"/>
            </w:pPr>
            <w:r>
              <w:rPr>
                <w:b w:val="0"/>
                <w:i w:val="0"/>
                <w:sz w:val="18"/>
              </w:rPr>
              <w:t>Calibrated (Table 3)</w:t>
            </w:r>
          </w:p>
        </w:tc>
      </w:tr>
      <w:tr>
        <w:tc>
          <w:tcPr>
            <w:tcW w:type="dxa" w:w="1570"/>
          </w:tcPr>
          <w:p>
            <w:pPr>
              <w:pStyle w:val="MDPI42tablebody"/>
              <w:spacing w:line="240" w:lineRule="auto" w:before="30" w:after="30"/>
              <w:jc w:val="left"/>
            </w:pPr>
            <w:r>
              <w:rPr>
                <w:b w:val="0"/>
                <w:i/>
                <w:sz w:val="18"/>
              </w:rPr>
              <w:t>λ, δ</w:t>
            </w:r>
            <w:r>
              <w:rPr>
                <w:b w:val="0"/>
                <w:i/>
                <w:sz w:val="18"/>
                <w:vertAlign w:val="subscript"/>
              </w:rPr>
              <w:t>K</w:t>
            </w:r>
          </w:p>
        </w:tc>
        <w:tc>
          <w:tcPr>
            <w:tcW w:type="dxa" w:w="4500"/>
          </w:tcPr>
          <w:p>
            <w:pPr>
              <w:pStyle w:val="MDPI42tablebody"/>
              <w:spacing w:line="240" w:lineRule="auto" w:before="30" w:after="30"/>
              <w:jc w:val="left"/>
            </w:pPr>
            <w:r>
              <w:rPr>
                <w:b w:val="0"/>
                <w:i w:val="0"/>
                <w:sz w:val="18"/>
              </w:rPr>
              <w:t>Learning investment rate and routine obsolescence rate</w:t>
            </w:r>
          </w:p>
        </w:tc>
        <w:tc>
          <w:tcPr>
            <w:tcW w:type="dxa" w:w="1779"/>
          </w:tcPr>
          <w:p>
            <w:pPr>
              <w:pStyle w:val="MDPI42tablebody"/>
              <w:spacing w:line="240" w:lineRule="auto" w:before="30" w:after="30"/>
              <w:jc w:val="center"/>
            </w:pPr>
            <w:r>
              <w:rPr>
                <w:b w:val="0"/>
                <w:i w:val="0"/>
                <w:sz w:val="18"/>
              </w:rPr>
              <w:t>0.30, 0.20 yr⁻¹</w:t>
            </w:r>
          </w:p>
        </w:tc>
        <w:tc>
          <w:tcPr>
            <w:tcW w:type="dxa" w:w="2616"/>
          </w:tcPr>
          <w:p>
            <w:pPr>
              <w:pStyle w:val="MDPI42tablebody"/>
              <w:spacing w:line="240" w:lineRule="auto" w:before="30" w:after="30"/>
              <w:jc w:val="left"/>
            </w:pPr>
            <w:r>
              <w:rPr>
                <w:b w:val="0"/>
                <w:i w:val="0"/>
                <w:sz w:val="18"/>
              </w:rPr>
              <w:t>Assumption; varied in Figure 5b</w:t>
            </w:r>
          </w:p>
        </w:tc>
      </w:tr>
      <w:tr>
        <w:tc>
          <w:tcPr>
            <w:tcW w:type="dxa" w:w="1570"/>
          </w:tcPr>
          <w:p>
            <w:pPr>
              <w:pStyle w:val="MDPI42tablebody"/>
              <w:spacing w:line="240" w:lineRule="auto" w:before="30" w:after="30"/>
              <w:jc w:val="left"/>
            </w:pPr>
            <w:r>
              <w:rPr>
                <w:b w:val="0"/>
                <w:i/>
                <w:sz w:val="18"/>
              </w:rPr>
              <w:t>k</w:t>
            </w:r>
            <w:r>
              <w:rPr>
                <w:b w:val="0"/>
                <w:i/>
                <w:sz w:val="18"/>
                <w:vertAlign w:val="subscript"/>
              </w:rPr>
              <w:t>h</w:t>
            </w:r>
          </w:p>
        </w:tc>
        <w:tc>
          <w:tcPr>
            <w:tcW w:type="dxa" w:w="4500"/>
          </w:tcPr>
          <w:p>
            <w:pPr>
              <w:pStyle w:val="MDPI42tablebody"/>
              <w:spacing w:line="240" w:lineRule="auto" w:before="30" w:after="30"/>
              <w:jc w:val="left"/>
            </w:pPr>
            <w:r>
              <w:rPr>
                <w:b w:val="0"/>
                <w:i w:val="0"/>
                <w:sz w:val="18"/>
              </w:rPr>
              <w:t>Half-saturation of the routine stock</w:t>
            </w:r>
          </w:p>
        </w:tc>
        <w:tc>
          <w:tcPr>
            <w:tcW w:type="dxa" w:w="1779"/>
          </w:tcPr>
          <w:p>
            <w:pPr>
              <w:pStyle w:val="MDPI42tablebody"/>
              <w:spacing w:line="240" w:lineRule="auto" w:before="30" w:after="30"/>
              <w:jc w:val="center"/>
            </w:pPr>
            <w:r>
              <w:rPr>
                <w:b w:val="0"/>
                <w:i w:val="0"/>
                <w:sz w:val="18"/>
              </w:rPr>
              <w:t>1.00</w:t>
            </w:r>
          </w:p>
        </w:tc>
        <w:tc>
          <w:tcPr>
            <w:tcW w:type="dxa" w:w="2616"/>
          </w:tcPr>
          <w:p>
            <w:pPr>
              <w:pStyle w:val="MDPI42tablebody"/>
              <w:spacing w:line="240" w:lineRule="auto" w:before="30" w:after="30"/>
              <w:jc w:val="left"/>
            </w:pPr>
            <w:r>
              <w:rPr>
                <w:b w:val="0"/>
                <w:i w:val="0"/>
                <w:sz w:val="18"/>
              </w:rPr>
              <w:t>Assumption</w:t>
            </w:r>
          </w:p>
        </w:tc>
      </w:tr>
      <w:tr>
        <w:tc>
          <w:tcPr>
            <w:tcW w:type="dxa" w:w="1570"/>
          </w:tcPr>
          <w:p>
            <w:pPr>
              <w:pStyle w:val="MDPI42tablebody"/>
              <w:spacing w:line="240" w:lineRule="auto" w:before="30" w:after="30"/>
              <w:jc w:val="left"/>
            </w:pPr>
            <w:r>
              <w:rPr>
                <w:b w:val="0"/>
                <w:i/>
                <w:sz w:val="18"/>
              </w:rPr>
              <w:t>ζ</w:t>
            </w:r>
            <w:r>
              <w:rPr>
                <w:b w:val="0"/>
                <w:i/>
                <w:sz w:val="18"/>
                <w:vertAlign w:val="subscript"/>
              </w:rPr>
              <w:t>0</w:t>
            </w:r>
          </w:p>
        </w:tc>
        <w:tc>
          <w:tcPr>
            <w:tcW w:type="dxa" w:w="4500"/>
          </w:tcPr>
          <w:p>
            <w:pPr>
              <w:pStyle w:val="MDPI42tablebody"/>
              <w:spacing w:line="240" w:lineRule="auto" w:before="30" w:after="30"/>
              <w:jc w:val="left"/>
            </w:pPr>
            <w:r>
              <w:rPr>
                <w:b w:val="0"/>
                <w:i w:val="0"/>
                <w:sz w:val="18"/>
              </w:rPr>
              <w:t>Skill-formation value of AI-mediated work</w:t>
            </w:r>
          </w:p>
        </w:tc>
        <w:tc>
          <w:tcPr>
            <w:tcW w:type="dxa" w:w="1779"/>
          </w:tcPr>
          <w:p>
            <w:pPr>
              <w:pStyle w:val="MDPI42tablebody"/>
              <w:spacing w:line="240" w:lineRule="auto" w:before="30" w:after="30"/>
              <w:jc w:val="center"/>
            </w:pPr>
            <w:r>
              <w:rPr>
                <w:b w:val="0"/>
                <w:i w:val="0"/>
                <w:sz w:val="18"/>
              </w:rPr>
              <w:t>0.25</w:t>
            </w:r>
          </w:p>
        </w:tc>
        <w:tc>
          <w:tcPr>
            <w:tcW w:type="dxa" w:w="2616"/>
          </w:tcPr>
          <w:p>
            <w:pPr>
              <w:pStyle w:val="MDPI42tablebody"/>
              <w:spacing w:line="240" w:lineRule="auto" w:before="30" w:after="30"/>
              <w:jc w:val="left"/>
            </w:pPr>
            <w:r>
              <w:rPr>
                <w:b w:val="0"/>
                <w:i w:val="0"/>
                <w:sz w:val="18"/>
              </w:rPr>
              <w:t>Qualitative evidence on shadow learning</w:t>
            </w:r>
          </w:p>
        </w:tc>
      </w:tr>
      <w:tr>
        <w:tc>
          <w:tcPr>
            <w:tcW w:type="dxa" w:w="10467"/>
            <w:gridSpan w:val="4"/>
          </w:tcPr>
          <w:p>
            <w:pPr>
              <w:pStyle w:val="MDPI42tablebody"/>
              <w:spacing w:line="240" w:lineRule="auto" w:before="60" w:after="30"/>
              <w:jc w:val="left"/>
            </w:pPr>
            <w:r>
              <w:rPr>
                <w:b/>
                <w:i/>
                <w:sz w:val="18"/>
              </w:rPr>
              <w:t>Development pipeline</w:t>
            </w:r>
          </w:p>
        </w:tc>
      </w:tr>
      <w:tr>
        <w:tc>
          <w:tcPr>
            <w:tcW w:type="dxa" w:w="1570"/>
          </w:tcPr>
          <w:p>
            <w:pPr>
              <w:pStyle w:val="MDPI42tablebody"/>
              <w:spacing w:line="240" w:lineRule="auto" w:before="30" w:after="30"/>
              <w:jc w:val="left"/>
            </w:pPr>
            <w:r>
              <w:rPr>
                <w:b w:val="0"/>
                <w:i/>
                <w:sz w:val="18"/>
              </w:rPr>
              <w:t>τ</w:t>
            </w:r>
            <w:r>
              <w:rPr>
                <w:b w:val="0"/>
                <w:i/>
                <w:sz w:val="18"/>
                <w:vertAlign w:val="subscript"/>
              </w:rPr>
              <w:t>dev</w:t>
            </w:r>
          </w:p>
        </w:tc>
        <w:tc>
          <w:tcPr>
            <w:tcW w:type="dxa" w:w="4500"/>
          </w:tcPr>
          <w:p>
            <w:pPr>
              <w:pStyle w:val="MDPI42tablebody"/>
              <w:spacing w:line="240" w:lineRule="auto" w:before="30" w:after="30"/>
              <w:jc w:val="left"/>
            </w:pPr>
            <w:r>
              <w:rPr>
                <w:b w:val="0"/>
                <w:i w:val="0"/>
                <w:sz w:val="18"/>
              </w:rPr>
              <w:t>Time to competence</w:t>
            </w:r>
          </w:p>
        </w:tc>
        <w:tc>
          <w:tcPr>
            <w:tcW w:type="dxa" w:w="1779"/>
          </w:tcPr>
          <w:p>
            <w:pPr>
              <w:pStyle w:val="MDPI42tablebody"/>
              <w:spacing w:line="240" w:lineRule="auto" w:before="30" w:after="30"/>
              <w:jc w:val="center"/>
            </w:pPr>
            <w:r>
              <w:rPr>
                <w:b w:val="0"/>
                <w:i w:val="0"/>
                <w:sz w:val="18"/>
              </w:rPr>
              <w:t>3.0 yr</w:t>
            </w:r>
          </w:p>
        </w:tc>
        <w:tc>
          <w:tcPr>
            <w:tcW w:type="dxa" w:w="2616"/>
          </w:tcPr>
          <w:p>
            <w:pPr>
              <w:pStyle w:val="MDPI42tablebody"/>
              <w:spacing w:line="240" w:lineRule="auto" w:before="30" w:after="30"/>
              <w:jc w:val="left"/>
            </w:pPr>
            <w:r>
              <w:rPr>
                <w:b w:val="0"/>
                <w:i w:val="0"/>
                <w:sz w:val="18"/>
              </w:rPr>
              <w:t>Professional-service convention</w:t>
            </w:r>
          </w:p>
        </w:tc>
      </w:tr>
      <w:tr>
        <w:tc>
          <w:tcPr>
            <w:tcW w:type="dxa" w:w="1570"/>
          </w:tcPr>
          <w:p>
            <w:pPr>
              <w:pStyle w:val="MDPI42tablebody"/>
              <w:spacing w:line="240" w:lineRule="auto" w:before="30" w:after="30"/>
              <w:jc w:val="left"/>
            </w:pPr>
            <w:r>
              <w:rPr>
                <w:b w:val="0"/>
                <w:i/>
                <w:sz w:val="18"/>
              </w:rPr>
              <w:t>m, q</w:t>
            </w:r>
            <w:r>
              <w:rPr>
                <w:b w:val="0"/>
                <w:i/>
                <w:sz w:val="18"/>
                <w:vertAlign w:val="subscript"/>
              </w:rPr>
              <w:t>0</w:t>
            </w:r>
          </w:p>
        </w:tc>
        <w:tc>
          <w:tcPr>
            <w:tcW w:type="dxa" w:w="4500"/>
          </w:tcPr>
          <w:p>
            <w:pPr>
              <w:pStyle w:val="MDPI42tablebody"/>
              <w:spacing w:line="240" w:lineRule="auto" w:before="30" w:after="30"/>
              <w:jc w:val="left"/>
            </w:pPr>
            <w:r>
              <w:rPr>
                <w:b w:val="0"/>
                <w:i w:val="0"/>
                <w:sz w:val="18"/>
              </w:rPr>
              <w:t>Mentoring capacity per senior; half-saturation of mentoring adequacy</w:t>
            </w:r>
          </w:p>
        </w:tc>
        <w:tc>
          <w:tcPr>
            <w:tcW w:type="dxa" w:w="1779"/>
          </w:tcPr>
          <w:p>
            <w:pPr>
              <w:pStyle w:val="MDPI42tablebody"/>
              <w:spacing w:line="240" w:lineRule="auto" w:before="30" w:after="30"/>
              <w:jc w:val="center"/>
            </w:pPr>
            <w:r>
              <w:rPr>
                <w:b w:val="0"/>
                <w:i w:val="0"/>
                <w:sz w:val="18"/>
              </w:rPr>
              <w:t>0.369, 1.00</w:t>
            </w:r>
          </w:p>
        </w:tc>
        <w:tc>
          <w:tcPr>
            <w:tcW w:type="dxa" w:w="2616"/>
          </w:tcPr>
          <w:p>
            <w:pPr>
              <w:pStyle w:val="MDPI42tablebody"/>
              <w:spacing w:line="240" w:lineRule="auto" w:before="30" w:after="30"/>
              <w:jc w:val="left"/>
            </w:pPr>
            <w:r>
              <w:rPr>
                <w:b w:val="0"/>
                <w:i w:val="0"/>
                <w:sz w:val="18"/>
              </w:rPr>
              <w:t>m derived from the steady state</w:t>
            </w:r>
          </w:p>
        </w:tc>
      </w:tr>
      <w:tr>
        <w:tc>
          <w:tcPr>
            <w:tcW w:type="dxa" w:w="1570"/>
          </w:tcPr>
          <w:p>
            <w:pPr>
              <w:pStyle w:val="MDPI42tablebody"/>
              <w:spacing w:line="240" w:lineRule="auto" w:before="30" w:after="30"/>
              <w:jc w:val="left"/>
            </w:pPr>
            <w:r>
              <w:rPr>
                <w:b w:val="0"/>
                <w:i/>
                <w:sz w:val="18"/>
              </w:rPr>
              <w:t>η</w:t>
            </w:r>
          </w:p>
        </w:tc>
        <w:tc>
          <w:tcPr>
            <w:tcW w:type="dxa" w:w="4500"/>
          </w:tcPr>
          <w:p>
            <w:pPr>
              <w:pStyle w:val="MDPI42tablebody"/>
              <w:spacing w:line="240" w:lineRule="auto" w:before="30" w:after="30"/>
              <w:jc w:val="left"/>
            </w:pPr>
            <w:r>
              <w:rPr>
                <w:b w:val="0"/>
                <w:i w:val="0"/>
                <w:sz w:val="18"/>
              </w:rPr>
              <w:t>AI knowledge-scaffolding coefficient</w:t>
            </w:r>
          </w:p>
        </w:tc>
        <w:tc>
          <w:tcPr>
            <w:tcW w:type="dxa" w:w="1779"/>
          </w:tcPr>
          <w:p>
            <w:pPr>
              <w:pStyle w:val="MDPI42tablebody"/>
              <w:spacing w:line="240" w:lineRule="auto" w:before="30" w:after="30"/>
              <w:jc w:val="center"/>
            </w:pPr>
            <w:r>
              <w:rPr>
                <w:b w:val="0"/>
                <w:i w:val="0"/>
                <w:sz w:val="18"/>
              </w:rPr>
              <w:t>0.35</w:t>
            </w:r>
          </w:p>
        </w:tc>
        <w:tc>
          <w:tcPr>
            <w:tcW w:type="dxa" w:w="2616"/>
          </w:tcPr>
          <w:p>
            <w:pPr>
              <w:pStyle w:val="MDPI42tablebody"/>
              <w:spacing w:line="240" w:lineRule="auto" w:before="30" w:after="30"/>
              <w:jc w:val="left"/>
            </w:pPr>
            <w:r>
              <w:rPr>
                <w:b w:val="0"/>
                <w:i w:val="0"/>
                <w:sz w:val="18"/>
              </w:rPr>
              <w:t>Assumption</w:t>
            </w:r>
          </w:p>
        </w:tc>
      </w:tr>
      <w:tr>
        <w:tc>
          <w:tcPr>
            <w:tcW w:type="dxa" w:w="1570"/>
          </w:tcPr>
          <w:p>
            <w:pPr>
              <w:pStyle w:val="MDPI42tablebody"/>
              <w:spacing w:line="240" w:lineRule="auto" w:before="30" w:after="30"/>
              <w:jc w:val="left"/>
            </w:pPr>
            <w:r>
              <w:rPr>
                <w:b w:val="0"/>
                <w:i/>
                <w:sz w:val="18"/>
              </w:rPr>
              <w:t>δ</w:t>
            </w:r>
            <w:r>
              <w:rPr>
                <w:b w:val="0"/>
                <w:i/>
                <w:sz w:val="18"/>
                <w:vertAlign w:val="subscript"/>
              </w:rPr>
              <w:t>J</w:t>
            </w:r>
            <w:r>
              <w:rPr>
                <w:b w:val="0"/>
                <w:i/>
                <w:sz w:val="18"/>
              </w:rPr>
              <w:t>, δ</w:t>
            </w:r>
            <w:r>
              <w:rPr>
                <w:b w:val="0"/>
                <w:i/>
                <w:sz w:val="18"/>
                <w:vertAlign w:val="subscript"/>
              </w:rPr>
              <w:t>S</w:t>
            </w:r>
          </w:p>
        </w:tc>
        <w:tc>
          <w:tcPr>
            <w:tcW w:type="dxa" w:w="4500"/>
          </w:tcPr>
          <w:p>
            <w:pPr>
              <w:pStyle w:val="MDPI42tablebody"/>
              <w:spacing w:line="240" w:lineRule="auto" w:before="30" w:after="30"/>
              <w:jc w:val="left"/>
            </w:pPr>
            <w:r>
              <w:rPr>
                <w:b w:val="0"/>
                <w:i w:val="0"/>
                <w:sz w:val="18"/>
              </w:rPr>
              <w:t>Junior and senior separation rates</w:t>
            </w:r>
          </w:p>
        </w:tc>
        <w:tc>
          <w:tcPr>
            <w:tcW w:type="dxa" w:w="1779"/>
          </w:tcPr>
          <w:p>
            <w:pPr>
              <w:pStyle w:val="MDPI42tablebody"/>
              <w:spacing w:line="240" w:lineRule="auto" w:before="30" w:after="30"/>
              <w:jc w:val="center"/>
            </w:pPr>
            <w:r>
              <w:rPr>
                <w:b w:val="0"/>
                <w:i w:val="0"/>
                <w:sz w:val="18"/>
              </w:rPr>
              <w:t>0.15, 0.08 yr⁻¹</w:t>
            </w:r>
          </w:p>
        </w:tc>
        <w:tc>
          <w:tcPr>
            <w:tcW w:type="dxa" w:w="2616"/>
          </w:tcPr>
          <w:p>
            <w:pPr>
              <w:pStyle w:val="MDPI42tablebody"/>
              <w:spacing w:line="240" w:lineRule="auto" w:before="30" w:after="30"/>
              <w:jc w:val="left"/>
            </w:pPr>
            <w:r>
              <w:rPr>
                <w:b w:val="0"/>
                <w:i w:val="0"/>
                <w:sz w:val="18"/>
              </w:rPr>
              <w:t>Professional-service convention</w:t>
            </w:r>
          </w:p>
        </w:tc>
      </w:tr>
      <w:tr>
        <w:tc>
          <w:tcPr>
            <w:tcW w:type="dxa" w:w="1570"/>
          </w:tcPr>
          <w:p>
            <w:pPr>
              <w:pStyle w:val="MDPI42tablebody"/>
              <w:spacing w:line="240" w:lineRule="auto" w:before="30" w:after="30"/>
              <w:jc w:val="left"/>
            </w:pPr>
            <w:r>
              <w:rPr>
                <w:b w:val="0"/>
                <w:i/>
                <w:sz w:val="18"/>
              </w:rPr>
              <w:t>τ</w:t>
            </w:r>
            <w:r>
              <w:rPr>
                <w:b w:val="0"/>
                <w:i/>
                <w:sz w:val="18"/>
                <w:vertAlign w:val="subscript"/>
              </w:rPr>
              <w:t>J</w:t>
            </w:r>
            <w:r>
              <w:rPr>
                <w:b w:val="0"/>
                <w:i/>
                <w:sz w:val="18"/>
              </w:rPr>
              <w:t>, τ</w:t>
            </w:r>
            <w:r>
              <w:rPr>
                <w:b w:val="0"/>
                <w:i/>
                <w:sz w:val="18"/>
                <w:vertAlign w:val="subscript"/>
              </w:rPr>
              <w:t>S</w:t>
            </w:r>
          </w:p>
        </w:tc>
        <w:tc>
          <w:tcPr>
            <w:tcW w:type="dxa" w:w="4500"/>
          </w:tcPr>
          <w:p>
            <w:pPr>
              <w:pStyle w:val="MDPI42tablebody"/>
              <w:spacing w:line="240" w:lineRule="auto" w:before="30" w:after="30"/>
              <w:jc w:val="left"/>
            </w:pPr>
            <w:r>
              <w:rPr>
                <w:b w:val="0"/>
                <w:i w:val="0"/>
                <w:sz w:val="18"/>
              </w:rPr>
              <w:t>Hiring and recruitment adjustment times</w:t>
            </w:r>
          </w:p>
        </w:tc>
        <w:tc>
          <w:tcPr>
            <w:tcW w:type="dxa" w:w="1779"/>
          </w:tcPr>
          <w:p>
            <w:pPr>
              <w:pStyle w:val="MDPI42tablebody"/>
              <w:spacing w:line="240" w:lineRule="auto" w:before="30" w:after="30"/>
              <w:jc w:val="center"/>
            </w:pPr>
            <w:r>
              <w:rPr>
                <w:b w:val="0"/>
                <w:i w:val="0"/>
                <w:sz w:val="18"/>
              </w:rPr>
              <w:t>1.0, 2.0 yr</w:t>
            </w:r>
          </w:p>
        </w:tc>
        <w:tc>
          <w:tcPr>
            <w:tcW w:type="dxa" w:w="2616"/>
          </w:tcPr>
          <w:p>
            <w:pPr>
              <w:pStyle w:val="MDPI42tablebody"/>
              <w:spacing w:line="240" w:lineRule="auto" w:before="30" w:after="30"/>
              <w:jc w:val="left"/>
            </w:pPr>
            <w:r>
              <w:rPr>
                <w:b w:val="0"/>
                <w:i w:val="0"/>
                <w:sz w:val="18"/>
              </w:rPr>
              <w:t>Assumption</w:t>
            </w:r>
          </w:p>
        </w:tc>
      </w:tr>
      <w:tr>
        <w:tc>
          <w:tcPr>
            <w:tcW w:type="dxa" w:w="1570"/>
          </w:tcPr>
          <w:p>
            <w:pPr>
              <w:pStyle w:val="MDPI42tablebody"/>
              <w:spacing w:line="240" w:lineRule="auto" w:before="30" w:after="30"/>
              <w:jc w:val="left"/>
            </w:pPr>
            <w:r>
              <w:rPr>
                <w:b w:val="0"/>
                <w:i/>
                <w:sz w:val="18"/>
              </w:rPr>
              <w:t>χ</w:t>
            </w:r>
            <w:r>
              <w:rPr>
                <w:b w:val="0"/>
                <w:i/>
                <w:sz w:val="18"/>
                <w:vertAlign w:val="subscript"/>
              </w:rPr>
              <w:t>S</w:t>
            </w:r>
            <w:r>
              <w:rPr>
                <w:b w:val="0"/>
                <w:i/>
                <w:sz w:val="18"/>
              </w:rPr>
              <w:t>, ω, Ω</w:t>
            </w:r>
            <w:r>
              <w:rPr>
                <w:b w:val="0"/>
                <w:i/>
                <w:sz w:val="18"/>
                <w:vertAlign w:val="subscript"/>
              </w:rPr>
              <w:t>max</w:t>
            </w:r>
          </w:p>
        </w:tc>
        <w:tc>
          <w:tcPr>
            <w:tcW w:type="dxa" w:w="4500"/>
          </w:tcPr>
          <w:p>
            <w:pPr>
              <w:pStyle w:val="MDPI42tablebody"/>
              <w:spacing w:line="240" w:lineRule="auto" w:before="30" w:after="30"/>
              <w:jc w:val="left"/>
            </w:pPr>
            <w:r>
              <w:rPr>
                <w:b w:val="0"/>
                <w:i w:val="0"/>
                <w:sz w:val="18"/>
              </w:rPr>
              <w:t>External recruitment ceiling, availability elasticity and its cap</w:t>
            </w:r>
          </w:p>
        </w:tc>
        <w:tc>
          <w:tcPr>
            <w:tcW w:type="dxa" w:w="1779"/>
          </w:tcPr>
          <w:p>
            <w:pPr>
              <w:pStyle w:val="MDPI42tablebody"/>
              <w:spacing w:line="240" w:lineRule="auto" w:before="30" w:after="30"/>
              <w:jc w:val="center"/>
            </w:pPr>
            <w:r>
              <w:rPr>
                <w:b w:val="0"/>
                <w:i w:val="0"/>
                <w:sz w:val="18"/>
              </w:rPr>
              <w:t>0.03 yr⁻¹, 1.00, 2.00</w:t>
            </w:r>
          </w:p>
        </w:tc>
        <w:tc>
          <w:tcPr>
            <w:tcW w:type="dxa" w:w="2616"/>
          </w:tcPr>
          <w:p>
            <w:pPr>
              <w:pStyle w:val="MDPI42tablebody"/>
              <w:spacing w:line="240" w:lineRule="auto" w:before="30" w:after="30"/>
              <w:jc w:val="left"/>
            </w:pPr>
            <w:r>
              <w:rPr>
                <w:b w:val="0"/>
                <w:i w:val="0"/>
                <w:sz w:val="18"/>
              </w:rPr>
              <w:t>Sector-consistent closure</w:t>
            </w:r>
          </w:p>
        </w:tc>
      </w:tr>
      <w:tr>
        <w:tc>
          <w:tcPr>
            <w:tcW w:type="dxa" w:w="10467"/>
            <w:gridSpan w:val="4"/>
          </w:tcPr>
          <w:p>
            <w:pPr>
              <w:pStyle w:val="MDPI42tablebody"/>
              <w:spacing w:line="240" w:lineRule="auto" w:before="60" w:after="30"/>
              <w:jc w:val="left"/>
            </w:pPr>
            <w:r>
              <w:rPr>
                <w:b/>
                <w:i/>
                <w:sz w:val="18"/>
              </w:rPr>
              <w:t>Production, cost and demand</w:t>
            </w:r>
          </w:p>
        </w:tc>
      </w:tr>
      <w:tr>
        <w:tc>
          <w:tcPr>
            <w:tcW w:type="dxa" w:w="1570"/>
          </w:tcPr>
          <w:p>
            <w:pPr>
              <w:pStyle w:val="MDPI42tablebody"/>
              <w:spacing w:line="240" w:lineRule="auto" w:before="30" w:after="30"/>
              <w:jc w:val="left"/>
            </w:pPr>
            <w:r>
              <w:rPr>
                <w:b w:val="0"/>
                <w:i/>
                <w:sz w:val="18"/>
              </w:rPr>
              <w:t>π</w:t>
            </w:r>
            <w:r>
              <w:rPr>
                <w:b w:val="0"/>
                <w:i/>
                <w:sz w:val="18"/>
                <w:vertAlign w:val="subscript"/>
              </w:rPr>
              <w:t>J0</w:t>
            </w:r>
            <w:r>
              <w:rPr>
                <w:b w:val="0"/>
                <w:i/>
                <w:sz w:val="18"/>
              </w:rPr>
              <w:t>, π</w:t>
            </w:r>
            <w:r>
              <w:rPr>
                <w:b w:val="0"/>
                <w:i/>
                <w:sz w:val="18"/>
                <w:vertAlign w:val="subscript"/>
              </w:rPr>
              <w:t>S0</w:t>
            </w:r>
          </w:p>
        </w:tc>
        <w:tc>
          <w:tcPr>
            <w:tcW w:type="dxa" w:w="4500"/>
          </w:tcPr>
          <w:p>
            <w:pPr>
              <w:pStyle w:val="MDPI42tablebody"/>
              <w:spacing w:line="240" w:lineRule="auto" w:before="30" w:after="30"/>
              <w:jc w:val="left"/>
            </w:pPr>
            <w:r>
              <w:rPr>
                <w:b w:val="0"/>
                <w:i w:val="0"/>
                <w:sz w:val="18"/>
              </w:rPr>
              <w:t>Baseline productivities</w:t>
            </w:r>
          </w:p>
        </w:tc>
        <w:tc>
          <w:tcPr>
            <w:tcW w:type="dxa" w:w="1779"/>
          </w:tcPr>
          <w:p>
            <w:pPr>
              <w:pStyle w:val="MDPI42tablebody"/>
              <w:spacing w:line="240" w:lineRule="auto" w:before="30" w:after="30"/>
              <w:jc w:val="center"/>
            </w:pPr>
            <w:r>
              <w:rPr>
                <w:b w:val="0"/>
                <w:i w:val="0"/>
                <w:sz w:val="18"/>
              </w:rPr>
              <w:t>1.00, 1.60</w:t>
            </w:r>
          </w:p>
        </w:tc>
        <w:tc>
          <w:tcPr>
            <w:tcW w:type="dxa" w:w="2616"/>
          </w:tcPr>
          <w:p>
            <w:pPr>
              <w:pStyle w:val="MDPI42tablebody"/>
              <w:spacing w:line="240" w:lineRule="auto" w:before="30" w:after="30"/>
              <w:jc w:val="left"/>
            </w:pPr>
            <w:r>
              <w:rPr>
                <w:b w:val="0"/>
                <w:i w:val="0"/>
                <w:sz w:val="18"/>
              </w:rPr>
              <w:t>Normalisation</w:t>
            </w:r>
          </w:p>
        </w:tc>
      </w:tr>
      <w:tr>
        <w:tc>
          <w:tcPr>
            <w:tcW w:type="dxa" w:w="1570"/>
          </w:tcPr>
          <w:p>
            <w:pPr>
              <w:pStyle w:val="MDPI42tablebody"/>
              <w:spacing w:line="240" w:lineRule="auto" w:before="30" w:after="30"/>
              <w:jc w:val="left"/>
            </w:pPr>
            <w:r>
              <w:rPr>
                <w:b w:val="0"/>
                <w:i/>
                <w:sz w:val="18"/>
              </w:rPr>
              <w:t>w</w:t>
            </w:r>
            <w:r>
              <w:rPr>
                <w:b w:val="0"/>
                <w:i/>
                <w:sz w:val="18"/>
                <w:vertAlign w:val="subscript"/>
              </w:rPr>
              <w:t>J</w:t>
            </w:r>
            <w:r>
              <w:rPr>
                <w:b w:val="0"/>
                <w:i/>
                <w:sz w:val="18"/>
              </w:rPr>
              <w:t>, w</w:t>
            </w:r>
            <w:r>
              <w:rPr>
                <w:b w:val="0"/>
                <w:i/>
                <w:sz w:val="18"/>
                <w:vertAlign w:val="subscript"/>
              </w:rPr>
              <w:t>S</w:t>
            </w:r>
          </w:p>
        </w:tc>
        <w:tc>
          <w:tcPr>
            <w:tcW w:type="dxa" w:w="4500"/>
          </w:tcPr>
          <w:p>
            <w:pPr>
              <w:pStyle w:val="MDPI42tablebody"/>
              <w:spacing w:line="240" w:lineRule="auto" w:before="30" w:after="30"/>
              <w:jc w:val="left"/>
            </w:pPr>
            <w:r>
              <w:rPr>
                <w:b w:val="0"/>
                <w:i w:val="0"/>
                <w:sz w:val="18"/>
              </w:rPr>
              <w:t>Relative compensation</w:t>
            </w:r>
          </w:p>
        </w:tc>
        <w:tc>
          <w:tcPr>
            <w:tcW w:type="dxa" w:w="1779"/>
          </w:tcPr>
          <w:p>
            <w:pPr>
              <w:pStyle w:val="MDPI42tablebody"/>
              <w:spacing w:line="240" w:lineRule="auto" w:before="30" w:after="30"/>
              <w:jc w:val="center"/>
            </w:pPr>
            <w:r>
              <w:rPr>
                <w:b w:val="0"/>
                <w:i w:val="0"/>
                <w:sz w:val="18"/>
              </w:rPr>
              <w:t>1.00, 2.00</w:t>
            </w:r>
          </w:p>
        </w:tc>
        <w:tc>
          <w:tcPr>
            <w:tcW w:type="dxa" w:w="2616"/>
          </w:tcPr>
          <w:p>
            <w:pPr>
              <w:pStyle w:val="MDPI42tablebody"/>
              <w:spacing w:line="240" w:lineRule="auto" w:before="30" w:after="30"/>
              <w:jc w:val="left"/>
            </w:pPr>
            <w:r>
              <w:rPr>
                <w:b w:val="0"/>
                <w:i w:val="0"/>
                <w:sz w:val="18"/>
              </w:rPr>
              <w:t>Normalisation</w:t>
            </w:r>
          </w:p>
        </w:tc>
      </w:tr>
      <w:tr>
        <w:tc>
          <w:tcPr>
            <w:tcW w:type="dxa" w:w="1570"/>
          </w:tcPr>
          <w:p>
            <w:pPr>
              <w:pStyle w:val="MDPI42tablebody"/>
              <w:spacing w:line="240" w:lineRule="auto" w:before="30" w:after="30"/>
              <w:jc w:val="left"/>
            </w:pPr>
            <w:r>
              <w:rPr>
                <w:b w:val="0"/>
                <w:i/>
                <w:sz w:val="18"/>
              </w:rPr>
              <w:t>p</w:t>
            </w:r>
            <w:r>
              <w:rPr>
                <w:b w:val="0"/>
                <w:i/>
                <w:sz w:val="18"/>
                <w:vertAlign w:val="subscript"/>
              </w:rPr>
              <w:t>A</w:t>
            </w:r>
            <w:r>
              <w:rPr>
                <w:b w:val="0"/>
                <w:i/>
                <w:sz w:val="18"/>
              </w:rPr>
              <w:t>, p</w:t>
            </w:r>
            <w:r>
              <w:rPr>
                <w:b w:val="0"/>
                <w:i/>
                <w:sz w:val="18"/>
                <w:vertAlign w:val="subscript"/>
              </w:rPr>
              <w:t>K</w:t>
            </w:r>
          </w:p>
        </w:tc>
        <w:tc>
          <w:tcPr>
            <w:tcW w:type="dxa" w:w="4500"/>
          </w:tcPr>
          <w:p>
            <w:pPr>
              <w:pStyle w:val="MDPI42tablebody"/>
              <w:spacing w:line="240" w:lineRule="auto" w:before="30" w:after="30"/>
              <w:jc w:val="left"/>
            </w:pPr>
            <w:r>
              <w:rPr>
                <w:b w:val="0"/>
                <w:i w:val="0"/>
                <w:sz w:val="18"/>
              </w:rPr>
              <w:t>AI operating cost and learning investment cost</w:t>
            </w:r>
          </w:p>
        </w:tc>
        <w:tc>
          <w:tcPr>
            <w:tcW w:type="dxa" w:w="1779"/>
          </w:tcPr>
          <w:p>
            <w:pPr>
              <w:pStyle w:val="MDPI42tablebody"/>
              <w:spacing w:line="240" w:lineRule="auto" w:before="30" w:after="30"/>
              <w:jc w:val="center"/>
            </w:pPr>
            <w:r>
              <w:rPr>
                <w:b w:val="0"/>
                <w:i w:val="0"/>
                <w:sz w:val="18"/>
              </w:rPr>
              <w:t>0.05, 0.15</w:t>
            </w:r>
          </w:p>
        </w:tc>
        <w:tc>
          <w:tcPr>
            <w:tcW w:type="dxa" w:w="2616"/>
          </w:tcPr>
          <w:p>
            <w:pPr>
              <w:pStyle w:val="MDPI42tablebody"/>
              <w:spacing w:line="240" w:lineRule="auto" w:before="30" w:after="30"/>
              <w:jc w:val="left"/>
            </w:pPr>
            <w:r>
              <w:rPr>
                <w:b w:val="0"/>
                <w:i w:val="0"/>
                <w:sz w:val="18"/>
              </w:rPr>
              <w:t>Assumption</w:t>
            </w:r>
          </w:p>
        </w:tc>
      </w:tr>
      <w:tr>
        <w:tc>
          <w:tcPr>
            <w:tcW w:type="dxa" w:w="1570"/>
          </w:tcPr>
          <w:p>
            <w:pPr>
              <w:pStyle w:val="MDPI42tablebody"/>
              <w:spacing w:line="240" w:lineRule="auto" w:before="30" w:after="30"/>
              <w:jc w:val="left"/>
            </w:pPr>
            <w:r>
              <w:rPr>
                <w:b w:val="0"/>
                <w:i/>
                <w:sz w:val="18"/>
              </w:rPr>
              <w:t>ε, τ</w:t>
            </w:r>
            <w:r>
              <w:rPr>
                <w:b w:val="0"/>
                <w:i/>
                <w:sz w:val="18"/>
                <w:vertAlign w:val="subscript"/>
              </w:rPr>
              <w:t>Y</w:t>
            </w:r>
            <w:r>
              <w:rPr>
                <w:b w:val="0"/>
                <w:i/>
                <w:sz w:val="18"/>
              </w:rPr>
              <w:t>, τ</w:t>
            </w:r>
            <w:r>
              <w:rPr>
                <w:b w:val="0"/>
                <w:i/>
                <w:sz w:val="18"/>
                <w:vertAlign w:val="subscript"/>
              </w:rPr>
              <w:t>C</w:t>
            </w:r>
          </w:p>
        </w:tc>
        <w:tc>
          <w:tcPr>
            <w:tcW w:type="dxa" w:w="4500"/>
          </w:tcPr>
          <w:p>
            <w:pPr>
              <w:pStyle w:val="MDPI42tablebody"/>
              <w:spacing w:line="240" w:lineRule="auto" w:before="30" w:after="30"/>
              <w:jc w:val="left"/>
            </w:pPr>
            <w:r>
              <w:rPr>
                <w:b w:val="0"/>
                <w:i w:val="0"/>
                <w:sz w:val="18"/>
              </w:rPr>
              <w:t>Demand elasticity, demand adjustment time, cost perception delay</w:t>
            </w:r>
          </w:p>
        </w:tc>
        <w:tc>
          <w:tcPr>
            <w:tcW w:type="dxa" w:w="1779"/>
          </w:tcPr>
          <w:p>
            <w:pPr>
              <w:pStyle w:val="MDPI42tablebody"/>
              <w:spacing w:line="240" w:lineRule="auto" w:before="30" w:after="30"/>
              <w:jc w:val="center"/>
            </w:pPr>
            <w:r>
              <w:rPr>
                <w:b w:val="0"/>
                <w:i w:val="0"/>
                <w:sz w:val="18"/>
              </w:rPr>
              <w:t>1.10, 2.0 yr, 1.0 yr</w:t>
            </w:r>
          </w:p>
        </w:tc>
        <w:tc>
          <w:tcPr>
            <w:tcW w:type="dxa" w:w="2616"/>
          </w:tcPr>
          <w:p>
            <w:pPr>
              <w:pStyle w:val="MDPI42tablebody"/>
              <w:spacing w:line="240" w:lineRule="auto" w:before="30" w:after="30"/>
              <w:jc w:val="left"/>
            </w:pPr>
            <w:r>
              <w:rPr>
                <w:b w:val="0"/>
                <w:i w:val="0"/>
                <w:sz w:val="18"/>
              </w:rPr>
              <w:t>Assumption; varied in Table 9</w:t>
            </w:r>
          </w:p>
        </w:tc>
      </w:tr>
      <w:tr>
        <w:tc>
          <w:tcPr>
            <w:tcW w:type="dxa" w:w="1570"/>
          </w:tcPr>
          <w:p>
            <w:pPr>
              <w:pStyle w:val="MDPI42tablebody"/>
              <w:spacing w:line="240" w:lineRule="auto" w:before="30" w:after="30"/>
              <w:jc w:val="left"/>
            </w:pPr>
            <w:r>
              <w:rPr>
                <w:b w:val="0"/>
                <w:i/>
                <w:sz w:val="18"/>
              </w:rPr>
              <w:t>g</w:t>
            </w:r>
            <w:r>
              <w:rPr>
                <w:b w:val="0"/>
                <w:i/>
                <w:sz w:val="18"/>
                <w:vertAlign w:val="subscript"/>
              </w:rPr>
              <w:t>Y</w:t>
            </w:r>
          </w:p>
        </w:tc>
        <w:tc>
          <w:tcPr>
            <w:tcW w:type="dxa" w:w="4500"/>
          </w:tcPr>
          <w:p>
            <w:pPr>
              <w:pStyle w:val="MDPI42tablebody"/>
              <w:spacing w:line="240" w:lineRule="auto" w:before="30" w:after="30"/>
              <w:jc w:val="left"/>
            </w:pPr>
            <w:r>
              <w:rPr>
                <w:b w:val="0"/>
                <w:i w:val="0"/>
                <w:sz w:val="18"/>
              </w:rPr>
              <w:t>Autonomous demand growth</w:t>
            </w:r>
          </w:p>
        </w:tc>
        <w:tc>
          <w:tcPr>
            <w:tcW w:type="dxa" w:w="1779"/>
          </w:tcPr>
          <w:p>
            <w:pPr>
              <w:pStyle w:val="MDPI42tablebody"/>
              <w:spacing w:line="240" w:lineRule="auto" w:before="30" w:after="30"/>
              <w:jc w:val="center"/>
            </w:pPr>
            <w:r>
              <w:rPr>
                <w:b w:val="0"/>
                <w:i w:val="0"/>
                <w:sz w:val="18"/>
              </w:rPr>
              <w:t>0.02 yr⁻¹</w:t>
            </w:r>
          </w:p>
        </w:tc>
        <w:tc>
          <w:tcPr>
            <w:tcW w:type="dxa" w:w="2616"/>
          </w:tcPr>
          <w:p>
            <w:pPr>
              <w:pStyle w:val="MDPI42tablebody"/>
              <w:spacing w:line="240" w:lineRule="auto" w:before="30" w:after="30"/>
              <w:jc w:val="left"/>
            </w:pPr>
            <w:r>
              <w:rPr>
                <w:b w:val="0"/>
                <w:i w:val="0"/>
                <w:sz w:val="18"/>
              </w:rPr>
              <w:t>Assumption</w:t>
            </w:r>
          </w:p>
        </w:tc>
      </w:tr>
      <w:tr>
        <w:tc>
          <w:tcPr>
            <w:tcW w:type="dxa" w:w="10467"/>
            <w:gridSpan w:val="4"/>
          </w:tcPr>
          <w:p>
            <w:pPr>
              <w:pStyle w:val="MDPI42tablebody"/>
              <w:spacing w:line="240" w:lineRule="auto" w:before="60" w:after="30"/>
              <w:jc w:val="left"/>
            </w:pPr>
            <w:r>
              <w:rPr>
                <w:b/>
                <w:i/>
                <w:sz w:val="18"/>
              </w:rPr>
              <w:t>Scale and numerics</w:t>
            </w:r>
          </w:p>
        </w:tc>
      </w:tr>
      <w:tr>
        <w:tc>
          <w:tcPr>
            <w:tcW w:type="dxa" w:w="1570"/>
          </w:tcPr>
          <w:p>
            <w:pPr>
              <w:pStyle w:val="MDPI42tablebody"/>
              <w:spacing w:line="240" w:lineRule="auto" w:before="30" w:after="30"/>
              <w:jc w:val="left"/>
            </w:pPr>
            <w:r>
              <w:rPr>
                <w:b w:val="0"/>
                <w:i/>
                <w:sz w:val="18"/>
              </w:rPr>
              <w:t>N</w:t>
            </w:r>
            <w:r>
              <w:rPr>
                <w:b w:val="0"/>
                <w:i/>
                <w:sz w:val="18"/>
                <w:vertAlign w:val="subscript"/>
              </w:rPr>
              <w:t>ref</w:t>
            </w:r>
          </w:p>
        </w:tc>
        <w:tc>
          <w:tcPr>
            <w:tcW w:type="dxa" w:w="4500"/>
          </w:tcPr>
          <w:p>
            <w:pPr>
              <w:pStyle w:val="MDPI42tablebody"/>
              <w:spacing w:line="240" w:lineRule="auto" w:before="30" w:after="30"/>
              <w:jc w:val="left"/>
            </w:pPr>
            <w:r>
              <w:rPr>
                <w:b w:val="0"/>
                <w:i w:val="0"/>
                <w:sz w:val="18"/>
              </w:rPr>
              <w:t>Reference workforce size</w:t>
            </w:r>
          </w:p>
        </w:tc>
        <w:tc>
          <w:tcPr>
            <w:tcW w:type="dxa" w:w="1779"/>
          </w:tcPr>
          <w:p>
            <w:pPr>
              <w:pStyle w:val="MDPI42tablebody"/>
              <w:spacing w:line="240" w:lineRule="auto" w:before="30" w:after="30"/>
              <w:jc w:val="center"/>
            </w:pPr>
            <w:r>
              <w:rPr>
                <w:b w:val="0"/>
                <w:i w:val="0"/>
                <w:sz w:val="18"/>
              </w:rPr>
              <w:t>1000 persons</w:t>
            </w:r>
          </w:p>
        </w:tc>
        <w:tc>
          <w:tcPr>
            <w:tcW w:type="dxa" w:w="2616"/>
          </w:tcPr>
          <w:p>
            <w:pPr>
              <w:pStyle w:val="MDPI42tablebody"/>
              <w:spacing w:line="240" w:lineRule="auto" w:before="30" w:after="30"/>
              <w:jc w:val="left"/>
            </w:pPr>
            <w:r>
              <w:rPr>
                <w:b w:val="0"/>
                <w:i w:val="0"/>
                <w:sz w:val="18"/>
              </w:rPr>
              <w:t>Normalisation</w:t>
            </w:r>
          </w:p>
        </w:tc>
      </w:tr>
      <w:tr>
        <w:tc>
          <w:tcPr>
            <w:tcW w:type="dxa" w:w="1570"/>
          </w:tcPr>
          <w:p>
            <w:pPr>
              <w:pStyle w:val="MDPI42tablebody"/>
              <w:spacing w:line="240" w:lineRule="auto" w:before="30" w:after="30"/>
              <w:jc w:val="left"/>
            </w:pPr>
            <w:r>
              <w:rPr>
                <w:b w:val="0"/>
                <w:i/>
                <w:sz w:val="18"/>
              </w:rPr>
              <w:t>Δt, T</w:t>
            </w:r>
          </w:p>
        </w:tc>
        <w:tc>
          <w:tcPr>
            <w:tcW w:type="dxa" w:w="4500"/>
          </w:tcPr>
          <w:p>
            <w:pPr>
              <w:pStyle w:val="MDPI42tablebody"/>
              <w:spacing w:line="240" w:lineRule="auto" w:before="30" w:after="30"/>
              <w:jc w:val="left"/>
            </w:pPr>
            <w:r>
              <w:rPr>
                <w:b w:val="0"/>
                <w:i w:val="0"/>
                <w:sz w:val="18"/>
              </w:rPr>
              <w:t>Integration step and simulation horizon</w:t>
            </w:r>
          </w:p>
        </w:tc>
        <w:tc>
          <w:tcPr>
            <w:tcW w:type="dxa" w:w="1779"/>
          </w:tcPr>
          <w:p>
            <w:pPr>
              <w:pStyle w:val="MDPI42tablebody"/>
              <w:spacing w:line="240" w:lineRule="auto" w:before="30" w:after="30"/>
              <w:jc w:val="center"/>
            </w:pPr>
            <w:r>
              <w:rPr>
                <w:b w:val="0"/>
                <w:i w:val="0"/>
                <w:sz w:val="18"/>
              </w:rPr>
              <w:t>1/16 yr, 25 yr</w:t>
            </w:r>
          </w:p>
        </w:tc>
        <w:tc>
          <w:tcPr>
            <w:tcW w:type="dxa" w:w="2616"/>
          </w:tcPr>
          <w:p>
            <w:pPr>
              <w:pStyle w:val="MDPI42tablebody"/>
              <w:spacing w:line="240" w:lineRule="auto" w:before="30" w:after="30"/>
              <w:jc w:val="left"/>
            </w:pPr>
            <w:r>
              <w:rPr>
                <w:b w:val="0"/>
                <w:i w:val="0"/>
                <w:sz w:val="18"/>
              </w:rPr>
              <w:t>Verified in Table 4</w:t>
            </w:r>
          </w:p>
        </w:tc>
      </w:tr>
    </w:tbl>
    <w:p>
      <w:pPr>
        <w:pStyle w:val="MDPI43tablefooter"/>
        <w:spacing w:line="240" w:lineRule="auto" w:before="40" w:after="200"/>
        <w:ind w:left="2608" w:firstLine="0"/>
      </w:pPr>
      <w:r>
        <w:rPr>
          <w:i/>
          <w:sz w:val="16"/>
        </w:rPr>
        <w:t xml:space="preserve">Note: </w:t>
      </w:r>
      <w:r>
        <w:rPr>
          <w:b w:val="0"/>
          <w:i w:val="0"/>
          <w:sz w:val="16"/>
        </w:rPr>
        <w:t xml:space="preserve">Task shares follow the occupational-exposure estimates in </w:t>
      </w:r>
      <w:r>
        <w:rPr>
          <w:sz w:val="16"/>
        </w:rPr>
        <w:t>[</w:t>
      </w:r>
      <w:r>
        <w:rPr>
          <w:sz w:val="16"/>
        </w:rPr>
        <w:fldChar w:fldCharType="begin"/>
      </w:r>
      <w:r>
        <w:rPr>
          <w:sz w:val="16"/>
        </w:rPr>
        <w:instrText xml:space="preserve"> REF _Ref_6 \h </w:instrText>
      </w:r>
      <w:r>
        <w:rPr>
          <w:sz w:val="16"/>
        </w:rPr>
        <w:fldChar w:fldCharType="separate"/>
      </w:r>
      <w:r>
        <w:rPr>
          <w:sz w:val="16"/>
        </w:rPr>
        <w:t>6</w:t>
      </w:r>
      <w:r>
        <w:rPr>
          <w:sz w:val="16"/>
        </w:rPr>
        <w:fldChar w:fldCharType="end"/>
      </w:r>
      <w:r>
        <w:rPr>
          <w:sz w:val="16"/>
        </w:rPr>
        <w:t>,</w:t>
      </w:r>
      <w:r>
        <w:rPr>
          <w:sz w:val="16"/>
        </w:rPr>
        <w:fldChar w:fldCharType="begin"/>
      </w:r>
      <w:r>
        <w:rPr>
          <w:sz w:val="16"/>
        </w:rPr>
        <w:instrText xml:space="preserve"> REF _Ref_7 \h </w:instrText>
      </w:r>
      <w:r>
        <w:rPr>
          <w:sz w:val="16"/>
        </w:rPr>
        <w:fldChar w:fldCharType="separate"/>
      </w:r>
      <w:r>
        <w:rPr>
          <w:sz w:val="16"/>
        </w:rPr>
        <w:t>7</w:t>
      </w:r>
      <w:r>
        <w:rPr>
          <w:sz w:val="16"/>
        </w:rPr>
        <w:fldChar w:fldCharType="end"/>
      </w:r>
      <w:r>
        <w:rPr>
          <w:sz w:val="16"/>
        </w:rPr>
        <w:t>]</w:t>
      </w:r>
      <w:r>
        <w:rPr>
          <w:b w:val="0"/>
          <w:i w:val="0"/>
          <w:sz w:val="16"/>
        </w:rPr>
        <w:t xml:space="preserve">; the floor on the skill-formation value of AI-mediated work follows the qualitative evidence on shadow learning and the black-boxing of analytical technologies </w:t>
      </w:r>
      <w:r>
        <w:rPr>
          <w:sz w:val="16"/>
        </w:rPr>
        <w:t>[</w:t>
      </w:r>
      <w:r>
        <w:rPr>
          <w:sz w:val="16"/>
        </w:rPr>
        <w:fldChar w:fldCharType="begin"/>
      </w:r>
      <w:r>
        <w:rPr>
          <w:sz w:val="16"/>
        </w:rPr>
        <w:instrText xml:space="preserve"> REF _Ref_23 \h </w:instrText>
      </w:r>
      <w:r>
        <w:rPr>
          <w:sz w:val="16"/>
        </w:rPr>
        <w:fldChar w:fldCharType="separate"/>
      </w:r>
      <w:r>
        <w:rPr>
          <w:sz w:val="16"/>
        </w:rPr>
        <w:t>23</w:t>
      </w:r>
      <w:r>
        <w:rPr>
          <w:sz w:val="16"/>
        </w:rPr>
        <w:fldChar w:fldCharType="end"/>
      </w:r>
      <w:r>
        <w:rPr>
          <w:sz w:val="16"/>
        </w:rPr>
        <w:t>,</w:t>
      </w:r>
      <w:r>
        <w:rPr>
          <w:sz w:val="16"/>
        </w:rPr>
        <w:fldChar w:fldCharType="begin"/>
      </w:r>
      <w:r>
        <w:rPr>
          <w:sz w:val="16"/>
        </w:rPr>
        <w:instrText xml:space="preserve"> REF _Ref_24 \h </w:instrText>
      </w:r>
      <w:r>
        <w:rPr>
          <w:sz w:val="16"/>
        </w:rPr>
        <w:fldChar w:fldCharType="separate"/>
      </w:r>
      <w:r>
        <w:rPr>
          <w:sz w:val="16"/>
        </w:rPr>
        <w:t>24</w:t>
      </w:r>
      <w:r>
        <w:rPr>
          <w:sz w:val="16"/>
        </w:rPr>
        <w:fldChar w:fldCharType="end"/>
      </w:r>
      <w:r>
        <w:rPr>
          <w:sz w:val="16"/>
        </w:rPr>
        <w:t>]</w:t>
      </w:r>
      <w:r>
        <w:rPr>
          <w:b w:val="0"/>
          <w:i w:val="0"/>
          <w:sz w:val="16"/>
        </w:rPr>
        <w:t>. Parameters marked as calibrated are estimated jointly against the four benchmarks of Table 3. The mentoring coefficient m is derived analytically so that the pre-GenAI state is an exact fixed point of the model.</w:t>
      </w:r>
    </w:p>
    <w:p>
      <w:pPr>
        <w:pStyle w:val="MDPI31text"/>
      </w:pPr>
      <w:r>
        <w:rPr>
          <w:b w:val="0"/>
          <w:i w:val="0"/>
        </w:rPr>
        <w:t xml:space="preserve">Four parameters that govern diffusion and augmentation — the frontier inflection </w:t>
      </w:r>
      <m:oMath>
        <m:sSub>
          <m:e>
            <m:r>
              <m:t xml:space="preserve">t</m:t>
            </m:r>
          </m:e>
          <m:sub>
            <m:r>
              <m:t xml:space="preserve">F</m:t>
            </m:r>
          </m:sub>
        </m:sSub>
      </m:oMath>
      <w:r>
        <w:rPr>
          <w:b w:val="0"/>
          <w:i w:val="0"/>
        </w:rPr>
        <w:t xml:space="preserve">, the adoption rate </w:t>
      </w:r>
      <m:oMath>
        <m:r>
          <m:t xml:space="preserve">ν</m:t>
        </m:r>
      </m:oMath>
      <w:r>
        <w:rPr>
          <w:b w:val="0"/>
          <w:i w:val="0"/>
        </w:rPr>
        <w:t xml:space="preserve">, the utilisation half-saturation </w:t>
      </w:r>
      <m:oMath>
        <m:sSub>
          <m:e>
            <m:r>
              <m:t xml:space="preserve">a</m:t>
            </m:r>
          </m:e>
          <m:sub>
            <m:r>
              <m:t xml:space="preserve">u</m:t>
            </m:r>
          </m:sub>
        </m:sSub>
      </m:oMath>
      <w:r>
        <w:rPr>
          <w:b w:val="0"/>
          <w:i w:val="0"/>
        </w:rPr>
        <w:t xml:space="preserve"> and the junior productivity elasticity </w:t>
      </w:r>
      <m:oMath>
        <m:sSub>
          <m:e>
            <m:r>
              <m:t xml:space="preserve">β</m:t>
            </m:r>
          </m:e>
          <m:sub>
            <m:r>
              <m:t xml:space="preserve">J</m:t>
            </m:r>
          </m:sub>
        </m:sSub>
      </m:oMath>
      <w:r>
        <w:rPr>
          <w:b w:val="0"/>
          <w:i w:val="0"/>
        </w:rPr>
        <w:t xml:space="preserve">, with </w:t>
      </w:r>
      <m:oMath>
        <m:sSub>
          <m:e>
            <m:r>
              <m:t xml:space="preserve">β</m:t>
            </m:r>
          </m:e>
          <m:sub>
            <m:r>
              <m:t xml:space="preserve">S</m:t>
            </m:r>
          </m:sub>
        </m:sSub>
      </m:oMath>
      <w:r>
        <w:rPr>
          <w:b w:val="0"/>
          <w:i w:val="0"/>
        </w:rPr>
        <w:t xml:space="preserve"> tied to </w:t>
      </w:r>
      <m:oMath>
        <m:sSub>
          <m:e>
            <m:r>
              <m:t xml:space="preserve">β</m:t>
            </m:r>
          </m:e>
          <m:sub>
            <m:r>
              <m:t xml:space="preserve">J</m:t>
            </m:r>
          </m:sub>
        </m:sSub>
      </m:oMath>
      <w:r>
        <w:rPr>
          <w:b w:val="0"/>
          <w:i w:val="0"/>
        </w:rPr>
        <w:t xml:space="preserve"> by the compression ratio of three reported in the field evidence — were estimated by nonlinear least squares against four independent published benchmarks. The targets and the fitted values are reported in Table 3. Because four parameters are fitted to four targets, the exercise is an exact calibration rather than a statistical test; its purpose is to place the simulated trajectory on the same quantitative scale as the observed one so that the counterfactual experiments are interpretable </w:t>
      </w:r>
      <w:r>
        <w:t>[</w:t>
      </w:r>
      <w:r>
        <w:fldChar w:fldCharType="begin"/>
      </w:r>
      <w:r>
        <w:instrText xml:space="preserve"> REF _Ref_32 \h </w:instrText>
      </w:r>
      <w:r>
        <w:fldChar w:fldCharType="separate"/>
      </w:r>
      <w:r>
        <w:t>32</w:t>
      </w:r>
      <w:r>
        <w:fldChar w:fldCharType="end"/>
      </w:r>
      <w:r>
        <w:t>,</w:t>
      </w:r>
      <w:r>
        <w:fldChar w:fldCharType="begin"/>
      </w:r>
      <w:r>
        <w:instrText xml:space="preserve"> REF _Ref_33 \h </w:instrText>
      </w:r>
      <w:r>
        <w:fldChar w:fldCharType="separate"/>
      </w:r>
      <w:r>
        <w:t>33</w:t>
      </w:r>
      <w:r>
        <w:fldChar w:fldCharType="end"/>
      </w:r>
      <w:r>
        <w:t>]</w:t>
      </w:r>
      <w:r>
        <w:rPr>
          <w:b w:val="0"/>
          <w:i w:val="0"/>
        </w:rPr>
        <w:t>.</w:t>
      </w:r>
    </w:p>
    <w:p>
      <w:pPr>
        <w:pStyle w:val="MDPI41tablecaption"/>
        <w:keepNext/>
        <w:spacing w:after="60"/>
      </w:pPr>
      <w:r>
        <w:rPr>
          <w:b/>
          <w:sz w:val="18"/>
        </w:rPr>
        <w:t xml:space="preserve">Table 3. </w:t>
      </w:r>
      <w:r>
        <w:rPr>
          <w:b w:val="0"/>
          <w:i w:val="0"/>
          <w:sz w:val="18"/>
        </w:rPr>
        <w:t>Calibration benchmarks and fitted parameter values.</w:t>
      </w:r>
    </w:p>
    <w:tbl>
      <w:tblPr>
        <w:tblStyle w:val="MDPI41threelinetable"/>
        <w:tblW w:w="10467"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CellMar>
          <w:top w:w="0" w:type="dxa"/>
          <w:left w:w="57" w:type="dxa"/>
          <w:bottom w:w="0" w:type="dxa"/>
          <w:right w:w="57" w:type="dxa"/>
        </w:tblCellMar>
        <w:tblLook w:firstColumn="1" w:firstRow="1" w:lastColumn="0" w:lastRow="0" w:noHBand="0" w:noVBand="1" w:val="04A0"/>
      </w:tblPr>
      <w:tblGrid>
        <w:gridCol w:w="4396"/>
        <w:gridCol w:w="1674"/>
        <w:gridCol w:w="1674"/>
        <w:gridCol w:w="2721"/>
      </w:tblGrid>
      <w:tr>
        <w:tc>
          <w:tcPr>
            <w:tcW w:type="dxa" w:w="4396"/>
            <w:tcBorders>
              <w:bottom w:val="single" w:sz="8" w:space="0" w:color="auto"/>
            </w:tcBorders>
          </w:tcPr>
          <w:p>
            <w:pPr>
              <w:pStyle w:val="MDPI42tablebody"/>
              <w:spacing w:line="240" w:lineRule="auto" w:before="30" w:after="30"/>
              <w:jc w:val="center"/>
            </w:pPr>
            <w:r>
              <w:rPr>
                <w:b/>
                <w:i w:val="0"/>
                <w:sz w:val="18"/>
              </w:rPr>
              <w:t>Benchmark</w:t>
            </w:r>
          </w:p>
        </w:tc>
        <w:tc>
          <w:tcPr>
            <w:tcW w:type="dxa" w:w="1674"/>
            <w:tcBorders>
              <w:bottom w:val="single" w:sz="8" w:space="0" w:color="auto"/>
            </w:tcBorders>
          </w:tcPr>
          <w:p>
            <w:pPr>
              <w:pStyle w:val="MDPI42tablebody"/>
              <w:spacing w:line="240" w:lineRule="auto" w:before="30" w:after="30"/>
              <w:jc w:val="center"/>
            </w:pPr>
            <w:r>
              <w:rPr>
                <w:b/>
                <w:i w:val="0"/>
                <w:sz w:val="18"/>
              </w:rPr>
              <w:t>Empirical value</w:t>
            </w:r>
          </w:p>
        </w:tc>
        <w:tc>
          <w:tcPr>
            <w:tcW w:type="dxa" w:w="1674"/>
            <w:tcBorders>
              <w:bottom w:val="single" w:sz="8" w:space="0" w:color="auto"/>
            </w:tcBorders>
          </w:tcPr>
          <w:p>
            <w:pPr>
              <w:pStyle w:val="MDPI42tablebody"/>
              <w:spacing w:line="240" w:lineRule="auto" w:before="30" w:after="30"/>
              <w:jc w:val="center"/>
            </w:pPr>
            <w:r>
              <w:rPr>
                <w:b/>
                <w:i w:val="0"/>
                <w:sz w:val="18"/>
              </w:rPr>
              <w:t>Model value</w:t>
            </w:r>
          </w:p>
        </w:tc>
        <w:tc>
          <w:tcPr>
            <w:tcW w:type="dxa" w:w="2721"/>
            <w:tcBorders>
              <w:bottom w:val="single" w:sz="8" w:space="0" w:color="auto"/>
            </w:tcBorders>
          </w:tcPr>
          <w:p>
            <w:pPr>
              <w:pStyle w:val="MDPI42tablebody"/>
              <w:spacing w:line="240" w:lineRule="auto" w:before="30" w:after="30"/>
              <w:jc w:val="center"/>
            </w:pPr>
            <w:r>
              <w:rPr>
                <w:b/>
                <w:i w:val="0"/>
                <w:sz w:val="18"/>
              </w:rPr>
              <w:t>Source</w:t>
            </w:r>
          </w:p>
        </w:tc>
      </w:tr>
      <w:tr>
        <w:tc>
          <w:tcPr>
            <w:tcW w:type="dxa" w:w="4396"/>
          </w:tcPr>
          <w:p>
            <w:pPr>
              <w:pStyle w:val="MDPI42tablebody"/>
              <w:spacing w:line="240" w:lineRule="auto" w:before="30" w:after="30"/>
              <w:jc w:val="left"/>
            </w:pPr>
            <w:r>
              <w:rPr>
                <w:b w:val="0"/>
                <w:i w:val="0"/>
                <w:sz w:val="18"/>
              </w:rPr>
              <w:t>Relative change in early-career employment in exposed occupations, year 3</w:t>
            </w:r>
          </w:p>
        </w:tc>
        <w:tc>
          <w:tcPr>
            <w:tcW w:type="dxa" w:w="1674"/>
          </w:tcPr>
          <w:p>
            <w:pPr>
              <w:pStyle w:val="MDPI42tablebody"/>
              <w:spacing w:line="240" w:lineRule="auto" w:before="30" w:after="30"/>
              <w:jc w:val="center"/>
            </w:pPr>
            <w:r>
              <w:rPr>
                <w:b w:val="0"/>
                <w:i w:val="0"/>
                <w:sz w:val="18"/>
              </w:rPr>
              <w:t>−15.0%</w:t>
            </w:r>
          </w:p>
        </w:tc>
        <w:tc>
          <w:tcPr>
            <w:tcW w:type="dxa" w:w="1674"/>
          </w:tcPr>
          <w:p>
            <w:pPr>
              <w:pStyle w:val="MDPI42tablebody"/>
              <w:spacing w:line="240" w:lineRule="auto" w:before="30" w:after="30"/>
              <w:jc w:val="center"/>
            </w:pPr>
            <w:r>
              <w:rPr>
                <w:b w:val="0"/>
                <w:i w:val="0"/>
                <w:sz w:val="18"/>
              </w:rPr>
              <w:t>−15.0%</w:t>
            </w:r>
          </w:p>
        </w:tc>
        <w:tc>
          <w:tcPr>
            <w:tcW w:type="dxa" w:w="2721"/>
          </w:tcPr>
          <w:p>
            <w:pPr>
              <w:pStyle w:val="MDPI42tablebody"/>
              <w:spacing w:line="240" w:lineRule="auto" w:before="30" w:after="30"/>
              <w:jc w:val="left"/>
            </w:pPr>
            <w:r>
              <w:rPr>
                <w:b w:val="0"/>
                <w:i w:val="0"/>
                <w:sz w:val="18"/>
              </w:rPr>
              <w:t>Brynjolfsson, Chandar and Chen</w:t>
            </w:r>
          </w:p>
        </w:tc>
      </w:tr>
      <w:tr>
        <w:tc>
          <w:tcPr>
            <w:tcW w:type="dxa" w:w="4396"/>
          </w:tcPr>
          <w:p>
            <w:pPr>
              <w:pStyle w:val="MDPI42tablebody"/>
              <w:spacing w:line="240" w:lineRule="auto" w:before="30" w:after="30"/>
              <w:jc w:val="left"/>
            </w:pPr>
            <w:r>
              <w:rPr>
                <w:b w:val="0"/>
                <w:i w:val="0"/>
                <w:sz w:val="18"/>
              </w:rPr>
              <w:t>Share of exposed workers regularly using GenAI, year 2</w:t>
            </w:r>
          </w:p>
        </w:tc>
        <w:tc>
          <w:tcPr>
            <w:tcW w:type="dxa" w:w="1674"/>
          </w:tcPr>
          <w:p>
            <w:pPr>
              <w:pStyle w:val="MDPI42tablebody"/>
              <w:spacing w:line="240" w:lineRule="auto" w:before="30" w:after="30"/>
              <w:jc w:val="center"/>
            </w:pPr>
            <w:r>
              <w:rPr>
                <w:b w:val="0"/>
                <w:i w:val="0"/>
                <w:sz w:val="18"/>
              </w:rPr>
              <w:t>0.45</w:t>
            </w:r>
          </w:p>
        </w:tc>
        <w:tc>
          <w:tcPr>
            <w:tcW w:type="dxa" w:w="1674"/>
          </w:tcPr>
          <w:p>
            <w:pPr>
              <w:pStyle w:val="MDPI42tablebody"/>
              <w:spacing w:line="240" w:lineRule="auto" w:before="30" w:after="30"/>
              <w:jc w:val="center"/>
            </w:pPr>
            <w:r>
              <w:rPr>
                <w:b w:val="0"/>
                <w:i w:val="0"/>
                <w:sz w:val="18"/>
              </w:rPr>
              <w:t>0.45</w:t>
            </w:r>
          </w:p>
        </w:tc>
        <w:tc>
          <w:tcPr>
            <w:tcW w:type="dxa" w:w="2721"/>
          </w:tcPr>
          <w:p>
            <w:pPr>
              <w:pStyle w:val="MDPI42tablebody"/>
              <w:spacing w:line="240" w:lineRule="auto" w:before="30" w:after="30"/>
              <w:jc w:val="left"/>
            </w:pPr>
            <w:r>
              <w:rPr>
                <w:b w:val="0"/>
                <w:i w:val="0"/>
                <w:sz w:val="18"/>
              </w:rPr>
              <w:t>Humlum and Vestergaard</w:t>
            </w:r>
          </w:p>
        </w:tc>
      </w:tr>
      <w:tr>
        <w:tc>
          <w:tcPr>
            <w:tcW w:type="dxa" w:w="4396"/>
          </w:tcPr>
          <w:p>
            <w:pPr>
              <w:pStyle w:val="MDPI42tablebody"/>
              <w:spacing w:line="240" w:lineRule="auto" w:before="30" w:after="30"/>
              <w:jc w:val="left"/>
            </w:pPr>
            <w:r>
              <w:rPr>
                <w:b w:val="0"/>
                <w:i w:val="0"/>
                <w:sz w:val="18"/>
              </w:rPr>
              <w:t>Peak productivity uplift, early-career workers</w:t>
            </w:r>
          </w:p>
        </w:tc>
        <w:tc>
          <w:tcPr>
            <w:tcW w:type="dxa" w:w="1674"/>
          </w:tcPr>
          <w:p>
            <w:pPr>
              <w:pStyle w:val="MDPI42tablebody"/>
              <w:spacing w:line="240" w:lineRule="auto" w:before="30" w:after="30"/>
              <w:jc w:val="center"/>
            </w:pPr>
            <w:r>
              <w:rPr>
                <w:b w:val="0"/>
                <w:i w:val="0"/>
                <w:sz w:val="18"/>
              </w:rPr>
              <w:t>+27%</w:t>
            </w:r>
          </w:p>
        </w:tc>
        <w:tc>
          <w:tcPr>
            <w:tcW w:type="dxa" w:w="1674"/>
          </w:tcPr>
          <w:p>
            <w:pPr>
              <w:pStyle w:val="MDPI42tablebody"/>
              <w:spacing w:line="240" w:lineRule="auto" w:before="30" w:after="30"/>
              <w:jc w:val="center"/>
            </w:pPr>
            <w:r>
              <w:rPr>
                <w:b w:val="0"/>
                <w:i w:val="0"/>
                <w:sz w:val="18"/>
              </w:rPr>
              <w:t>+27%</w:t>
            </w:r>
          </w:p>
        </w:tc>
        <w:tc>
          <w:tcPr>
            <w:tcW w:type="dxa" w:w="2721"/>
          </w:tcPr>
          <w:p>
            <w:pPr>
              <w:pStyle w:val="MDPI42tablebody"/>
              <w:spacing w:line="240" w:lineRule="auto" w:before="30" w:after="30"/>
              <w:jc w:val="left"/>
            </w:pPr>
            <w:r>
              <w:rPr>
                <w:b w:val="0"/>
                <w:i w:val="0"/>
                <w:sz w:val="18"/>
              </w:rPr>
              <w:t>Brynjolfsson, Li and Raymond; Cui et al.</w:t>
            </w:r>
          </w:p>
        </w:tc>
      </w:tr>
      <w:tr>
        <w:tc>
          <w:tcPr>
            <w:tcW w:type="dxa" w:w="4396"/>
          </w:tcPr>
          <w:p>
            <w:pPr>
              <w:pStyle w:val="MDPI42tablebody"/>
              <w:spacing w:line="240" w:lineRule="auto" w:before="30" w:after="30"/>
              <w:jc w:val="left"/>
            </w:pPr>
            <w:r>
              <w:rPr>
                <w:b w:val="0"/>
                <w:i w:val="0"/>
                <w:sz w:val="18"/>
              </w:rPr>
              <w:t>Peak productivity uplift, experienced workers</w:t>
            </w:r>
          </w:p>
        </w:tc>
        <w:tc>
          <w:tcPr>
            <w:tcW w:type="dxa" w:w="1674"/>
          </w:tcPr>
          <w:p>
            <w:pPr>
              <w:pStyle w:val="MDPI42tablebody"/>
              <w:spacing w:line="240" w:lineRule="auto" w:before="30" w:after="30"/>
              <w:jc w:val="center"/>
            </w:pPr>
            <w:r>
              <w:rPr>
                <w:b w:val="0"/>
                <w:i w:val="0"/>
                <w:sz w:val="18"/>
              </w:rPr>
              <w:t>+9%</w:t>
            </w:r>
          </w:p>
        </w:tc>
        <w:tc>
          <w:tcPr>
            <w:tcW w:type="dxa" w:w="1674"/>
          </w:tcPr>
          <w:p>
            <w:pPr>
              <w:pStyle w:val="MDPI42tablebody"/>
              <w:spacing w:line="240" w:lineRule="auto" w:before="30" w:after="30"/>
              <w:jc w:val="center"/>
            </w:pPr>
            <w:r>
              <w:rPr>
                <w:b w:val="0"/>
                <w:i w:val="0"/>
                <w:sz w:val="18"/>
              </w:rPr>
              <w:t>+9%</w:t>
            </w:r>
          </w:p>
        </w:tc>
        <w:tc>
          <w:tcPr>
            <w:tcW w:type="dxa" w:w="2721"/>
          </w:tcPr>
          <w:p>
            <w:pPr>
              <w:pStyle w:val="MDPI42tablebody"/>
              <w:spacing w:line="240" w:lineRule="auto" w:before="30" w:after="30"/>
              <w:jc w:val="left"/>
            </w:pPr>
            <w:r>
              <w:rPr>
                <w:b w:val="0"/>
                <w:i w:val="0"/>
                <w:sz w:val="18"/>
              </w:rPr>
              <w:t>Brynjolfsson, Li and Raymond; Dell'Acqua et al.</w:t>
            </w:r>
          </w:p>
        </w:tc>
      </w:tr>
      <w:tr>
        <w:tc>
          <w:tcPr>
            <w:tcW w:type="dxa" w:w="10467"/>
            <w:gridSpan w:val="4"/>
          </w:tcPr>
          <w:p>
            <w:pPr>
              <w:pStyle w:val="MDPI42tablebody"/>
              <w:spacing w:line="240" w:lineRule="auto" w:before="60" w:after="30"/>
              <w:jc w:val="left"/>
            </w:pPr>
            <w:r>
              <w:rPr>
                <w:b/>
                <w:i/>
                <w:sz w:val="18"/>
              </w:rPr>
              <w:t>Fitted parameter values</w:t>
            </w:r>
          </w:p>
        </w:tc>
      </w:tr>
      <w:tr>
        <w:tc>
          <w:tcPr>
            <w:tcW w:type="dxa" w:w="4396"/>
          </w:tcPr>
          <w:p>
            <w:pPr>
              <w:pStyle w:val="MDPI42tablebody"/>
              <w:spacing w:line="240" w:lineRule="auto" w:before="30" w:after="30"/>
              <w:jc w:val="left"/>
            </w:pPr>
            <w:r>
              <w:rPr>
                <w:b w:val="0"/>
                <w:i w:val="0"/>
                <w:sz w:val="18"/>
              </w:rPr>
              <w:t>Frontier inflection, t</w:t>
            </w:r>
            <w:r>
              <w:rPr>
                <w:b w:val="0"/>
                <w:i w:val="0"/>
                <w:sz w:val="18"/>
                <w:vertAlign w:val="subscript"/>
              </w:rPr>
              <w:t>F</w:t>
            </w:r>
          </w:p>
        </w:tc>
        <w:tc>
          <w:tcPr>
            <w:tcW w:type="dxa" w:w="1674"/>
          </w:tcPr>
          <w:p>
            <w:pPr>
              <w:pStyle w:val="MDPI42tablebody"/>
              <w:spacing w:line="240" w:lineRule="auto" w:before="30" w:after="30"/>
              <w:jc w:val="center"/>
            </w:pPr>
            <w:r>
              <w:rPr>
                <w:b w:val="0"/>
                <w:i w:val="0"/>
                <w:sz w:val="18"/>
              </w:rPr>
              <w:t>—</w:t>
            </w:r>
          </w:p>
        </w:tc>
        <w:tc>
          <w:tcPr>
            <w:tcW w:type="dxa" w:w="1674"/>
          </w:tcPr>
          <w:p>
            <w:pPr>
              <w:pStyle w:val="MDPI42tablebody"/>
              <w:spacing w:line="240" w:lineRule="auto" w:before="30" w:after="30"/>
              <w:jc w:val="center"/>
            </w:pPr>
            <w:r>
              <w:rPr>
                <w:b w:val="0"/>
                <w:i w:val="0"/>
                <w:sz w:val="18"/>
              </w:rPr>
              <w:t>1.285 yr</w:t>
            </w:r>
          </w:p>
        </w:tc>
        <w:tc>
          <w:tcPr>
            <w:tcW w:type="dxa" w:w="2721"/>
          </w:tcPr>
          <w:p>
            <w:pPr>
              <w:pStyle w:val="MDPI42tablebody"/>
              <w:spacing w:line="240" w:lineRule="auto" w:before="30" w:after="30"/>
              <w:jc w:val="left"/>
            </w:pPr>
          </w:p>
        </w:tc>
      </w:tr>
      <w:tr>
        <w:tc>
          <w:tcPr>
            <w:tcW w:type="dxa" w:w="4396"/>
          </w:tcPr>
          <w:p>
            <w:pPr>
              <w:pStyle w:val="MDPI42tablebody"/>
              <w:spacing w:line="240" w:lineRule="auto" w:before="30" w:after="30"/>
              <w:jc w:val="left"/>
            </w:pPr>
            <w:r>
              <w:rPr>
                <w:b w:val="0"/>
                <w:i w:val="0"/>
                <w:sz w:val="18"/>
              </w:rPr>
              <w:t>Adoption rate, ν</w:t>
            </w:r>
          </w:p>
        </w:tc>
        <w:tc>
          <w:tcPr>
            <w:tcW w:type="dxa" w:w="1674"/>
          </w:tcPr>
          <w:p>
            <w:pPr>
              <w:pStyle w:val="MDPI42tablebody"/>
              <w:spacing w:line="240" w:lineRule="auto" w:before="30" w:after="30"/>
              <w:jc w:val="center"/>
            </w:pPr>
            <w:r>
              <w:rPr>
                <w:b w:val="0"/>
                <w:i w:val="0"/>
                <w:sz w:val="18"/>
              </w:rPr>
              <w:t>—</w:t>
            </w:r>
          </w:p>
        </w:tc>
        <w:tc>
          <w:tcPr>
            <w:tcW w:type="dxa" w:w="1674"/>
          </w:tcPr>
          <w:p>
            <w:pPr>
              <w:pStyle w:val="MDPI42tablebody"/>
              <w:spacing w:line="240" w:lineRule="auto" w:before="30" w:after="30"/>
              <w:jc w:val="center"/>
            </w:pPr>
            <w:r>
              <w:rPr>
                <w:b w:val="0"/>
                <w:i w:val="0"/>
                <w:sz w:val="18"/>
              </w:rPr>
              <w:t>1.328 yr⁻¹</w:t>
            </w:r>
          </w:p>
        </w:tc>
        <w:tc>
          <w:tcPr>
            <w:tcW w:type="dxa" w:w="2721"/>
          </w:tcPr>
          <w:p>
            <w:pPr>
              <w:pStyle w:val="MDPI42tablebody"/>
              <w:spacing w:line="240" w:lineRule="auto" w:before="30" w:after="30"/>
              <w:jc w:val="left"/>
            </w:pPr>
          </w:p>
        </w:tc>
      </w:tr>
      <w:tr>
        <w:tc>
          <w:tcPr>
            <w:tcW w:type="dxa" w:w="4396"/>
          </w:tcPr>
          <w:p>
            <w:pPr>
              <w:pStyle w:val="MDPI42tablebody"/>
              <w:spacing w:line="240" w:lineRule="auto" w:before="30" w:after="30"/>
              <w:jc w:val="left"/>
            </w:pPr>
            <w:r>
              <w:rPr>
                <w:b w:val="0"/>
                <w:i w:val="0"/>
                <w:sz w:val="18"/>
              </w:rPr>
              <w:t>Utilisation half-saturation, a</w:t>
            </w:r>
            <w:r>
              <w:rPr>
                <w:b w:val="0"/>
                <w:i w:val="0"/>
                <w:sz w:val="18"/>
                <w:vertAlign w:val="subscript"/>
              </w:rPr>
              <w:t>u</w:t>
            </w:r>
          </w:p>
        </w:tc>
        <w:tc>
          <w:tcPr>
            <w:tcW w:type="dxa" w:w="1674"/>
          </w:tcPr>
          <w:p>
            <w:pPr>
              <w:pStyle w:val="MDPI42tablebody"/>
              <w:spacing w:line="240" w:lineRule="auto" w:before="30" w:after="30"/>
              <w:jc w:val="center"/>
            </w:pPr>
            <w:r>
              <w:rPr>
                <w:b w:val="0"/>
                <w:i w:val="0"/>
                <w:sz w:val="18"/>
              </w:rPr>
              <w:t>—</w:t>
            </w:r>
          </w:p>
        </w:tc>
        <w:tc>
          <w:tcPr>
            <w:tcW w:type="dxa" w:w="1674"/>
          </w:tcPr>
          <w:p>
            <w:pPr>
              <w:pStyle w:val="MDPI42tablebody"/>
              <w:spacing w:line="240" w:lineRule="auto" w:before="30" w:after="30"/>
              <w:jc w:val="center"/>
            </w:pPr>
            <w:r>
              <w:rPr>
                <w:b w:val="0"/>
                <w:i w:val="0"/>
                <w:sz w:val="18"/>
              </w:rPr>
              <w:t>0.215</w:t>
            </w:r>
          </w:p>
        </w:tc>
        <w:tc>
          <w:tcPr>
            <w:tcW w:type="dxa" w:w="2721"/>
          </w:tcPr>
          <w:p>
            <w:pPr>
              <w:pStyle w:val="MDPI42tablebody"/>
              <w:spacing w:line="240" w:lineRule="auto" w:before="30" w:after="30"/>
              <w:jc w:val="left"/>
            </w:pPr>
          </w:p>
        </w:tc>
      </w:tr>
      <w:tr>
        <w:tc>
          <w:tcPr>
            <w:tcW w:type="dxa" w:w="4396"/>
          </w:tcPr>
          <w:p>
            <w:pPr>
              <w:pStyle w:val="MDPI42tablebody"/>
              <w:spacing w:line="240" w:lineRule="auto" w:before="30" w:after="30"/>
              <w:jc w:val="left"/>
            </w:pPr>
            <w:r>
              <w:rPr>
                <w:b w:val="0"/>
                <w:i w:val="0"/>
                <w:sz w:val="18"/>
              </w:rPr>
              <w:t>Junior productivity elasticity, β</w:t>
            </w:r>
            <w:r>
              <w:rPr>
                <w:b w:val="0"/>
                <w:i w:val="0"/>
                <w:sz w:val="18"/>
                <w:vertAlign w:val="subscript"/>
              </w:rPr>
              <w:t>J</w:t>
            </w:r>
          </w:p>
        </w:tc>
        <w:tc>
          <w:tcPr>
            <w:tcW w:type="dxa" w:w="1674"/>
          </w:tcPr>
          <w:p>
            <w:pPr>
              <w:pStyle w:val="MDPI42tablebody"/>
              <w:spacing w:line="240" w:lineRule="auto" w:before="30" w:after="30"/>
              <w:jc w:val="center"/>
            </w:pPr>
            <w:r>
              <w:rPr>
                <w:b w:val="0"/>
                <w:i w:val="0"/>
                <w:sz w:val="18"/>
              </w:rPr>
              <w:t>—</w:t>
            </w:r>
          </w:p>
        </w:tc>
        <w:tc>
          <w:tcPr>
            <w:tcW w:type="dxa" w:w="1674"/>
          </w:tcPr>
          <w:p>
            <w:pPr>
              <w:pStyle w:val="MDPI42tablebody"/>
              <w:spacing w:line="240" w:lineRule="auto" w:before="30" w:after="30"/>
              <w:jc w:val="center"/>
            </w:pPr>
            <w:r>
              <w:rPr>
                <w:b w:val="0"/>
                <w:i w:val="0"/>
                <w:sz w:val="18"/>
              </w:rPr>
              <w:t>0.739</w:t>
            </w:r>
          </w:p>
        </w:tc>
        <w:tc>
          <w:tcPr>
            <w:tcW w:type="dxa" w:w="2721"/>
          </w:tcPr>
          <w:p>
            <w:pPr>
              <w:pStyle w:val="MDPI42tablebody"/>
              <w:spacing w:line="240" w:lineRule="auto" w:before="30" w:after="30"/>
              <w:jc w:val="left"/>
            </w:pPr>
          </w:p>
        </w:tc>
      </w:tr>
      <w:tr>
        <w:tc>
          <w:tcPr>
            <w:tcW w:type="dxa" w:w="4396"/>
          </w:tcPr>
          <w:p>
            <w:pPr>
              <w:pStyle w:val="MDPI42tablebody"/>
              <w:spacing w:line="240" w:lineRule="auto" w:before="30" w:after="30"/>
              <w:jc w:val="left"/>
            </w:pPr>
            <w:r>
              <w:rPr>
                <w:b w:val="0"/>
                <w:i w:val="0"/>
                <w:sz w:val="18"/>
              </w:rPr>
              <w:t>Senior productivity elasticity, β</w:t>
            </w:r>
            <w:r>
              <w:rPr>
                <w:b w:val="0"/>
                <w:i w:val="0"/>
                <w:sz w:val="18"/>
                <w:vertAlign w:val="subscript"/>
              </w:rPr>
              <w:t>S</w:t>
            </w:r>
          </w:p>
        </w:tc>
        <w:tc>
          <w:tcPr>
            <w:tcW w:type="dxa" w:w="1674"/>
          </w:tcPr>
          <w:p>
            <w:pPr>
              <w:pStyle w:val="MDPI42tablebody"/>
              <w:spacing w:line="240" w:lineRule="auto" w:before="30" w:after="30"/>
              <w:jc w:val="center"/>
            </w:pPr>
            <w:r>
              <w:rPr>
                <w:b w:val="0"/>
                <w:i w:val="0"/>
                <w:sz w:val="18"/>
              </w:rPr>
              <w:t>—</w:t>
            </w:r>
          </w:p>
        </w:tc>
        <w:tc>
          <w:tcPr>
            <w:tcW w:type="dxa" w:w="1674"/>
          </w:tcPr>
          <w:p>
            <w:pPr>
              <w:pStyle w:val="MDPI42tablebody"/>
              <w:spacing w:line="240" w:lineRule="auto" w:before="30" w:after="30"/>
              <w:jc w:val="center"/>
            </w:pPr>
            <w:r>
              <w:rPr>
                <w:b w:val="0"/>
                <w:i w:val="0"/>
                <w:sz w:val="18"/>
              </w:rPr>
              <w:t>0.246 (= β</w:t>
            </w:r>
            <w:r>
              <w:rPr>
                <w:b w:val="0"/>
                <w:i w:val="0"/>
                <w:sz w:val="18"/>
                <w:vertAlign w:val="subscript"/>
              </w:rPr>
              <w:t>J</w:t>
            </w:r>
            <w:r>
              <w:rPr>
                <w:b w:val="0"/>
                <w:i w:val="0"/>
                <w:sz w:val="18"/>
              </w:rPr>
              <w:t>/3)</w:t>
            </w:r>
          </w:p>
        </w:tc>
        <w:tc>
          <w:tcPr>
            <w:tcW w:type="dxa" w:w="2721"/>
          </w:tcPr>
          <w:p>
            <w:pPr>
              <w:pStyle w:val="MDPI42tablebody"/>
              <w:spacing w:line="240" w:lineRule="auto" w:before="30" w:after="30"/>
              <w:jc w:val="left"/>
            </w:pPr>
          </w:p>
        </w:tc>
      </w:tr>
    </w:tbl>
    <w:p>
      <w:pPr>
        <w:pStyle w:val="MDPI43tablefooter"/>
        <w:spacing w:line="240" w:lineRule="auto" w:before="40" w:after="200"/>
        <w:ind w:left="2608" w:firstLine="0"/>
      </w:pPr>
      <w:r>
        <w:rPr>
          <w:i/>
          <w:sz w:val="16"/>
        </w:rPr>
        <w:t xml:space="preserve">Note: </w:t>
      </w:r>
      <w:r>
        <w:rPr>
          <w:b w:val="0"/>
          <w:i w:val="0"/>
          <w:sz w:val="16"/>
        </w:rPr>
        <w:t xml:space="preserve">Four parameters are fitted by nonlinear least squares to four independent benchmarks, so the calibration is exact by construction; its purpose is to place the simulated trajectory on the same quantitative scale as the observed one. Sources are </w:t>
      </w:r>
      <w:r>
        <w:rPr>
          <w:sz w:val="16"/>
        </w:rPr>
        <w:t>[</w:t>
      </w:r>
      <w:r>
        <w:rPr>
          <w:sz w:val="16"/>
        </w:rPr>
        <w:fldChar w:fldCharType="begin"/>
      </w:r>
      <w:r>
        <w:rPr>
          <w:sz w:val="16"/>
        </w:rPr>
        <w:instrText xml:space="preserve"> REF _Ref_8 \h </w:instrText>
      </w:r>
      <w:r>
        <w:rPr>
          <w:sz w:val="16"/>
        </w:rPr>
        <w:fldChar w:fldCharType="separate"/>
      </w:r>
      <w:r>
        <w:rPr>
          <w:sz w:val="16"/>
        </w:rPr>
        <w:t>8</w:t>
      </w:r>
      <w:r>
        <w:rPr>
          <w:sz w:val="16"/>
        </w:rPr>
        <w:fldChar w:fldCharType="end"/>
      </w:r>
      <w:r>
        <w:rPr>
          <w:sz w:val="16"/>
        </w:rPr>
        <w:t>]</w:t>
      </w:r>
      <w:r>
        <w:rPr>
          <w:b w:val="0"/>
          <w:i w:val="0"/>
          <w:sz w:val="16"/>
        </w:rPr>
        <w:t xml:space="preserve"> </w:t>
      </w:r>
      <w:r>
        <w:rPr>
          <w:sz w:val="16"/>
        </w:rPr>
        <w:t>[</w:t>
      </w:r>
      <w:r>
        <w:rPr>
          <w:sz w:val="16"/>
        </w:rPr>
        <w:fldChar w:fldCharType="begin"/>
      </w:r>
      <w:r>
        <w:rPr>
          <w:sz w:val="16"/>
        </w:rPr>
        <w:instrText xml:space="preserve"> REF _Ref_9 \h </w:instrText>
      </w:r>
      <w:r>
        <w:rPr>
          <w:sz w:val="16"/>
        </w:rPr>
        <w:fldChar w:fldCharType="separate"/>
      </w:r>
      <w:r>
        <w:rPr>
          <w:sz w:val="16"/>
        </w:rPr>
        <w:t>9</w:t>
      </w:r>
      <w:r>
        <w:rPr>
          <w:sz w:val="16"/>
        </w:rPr>
        <w:fldChar w:fldCharType="end"/>
      </w:r>
      <w:r>
        <w:rPr>
          <w:sz w:val="16"/>
        </w:rPr>
        <w:t>]</w:t>
      </w:r>
      <w:r>
        <w:rPr>
          <w:b w:val="0"/>
          <w:i w:val="0"/>
          <w:sz w:val="16"/>
        </w:rPr>
        <w:t xml:space="preserve"> </w:t>
      </w:r>
      <w:r>
        <w:rPr>
          <w:sz w:val="16"/>
        </w:rPr>
        <w:t>[</w:t>
      </w:r>
      <w:r>
        <w:rPr>
          <w:sz w:val="16"/>
        </w:rPr>
        <w:fldChar w:fldCharType="begin"/>
      </w:r>
      <w:r>
        <w:rPr>
          <w:sz w:val="16"/>
        </w:rPr>
        <w:instrText xml:space="preserve"> REF _Ref_1 \h </w:instrText>
      </w:r>
      <w:r>
        <w:rPr>
          <w:sz w:val="16"/>
        </w:rPr>
        <w:fldChar w:fldCharType="separate"/>
      </w:r>
      <w:r>
        <w:rPr>
          <w:sz w:val="16"/>
        </w:rPr>
        <w:t>1</w:t>
      </w:r>
      <w:r>
        <w:rPr>
          <w:sz w:val="16"/>
        </w:rPr>
        <w:fldChar w:fldCharType="end"/>
      </w:r>
      <w:r>
        <w:rPr>
          <w:sz w:val="16"/>
        </w:rPr>
        <w:t>]</w:t>
      </w:r>
      <w:r>
        <w:rPr>
          <w:b w:val="0"/>
          <w:i w:val="0"/>
          <w:sz w:val="16"/>
        </w:rPr>
        <w:t xml:space="preserve"> with </w:t>
      </w:r>
      <w:r>
        <w:rPr>
          <w:sz w:val="16"/>
        </w:rPr>
        <w:t>[</w:t>
      </w:r>
      <w:r>
        <w:rPr>
          <w:sz w:val="16"/>
        </w:rPr>
        <w:fldChar w:fldCharType="begin"/>
      </w:r>
      <w:r>
        <w:rPr>
          <w:sz w:val="16"/>
        </w:rPr>
        <w:instrText xml:space="preserve"> REF _Ref_4 \h </w:instrText>
      </w:r>
      <w:r>
        <w:rPr>
          <w:sz w:val="16"/>
        </w:rPr>
        <w:fldChar w:fldCharType="separate"/>
      </w:r>
      <w:r>
        <w:rPr>
          <w:sz w:val="16"/>
        </w:rPr>
        <w:t>4</w:t>
      </w:r>
      <w:r>
        <w:rPr>
          <w:sz w:val="16"/>
        </w:rPr>
        <w:fldChar w:fldCharType="end"/>
      </w:r>
      <w:r>
        <w:rPr>
          <w:sz w:val="16"/>
        </w:rPr>
        <w:t>]</w:t>
      </w:r>
      <w:r>
        <w:rPr>
          <w:b w:val="0"/>
          <w:i w:val="0"/>
          <w:sz w:val="16"/>
        </w:rPr>
        <w:t xml:space="preserve"> and </w:t>
      </w:r>
      <w:r>
        <w:rPr>
          <w:sz w:val="16"/>
        </w:rPr>
        <w:t>[</w:t>
      </w:r>
      <w:r>
        <w:rPr>
          <w:sz w:val="16"/>
        </w:rPr>
        <w:fldChar w:fldCharType="begin"/>
      </w:r>
      <w:r>
        <w:rPr>
          <w:sz w:val="16"/>
        </w:rPr>
        <w:instrText xml:space="preserve"> REF _Ref_1 \h </w:instrText>
      </w:r>
      <w:r>
        <w:rPr>
          <w:sz w:val="16"/>
        </w:rPr>
        <w:fldChar w:fldCharType="separate"/>
      </w:r>
      <w:r>
        <w:rPr>
          <w:sz w:val="16"/>
        </w:rPr>
        <w:t>1</w:t>
      </w:r>
      <w:r>
        <w:rPr>
          <w:sz w:val="16"/>
        </w:rPr>
        <w:fldChar w:fldCharType="end"/>
      </w:r>
      <w:r>
        <w:rPr>
          <w:sz w:val="16"/>
        </w:rPr>
        <w:t>]</w:t>
      </w:r>
      <w:r>
        <w:rPr>
          <w:b w:val="0"/>
          <w:i w:val="0"/>
          <w:sz w:val="16"/>
        </w:rPr>
        <w:t xml:space="preserve"> with </w:t>
      </w:r>
      <w:r>
        <w:rPr>
          <w:sz w:val="16"/>
        </w:rPr>
        <w:t>[</w:t>
      </w:r>
      <w:r>
        <w:rPr>
          <w:sz w:val="16"/>
        </w:rPr>
        <w:fldChar w:fldCharType="begin"/>
      </w:r>
      <w:r>
        <w:rPr>
          <w:sz w:val="16"/>
        </w:rPr>
        <w:instrText xml:space="preserve"> REF _Ref_3 \h </w:instrText>
      </w:r>
      <w:r>
        <w:rPr>
          <w:sz w:val="16"/>
        </w:rPr>
        <w:fldChar w:fldCharType="separate"/>
      </w:r>
      <w:r>
        <w:rPr>
          <w:sz w:val="16"/>
        </w:rPr>
        <w:t>3</w:t>
      </w:r>
      <w:r>
        <w:rPr>
          <w:sz w:val="16"/>
        </w:rPr>
        <w:fldChar w:fldCharType="end"/>
      </w:r>
      <w:r>
        <w:rPr>
          <w:sz w:val="16"/>
        </w:rPr>
        <w:t>]</w:t>
      </w:r>
      <w:r>
        <w:rPr>
          <w:b w:val="0"/>
          <w:i w:val="0"/>
          <w:sz w:val="16"/>
        </w:rPr>
        <w:t xml:space="preserve"> respectively. The senior elasticity is tied to the junior elasticity by the experience-compression ratio of three reported in that evidence.</w:t>
      </w:r>
    </w:p>
    <w:p>
      <w:pPr>
        <w:pStyle w:val="MDPI22heading2"/>
      </w:pPr>
      <w:r>
        <w:t>3.5. Simulation Design and Model Validation</w:t>
      </w:r>
    </w:p>
    <w:p>
      <w:pPr>
        <w:pStyle w:val="MDPI32textnoindent"/>
      </w:pPr>
      <w:r>
        <w:rPr>
          <w:b w:val="0"/>
          <w:i w:val="0"/>
        </w:rPr>
        <w:t xml:space="preserve">The system is integrated with a fourth-order Runge–Kutta scheme at a step of 1/16 year over 25 years. Every reported outcome is expressed relative to a counterfactual run of the identical model with </w:t>
      </w:r>
      <m:oMath>
        <m:r>
          <m:t xml:space="preserve">F</m:t>
        </m:r>
        <m:r>
          <m:rPr>
            <m:sty m:val="p"/>
          </m:rPr>
          <m:t xml:space="preserve">(</m:t>
        </m:r>
        <m:r>
          <m:t xml:space="preserve">t</m:t>
        </m:r>
        <m:r>
          <m:rPr>
            <m:sty m:val="p"/>
          </m:rPr>
          <m:t xml:space="preserve">)</m:t>
        </m:r>
        <m:r>
          <m:rPr>
            <m:sty m:val="p"/>
          </m:rPr>
          <m:t xml:space="preserve">≡</m:t>
        </m:r>
        <m:r>
          <m:t xml:space="preserve"> </m:t>
        </m:r>
        <m:r>
          <m:rPr>
            <m:sty m:val="p"/>
          </m:rPr>
          <m:t xml:space="preserve">0</m:t>
        </m:r>
      </m:oMath>
      <w:r>
        <w:rPr>
          <w:b w:val="0"/>
          <w:i w:val="0"/>
        </w:rPr>
        <w:t xml:space="preserve">, so that the autonomous growth of demand and the pre-existing workforce structure are differenced out. Model confidence was established through the standard sequence of tests for system dynamics models </w:t>
      </w:r>
      <w:r>
        <w:t>[</w:t>
      </w:r>
      <w:r>
        <w:fldChar w:fldCharType="begin"/>
      </w:r>
      <w:r>
        <w:instrText xml:space="preserve"> REF _Ref_31 \h </w:instrText>
      </w:r>
      <w:r>
        <w:fldChar w:fldCharType="separate"/>
      </w:r>
      <w:r>
        <w:t>31</w:t>
      </w:r>
      <w:r>
        <w:fldChar w:fldCharType="end"/>
      </w:r>
      <w:r>
        <w:t>,</w:t>
      </w:r>
      <w:r>
        <w:fldChar w:fldCharType="begin"/>
      </w:r>
      <w:r>
        <w:instrText xml:space="preserve"> REF _Ref_32 \h </w:instrText>
      </w:r>
      <w:r>
        <w:fldChar w:fldCharType="separate"/>
      </w:r>
      <w:r>
        <w:t>32</w:t>
      </w:r>
      <w:r>
        <w:fldChar w:fldCharType="end"/>
      </w:r>
      <w:r>
        <w:t>]</w:t>
      </w:r>
      <w:r>
        <w:rPr>
          <w:b w:val="0"/>
          <w:i w:val="0"/>
        </w:rPr>
        <w:t xml:space="preserve"> reported in Table 4: dimensional and structural consistency; an equilibrium test in which the model is run for a century with the technology and autonomous growth switched off; four extreme-condition tests that switch off learning investment, close the development pipeline entirely, remove displacement and remove reinstatement; an integration-error test in which the time step is halved twice; and behaviour reproduction against the calibration benchmarks. All tests pass.</w:t>
      </w:r>
    </w:p>
    <w:p>
      <w:pPr>
        <w:pStyle w:val="MDPI41tablecaption"/>
        <w:keepNext/>
        <w:spacing w:after="60"/>
      </w:pPr>
      <w:r>
        <w:rPr>
          <w:b/>
          <w:sz w:val="18"/>
        </w:rPr>
        <w:t xml:space="preserve">Table 4. </w:t>
      </w:r>
      <w:r>
        <w:rPr>
          <w:b w:val="0"/>
          <w:i w:val="0"/>
          <w:sz w:val="18"/>
        </w:rPr>
        <w:t>Model validation tests.</w:t>
      </w:r>
    </w:p>
    <w:tbl>
      <w:tblPr>
        <w:tblStyle w:val="MDPI41threelinetable"/>
        <w:tblW w:w="10467"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CellMar>
          <w:top w:w="0" w:type="dxa"/>
          <w:left w:w="57" w:type="dxa"/>
          <w:bottom w:w="0" w:type="dxa"/>
          <w:right w:w="57" w:type="dxa"/>
        </w:tblCellMar>
        <w:tblLook w:firstColumn="1" w:firstRow="1" w:lastColumn="0" w:lastRow="0" w:noHBand="0" w:noVBand="1" w:val="04A0"/>
      </w:tblPr>
      <w:tblGrid>
        <w:gridCol w:w="2093"/>
        <w:gridCol w:w="3244"/>
        <w:gridCol w:w="3872"/>
        <w:gridCol w:w="1256"/>
      </w:tblGrid>
      <w:tr>
        <w:tc>
          <w:tcPr>
            <w:tcW w:type="dxa" w:w="2093"/>
            <w:tcBorders>
              <w:bottom w:val="single" w:sz="8" w:space="0" w:color="auto"/>
            </w:tcBorders>
          </w:tcPr>
          <w:p>
            <w:pPr>
              <w:pStyle w:val="MDPI42tablebody"/>
              <w:spacing w:line="240" w:lineRule="auto" w:before="30" w:after="30"/>
              <w:jc w:val="center"/>
            </w:pPr>
            <w:r>
              <w:rPr>
                <w:b/>
                <w:i w:val="0"/>
                <w:sz w:val="18"/>
              </w:rPr>
              <w:t>Test</w:t>
            </w:r>
          </w:p>
        </w:tc>
        <w:tc>
          <w:tcPr>
            <w:tcW w:type="dxa" w:w="3244"/>
            <w:tcBorders>
              <w:bottom w:val="single" w:sz="8" w:space="0" w:color="auto"/>
            </w:tcBorders>
          </w:tcPr>
          <w:p>
            <w:pPr>
              <w:pStyle w:val="MDPI42tablebody"/>
              <w:spacing w:line="240" w:lineRule="auto" w:before="30" w:after="30"/>
              <w:jc w:val="center"/>
            </w:pPr>
            <w:r>
              <w:rPr>
                <w:b/>
                <w:i w:val="0"/>
                <w:sz w:val="18"/>
              </w:rPr>
              <w:t>Procedure</w:t>
            </w:r>
          </w:p>
        </w:tc>
        <w:tc>
          <w:tcPr>
            <w:tcW w:type="dxa" w:w="3872"/>
            <w:tcBorders>
              <w:bottom w:val="single" w:sz="8" w:space="0" w:color="auto"/>
            </w:tcBorders>
          </w:tcPr>
          <w:p>
            <w:pPr>
              <w:pStyle w:val="MDPI42tablebody"/>
              <w:spacing w:line="240" w:lineRule="auto" w:before="30" w:after="30"/>
              <w:jc w:val="center"/>
            </w:pPr>
            <w:r>
              <w:rPr>
                <w:b/>
                <w:i w:val="0"/>
                <w:sz w:val="18"/>
              </w:rPr>
              <w:t>Result</w:t>
            </w:r>
          </w:p>
        </w:tc>
        <w:tc>
          <w:tcPr>
            <w:tcW w:type="dxa" w:w="1256"/>
            <w:tcBorders>
              <w:bottom w:val="single" w:sz="8" w:space="0" w:color="auto"/>
            </w:tcBorders>
          </w:tcPr>
          <w:p>
            <w:pPr>
              <w:pStyle w:val="MDPI42tablebody"/>
              <w:spacing w:line="240" w:lineRule="auto" w:before="30" w:after="30"/>
              <w:jc w:val="center"/>
            </w:pPr>
            <w:r>
              <w:rPr>
                <w:b/>
                <w:i w:val="0"/>
                <w:sz w:val="18"/>
              </w:rPr>
              <w:t>Outcome</w:t>
            </w:r>
          </w:p>
        </w:tc>
      </w:tr>
      <w:tr>
        <w:tc>
          <w:tcPr>
            <w:tcW w:type="dxa" w:w="2093"/>
          </w:tcPr>
          <w:p>
            <w:pPr>
              <w:pStyle w:val="MDPI42tablebody"/>
              <w:spacing w:line="240" w:lineRule="auto" w:before="30" w:after="30"/>
              <w:jc w:val="left"/>
            </w:pPr>
            <w:r>
              <w:rPr>
                <w:b w:val="0"/>
                <w:i w:val="0"/>
                <w:sz w:val="18"/>
              </w:rPr>
              <w:t>Structure and dimensional consistency</w:t>
            </w:r>
          </w:p>
        </w:tc>
        <w:tc>
          <w:tcPr>
            <w:tcW w:type="dxa" w:w="3244"/>
          </w:tcPr>
          <w:p>
            <w:pPr>
              <w:pStyle w:val="MDPI42tablebody"/>
              <w:spacing w:line="240" w:lineRule="auto" w:before="30" w:after="30"/>
              <w:jc w:val="left"/>
            </w:pPr>
            <w:r>
              <w:rPr>
                <w:b w:val="0"/>
                <w:i w:val="0"/>
                <w:sz w:val="18"/>
              </w:rPr>
              <w:t>Every rate equation is dimensionally homogeneous; the pre-shock state is verified to be a fixed point</w:t>
            </w:r>
          </w:p>
        </w:tc>
        <w:tc>
          <w:tcPr>
            <w:tcW w:type="dxa" w:w="3872"/>
          </w:tcPr>
          <w:p>
            <w:pPr>
              <w:pStyle w:val="MDPI42tablebody"/>
              <w:spacing w:line="240" w:lineRule="auto" w:before="30" w:after="30"/>
              <w:jc w:val="left"/>
            </w:pPr>
            <w:r>
              <w:rPr>
                <w:b w:val="0"/>
                <w:i w:val="0"/>
                <w:sz w:val="18"/>
              </w:rPr>
              <w:t>max |dx/dt| = 7.1 × 10⁻¹⁵</w:t>
            </w:r>
          </w:p>
        </w:tc>
        <w:tc>
          <w:tcPr>
            <w:tcW w:type="dxa" w:w="1256"/>
          </w:tcPr>
          <w:p>
            <w:pPr>
              <w:pStyle w:val="MDPI42tablebody"/>
              <w:spacing w:line="240" w:lineRule="auto" w:before="30" w:after="30"/>
              <w:jc w:val="center"/>
            </w:pPr>
            <w:r>
              <w:rPr>
                <w:b w:val="0"/>
                <w:i w:val="0"/>
                <w:sz w:val="18"/>
              </w:rPr>
              <w:t>Passed</w:t>
            </w:r>
          </w:p>
        </w:tc>
      </w:tr>
      <w:tr>
        <w:tc>
          <w:tcPr>
            <w:tcW w:type="dxa" w:w="2093"/>
          </w:tcPr>
          <w:p>
            <w:pPr>
              <w:pStyle w:val="MDPI42tablebody"/>
              <w:spacing w:line="240" w:lineRule="auto" w:before="30" w:after="30"/>
              <w:jc w:val="left"/>
            </w:pPr>
            <w:r>
              <w:rPr>
                <w:b w:val="0"/>
                <w:i w:val="0"/>
                <w:sz w:val="18"/>
              </w:rPr>
              <w:t>Equilibrium test</w:t>
            </w:r>
          </w:p>
        </w:tc>
        <w:tc>
          <w:tcPr>
            <w:tcW w:type="dxa" w:w="3244"/>
          </w:tcPr>
          <w:p>
            <w:pPr>
              <w:pStyle w:val="MDPI42tablebody"/>
              <w:spacing w:line="240" w:lineRule="auto" w:before="30" w:after="30"/>
              <w:jc w:val="left"/>
            </w:pPr>
            <w:r>
              <w:rPr>
                <w:b w:val="0"/>
                <w:i w:val="0"/>
                <w:sz w:val="18"/>
              </w:rPr>
              <w:t>100-year run with F(t) = 0 and g</w:t>
            </w:r>
            <w:r>
              <w:rPr>
                <w:b w:val="0"/>
                <w:i w:val="0"/>
                <w:sz w:val="18"/>
                <w:vertAlign w:val="subscript"/>
              </w:rPr>
              <w:t>Y</w:t>
            </w:r>
            <w:r>
              <w:rPr>
                <w:b w:val="0"/>
                <w:i w:val="0"/>
                <w:sz w:val="18"/>
              </w:rPr>
              <w:t xml:space="preserve"> = 0</w:t>
            </w:r>
          </w:p>
        </w:tc>
        <w:tc>
          <w:tcPr>
            <w:tcW w:type="dxa" w:w="3872"/>
          </w:tcPr>
          <w:p>
            <w:pPr>
              <w:pStyle w:val="MDPI42tablebody"/>
              <w:spacing w:line="240" w:lineRule="auto" w:before="30" w:after="30"/>
              <w:jc w:val="left"/>
            </w:pPr>
            <w:r>
              <w:rPr>
                <w:b w:val="0"/>
                <w:i w:val="0"/>
                <w:sz w:val="18"/>
              </w:rPr>
              <w:t>max relative drift = 0</w:t>
            </w:r>
          </w:p>
        </w:tc>
        <w:tc>
          <w:tcPr>
            <w:tcW w:type="dxa" w:w="1256"/>
          </w:tcPr>
          <w:p>
            <w:pPr>
              <w:pStyle w:val="MDPI42tablebody"/>
              <w:spacing w:line="240" w:lineRule="auto" w:before="30" w:after="30"/>
              <w:jc w:val="center"/>
            </w:pPr>
            <w:r>
              <w:rPr>
                <w:b w:val="0"/>
                <w:i w:val="0"/>
                <w:sz w:val="18"/>
              </w:rPr>
              <w:t>Passed</w:t>
            </w:r>
          </w:p>
        </w:tc>
      </w:tr>
      <w:tr>
        <w:tc>
          <w:tcPr>
            <w:tcW w:type="dxa" w:w="2093"/>
          </w:tcPr>
          <w:p>
            <w:pPr>
              <w:pStyle w:val="MDPI42tablebody"/>
              <w:spacing w:line="240" w:lineRule="auto" w:before="30" w:after="30"/>
              <w:jc w:val="left"/>
            </w:pPr>
            <w:r>
              <w:rPr>
                <w:b w:val="0"/>
                <w:i w:val="0"/>
                <w:sz w:val="18"/>
              </w:rPr>
              <w:t>Extreme-condition test 1</w:t>
            </w:r>
          </w:p>
        </w:tc>
        <w:tc>
          <w:tcPr>
            <w:tcW w:type="dxa" w:w="3244"/>
          </w:tcPr>
          <w:p>
            <w:pPr>
              <w:pStyle w:val="MDPI42tablebody"/>
              <w:spacing w:line="240" w:lineRule="auto" w:before="30" w:after="30"/>
              <w:jc w:val="left"/>
            </w:pPr>
            <w:r>
              <w:rPr>
                <w:b w:val="0"/>
                <w:i w:val="0"/>
                <w:sz w:val="18"/>
              </w:rPr>
              <w:t>λ = 0 (no investment in human-AI collaboration routines)</w:t>
            </w:r>
          </w:p>
        </w:tc>
        <w:tc>
          <w:tcPr>
            <w:tcW w:type="dxa" w:w="3872"/>
          </w:tcPr>
          <w:p>
            <w:pPr>
              <w:pStyle w:val="MDPI42tablebody"/>
              <w:spacing w:line="240" w:lineRule="auto" w:before="30" w:after="30"/>
              <w:jc w:val="left"/>
            </w:pPr>
            <w:r>
              <w:rPr>
                <w:b w:val="0"/>
                <w:i w:val="0"/>
                <w:sz w:val="18"/>
              </w:rPr>
              <w:t>K(t) = 0 and ρ(t) = 0 for all t</w:t>
            </w:r>
          </w:p>
        </w:tc>
        <w:tc>
          <w:tcPr>
            <w:tcW w:type="dxa" w:w="1256"/>
          </w:tcPr>
          <w:p>
            <w:pPr>
              <w:pStyle w:val="MDPI42tablebody"/>
              <w:spacing w:line="240" w:lineRule="auto" w:before="30" w:after="30"/>
              <w:jc w:val="center"/>
            </w:pPr>
            <w:r>
              <w:rPr>
                <w:b w:val="0"/>
                <w:i w:val="0"/>
                <w:sz w:val="18"/>
              </w:rPr>
              <w:t>Passed</w:t>
            </w:r>
          </w:p>
        </w:tc>
      </w:tr>
      <w:tr>
        <w:tc>
          <w:tcPr>
            <w:tcW w:type="dxa" w:w="2093"/>
          </w:tcPr>
          <w:p>
            <w:pPr>
              <w:pStyle w:val="MDPI42tablebody"/>
              <w:spacing w:line="240" w:lineRule="auto" w:before="30" w:after="30"/>
              <w:jc w:val="left"/>
            </w:pPr>
            <w:r>
              <w:rPr>
                <w:b w:val="0"/>
                <w:i w:val="0"/>
                <w:sz w:val="18"/>
              </w:rPr>
              <w:t>Extreme-condition test 2</w:t>
            </w:r>
          </w:p>
        </w:tc>
        <w:tc>
          <w:tcPr>
            <w:tcW w:type="dxa" w:w="3244"/>
          </w:tcPr>
          <w:p>
            <w:pPr>
              <w:pStyle w:val="MDPI42tablebody"/>
              <w:spacing w:line="240" w:lineRule="auto" w:before="30" w:after="30"/>
              <w:jc w:val="left"/>
            </w:pPr>
            <w:r>
              <w:rPr>
                <w:b w:val="0"/>
                <w:i w:val="0"/>
                <w:sz w:val="18"/>
              </w:rPr>
              <w:t>m → 0, η = 0 and χ</w:t>
            </w:r>
            <w:r>
              <w:rPr>
                <w:b w:val="0"/>
                <w:i w:val="0"/>
                <w:sz w:val="18"/>
                <w:vertAlign w:val="subscript"/>
              </w:rPr>
              <w:t>S</w:t>
            </w:r>
            <w:r>
              <w:rPr>
                <w:b w:val="0"/>
                <w:i w:val="0"/>
                <w:sz w:val="18"/>
              </w:rPr>
              <w:t xml:space="preserve"> = 0 (development pipeline closed)</w:t>
            </w:r>
          </w:p>
        </w:tc>
        <w:tc>
          <w:tcPr>
            <w:tcW w:type="dxa" w:w="3872"/>
          </w:tcPr>
          <w:p>
            <w:pPr>
              <w:pStyle w:val="MDPI42tablebody"/>
              <w:spacing w:line="240" w:lineRule="auto" w:before="30" w:after="30"/>
              <w:jc w:val="left"/>
            </w:pPr>
            <w:r>
              <w:rPr>
                <w:b w:val="0"/>
                <w:i w:val="0"/>
                <w:sz w:val="18"/>
              </w:rPr>
              <w:t>senior stock decays at exactly the separation rate (S(25)/S(0) = 0.1353; exp(−δ</w:t>
            </w:r>
            <w:r>
              <w:rPr>
                <w:b w:val="0"/>
                <w:i w:val="0"/>
                <w:sz w:val="18"/>
                <w:vertAlign w:val="subscript"/>
              </w:rPr>
              <w:t>S</w:t>
            </w:r>
            <w:r>
              <w:rPr>
                <w:b w:val="0"/>
                <w:i w:val="0"/>
                <w:sz w:val="18"/>
              </w:rPr>
              <w:t>T) = 0.1353)</w:t>
            </w:r>
          </w:p>
        </w:tc>
        <w:tc>
          <w:tcPr>
            <w:tcW w:type="dxa" w:w="1256"/>
          </w:tcPr>
          <w:p>
            <w:pPr>
              <w:pStyle w:val="MDPI42tablebody"/>
              <w:spacing w:line="240" w:lineRule="auto" w:before="30" w:after="30"/>
              <w:jc w:val="center"/>
            </w:pPr>
            <w:r>
              <w:rPr>
                <w:b w:val="0"/>
                <w:i w:val="0"/>
                <w:sz w:val="18"/>
              </w:rPr>
              <w:t>Passed</w:t>
            </w:r>
          </w:p>
        </w:tc>
      </w:tr>
      <w:tr>
        <w:tc>
          <w:tcPr>
            <w:tcW w:type="dxa" w:w="2093"/>
          </w:tcPr>
          <w:p>
            <w:pPr>
              <w:pStyle w:val="MDPI42tablebody"/>
              <w:spacing w:line="240" w:lineRule="auto" w:before="30" w:after="30"/>
              <w:jc w:val="left"/>
            </w:pPr>
            <w:r>
              <w:rPr>
                <w:b w:val="0"/>
                <w:i w:val="0"/>
                <w:sz w:val="18"/>
              </w:rPr>
              <w:t>Extreme-condition test 3</w:t>
            </w:r>
          </w:p>
        </w:tc>
        <w:tc>
          <w:tcPr>
            <w:tcW w:type="dxa" w:w="3244"/>
          </w:tcPr>
          <w:p>
            <w:pPr>
              <w:pStyle w:val="MDPI42tablebody"/>
              <w:spacing w:line="240" w:lineRule="auto" w:before="30" w:after="30"/>
              <w:jc w:val="left"/>
            </w:pPr>
            <w:r>
              <w:rPr>
                <w:b w:val="0"/>
                <w:i w:val="0"/>
                <w:sz w:val="18"/>
              </w:rPr>
              <w:t>α</w:t>
            </w:r>
            <w:r>
              <w:rPr>
                <w:b w:val="0"/>
                <w:i w:val="0"/>
                <w:sz w:val="18"/>
                <w:vertAlign w:val="subscript"/>
              </w:rPr>
              <w:t>max</w:t>
            </w:r>
            <w:r>
              <w:rPr>
                <w:b w:val="0"/>
                <w:i w:val="0"/>
                <w:sz w:val="18"/>
              </w:rPr>
              <w:t xml:space="preserve"> = 0 (pure augmentation, no task displacement)</w:t>
            </w:r>
          </w:p>
        </w:tc>
        <w:tc>
          <w:tcPr>
            <w:tcW w:type="dxa" w:w="3872"/>
          </w:tcPr>
          <w:p>
            <w:pPr>
              <w:pStyle w:val="MDPI42tablebody"/>
              <w:spacing w:line="240" w:lineRule="auto" w:before="30" w:after="30"/>
              <w:jc w:val="left"/>
            </w:pPr>
            <w:r>
              <w:rPr>
                <w:b w:val="0"/>
                <w:i w:val="0"/>
                <w:sz w:val="18"/>
              </w:rPr>
              <w:t>entry employment exceeds the no-GenAI counterfactual (+3.7%)</w:t>
            </w:r>
          </w:p>
        </w:tc>
        <w:tc>
          <w:tcPr>
            <w:tcW w:type="dxa" w:w="1256"/>
          </w:tcPr>
          <w:p>
            <w:pPr>
              <w:pStyle w:val="MDPI42tablebody"/>
              <w:spacing w:line="240" w:lineRule="auto" w:before="30" w:after="30"/>
              <w:jc w:val="center"/>
            </w:pPr>
            <w:r>
              <w:rPr>
                <w:b w:val="0"/>
                <w:i w:val="0"/>
                <w:sz w:val="18"/>
              </w:rPr>
              <w:t>Passed</w:t>
            </w:r>
          </w:p>
        </w:tc>
      </w:tr>
      <w:tr>
        <w:tc>
          <w:tcPr>
            <w:tcW w:type="dxa" w:w="2093"/>
          </w:tcPr>
          <w:p>
            <w:pPr>
              <w:pStyle w:val="MDPI42tablebody"/>
              <w:spacing w:line="240" w:lineRule="auto" w:before="30" w:after="30"/>
              <w:jc w:val="left"/>
            </w:pPr>
            <w:r>
              <w:rPr>
                <w:b w:val="0"/>
                <w:i w:val="0"/>
                <w:sz w:val="18"/>
              </w:rPr>
              <w:t>Extreme-condition test 4</w:t>
            </w:r>
          </w:p>
        </w:tc>
        <w:tc>
          <w:tcPr>
            <w:tcW w:type="dxa" w:w="3244"/>
          </w:tcPr>
          <w:p>
            <w:pPr>
              <w:pStyle w:val="MDPI42tablebody"/>
              <w:spacing w:line="240" w:lineRule="auto" w:before="30" w:after="30"/>
              <w:jc w:val="left"/>
            </w:pPr>
            <w:r>
              <w:rPr>
                <w:b w:val="0"/>
                <w:i w:val="0"/>
                <w:sz w:val="18"/>
              </w:rPr>
              <w:t>ρ</w:t>
            </w:r>
            <w:r>
              <w:rPr>
                <w:b w:val="0"/>
                <w:i w:val="0"/>
                <w:sz w:val="18"/>
                <w:vertAlign w:val="subscript"/>
              </w:rPr>
              <w:t>max</w:t>
            </w:r>
            <w:r>
              <w:rPr>
                <w:b w:val="0"/>
                <w:i w:val="0"/>
                <w:sz w:val="18"/>
              </w:rPr>
              <w:t xml:space="preserve"> = 0 and λ = 0 (pure displacement)</w:t>
            </w:r>
          </w:p>
        </w:tc>
        <w:tc>
          <w:tcPr>
            <w:tcW w:type="dxa" w:w="3872"/>
          </w:tcPr>
          <w:p>
            <w:pPr>
              <w:pStyle w:val="MDPI42tablebody"/>
              <w:spacing w:line="240" w:lineRule="auto" w:before="30" w:after="30"/>
              <w:jc w:val="left"/>
            </w:pPr>
            <w:r>
              <w:rPr>
                <w:b w:val="0"/>
                <w:i w:val="0"/>
                <w:sz w:val="18"/>
              </w:rPr>
              <w:t>entry employment falls monotonically relative to the counterfactual (−41.2%)</w:t>
            </w:r>
          </w:p>
        </w:tc>
        <w:tc>
          <w:tcPr>
            <w:tcW w:type="dxa" w:w="1256"/>
          </w:tcPr>
          <w:p>
            <w:pPr>
              <w:pStyle w:val="MDPI42tablebody"/>
              <w:spacing w:line="240" w:lineRule="auto" w:before="30" w:after="30"/>
              <w:jc w:val="center"/>
            </w:pPr>
            <w:r>
              <w:rPr>
                <w:b w:val="0"/>
                <w:i w:val="0"/>
                <w:sz w:val="18"/>
              </w:rPr>
              <w:t>Passed</w:t>
            </w:r>
          </w:p>
        </w:tc>
      </w:tr>
      <w:tr>
        <w:tc>
          <w:tcPr>
            <w:tcW w:type="dxa" w:w="2093"/>
          </w:tcPr>
          <w:p>
            <w:pPr>
              <w:pStyle w:val="MDPI42tablebody"/>
              <w:spacing w:line="240" w:lineRule="auto" w:before="30" w:after="30"/>
              <w:jc w:val="left"/>
            </w:pPr>
            <w:r>
              <w:rPr>
                <w:b w:val="0"/>
                <w:i w:val="0"/>
                <w:sz w:val="18"/>
              </w:rPr>
              <w:t>Integration-error test</w:t>
            </w:r>
          </w:p>
        </w:tc>
        <w:tc>
          <w:tcPr>
            <w:tcW w:type="dxa" w:w="3244"/>
          </w:tcPr>
          <w:p>
            <w:pPr>
              <w:pStyle w:val="MDPI42tablebody"/>
              <w:spacing w:line="240" w:lineRule="auto" w:before="30" w:after="30"/>
              <w:jc w:val="left"/>
            </w:pPr>
            <w:r>
              <w:rPr>
                <w:b w:val="0"/>
                <w:i w:val="0"/>
                <w:sz w:val="18"/>
              </w:rPr>
              <w:t>time step halved twice (Δt = 1/16, 1/32 and 1/64 yr)</w:t>
            </w:r>
          </w:p>
        </w:tc>
        <w:tc>
          <w:tcPr>
            <w:tcW w:type="dxa" w:w="3872"/>
          </w:tcPr>
          <w:p>
            <w:pPr>
              <w:pStyle w:val="MDPI42tablebody"/>
              <w:spacing w:line="240" w:lineRule="auto" w:before="30" w:after="30"/>
              <w:jc w:val="left"/>
            </w:pPr>
            <w:r>
              <w:rPr>
                <w:b w:val="0"/>
                <w:i w:val="0"/>
                <w:sz w:val="18"/>
              </w:rPr>
              <w:t>relative change in J(25) = 2.4 × 10⁻⁷</w:t>
            </w:r>
          </w:p>
        </w:tc>
        <w:tc>
          <w:tcPr>
            <w:tcW w:type="dxa" w:w="1256"/>
          </w:tcPr>
          <w:p>
            <w:pPr>
              <w:pStyle w:val="MDPI42tablebody"/>
              <w:spacing w:line="240" w:lineRule="auto" w:before="30" w:after="30"/>
              <w:jc w:val="center"/>
            </w:pPr>
            <w:r>
              <w:rPr>
                <w:b w:val="0"/>
                <w:i w:val="0"/>
                <w:sz w:val="18"/>
              </w:rPr>
              <w:t>Passed</w:t>
            </w:r>
          </w:p>
        </w:tc>
      </w:tr>
      <w:tr>
        <w:tc>
          <w:tcPr>
            <w:tcW w:type="dxa" w:w="2093"/>
          </w:tcPr>
          <w:p>
            <w:pPr>
              <w:pStyle w:val="MDPI42tablebody"/>
              <w:spacing w:line="240" w:lineRule="auto" w:before="30" w:after="30"/>
              <w:jc w:val="left"/>
            </w:pPr>
            <w:r>
              <w:rPr>
                <w:b w:val="0"/>
                <w:i w:val="0"/>
                <w:sz w:val="18"/>
              </w:rPr>
              <w:t>Behaviour-reproduction test</w:t>
            </w:r>
          </w:p>
        </w:tc>
        <w:tc>
          <w:tcPr>
            <w:tcW w:type="dxa" w:w="3244"/>
          </w:tcPr>
          <w:p>
            <w:pPr>
              <w:pStyle w:val="MDPI42tablebody"/>
              <w:spacing w:line="240" w:lineRule="auto" w:before="30" w:after="30"/>
              <w:jc w:val="left"/>
            </w:pPr>
            <w:r>
              <w:rPr>
                <w:b w:val="0"/>
                <w:i w:val="0"/>
                <w:sz w:val="18"/>
              </w:rPr>
              <w:t>four independent empirical benchmarks (Table 3)</w:t>
            </w:r>
          </w:p>
        </w:tc>
        <w:tc>
          <w:tcPr>
            <w:tcW w:type="dxa" w:w="3872"/>
          </w:tcPr>
          <w:p>
            <w:pPr>
              <w:pStyle w:val="MDPI42tablebody"/>
              <w:spacing w:line="240" w:lineRule="auto" w:before="30" w:after="30"/>
              <w:jc w:val="left"/>
            </w:pPr>
            <w:r>
              <w:rPr>
                <w:b w:val="0"/>
                <w:i w:val="0"/>
                <w:sz w:val="18"/>
              </w:rPr>
              <w:t>all four reproduced within rounding error</w:t>
            </w:r>
          </w:p>
        </w:tc>
        <w:tc>
          <w:tcPr>
            <w:tcW w:type="dxa" w:w="1256"/>
          </w:tcPr>
          <w:p>
            <w:pPr>
              <w:pStyle w:val="MDPI42tablebody"/>
              <w:spacing w:line="240" w:lineRule="auto" w:before="30" w:after="30"/>
              <w:jc w:val="center"/>
            </w:pPr>
            <w:r>
              <w:rPr>
                <w:b w:val="0"/>
                <w:i w:val="0"/>
                <w:sz w:val="18"/>
              </w:rPr>
              <w:t>Passed</w:t>
            </w:r>
          </w:p>
        </w:tc>
      </w:tr>
    </w:tbl>
    <w:p>
      <w:pPr>
        <w:pStyle w:val="MDPI43tablefooter"/>
        <w:spacing w:line="240" w:lineRule="auto" w:before="40" w:after="200"/>
        <w:ind w:left="2608" w:firstLine="0"/>
      </w:pPr>
      <w:r>
        <w:rPr>
          <w:i/>
          <w:sz w:val="16"/>
        </w:rPr>
        <w:t xml:space="preserve">Note: </w:t>
      </w:r>
      <w:r>
        <w:rPr>
          <w:b w:val="0"/>
          <w:i w:val="0"/>
          <w:sz w:val="16"/>
        </w:rPr>
        <w:t xml:space="preserve">Tests follow the standard sequence for building confidence in system dynamics models </w:t>
      </w:r>
      <w:r>
        <w:rPr>
          <w:sz w:val="16"/>
        </w:rPr>
        <w:t>[</w:t>
      </w:r>
      <w:r>
        <w:rPr>
          <w:sz w:val="16"/>
        </w:rPr>
        <w:fldChar w:fldCharType="begin"/>
      </w:r>
      <w:r>
        <w:rPr>
          <w:sz w:val="16"/>
        </w:rPr>
        <w:instrText xml:space="preserve"> REF _Ref_31 \h </w:instrText>
      </w:r>
      <w:r>
        <w:rPr>
          <w:sz w:val="16"/>
        </w:rPr>
        <w:fldChar w:fldCharType="separate"/>
      </w:r>
      <w:r>
        <w:rPr>
          <w:sz w:val="16"/>
        </w:rPr>
        <w:t>31</w:t>
      </w:r>
      <w:r>
        <w:rPr>
          <w:sz w:val="16"/>
        </w:rPr>
        <w:fldChar w:fldCharType="end"/>
      </w:r>
      <w:r>
        <w:rPr>
          <w:sz w:val="16"/>
        </w:rPr>
        <w:t>,</w:t>
      </w:r>
      <w:r>
        <w:rPr>
          <w:sz w:val="16"/>
        </w:rPr>
        <w:fldChar w:fldCharType="begin"/>
      </w:r>
      <w:r>
        <w:rPr>
          <w:sz w:val="16"/>
        </w:rPr>
        <w:instrText xml:space="preserve"> REF _Ref_32 \h </w:instrText>
      </w:r>
      <w:r>
        <w:rPr>
          <w:sz w:val="16"/>
        </w:rPr>
        <w:fldChar w:fldCharType="separate"/>
      </w:r>
      <w:r>
        <w:rPr>
          <w:sz w:val="16"/>
        </w:rPr>
        <w:t>32</w:t>
      </w:r>
      <w:r>
        <w:rPr>
          <w:sz w:val="16"/>
        </w:rPr>
        <w:fldChar w:fldCharType="end"/>
      </w:r>
      <w:r>
        <w:rPr>
          <w:sz w:val="16"/>
        </w:rPr>
        <w:t>]</w:t>
      </w:r>
      <w:r>
        <w:rPr>
          <w:b w:val="0"/>
          <w:i w:val="0"/>
          <w:sz w:val="16"/>
        </w:rPr>
        <w:t>. The equilibrium test verifies that the pre-shock configuration is an exact fixed point; the integration-error test verifies that the reported behaviour is not an artefact of the time step.</w:t>
      </w:r>
    </w:p>
    <w:p>
      <w:pPr>
        <w:pStyle w:val="MDPI31text"/>
      </w:pPr>
      <w:r>
        <w:rPr>
          <w:b w:val="0"/>
          <w:i w:val="0"/>
        </w:rPr>
        <w:t xml:space="preserve">Two of the extreme-condition tests are worth reading closely because they discriminate the structure rather than merely confirming the code. With the development pipeline closed the senior stock decays at exactly the separation rate, </w:t>
      </w:r>
      <m:oMath>
        <m:r>
          <m:t xml:space="preserve">S</m:t>
        </m:r>
        <m:r>
          <m:rPr>
            <m:sty m:val="p"/>
          </m:rPr>
          <m:t xml:space="preserve">(</m:t>
        </m:r>
        <m:r>
          <m:rPr>
            <m:sty m:val="p"/>
          </m:rPr>
          <m:t xml:space="preserve">25</m:t>
        </m:r>
        <m:r>
          <m:rPr>
            <m:sty m:val="p"/>
          </m:rPr>
          <m:t xml:space="preserve">)</m:t>
        </m:r>
        <m:r>
          <m:rPr>
            <m:sty m:val="p"/>
          </m:rPr>
          <m:t xml:space="preserve">/</m:t>
        </m:r>
        <m:r>
          <m:t xml:space="preserve">S</m:t>
        </m:r>
        <m:r>
          <m:rPr>
            <m:sty m:val="p"/>
          </m:rPr>
          <m:t xml:space="preserve">(</m:t>
        </m:r>
        <m:r>
          <m:rPr>
            <m:sty m:val="p"/>
          </m:rPr>
          <m:t xml:space="preserve">0</m:t>
        </m:r>
        <m:r>
          <m:rPr>
            <m:sty m:val="p"/>
          </m:rPr>
          <m:t xml:space="preserve">)</m:t>
        </m:r>
        <m:r>
          <m:rPr>
            <m:sty m:val="p"/>
          </m:rPr>
          <m:t xml:space="preserve">=</m:t>
        </m:r>
        <m:r>
          <m:rPr>
            <m:sty m:val="p"/>
          </m:rPr>
          <m:t xml:space="preserve">0.1353</m:t>
        </m:r>
      </m:oMath>
      <w:r>
        <w:rPr>
          <w:b w:val="0"/>
          <w:i w:val="0"/>
        </w:rPr>
        <w:t xml:space="preserve"> against the analytical value </w:t>
      </w:r>
      <m:oMath>
        <m:sSup>
          <m:e>
            <m:r>
              <m:t xml:space="preserve">e</m:t>
            </m:r>
          </m:e>
          <m:sup>
            <m:r>
              <m:rPr>
                <m:sty m:val="p"/>
              </m:rPr>
              <m:t xml:space="preserve">-</m:t>
            </m:r>
            <m:sSub>
              <m:e>
                <m:r>
                  <m:t xml:space="preserve">δ</m:t>
                </m:r>
              </m:e>
              <m:sub>
                <m:r>
                  <m:t xml:space="preserve">S</m:t>
                </m:r>
              </m:sub>
            </m:sSub>
            <m:r>
              <m:t xml:space="preserve"> </m:t>
            </m:r>
            <m:r>
              <m:t xml:space="preserve">T</m:t>
            </m:r>
          </m:sup>
        </m:sSup>
        <m:r>
          <m:rPr>
            <m:sty m:val="p"/>
          </m:rPr>
          <m:t xml:space="preserve">=</m:t>
        </m:r>
        <m:r>
          <m:rPr>
            <m:sty m:val="p"/>
          </m:rPr>
          <m:t xml:space="preserve">0.1353</m:t>
        </m:r>
      </m:oMath>
      <w:r>
        <w:rPr>
          <w:b w:val="0"/>
          <w:i w:val="0"/>
        </w:rPr>
        <w:t>. With the automation ceiling set to zero, so that GenAI augments but never displaces, entry employment ends 3.7% above the counterfactual rather than below it — the model is capable of generating the complementarity regime and does not build the paper's conclusion into its structure.</w:t>
      </w:r>
    </w:p>
    <w:p>
      <w:pPr>
        <w:pStyle w:val="MDPI21heading1"/>
      </w:pPr>
      <w:r>
        <w:t>4. Results</w:t>
      </w:r>
    </w:p>
    <w:p>
      <w:pPr>
        <w:pStyle w:val="MDPI22heading2"/>
      </w:pPr>
      <w:r>
        <w:t>4.1. Baseline Dynamics: Displacement, Overshoot and Partial Recovery</w:t>
      </w:r>
    </w:p>
    <w:p>
      <w:pPr>
        <w:pStyle w:val="MDPI32textnoindent"/>
      </w:pPr>
      <w:r>
        <w:rPr>
          <w:b w:val="0"/>
          <w:i w:val="0"/>
        </w:rPr>
        <w:t xml:space="preserve">Figure 3 and Table 5 report the calibrated baseline. GenAI capability reaches three quarters of its eventual level within five years and 94.5% of the external frontier by year 25, whereas the routine stock accumulates far more slowly: the absorptive-capacity multiplier </w:t>
      </w:r>
      <m:oMath>
        <m:r>
          <m:t xml:space="preserve">Λ</m:t>
        </m:r>
      </m:oMath>
      <w:r>
        <w:rPr>
          <w:b w:val="0"/>
          <w:i w:val="0"/>
        </w:rPr>
        <w:t xml:space="preserve"> is still only 0.19 in year three and 0.53 in year 25. This is the quantitative expression of the asymmetry in Equation (20). By year three, automation has removed 25.7% of entry tasks while reinstatement has returned only 3.8% of core tasks, and entry employment is 15.0% below the counterfactual.</w:t>
      </w:r>
    </w:p>
    <w:p>
      <w:pPr>
        <w:pStyle w:val="MDPI52figure"/>
        <w:keepNext/>
        <w:jc w:val="center"/>
      </w:pPr>
      <w:r>
        <w:drawing>
          <wp:inline xmlns:a="http://schemas.openxmlformats.org/drawingml/2006/main" xmlns:pic="http://schemas.openxmlformats.org/drawingml/2006/picture">
            <wp:extent cx="6120000" cy="3491906"/>
            <wp:docPr id="3" name="Picture 3"/>
            <wp:cNvGraphicFramePr>
              <a:graphicFrameLocks noChangeAspect="1"/>
            </wp:cNvGraphicFramePr>
            <a:graphic>
              <a:graphicData uri="http://schemas.openxmlformats.org/drawingml/2006/picture">
                <pic:pic>
                  <pic:nvPicPr>
                    <pic:cNvPr id="0" name="figure3_baseline.png"/>
                    <pic:cNvPicPr/>
                  </pic:nvPicPr>
                  <pic:blipFill>
                    <a:blip r:embed="rId19"/>
                    <a:stretch>
                      <a:fillRect/>
                    </a:stretch>
                  </pic:blipFill>
                  <pic:spPr>
                    <a:xfrm>
                      <a:off x="0" y="0"/>
                      <a:ext cx="6120000" cy="3491906"/>
                    </a:xfrm>
                    <a:prstGeom prst="rect"/>
                  </pic:spPr>
                </pic:pic>
              </a:graphicData>
            </a:graphic>
          </wp:inline>
        </w:drawing>
      </w:r>
    </w:p>
    <w:p>
      <w:pPr>
        <w:pStyle w:val="MDPI51figurecaption"/>
        <w:keepNext/>
        <w:spacing w:after="40"/>
      </w:pPr>
      <w:r>
        <w:rPr>
          <w:b/>
          <w:sz w:val="18"/>
        </w:rPr>
        <w:t xml:space="preserve">Figure 3. </w:t>
      </w:r>
      <w:r>
        <w:rPr>
          <w:b w:val="0"/>
          <w:i w:val="0"/>
          <w:sz w:val="18"/>
        </w:rPr>
        <w:t>Baseline behaviour of the calibrated model. (a) Capability, utilisation, routines and absorptive capacity; (b) task shares; (c) workforce stocks against the counterfactual; (d) deviations from the counterfactual; (e) fulfilment, experiential quality and external availability; (f) output and unit cost.</w:t>
      </w:r>
    </w:p>
    <w:p>
      <w:pPr>
        <w:pStyle w:val="MDPI51figurecaption"/>
        <w:spacing w:line="240" w:lineRule="auto" w:before="0" w:after="200"/>
        <w:ind w:left="2608" w:firstLine="0"/>
      </w:pPr>
      <w:r>
        <w:rPr>
          <w:i/>
          <w:sz w:val="16"/>
        </w:rPr>
        <w:t xml:space="preserve">Note: </w:t>
      </w:r>
      <w:r>
        <w:rPr>
          <w:b w:val="0"/>
          <w:i w:val="0"/>
          <w:sz w:val="16"/>
        </w:rPr>
        <w:t>The counterfactual is a run of the identical model with the external generative-AI frontier held at zero. Time zero is the point at which the frontier becomes available.</w:t>
      </w:r>
    </w:p>
    <w:p>
      <w:pPr>
        <w:pStyle w:val="MDPI41tablecaption"/>
        <w:keepNext/>
        <w:spacing w:after="60"/>
      </w:pPr>
      <w:r>
        <w:rPr>
          <w:b/>
          <w:sz w:val="18"/>
        </w:rPr>
        <w:t xml:space="preserve">Table 5. </w:t>
      </w:r>
      <w:r>
        <w:rPr>
          <w:b w:val="0"/>
          <w:i w:val="0"/>
          <w:sz w:val="18"/>
        </w:rPr>
        <w:t>Baseline trajectory of the calibrated model.</w:t>
      </w:r>
    </w:p>
    <w:tbl>
      <w:tblPr>
        <w:tblStyle w:val="MDPI41threelinetable"/>
        <w:tblW w:w="10467"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CellMar>
          <w:top w:w="0" w:type="dxa"/>
          <w:left w:w="57" w:type="dxa"/>
          <w:bottom w:w="0" w:type="dxa"/>
          <w:right w:w="57" w:type="dxa"/>
        </w:tblCellMar>
        <w:tblLook w:firstColumn="1" w:firstRow="1" w:lastColumn="0" w:lastRow="0" w:noHBand="0" w:noVBand="1" w:val="04A0"/>
      </w:tblPr>
      <w:tblGrid>
        <w:gridCol w:w="816"/>
        <w:gridCol w:w="742"/>
        <w:gridCol w:w="742"/>
        <w:gridCol w:w="742"/>
        <w:gridCol w:w="742"/>
        <w:gridCol w:w="742"/>
        <w:gridCol w:w="742"/>
        <w:gridCol w:w="742"/>
        <w:gridCol w:w="742"/>
        <w:gridCol w:w="742"/>
        <w:gridCol w:w="742"/>
        <w:gridCol w:w="742"/>
        <w:gridCol w:w="742"/>
        <w:gridCol w:w="742"/>
      </w:tblGrid>
      <w:tr>
        <w:tc>
          <w:tcPr>
            <w:tcW w:type="dxa" w:w="816"/>
            <w:tcBorders>
              <w:bottom w:val="single" w:sz="8" w:space="0" w:color="auto"/>
            </w:tcBorders>
          </w:tcPr>
          <w:p>
            <w:pPr>
              <w:pStyle w:val="MDPI42tablebody"/>
              <w:spacing w:line="240" w:lineRule="auto" w:before="30" w:after="30"/>
              <w:jc w:val="center"/>
            </w:pPr>
            <w:r>
              <w:rPr>
                <w:b/>
                <w:i w:val="0"/>
                <w:sz w:val="16"/>
              </w:rPr>
              <w:t>t (yr)</w:t>
            </w:r>
          </w:p>
        </w:tc>
        <w:tc>
          <w:tcPr>
            <w:tcW w:type="dxa" w:w="742"/>
            <w:tcBorders>
              <w:bottom w:val="single" w:sz="8" w:space="0" w:color="auto"/>
            </w:tcBorders>
          </w:tcPr>
          <w:p>
            <w:pPr>
              <w:pStyle w:val="MDPI42tablebody"/>
              <w:spacing w:line="240" w:lineRule="auto" w:before="30" w:after="30"/>
              <w:jc w:val="center"/>
            </w:pPr>
            <w:r>
              <w:rPr>
                <w:b/>
                <w:i w:val="0"/>
                <w:sz w:val="16"/>
              </w:rPr>
              <w:t>A</w:t>
            </w:r>
          </w:p>
        </w:tc>
        <w:tc>
          <w:tcPr>
            <w:tcW w:type="dxa" w:w="742"/>
            <w:tcBorders>
              <w:bottom w:val="single" w:sz="8" w:space="0" w:color="auto"/>
            </w:tcBorders>
          </w:tcPr>
          <w:p>
            <w:pPr>
              <w:pStyle w:val="MDPI42tablebody"/>
              <w:spacing w:line="240" w:lineRule="auto" w:before="30" w:after="30"/>
              <w:jc w:val="center"/>
            </w:pPr>
            <w:r>
              <w:rPr>
                <w:b/>
                <w:i w:val="0"/>
                <w:sz w:val="16"/>
              </w:rPr>
              <w:t>u</w:t>
            </w:r>
          </w:p>
        </w:tc>
        <w:tc>
          <w:tcPr>
            <w:tcW w:type="dxa" w:w="742"/>
            <w:tcBorders>
              <w:bottom w:val="single" w:sz="8" w:space="0" w:color="auto"/>
            </w:tcBorders>
          </w:tcPr>
          <w:p>
            <w:pPr>
              <w:pStyle w:val="MDPI42tablebody"/>
              <w:spacing w:line="240" w:lineRule="auto" w:before="30" w:after="30"/>
              <w:jc w:val="center"/>
            </w:pPr>
            <w:r>
              <w:rPr>
                <w:b/>
                <w:i w:val="0"/>
                <w:sz w:val="16"/>
              </w:rPr>
              <w:t>K</w:t>
            </w:r>
          </w:p>
        </w:tc>
        <w:tc>
          <w:tcPr>
            <w:tcW w:type="dxa" w:w="742"/>
            <w:tcBorders>
              <w:bottom w:val="single" w:sz="8" w:space="0" w:color="auto"/>
            </w:tcBorders>
          </w:tcPr>
          <w:p>
            <w:pPr>
              <w:pStyle w:val="MDPI42tablebody"/>
              <w:spacing w:line="240" w:lineRule="auto" w:before="30" w:after="30"/>
              <w:jc w:val="center"/>
            </w:pPr>
            <w:r>
              <w:rPr>
                <w:b/>
                <w:i w:val="0"/>
                <w:sz w:val="16"/>
              </w:rPr>
              <w:t>Λ</w:t>
            </w:r>
          </w:p>
        </w:tc>
        <w:tc>
          <w:tcPr>
            <w:tcW w:type="dxa" w:w="742"/>
            <w:tcBorders>
              <w:bottom w:val="single" w:sz="8" w:space="0" w:color="auto"/>
            </w:tcBorders>
          </w:tcPr>
          <w:p>
            <w:pPr>
              <w:pStyle w:val="MDPI42tablebody"/>
              <w:spacing w:line="240" w:lineRule="auto" w:before="30" w:after="30"/>
              <w:jc w:val="center"/>
            </w:pPr>
            <w:r>
              <w:rPr>
                <w:b/>
                <w:i w:val="0"/>
                <w:sz w:val="16"/>
              </w:rPr>
              <w:t>α</w:t>
            </w:r>
          </w:p>
        </w:tc>
        <w:tc>
          <w:tcPr>
            <w:tcW w:type="dxa" w:w="742"/>
            <w:tcBorders>
              <w:bottom w:val="single" w:sz="8" w:space="0" w:color="auto"/>
            </w:tcBorders>
          </w:tcPr>
          <w:p>
            <w:pPr>
              <w:pStyle w:val="MDPI42tablebody"/>
              <w:spacing w:line="240" w:lineRule="auto" w:before="30" w:after="30"/>
              <w:jc w:val="center"/>
            </w:pPr>
            <w:r>
              <w:rPr>
                <w:b/>
                <w:i w:val="0"/>
                <w:sz w:val="16"/>
              </w:rPr>
              <w:t>ρ</w:t>
            </w:r>
          </w:p>
        </w:tc>
        <w:tc>
          <w:tcPr>
            <w:tcW w:type="dxa" w:w="742"/>
            <w:tcBorders>
              <w:bottom w:val="single" w:sz="8" w:space="0" w:color="auto"/>
            </w:tcBorders>
          </w:tcPr>
          <w:p>
            <w:pPr>
              <w:pStyle w:val="MDPI42tablebody"/>
              <w:spacing w:line="240" w:lineRule="auto" w:before="30" w:after="30"/>
              <w:jc w:val="center"/>
            </w:pPr>
            <w:r>
              <w:rPr>
                <w:b/>
                <w:i w:val="0"/>
                <w:sz w:val="16"/>
              </w:rPr>
              <w:t>x</w:t>
            </w:r>
          </w:p>
        </w:tc>
        <w:tc>
          <w:tcPr>
            <w:tcW w:type="dxa" w:w="742"/>
            <w:tcBorders>
              <w:bottom w:val="single" w:sz="8" w:space="0" w:color="auto"/>
            </w:tcBorders>
          </w:tcPr>
          <w:p>
            <w:pPr>
              <w:pStyle w:val="MDPI42tablebody"/>
              <w:spacing w:line="240" w:lineRule="auto" w:before="30" w:after="30"/>
              <w:jc w:val="center"/>
            </w:pPr>
            <w:r>
              <w:rPr>
                <w:b/>
                <w:i w:val="0"/>
                <w:sz w:val="16"/>
              </w:rPr>
              <w:t>Φ</w:t>
            </w:r>
          </w:p>
        </w:tc>
        <w:tc>
          <w:tcPr>
            <w:tcW w:type="dxa" w:w="742"/>
            <w:tcBorders>
              <w:bottom w:val="single" w:sz="8" w:space="0" w:color="auto"/>
            </w:tcBorders>
          </w:tcPr>
          <w:p>
            <w:pPr>
              <w:pStyle w:val="MDPI42tablebody"/>
              <w:spacing w:line="240" w:lineRule="auto" w:before="30" w:after="30"/>
              <w:jc w:val="center"/>
            </w:pPr>
            <w:r>
              <w:rPr>
                <w:b/>
                <w:i w:val="0"/>
                <w:sz w:val="16"/>
              </w:rPr>
              <w:t>ΔJ (%)</w:t>
            </w:r>
          </w:p>
        </w:tc>
        <w:tc>
          <w:tcPr>
            <w:tcW w:type="dxa" w:w="742"/>
            <w:tcBorders>
              <w:bottom w:val="single" w:sz="8" w:space="0" w:color="auto"/>
            </w:tcBorders>
          </w:tcPr>
          <w:p>
            <w:pPr>
              <w:pStyle w:val="MDPI42tablebody"/>
              <w:spacing w:line="240" w:lineRule="auto" w:before="30" w:after="30"/>
              <w:jc w:val="center"/>
            </w:pPr>
            <w:r>
              <w:rPr>
                <w:b/>
                <w:i w:val="0"/>
                <w:sz w:val="16"/>
              </w:rPr>
              <w:t>ΔS (%)</w:t>
            </w:r>
          </w:p>
        </w:tc>
        <w:tc>
          <w:tcPr>
            <w:tcW w:type="dxa" w:w="742"/>
            <w:tcBorders>
              <w:bottom w:val="single" w:sz="8" w:space="0" w:color="auto"/>
            </w:tcBorders>
          </w:tcPr>
          <w:p>
            <w:pPr>
              <w:pStyle w:val="MDPI42tablebody"/>
              <w:spacing w:line="240" w:lineRule="auto" w:before="30" w:after="30"/>
              <w:jc w:val="center"/>
            </w:pPr>
            <w:r>
              <w:rPr>
                <w:b/>
                <w:i w:val="0"/>
                <w:sz w:val="16"/>
              </w:rPr>
              <w:t>ΔY (%)</w:t>
            </w:r>
          </w:p>
        </w:tc>
        <w:tc>
          <w:tcPr>
            <w:tcW w:type="dxa" w:w="742"/>
            <w:tcBorders>
              <w:bottom w:val="single" w:sz="8" w:space="0" w:color="auto"/>
            </w:tcBorders>
          </w:tcPr>
          <w:p>
            <w:pPr>
              <w:pStyle w:val="MDPI42tablebody"/>
              <w:spacing w:line="240" w:lineRule="auto" w:before="30" w:after="30"/>
              <w:jc w:val="center"/>
            </w:pPr>
            <w:r>
              <w:rPr>
                <w:b/>
                <w:i w:val="0"/>
                <w:sz w:val="16"/>
              </w:rPr>
              <w:t>ΔC (%)</w:t>
            </w:r>
          </w:p>
        </w:tc>
        <w:tc>
          <w:tcPr>
            <w:tcW w:type="dxa" w:w="742"/>
            <w:tcBorders>
              <w:bottom w:val="single" w:sz="8" w:space="0" w:color="auto"/>
            </w:tcBorders>
          </w:tcPr>
          <w:p>
            <w:pPr>
              <w:pStyle w:val="MDPI42tablebody"/>
              <w:spacing w:line="240" w:lineRule="auto" w:before="30" w:after="30"/>
              <w:jc w:val="center"/>
            </w:pPr>
            <w:r>
              <w:rPr>
                <w:b/>
                <w:i w:val="0"/>
                <w:sz w:val="16"/>
              </w:rPr>
              <w:t>E</w:t>
            </w:r>
          </w:p>
        </w:tc>
      </w:tr>
      <w:tr>
        <w:tc>
          <w:tcPr>
            <w:tcW w:type="dxa" w:w="816"/>
          </w:tcPr>
          <w:p>
            <w:pPr>
              <w:pStyle w:val="MDPI42tablebody"/>
              <w:spacing w:line="240" w:lineRule="auto" w:before="30" w:after="30"/>
              <w:jc w:val="center"/>
            </w:pPr>
            <w:r>
              <w:rPr>
                <w:b w:val="0"/>
                <w:i w:val="0"/>
                <w:sz w:val="16"/>
              </w:rPr>
              <w:t>0</w:t>
            </w:r>
          </w:p>
        </w:tc>
        <w:tc>
          <w:tcPr>
            <w:tcW w:type="dxa" w:w="742"/>
          </w:tcPr>
          <w:p>
            <w:pPr>
              <w:pStyle w:val="MDPI42tablebody"/>
              <w:spacing w:line="240" w:lineRule="auto" w:before="30" w:after="30"/>
              <w:jc w:val="center"/>
            </w:pPr>
            <w:r>
              <w:rPr>
                <w:b w:val="0"/>
                <w:i w:val="0"/>
                <w:sz w:val="16"/>
              </w:rPr>
              <w:t>0.000</w:t>
            </w:r>
          </w:p>
        </w:tc>
        <w:tc>
          <w:tcPr>
            <w:tcW w:type="dxa" w:w="742"/>
          </w:tcPr>
          <w:p>
            <w:pPr>
              <w:pStyle w:val="MDPI42tablebody"/>
              <w:spacing w:line="240" w:lineRule="auto" w:before="30" w:after="30"/>
              <w:jc w:val="center"/>
            </w:pPr>
            <w:r>
              <w:rPr>
                <w:b w:val="0"/>
                <w:i w:val="0"/>
                <w:sz w:val="16"/>
              </w:rPr>
              <w:t>0.000</w:t>
            </w:r>
          </w:p>
        </w:tc>
        <w:tc>
          <w:tcPr>
            <w:tcW w:type="dxa" w:w="742"/>
          </w:tcPr>
          <w:p>
            <w:pPr>
              <w:pStyle w:val="MDPI42tablebody"/>
              <w:spacing w:line="240" w:lineRule="auto" w:before="30" w:after="30"/>
              <w:jc w:val="center"/>
            </w:pPr>
            <w:r>
              <w:rPr>
                <w:b w:val="0"/>
                <w:i w:val="0"/>
                <w:sz w:val="16"/>
              </w:rPr>
              <w:t>0.000</w:t>
            </w:r>
          </w:p>
        </w:tc>
        <w:tc>
          <w:tcPr>
            <w:tcW w:type="dxa" w:w="742"/>
          </w:tcPr>
          <w:p>
            <w:pPr>
              <w:pStyle w:val="MDPI42tablebody"/>
              <w:spacing w:line="240" w:lineRule="auto" w:before="30" w:after="30"/>
              <w:jc w:val="center"/>
            </w:pPr>
            <w:r>
              <w:rPr>
                <w:b w:val="0"/>
                <w:i w:val="0"/>
                <w:sz w:val="16"/>
              </w:rPr>
              <w:t>0.000</w:t>
            </w:r>
          </w:p>
        </w:tc>
        <w:tc>
          <w:tcPr>
            <w:tcW w:type="dxa" w:w="742"/>
          </w:tcPr>
          <w:p>
            <w:pPr>
              <w:pStyle w:val="MDPI42tablebody"/>
              <w:spacing w:line="240" w:lineRule="auto" w:before="30" w:after="30"/>
              <w:jc w:val="center"/>
            </w:pPr>
            <w:r>
              <w:rPr>
                <w:b w:val="0"/>
                <w:i w:val="0"/>
                <w:sz w:val="16"/>
              </w:rPr>
              <w:t>0.000</w:t>
            </w:r>
          </w:p>
        </w:tc>
        <w:tc>
          <w:tcPr>
            <w:tcW w:type="dxa" w:w="742"/>
          </w:tcPr>
          <w:p>
            <w:pPr>
              <w:pStyle w:val="MDPI42tablebody"/>
              <w:spacing w:line="240" w:lineRule="auto" w:before="30" w:after="30"/>
              <w:jc w:val="center"/>
            </w:pPr>
            <w:r>
              <w:rPr>
                <w:b w:val="0"/>
                <w:i w:val="0"/>
                <w:sz w:val="16"/>
              </w:rPr>
              <w:t>0.000</w:t>
            </w:r>
          </w:p>
        </w:tc>
        <w:tc>
          <w:tcPr>
            <w:tcW w:type="dxa" w:w="742"/>
          </w:tcPr>
          <w:p>
            <w:pPr>
              <w:pStyle w:val="MDPI42tablebody"/>
              <w:spacing w:line="240" w:lineRule="auto" w:before="30" w:after="30"/>
              <w:jc w:val="center"/>
            </w:pPr>
            <w:r>
              <w:rPr>
                <w:b w:val="0"/>
                <w:i w:val="0"/>
                <w:sz w:val="16"/>
              </w:rPr>
              <w:t>1.000</w:t>
            </w:r>
          </w:p>
        </w:tc>
        <w:tc>
          <w:tcPr>
            <w:tcW w:type="dxa" w:w="742"/>
          </w:tcPr>
          <w:p>
            <w:pPr>
              <w:pStyle w:val="MDPI42tablebody"/>
              <w:spacing w:line="240" w:lineRule="auto" w:before="30" w:after="30"/>
              <w:jc w:val="center"/>
            </w:pPr>
            <w:r>
              <w:rPr>
                <w:b w:val="0"/>
                <w:i w:val="0"/>
                <w:sz w:val="16"/>
              </w:rPr>
              <w:t>1.000</w:t>
            </w:r>
          </w:p>
        </w:tc>
        <w:tc>
          <w:tcPr>
            <w:tcW w:type="dxa" w:w="742"/>
          </w:tcPr>
          <w:p>
            <w:pPr>
              <w:pStyle w:val="MDPI42tablebody"/>
              <w:spacing w:line="240" w:lineRule="auto" w:before="30" w:after="30"/>
              <w:jc w:val="center"/>
            </w:pPr>
            <w:r>
              <w:rPr>
                <w:b w:val="0"/>
                <w:i w:val="0"/>
                <w:sz w:val="16"/>
              </w:rPr>
              <w:t>0.0</w:t>
            </w:r>
          </w:p>
        </w:tc>
        <w:tc>
          <w:tcPr>
            <w:tcW w:type="dxa" w:w="742"/>
          </w:tcPr>
          <w:p>
            <w:pPr>
              <w:pStyle w:val="MDPI42tablebody"/>
              <w:spacing w:line="240" w:lineRule="auto" w:before="30" w:after="30"/>
              <w:jc w:val="center"/>
            </w:pPr>
            <w:r>
              <w:rPr>
                <w:b w:val="0"/>
                <w:i w:val="0"/>
                <w:sz w:val="16"/>
              </w:rPr>
              <w:t>0.0</w:t>
            </w:r>
          </w:p>
        </w:tc>
        <w:tc>
          <w:tcPr>
            <w:tcW w:type="dxa" w:w="742"/>
          </w:tcPr>
          <w:p>
            <w:pPr>
              <w:pStyle w:val="MDPI42tablebody"/>
              <w:spacing w:line="240" w:lineRule="auto" w:before="30" w:after="30"/>
              <w:jc w:val="center"/>
            </w:pPr>
            <w:r>
              <w:rPr>
                <w:b w:val="0"/>
                <w:i w:val="0"/>
                <w:sz w:val="16"/>
              </w:rPr>
              <w:t>0.0</w:t>
            </w:r>
          </w:p>
        </w:tc>
        <w:tc>
          <w:tcPr>
            <w:tcW w:type="dxa" w:w="742"/>
          </w:tcPr>
          <w:p>
            <w:pPr>
              <w:pStyle w:val="MDPI42tablebody"/>
              <w:spacing w:line="240" w:lineRule="auto" w:before="30" w:after="30"/>
              <w:jc w:val="center"/>
            </w:pPr>
            <w:r>
              <w:rPr>
                <w:b w:val="0"/>
                <w:i w:val="0"/>
                <w:sz w:val="16"/>
              </w:rPr>
              <w:t>0.0</w:t>
            </w:r>
          </w:p>
        </w:tc>
        <w:tc>
          <w:tcPr>
            <w:tcW w:type="dxa" w:w="742"/>
          </w:tcPr>
          <w:p>
            <w:pPr>
              <w:pStyle w:val="MDPI42tablebody"/>
              <w:spacing w:line="240" w:lineRule="auto" w:before="30" w:after="30"/>
              <w:jc w:val="center"/>
            </w:pPr>
            <w:r>
              <w:rPr>
                <w:b w:val="0"/>
                <w:i w:val="0"/>
                <w:sz w:val="16"/>
              </w:rPr>
              <w:t>0.000</w:t>
            </w:r>
          </w:p>
        </w:tc>
      </w:tr>
      <w:tr>
        <w:tc>
          <w:tcPr>
            <w:tcW w:type="dxa" w:w="816"/>
          </w:tcPr>
          <w:p>
            <w:pPr>
              <w:pStyle w:val="MDPI42tablebody"/>
              <w:spacing w:line="240" w:lineRule="auto" w:before="30" w:after="30"/>
              <w:jc w:val="center"/>
            </w:pPr>
            <w:r>
              <w:rPr>
                <w:b w:val="0"/>
                <w:i w:val="0"/>
                <w:sz w:val="16"/>
              </w:rPr>
              <w:t>1</w:t>
            </w:r>
          </w:p>
        </w:tc>
        <w:tc>
          <w:tcPr>
            <w:tcW w:type="dxa" w:w="742"/>
          </w:tcPr>
          <w:p>
            <w:pPr>
              <w:pStyle w:val="MDPI42tablebody"/>
              <w:spacing w:line="240" w:lineRule="auto" w:before="30" w:after="30"/>
              <w:jc w:val="center"/>
            </w:pPr>
            <w:r>
              <w:rPr>
                <w:b w:val="0"/>
                <w:i w:val="0"/>
                <w:sz w:val="16"/>
              </w:rPr>
              <w:t>0.093</w:t>
            </w:r>
          </w:p>
        </w:tc>
        <w:tc>
          <w:tcPr>
            <w:tcW w:type="dxa" w:w="742"/>
          </w:tcPr>
          <w:p>
            <w:pPr>
              <w:pStyle w:val="MDPI42tablebody"/>
              <w:spacing w:line="240" w:lineRule="auto" w:before="30" w:after="30"/>
              <w:jc w:val="center"/>
            </w:pPr>
            <w:r>
              <w:rPr>
                <w:b w:val="0"/>
                <w:i w:val="0"/>
                <w:sz w:val="16"/>
              </w:rPr>
              <w:t>0.256</w:t>
            </w:r>
          </w:p>
        </w:tc>
        <w:tc>
          <w:tcPr>
            <w:tcW w:type="dxa" w:w="742"/>
          </w:tcPr>
          <w:p>
            <w:pPr>
              <w:pStyle w:val="MDPI42tablebody"/>
              <w:spacing w:line="240" w:lineRule="auto" w:before="30" w:after="30"/>
              <w:jc w:val="center"/>
            </w:pPr>
            <w:r>
              <w:rPr>
                <w:b w:val="0"/>
                <w:i w:val="0"/>
                <w:sz w:val="16"/>
              </w:rPr>
              <w:t>0.036</w:t>
            </w:r>
          </w:p>
        </w:tc>
        <w:tc>
          <w:tcPr>
            <w:tcW w:type="dxa" w:w="742"/>
          </w:tcPr>
          <w:p>
            <w:pPr>
              <w:pStyle w:val="MDPI42tablebody"/>
              <w:spacing w:line="240" w:lineRule="auto" w:before="30" w:after="30"/>
              <w:jc w:val="center"/>
            </w:pPr>
            <w:r>
              <w:rPr>
                <w:b w:val="0"/>
                <w:i w:val="0"/>
                <w:sz w:val="16"/>
              </w:rPr>
              <w:t>0.035</w:t>
            </w:r>
          </w:p>
        </w:tc>
        <w:tc>
          <w:tcPr>
            <w:tcW w:type="dxa" w:w="742"/>
          </w:tcPr>
          <w:p>
            <w:pPr>
              <w:pStyle w:val="MDPI42tablebody"/>
              <w:spacing w:line="240" w:lineRule="auto" w:before="30" w:after="30"/>
              <w:jc w:val="center"/>
            </w:pPr>
            <w:r>
              <w:rPr>
                <w:b w:val="0"/>
                <w:i w:val="0"/>
                <w:sz w:val="16"/>
              </w:rPr>
              <w:t>0.020</w:t>
            </w:r>
          </w:p>
        </w:tc>
        <w:tc>
          <w:tcPr>
            <w:tcW w:type="dxa" w:w="742"/>
          </w:tcPr>
          <w:p>
            <w:pPr>
              <w:pStyle w:val="MDPI42tablebody"/>
              <w:spacing w:line="240" w:lineRule="auto" w:before="30" w:after="30"/>
              <w:jc w:val="center"/>
            </w:pPr>
            <w:r>
              <w:rPr>
                <w:b w:val="0"/>
                <w:i w:val="0"/>
                <w:sz w:val="16"/>
              </w:rPr>
              <w:t>0.003</w:t>
            </w:r>
          </w:p>
        </w:tc>
        <w:tc>
          <w:tcPr>
            <w:tcW w:type="dxa" w:w="742"/>
          </w:tcPr>
          <w:p>
            <w:pPr>
              <w:pStyle w:val="MDPI42tablebody"/>
              <w:spacing w:line="240" w:lineRule="auto" w:before="30" w:after="30"/>
              <w:jc w:val="center"/>
            </w:pPr>
            <w:r>
              <w:rPr>
                <w:b w:val="0"/>
                <w:i w:val="0"/>
                <w:sz w:val="16"/>
              </w:rPr>
              <w:t>0.997</w:t>
            </w:r>
          </w:p>
        </w:tc>
        <w:tc>
          <w:tcPr>
            <w:tcW w:type="dxa" w:w="742"/>
          </w:tcPr>
          <w:p>
            <w:pPr>
              <w:pStyle w:val="MDPI42tablebody"/>
              <w:spacing w:line="240" w:lineRule="auto" w:before="30" w:after="30"/>
              <w:jc w:val="center"/>
            </w:pPr>
            <w:r>
              <w:rPr>
                <w:b w:val="0"/>
                <w:i w:val="0"/>
                <w:sz w:val="16"/>
              </w:rPr>
              <w:t>1.000</w:t>
            </w:r>
          </w:p>
        </w:tc>
        <w:tc>
          <w:tcPr>
            <w:tcW w:type="dxa" w:w="742"/>
          </w:tcPr>
          <w:p>
            <w:pPr>
              <w:pStyle w:val="MDPI42tablebody"/>
              <w:spacing w:line="240" w:lineRule="auto" w:before="30" w:after="30"/>
              <w:jc w:val="center"/>
            </w:pPr>
            <w:r>
              <w:rPr>
                <w:b w:val="0"/>
                <w:i w:val="0"/>
                <w:sz w:val="16"/>
              </w:rPr>
              <w:t>−0.5</w:t>
            </w:r>
          </w:p>
        </w:tc>
        <w:tc>
          <w:tcPr>
            <w:tcW w:type="dxa" w:w="742"/>
          </w:tcPr>
          <w:p>
            <w:pPr>
              <w:pStyle w:val="MDPI42tablebody"/>
              <w:spacing w:line="240" w:lineRule="auto" w:before="30" w:after="30"/>
              <w:jc w:val="center"/>
            </w:pPr>
            <w:r>
              <w:rPr>
                <w:b w:val="0"/>
                <w:i w:val="0"/>
                <w:sz w:val="16"/>
              </w:rPr>
              <w:t>−0.1</w:t>
            </w:r>
          </w:p>
        </w:tc>
        <w:tc>
          <w:tcPr>
            <w:tcW w:type="dxa" w:w="742"/>
          </w:tcPr>
          <w:p>
            <w:pPr>
              <w:pStyle w:val="MDPI42tablebody"/>
              <w:spacing w:line="240" w:lineRule="auto" w:before="30" w:after="30"/>
              <w:jc w:val="center"/>
            </w:pPr>
            <w:r>
              <w:rPr>
                <w:b w:val="0"/>
                <w:i w:val="0"/>
                <w:sz w:val="16"/>
              </w:rPr>
              <w:t>0.3</w:t>
            </w:r>
          </w:p>
        </w:tc>
        <w:tc>
          <w:tcPr>
            <w:tcW w:type="dxa" w:w="742"/>
          </w:tcPr>
          <w:p>
            <w:pPr>
              <w:pStyle w:val="MDPI42tablebody"/>
              <w:spacing w:line="240" w:lineRule="auto" w:before="30" w:after="30"/>
              <w:jc w:val="center"/>
            </w:pPr>
            <w:r>
              <w:rPr>
                <w:b w:val="0"/>
                <w:i w:val="0"/>
                <w:sz w:val="16"/>
              </w:rPr>
              <w:t>1.4</w:t>
            </w:r>
          </w:p>
        </w:tc>
        <w:tc>
          <w:tcPr>
            <w:tcW w:type="dxa" w:w="742"/>
          </w:tcPr>
          <w:p>
            <w:pPr>
              <w:pStyle w:val="MDPI42tablebody"/>
              <w:spacing w:line="240" w:lineRule="auto" w:before="30" w:after="30"/>
              <w:jc w:val="center"/>
            </w:pPr>
            <w:r>
              <w:rPr>
                <w:b w:val="0"/>
                <w:i w:val="0"/>
                <w:sz w:val="16"/>
              </w:rPr>
              <w:t>−0.040</w:t>
            </w:r>
          </w:p>
        </w:tc>
      </w:tr>
      <w:tr>
        <w:tc>
          <w:tcPr>
            <w:tcW w:type="dxa" w:w="816"/>
          </w:tcPr>
          <w:p>
            <w:pPr>
              <w:pStyle w:val="MDPI42tablebody"/>
              <w:spacing w:line="240" w:lineRule="auto" w:before="30" w:after="30"/>
              <w:jc w:val="center"/>
            </w:pPr>
            <w:r>
              <w:rPr>
                <w:b w:val="0"/>
                <w:i w:val="0"/>
                <w:sz w:val="16"/>
              </w:rPr>
              <w:t>3</w:t>
            </w:r>
          </w:p>
        </w:tc>
        <w:tc>
          <w:tcPr>
            <w:tcW w:type="dxa" w:w="742"/>
          </w:tcPr>
          <w:p>
            <w:pPr>
              <w:pStyle w:val="MDPI42tablebody"/>
              <w:spacing w:line="240" w:lineRule="auto" w:before="30" w:after="30"/>
              <w:jc w:val="center"/>
            </w:pPr>
            <w:r>
              <w:rPr>
                <w:b w:val="0"/>
                <w:i w:val="0"/>
                <w:sz w:val="16"/>
              </w:rPr>
              <w:t>0.433</w:t>
            </w:r>
          </w:p>
        </w:tc>
        <w:tc>
          <w:tcPr>
            <w:tcW w:type="dxa" w:w="742"/>
          </w:tcPr>
          <w:p>
            <w:pPr>
              <w:pStyle w:val="MDPI42tablebody"/>
              <w:spacing w:line="240" w:lineRule="auto" w:before="30" w:after="30"/>
              <w:jc w:val="center"/>
            </w:pPr>
            <w:r>
              <w:rPr>
                <w:b w:val="0"/>
                <w:i w:val="0"/>
                <w:sz w:val="16"/>
              </w:rPr>
              <w:t>0.568</w:t>
            </w:r>
          </w:p>
        </w:tc>
        <w:tc>
          <w:tcPr>
            <w:tcW w:type="dxa" w:w="742"/>
          </w:tcPr>
          <w:p>
            <w:pPr>
              <w:pStyle w:val="MDPI42tablebody"/>
              <w:spacing w:line="240" w:lineRule="auto" w:before="30" w:after="30"/>
              <w:jc w:val="center"/>
            </w:pPr>
            <w:r>
              <w:rPr>
                <w:b w:val="0"/>
                <w:i w:val="0"/>
                <w:sz w:val="16"/>
              </w:rPr>
              <w:t>0.234</w:t>
            </w:r>
          </w:p>
        </w:tc>
        <w:tc>
          <w:tcPr>
            <w:tcW w:type="dxa" w:w="742"/>
          </w:tcPr>
          <w:p>
            <w:pPr>
              <w:pStyle w:val="MDPI42tablebody"/>
              <w:spacing w:line="240" w:lineRule="auto" w:before="30" w:after="30"/>
              <w:jc w:val="center"/>
            </w:pPr>
            <w:r>
              <w:rPr>
                <w:b w:val="0"/>
                <w:i w:val="0"/>
                <w:sz w:val="16"/>
              </w:rPr>
              <w:t>0.190</w:t>
            </w:r>
          </w:p>
        </w:tc>
        <w:tc>
          <w:tcPr>
            <w:tcW w:type="dxa" w:w="742"/>
          </w:tcPr>
          <w:p>
            <w:pPr>
              <w:pStyle w:val="MDPI42tablebody"/>
              <w:spacing w:line="240" w:lineRule="auto" w:before="30" w:after="30"/>
              <w:jc w:val="center"/>
            </w:pPr>
            <w:r>
              <w:rPr>
                <w:b w:val="0"/>
                <w:i w:val="0"/>
                <w:sz w:val="16"/>
              </w:rPr>
              <w:t>0.257</w:t>
            </w:r>
          </w:p>
        </w:tc>
        <w:tc>
          <w:tcPr>
            <w:tcW w:type="dxa" w:w="742"/>
          </w:tcPr>
          <w:p>
            <w:pPr>
              <w:pStyle w:val="MDPI42tablebody"/>
              <w:spacing w:line="240" w:lineRule="auto" w:before="30" w:after="30"/>
              <w:jc w:val="center"/>
            </w:pPr>
            <w:r>
              <w:rPr>
                <w:b w:val="0"/>
                <w:i w:val="0"/>
                <w:sz w:val="16"/>
              </w:rPr>
              <w:t>0.038</w:t>
            </w:r>
          </w:p>
        </w:tc>
        <w:tc>
          <w:tcPr>
            <w:tcW w:type="dxa" w:w="742"/>
          </w:tcPr>
          <w:p>
            <w:pPr>
              <w:pStyle w:val="MDPI42tablebody"/>
              <w:spacing w:line="240" w:lineRule="auto" w:before="30" w:after="30"/>
              <w:jc w:val="center"/>
            </w:pPr>
            <w:r>
              <w:rPr>
                <w:b w:val="0"/>
                <w:i w:val="0"/>
                <w:sz w:val="16"/>
              </w:rPr>
              <w:t>0.957</w:t>
            </w:r>
          </w:p>
        </w:tc>
        <w:tc>
          <w:tcPr>
            <w:tcW w:type="dxa" w:w="742"/>
          </w:tcPr>
          <w:p>
            <w:pPr>
              <w:pStyle w:val="MDPI42tablebody"/>
              <w:spacing w:line="240" w:lineRule="auto" w:before="30" w:after="30"/>
              <w:jc w:val="center"/>
            </w:pPr>
            <w:r>
              <w:rPr>
                <w:b w:val="0"/>
                <w:i w:val="0"/>
                <w:sz w:val="16"/>
              </w:rPr>
              <w:t>1.000</w:t>
            </w:r>
          </w:p>
        </w:tc>
        <w:tc>
          <w:tcPr>
            <w:tcW w:type="dxa" w:w="742"/>
          </w:tcPr>
          <w:p>
            <w:pPr>
              <w:pStyle w:val="MDPI42tablebody"/>
              <w:spacing w:line="240" w:lineRule="auto" w:before="30" w:after="30"/>
              <w:jc w:val="center"/>
            </w:pPr>
            <w:r>
              <w:rPr>
                <w:b w:val="0"/>
                <w:i w:val="0"/>
                <w:sz w:val="16"/>
              </w:rPr>
              <w:t>−15.0</w:t>
            </w:r>
          </w:p>
        </w:tc>
        <w:tc>
          <w:tcPr>
            <w:tcW w:type="dxa" w:w="742"/>
          </w:tcPr>
          <w:p>
            <w:pPr>
              <w:pStyle w:val="MDPI42tablebody"/>
              <w:spacing w:line="240" w:lineRule="auto" w:before="30" w:after="30"/>
              <w:jc w:val="center"/>
            </w:pPr>
            <w:r>
              <w:rPr>
                <w:b w:val="0"/>
                <w:i w:val="0"/>
                <w:sz w:val="16"/>
              </w:rPr>
              <w:t>−1.6</w:t>
            </w:r>
          </w:p>
        </w:tc>
        <w:tc>
          <w:tcPr>
            <w:tcW w:type="dxa" w:w="742"/>
          </w:tcPr>
          <w:p>
            <w:pPr>
              <w:pStyle w:val="MDPI42tablebody"/>
              <w:spacing w:line="240" w:lineRule="auto" w:before="30" w:after="30"/>
              <w:jc w:val="center"/>
            </w:pPr>
            <w:r>
              <w:rPr>
                <w:b w:val="0"/>
                <w:i w:val="0"/>
                <w:sz w:val="16"/>
              </w:rPr>
              <w:t>1.2</w:t>
            </w:r>
          </w:p>
        </w:tc>
        <w:tc>
          <w:tcPr>
            <w:tcW w:type="dxa" w:w="742"/>
          </w:tcPr>
          <w:p>
            <w:pPr>
              <w:pStyle w:val="MDPI42tablebody"/>
              <w:spacing w:line="240" w:lineRule="auto" w:before="30" w:after="30"/>
              <w:jc w:val="center"/>
            </w:pPr>
            <w:r>
              <w:rPr>
                <w:b w:val="0"/>
                <w:i w:val="0"/>
                <w:sz w:val="16"/>
              </w:rPr>
              <w:t>−2.3</w:t>
            </w:r>
          </w:p>
        </w:tc>
        <w:tc>
          <w:tcPr>
            <w:tcW w:type="dxa" w:w="742"/>
          </w:tcPr>
          <w:p>
            <w:pPr>
              <w:pStyle w:val="MDPI42tablebody"/>
              <w:spacing w:line="240" w:lineRule="auto" w:before="30" w:after="30"/>
              <w:jc w:val="center"/>
            </w:pPr>
            <w:r>
              <w:rPr>
                <w:b w:val="0"/>
                <w:i w:val="0"/>
                <w:sz w:val="16"/>
              </w:rPr>
              <w:t>−0.369</w:t>
            </w:r>
          </w:p>
        </w:tc>
      </w:tr>
      <w:tr>
        <w:tc>
          <w:tcPr>
            <w:tcW w:type="dxa" w:w="816"/>
          </w:tcPr>
          <w:p>
            <w:pPr>
              <w:pStyle w:val="MDPI42tablebody"/>
              <w:spacing w:line="240" w:lineRule="auto" w:before="30" w:after="30"/>
              <w:jc w:val="center"/>
            </w:pPr>
            <w:r>
              <w:rPr>
                <w:b w:val="0"/>
                <w:i w:val="0"/>
                <w:sz w:val="16"/>
              </w:rPr>
              <w:t>5</w:t>
            </w:r>
          </w:p>
        </w:tc>
        <w:tc>
          <w:tcPr>
            <w:tcW w:type="dxa" w:w="742"/>
          </w:tcPr>
          <w:p>
            <w:pPr>
              <w:pStyle w:val="MDPI42tablebody"/>
              <w:spacing w:line="240" w:lineRule="auto" w:before="30" w:after="30"/>
              <w:jc w:val="center"/>
            </w:pPr>
            <w:r>
              <w:rPr>
                <w:b w:val="0"/>
                <w:i w:val="0"/>
                <w:sz w:val="16"/>
              </w:rPr>
              <w:t>0.746</w:t>
            </w:r>
          </w:p>
        </w:tc>
        <w:tc>
          <w:tcPr>
            <w:tcW w:type="dxa" w:w="742"/>
          </w:tcPr>
          <w:p>
            <w:pPr>
              <w:pStyle w:val="MDPI42tablebody"/>
              <w:spacing w:line="240" w:lineRule="auto" w:before="30" w:after="30"/>
              <w:jc w:val="center"/>
            </w:pPr>
            <w:r>
              <w:rPr>
                <w:b w:val="0"/>
                <w:i w:val="0"/>
                <w:sz w:val="16"/>
              </w:rPr>
              <w:t>0.659</w:t>
            </w:r>
          </w:p>
        </w:tc>
        <w:tc>
          <w:tcPr>
            <w:tcW w:type="dxa" w:w="742"/>
          </w:tcPr>
          <w:p>
            <w:pPr>
              <w:pStyle w:val="MDPI42tablebody"/>
              <w:spacing w:line="240" w:lineRule="auto" w:before="30" w:after="30"/>
              <w:jc w:val="center"/>
            </w:pPr>
            <w:r>
              <w:rPr>
                <w:b w:val="0"/>
                <w:i w:val="0"/>
                <w:sz w:val="16"/>
              </w:rPr>
              <w:t>0.421</w:t>
            </w:r>
          </w:p>
        </w:tc>
        <w:tc>
          <w:tcPr>
            <w:tcW w:type="dxa" w:w="742"/>
          </w:tcPr>
          <w:p>
            <w:pPr>
              <w:pStyle w:val="MDPI42tablebody"/>
              <w:spacing w:line="240" w:lineRule="auto" w:before="30" w:after="30"/>
              <w:jc w:val="center"/>
            </w:pPr>
            <w:r>
              <w:rPr>
                <w:b w:val="0"/>
                <w:i w:val="0"/>
                <w:sz w:val="16"/>
              </w:rPr>
              <w:t>0.296</w:t>
            </w:r>
          </w:p>
        </w:tc>
        <w:tc>
          <w:tcPr>
            <w:tcW w:type="dxa" w:w="742"/>
          </w:tcPr>
          <w:p>
            <w:pPr>
              <w:pStyle w:val="MDPI42tablebody"/>
              <w:spacing w:line="240" w:lineRule="auto" w:before="30" w:after="30"/>
              <w:jc w:val="center"/>
            </w:pPr>
            <w:r>
              <w:rPr>
                <w:b w:val="0"/>
                <w:i w:val="0"/>
                <w:sz w:val="16"/>
              </w:rPr>
              <w:t>0.414</w:t>
            </w:r>
          </w:p>
        </w:tc>
        <w:tc>
          <w:tcPr>
            <w:tcW w:type="dxa" w:w="742"/>
          </w:tcPr>
          <w:p>
            <w:pPr>
              <w:pStyle w:val="MDPI42tablebody"/>
              <w:spacing w:line="240" w:lineRule="auto" w:before="30" w:after="30"/>
              <w:jc w:val="center"/>
            </w:pPr>
            <w:r>
              <w:rPr>
                <w:b w:val="0"/>
                <w:i w:val="0"/>
                <w:sz w:val="16"/>
              </w:rPr>
              <w:t>0.068</w:t>
            </w:r>
          </w:p>
        </w:tc>
        <w:tc>
          <w:tcPr>
            <w:tcW w:type="dxa" w:w="742"/>
          </w:tcPr>
          <w:p>
            <w:pPr>
              <w:pStyle w:val="MDPI42tablebody"/>
              <w:spacing w:line="240" w:lineRule="auto" w:before="30" w:after="30"/>
              <w:jc w:val="center"/>
            </w:pPr>
            <w:r>
              <w:rPr>
                <w:b w:val="0"/>
                <w:i w:val="0"/>
                <w:sz w:val="16"/>
              </w:rPr>
              <w:t>0.921</w:t>
            </w:r>
          </w:p>
        </w:tc>
        <w:tc>
          <w:tcPr>
            <w:tcW w:type="dxa" w:w="742"/>
          </w:tcPr>
          <w:p>
            <w:pPr>
              <w:pStyle w:val="MDPI42tablebody"/>
              <w:spacing w:line="240" w:lineRule="auto" w:before="30" w:after="30"/>
              <w:jc w:val="center"/>
            </w:pPr>
            <w:r>
              <w:rPr>
                <w:b w:val="0"/>
                <w:i w:val="0"/>
                <w:sz w:val="16"/>
              </w:rPr>
              <w:t>0.981</w:t>
            </w:r>
          </w:p>
        </w:tc>
        <w:tc>
          <w:tcPr>
            <w:tcW w:type="dxa" w:w="742"/>
          </w:tcPr>
          <w:p>
            <w:pPr>
              <w:pStyle w:val="MDPI42tablebody"/>
              <w:spacing w:line="240" w:lineRule="auto" w:before="30" w:after="30"/>
              <w:jc w:val="center"/>
            </w:pPr>
            <w:r>
              <w:rPr>
                <w:b w:val="0"/>
                <w:i w:val="0"/>
                <w:sz w:val="16"/>
              </w:rPr>
              <w:t>−33.0</w:t>
            </w:r>
          </w:p>
        </w:tc>
        <w:tc>
          <w:tcPr>
            <w:tcW w:type="dxa" w:w="742"/>
          </w:tcPr>
          <w:p>
            <w:pPr>
              <w:pStyle w:val="MDPI42tablebody"/>
              <w:spacing w:line="240" w:lineRule="auto" w:before="30" w:after="30"/>
              <w:jc w:val="center"/>
            </w:pPr>
            <w:r>
              <w:rPr>
                <w:b w:val="0"/>
                <w:i w:val="0"/>
                <w:sz w:val="16"/>
              </w:rPr>
              <w:t>−5.3</w:t>
            </w:r>
          </w:p>
        </w:tc>
        <w:tc>
          <w:tcPr>
            <w:tcW w:type="dxa" w:w="742"/>
          </w:tcPr>
          <w:p>
            <w:pPr>
              <w:pStyle w:val="MDPI42tablebody"/>
              <w:spacing w:line="240" w:lineRule="auto" w:before="30" w:after="30"/>
              <w:jc w:val="center"/>
            </w:pPr>
            <w:r>
              <w:rPr>
                <w:b w:val="0"/>
                <w:i w:val="0"/>
                <w:sz w:val="16"/>
              </w:rPr>
              <w:t>3.8</w:t>
            </w:r>
          </w:p>
        </w:tc>
        <w:tc>
          <w:tcPr>
            <w:tcW w:type="dxa" w:w="742"/>
          </w:tcPr>
          <w:p>
            <w:pPr>
              <w:pStyle w:val="MDPI42tablebody"/>
              <w:spacing w:line="240" w:lineRule="auto" w:before="30" w:after="30"/>
              <w:jc w:val="center"/>
            </w:pPr>
            <w:r>
              <w:rPr>
                <w:b w:val="0"/>
                <w:i w:val="0"/>
                <w:sz w:val="16"/>
              </w:rPr>
              <w:t>−11.5</w:t>
            </w:r>
          </w:p>
        </w:tc>
        <w:tc>
          <w:tcPr>
            <w:tcW w:type="dxa" w:w="742"/>
          </w:tcPr>
          <w:p>
            <w:pPr>
              <w:pStyle w:val="MDPI42tablebody"/>
              <w:spacing w:line="240" w:lineRule="auto" w:before="30" w:after="30"/>
              <w:jc w:val="center"/>
            </w:pPr>
            <w:r>
              <w:rPr>
                <w:b w:val="0"/>
                <w:i w:val="0"/>
                <w:sz w:val="16"/>
              </w:rPr>
              <w:t>−0.368</w:t>
            </w:r>
          </w:p>
        </w:tc>
      </w:tr>
      <w:tr>
        <w:tc>
          <w:tcPr>
            <w:tcW w:type="dxa" w:w="816"/>
          </w:tcPr>
          <w:p>
            <w:pPr>
              <w:pStyle w:val="MDPI42tablebody"/>
              <w:spacing w:line="240" w:lineRule="auto" w:before="30" w:after="30"/>
              <w:jc w:val="center"/>
            </w:pPr>
            <w:r>
              <w:rPr>
                <w:b w:val="0"/>
                <w:i w:val="0"/>
                <w:sz w:val="16"/>
              </w:rPr>
              <w:t>10</w:t>
            </w:r>
          </w:p>
        </w:tc>
        <w:tc>
          <w:tcPr>
            <w:tcW w:type="dxa" w:w="742"/>
          </w:tcPr>
          <w:p>
            <w:pPr>
              <w:pStyle w:val="MDPI42tablebody"/>
              <w:spacing w:line="240" w:lineRule="auto" w:before="30" w:after="30"/>
              <w:jc w:val="center"/>
            </w:pPr>
            <w:r>
              <w:rPr>
                <w:b w:val="0"/>
                <w:i w:val="0"/>
                <w:sz w:val="16"/>
              </w:rPr>
              <w:t>0.929</w:t>
            </w:r>
          </w:p>
        </w:tc>
        <w:tc>
          <w:tcPr>
            <w:tcW w:type="dxa" w:w="742"/>
          </w:tcPr>
          <w:p>
            <w:pPr>
              <w:pStyle w:val="MDPI42tablebody"/>
              <w:spacing w:line="240" w:lineRule="auto" w:before="30" w:after="30"/>
              <w:jc w:val="center"/>
            </w:pPr>
            <w:r>
              <w:rPr>
                <w:b w:val="0"/>
                <w:i w:val="0"/>
                <w:sz w:val="16"/>
              </w:rPr>
              <w:t>0.690</w:t>
            </w:r>
          </w:p>
        </w:tc>
        <w:tc>
          <w:tcPr>
            <w:tcW w:type="dxa" w:w="742"/>
          </w:tcPr>
          <w:p>
            <w:pPr>
              <w:pStyle w:val="MDPI42tablebody"/>
              <w:spacing w:line="240" w:lineRule="auto" w:before="30" w:after="30"/>
              <w:jc w:val="center"/>
            </w:pPr>
            <w:r>
              <w:rPr>
                <w:b w:val="0"/>
                <w:i w:val="0"/>
                <w:sz w:val="16"/>
              </w:rPr>
              <w:t>0.693</w:t>
            </w:r>
          </w:p>
        </w:tc>
        <w:tc>
          <w:tcPr>
            <w:tcW w:type="dxa" w:w="742"/>
          </w:tcPr>
          <w:p>
            <w:pPr>
              <w:pStyle w:val="MDPI42tablebody"/>
              <w:spacing w:line="240" w:lineRule="auto" w:before="30" w:after="30"/>
              <w:jc w:val="center"/>
            </w:pPr>
            <w:r>
              <w:rPr>
                <w:b w:val="0"/>
                <w:i w:val="0"/>
                <w:sz w:val="16"/>
              </w:rPr>
              <w:t>0.409</w:t>
            </w:r>
          </w:p>
        </w:tc>
        <w:tc>
          <w:tcPr>
            <w:tcW w:type="dxa" w:w="742"/>
          </w:tcPr>
          <w:p>
            <w:pPr>
              <w:pStyle w:val="MDPI42tablebody"/>
              <w:spacing w:line="240" w:lineRule="auto" w:before="30" w:after="30"/>
              <w:jc w:val="center"/>
            </w:pPr>
            <w:r>
              <w:rPr>
                <w:b w:val="0"/>
                <w:i w:val="0"/>
                <w:sz w:val="16"/>
              </w:rPr>
              <w:t>0.465</w:t>
            </w:r>
          </w:p>
        </w:tc>
        <w:tc>
          <w:tcPr>
            <w:tcW w:type="dxa" w:w="742"/>
          </w:tcPr>
          <w:p>
            <w:pPr>
              <w:pStyle w:val="MDPI42tablebody"/>
              <w:spacing w:line="240" w:lineRule="auto" w:before="30" w:after="30"/>
              <w:jc w:val="center"/>
            </w:pPr>
            <w:r>
              <w:rPr>
                <w:b w:val="0"/>
                <w:i w:val="0"/>
                <w:sz w:val="16"/>
              </w:rPr>
              <w:t>0.099</w:t>
            </w:r>
          </w:p>
        </w:tc>
        <w:tc>
          <w:tcPr>
            <w:tcW w:type="dxa" w:w="742"/>
          </w:tcPr>
          <w:p>
            <w:pPr>
              <w:pStyle w:val="MDPI42tablebody"/>
              <w:spacing w:line="240" w:lineRule="auto" w:before="30" w:after="30"/>
              <w:jc w:val="center"/>
            </w:pPr>
            <w:r>
              <w:rPr>
                <w:b w:val="0"/>
                <w:i w:val="0"/>
                <w:sz w:val="16"/>
              </w:rPr>
              <w:t>0.904</w:t>
            </w:r>
          </w:p>
        </w:tc>
        <w:tc>
          <w:tcPr>
            <w:tcW w:type="dxa" w:w="742"/>
          </w:tcPr>
          <w:p>
            <w:pPr>
              <w:pStyle w:val="MDPI42tablebody"/>
              <w:spacing w:line="240" w:lineRule="auto" w:before="30" w:after="30"/>
              <w:jc w:val="center"/>
            </w:pPr>
            <w:r>
              <w:rPr>
                <w:b w:val="0"/>
                <w:i w:val="0"/>
                <w:sz w:val="16"/>
              </w:rPr>
              <w:t>0.872</w:t>
            </w:r>
          </w:p>
        </w:tc>
        <w:tc>
          <w:tcPr>
            <w:tcW w:type="dxa" w:w="742"/>
          </w:tcPr>
          <w:p>
            <w:pPr>
              <w:pStyle w:val="MDPI42tablebody"/>
              <w:spacing w:line="240" w:lineRule="auto" w:before="30" w:after="30"/>
              <w:jc w:val="center"/>
            </w:pPr>
            <w:r>
              <w:rPr>
                <w:b w:val="0"/>
                <w:i w:val="0"/>
                <w:sz w:val="16"/>
              </w:rPr>
              <w:t>−35.0</w:t>
            </w:r>
          </w:p>
        </w:tc>
        <w:tc>
          <w:tcPr>
            <w:tcW w:type="dxa" w:w="742"/>
          </w:tcPr>
          <w:p>
            <w:pPr>
              <w:pStyle w:val="MDPI42tablebody"/>
              <w:spacing w:line="240" w:lineRule="auto" w:before="30" w:after="30"/>
              <w:jc w:val="center"/>
            </w:pPr>
            <w:r>
              <w:rPr>
                <w:b w:val="0"/>
                <w:i w:val="0"/>
                <w:sz w:val="16"/>
              </w:rPr>
              <w:t>−7.8</w:t>
            </w:r>
          </w:p>
        </w:tc>
        <w:tc>
          <w:tcPr>
            <w:tcW w:type="dxa" w:w="742"/>
          </w:tcPr>
          <w:p>
            <w:pPr>
              <w:pStyle w:val="MDPI42tablebody"/>
              <w:spacing w:line="240" w:lineRule="auto" w:before="30" w:after="30"/>
              <w:jc w:val="center"/>
            </w:pPr>
            <w:r>
              <w:rPr>
                <w:b w:val="0"/>
                <w:i w:val="0"/>
                <w:sz w:val="16"/>
              </w:rPr>
              <w:t>5.3</w:t>
            </w:r>
          </w:p>
        </w:tc>
        <w:tc>
          <w:tcPr>
            <w:tcW w:type="dxa" w:w="742"/>
          </w:tcPr>
          <w:p>
            <w:pPr>
              <w:pStyle w:val="MDPI42tablebody"/>
              <w:spacing w:line="240" w:lineRule="auto" w:before="30" w:after="30"/>
              <w:jc w:val="center"/>
            </w:pPr>
            <w:r>
              <w:rPr>
                <w:b w:val="0"/>
                <w:i w:val="0"/>
                <w:sz w:val="16"/>
              </w:rPr>
              <w:t>−14.8</w:t>
            </w:r>
          </w:p>
        </w:tc>
        <w:tc>
          <w:tcPr>
            <w:tcW w:type="dxa" w:w="742"/>
          </w:tcPr>
          <w:p>
            <w:pPr>
              <w:pStyle w:val="MDPI42tablebody"/>
              <w:spacing w:line="240" w:lineRule="auto" w:before="30" w:after="30"/>
              <w:jc w:val="center"/>
            </w:pPr>
            <w:r>
              <w:rPr>
                <w:b w:val="0"/>
                <w:i w:val="0"/>
                <w:sz w:val="16"/>
              </w:rPr>
              <w:t>−0.297</w:t>
            </w:r>
          </w:p>
        </w:tc>
      </w:tr>
      <w:tr>
        <w:tc>
          <w:tcPr>
            <w:tcW w:type="dxa" w:w="816"/>
          </w:tcPr>
          <w:p>
            <w:pPr>
              <w:pStyle w:val="MDPI42tablebody"/>
              <w:spacing w:line="240" w:lineRule="auto" w:before="30" w:after="30"/>
              <w:jc w:val="center"/>
            </w:pPr>
            <w:r>
              <w:rPr>
                <w:b w:val="0"/>
                <w:i w:val="0"/>
                <w:sz w:val="16"/>
              </w:rPr>
              <w:t>15</w:t>
            </w:r>
          </w:p>
        </w:tc>
        <w:tc>
          <w:tcPr>
            <w:tcW w:type="dxa" w:w="742"/>
          </w:tcPr>
          <w:p>
            <w:pPr>
              <w:pStyle w:val="MDPI42tablebody"/>
              <w:spacing w:line="240" w:lineRule="auto" w:before="30" w:after="30"/>
              <w:jc w:val="center"/>
            </w:pPr>
            <w:r>
              <w:rPr>
                <w:b w:val="0"/>
                <w:i w:val="0"/>
                <w:sz w:val="16"/>
              </w:rPr>
              <w:t>0.940</w:t>
            </w:r>
          </w:p>
        </w:tc>
        <w:tc>
          <w:tcPr>
            <w:tcW w:type="dxa" w:w="742"/>
          </w:tcPr>
          <w:p>
            <w:pPr>
              <w:pStyle w:val="MDPI42tablebody"/>
              <w:spacing w:line="240" w:lineRule="auto" w:before="30" w:after="30"/>
              <w:jc w:val="center"/>
            </w:pPr>
            <w:r>
              <w:rPr>
                <w:b w:val="0"/>
                <w:i w:val="0"/>
                <w:sz w:val="16"/>
              </w:rPr>
              <w:t>0.692</w:t>
            </w:r>
          </w:p>
        </w:tc>
        <w:tc>
          <w:tcPr>
            <w:tcW w:type="dxa" w:w="742"/>
          </w:tcPr>
          <w:p>
            <w:pPr>
              <w:pStyle w:val="MDPI42tablebody"/>
              <w:spacing w:line="240" w:lineRule="auto" w:before="30" w:after="30"/>
              <w:jc w:val="center"/>
            </w:pPr>
            <w:r>
              <w:rPr>
                <w:b w:val="0"/>
                <w:i w:val="0"/>
                <w:sz w:val="16"/>
              </w:rPr>
              <w:t>0.861</w:t>
            </w:r>
          </w:p>
        </w:tc>
        <w:tc>
          <w:tcPr>
            <w:tcW w:type="dxa" w:w="742"/>
          </w:tcPr>
          <w:p>
            <w:pPr>
              <w:pStyle w:val="MDPI42tablebody"/>
              <w:spacing w:line="240" w:lineRule="auto" w:before="30" w:after="30"/>
              <w:jc w:val="center"/>
            </w:pPr>
            <w:r>
              <w:rPr>
                <w:b w:val="0"/>
                <w:i w:val="0"/>
                <w:sz w:val="16"/>
              </w:rPr>
              <w:t>0.463</w:t>
            </w:r>
          </w:p>
        </w:tc>
        <w:tc>
          <w:tcPr>
            <w:tcW w:type="dxa" w:w="742"/>
          </w:tcPr>
          <w:p>
            <w:pPr>
              <w:pStyle w:val="MDPI42tablebody"/>
              <w:spacing w:line="240" w:lineRule="auto" w:before="30" w:after="30"/>
              <w:jc w:val="center"/>
            </w:pPr>
            <w:r>
              <w:rPr>
                <w:b w:val="0"/>
                <w:i w:val="0"/>
                <w:sz w:val="16"/>
              </w:rPr>
              <w:t>0.468</w:t>
            </w:r>
          </w:p>
        </w:tc>
        <w:tc>
          <w:tcPr>
            <w:tcW w:type="dxa" w:w="742"/>
          </w:tcPr>
          <w:p>
            <w:pPr>
              <w:pStyle w:val="MDPI42tablebody"/>
              <w:spacing w:line="240" w:lineRule="auto" w:before="30" w:after="30"/>
              <w:jc w:val="center"/>
            </w:pPr>
            <w:r>
              <w:rPr>
                <w:b w:val="0"/>
                <w:i w:val="0"/>
                <w:sz w:val="16"/>
              </w:rPr>
              <w:t>0.112</w:t>
            </w:r>
          </w:p>
        </w:tc>
        <w:tc>
          <w:tcPr>
            <w:tcW w:type="dxa" w:w="742"/>
          </w:tcPr>
          <w:p>
            <w:pPr>
              <w:pStyle w:val="MDPI42tablebody"/>
              <w:spacing w:line="240" w:lineRule="auto" w:before="30" w:after="30"/>
              <w:jc w:val="center"/>
            </w:pPr>
            <w:r>
              <w:rPr>
                <w:b w:val="0"/>
                <w:i w:val="0"/>
                <w:sz w:val="16"/>
              </w:rPr>
              <w:t>0.903</w:t>
            </w:r>
          </w:p>
        </w:tc>
        <w:tc>
          <w:tcPr>
            <w:tcW w:type="dxa" w:w="742"/>
          </w:tcPr>
          <w:p>
            <w:pPr>
              <w:pStyle w:val="MDPI42tablebody"/>
              <w:spacing w:line="240" w:lineRule="auto" w:before="30" w:after="30"/>
              <w:jc w:val="center"/>
            </w:pPr>
            <w:r>
              <w:rPr>
                <w:b w:val="0"/>
                <w:i w:val="0"/>
                <w:sz w:val="16"/>
              </w:rPr>
              <w:t>0.856</w:t>
            </w:r>
          </w:p>
        </w:tc>
        <w:tc>
          <w:tcPr>
            <w:tcW w:type="dxa" w:w="742"/>
          </w:tcPr>
          <w:p>
            <w:pPr>
              <w:pStyle w:val="MDPI42tablebody"/>
              <w:spacing w:line="240" w:lineRule="auto" w:before="30" w:after="30"/>
              <w:jc w:val="center"/>
            </w:pPr>
            <w:r>
              <w:rPr>
                <w:b w:val="0"/>
                <w:i w:val="0"/>
                <w:sz w:val="16"/>
              </w:rPr>
              <w:t>−32.6</w:t>
            </w:r>
          </w:p>
        </w:tc>
        <w:tc>
          <w:tcPr>
            <w:tcW w:type="dxa" w:w="742"/>
          </w:tcPr>
          <w:p>
            <w:pPr>
              <w:pStyle w:val="MDPI42tablebody"/>
              <w:spacing w:line="240" w:lineRule="auto" w:before="30" w:after="30"/>
              <w:jc w:val="center"/>
            </w:pPr>
            <w:r>
              <w:rPr>
                <w:b w:val="0"/>
                <w:i w:val="0"/>
                <w:sz w:val="16"/>
              </w:rPr>
              <w:t>−8.6</w:t>
            </w:r>
          </w:p>
        </w:tc>
        <w:tc>
          <w:tcPr>
            <w:tcW w:type="dxa" w:w="742"/>
          </w:tcPr>
          <w:p>
            <w:pPr>
              <w:pStyle w:val="MDPI42tablebody"/>
              <w:spacing w:line="240" w:lineRule="auto" w:before="30" w:after="30"/>
              <w:jc w:val="center"/>
            </w:pPr>
            <w:r>
              <w:rPr>
                <w:b w:val="0"/>
                <w:i w:val="0"/>
                <w:sz w:val="16"/>
              </w:rPr>
              <w:t>6.3</w:t>
            </w:r>
          </w:p>
        </w:tc>
        <w:tc>
          <w:tcPr>
            <w:tcW w:type="dxa" w:w="742"/>
          </w:tcPr>
          <w:p>
            <w:pPr>
              <w:pStyle w:val="MDPI42tablebody"/>
              <w:spacing w:line="240" w:lineRule="auto" w:before="30" w:after="30"/>
              <w:jc w:val="center"/>
            </w:pPr>
            <w:r>
              <w:rPr>
                <w:b w:val="0"/>
                <w:i w:val="0"/>
                <w:sz w:val="16"/>
              </w:rPr>
              <w:t>−15.5</w:t>
            </w:r>
          </w:p>
        </w:tc>
        <w:tc>
          <w:tcPr>
            <w:tcW w:type="dxa" w:w="742"/>
          </w:tcPr>
          <w:p>
            <w:pPr>
              <w:pStyle w:val="MDPI42tablebody"/>
              <w:spacing w:line="240" w:lineRule="auto" w:before="30" w:after="30"/>
              <w:jc w:val="center"/>
            </w:pPr>
            <w:r>
              <w:rPr>
                <w:b w:val="0"/>
                <w:i w:val="0"/>
                <w:sz w:val="16"/>
              </w:rPr>
              <w:t>−0.286</w:t>
            </w:r>
          </w:p>
        </w:tc>
      </w:tr>
      <w:tr>
        <w:tc>
          <w:tcPr>
            <w:tcW w:type="dxa" w:w="816"/>
          </w:tcPr>
          <w:p>
            <w:pPr>
              <w:pStyle w:val="MDPI42tablebody"/>
              <w:spacing w:line="240" w:lineRule="auto" w:before="30" w:after="30"/>
              <w:jc w:val="center"/>
            </w:pPr>
            <w:r>
              <w:rPr>
                <w:b w:val="0"/>
                <w:i w:val="0"/>
                <w:sz w:val="16"/>
              </w:rPr>
              <w:t>20</w:t>
            </w:r>
          </w:p>
        </w:tc>
        <w:tc>
          <w:tcPr>
            <w:tcW w:type="dxa" w:w="742"/>
          </w:tcPr>
          <w:p>
            <w:pPr>
              <w:pStyle w:val="MDPI42tablebody"/>
              <w:spacing w:line="240" w:lineRule="auto" w:before="30" w:after="30"/>
              <w:jc w:val="center"/>
            </w:pPr>
            <w:r>
              <w:rPr>
                <w:b w:val="0"/>
                <w:i w:val="0"/>
                <w:sz w:val="16"/>
              </w:rPr>
              <w:t>0.943</w:t>
            </w:r>
          </w:p>
        </w:tc>
        <w:tc>
          <w:tcPr>
            <w:tcW w:type="dxa" w:w="742"/>
          </w:tcPr>
          <w:p>
            <w:pPr>
              <w:pStyle w:val="MDPI42tablebody"/>
              <w:spacing w:line="240" w:lineRule="auto" w:before="30" w:after="30"/>
              <w:jc w:val="center"/>
            </w:pPr>
            <w:r>
              <w:rPr>
                <w:b w:val="0"/>
                <w:i w:val="0"/>
                <w:sz w:val="16"/>
              </w:rPr>
              <w:t>0.692</w:t>
            </w:r>
          </w:p>
        </w:tc>
        <w:tc>
          <w:tcPr>
            <w:tcW w:type="dxa" w:w="742"/>
          </w:tcPr>
          <w:p>
            <w:pPr>
              <w:pStyle w:val="MDPI42tablebody"/>
              <w:spacing w:line="240" w:lineRule="auto" w:before="30" w:after="30"/>
              <w:jc w:val="center"/>
            </w:pPr>
            <w:r>
              <w:rPr>
                <w:b w:val="0"/>
                <w:i w:val="0"/>
                <w:sz w:val="16"/>
              </w:rPr>
              <w:t>0.993</w:t>
            </w:r>
          </w:p>
        </w:tc>
        <w:tc>
          <w:tcPr>
            <w:tcW w:type="dxa" w:w="742"/>
          </w:tcPr>
          <w:p>
            <w:pPr>
              <w:pStyle w:val="MDPI42tablebody"/>
              <w:spacing w:line="240" w:lineRule="auto" w:before="30" w:after="30"/>
              <w:jc w:val="center"/>
            </w:pPr>
            <w:r>
              <w:rPr>
                <w:b w:val="0"/>
                <w:i w:val="0"/>
                <w:sz w:val="16"/>
              </w:rPr>
              <w:t>0.498</w:t>
            </w:r>
          </w:p>
        </w:tc>
        <w:tc>
          <w:tcPr>
            <w:tcW w:type="dxa" w:w="742"/>
          </w:tcPr>
          <w:p>
            <w:pPr>
              <w:pStyle w:val="MDPI42tablebody"/>
              <w:spacing w:line="240" w:lineRule="auto" w:before="30" w:after="30"/>
              <w:jc w:val="center"/>
            </w:pPr>
            <w:r>
              <w:rPr>
                <w:b w:val="0"/>
                <w:i w:val="0"/>
                <w:sz w:val="16"/>
              </w:rPr>
              <w:t>0.468</w:t>
            </w:r>
          </w:p>
        </w:tc>
        <w:tc>
          <w:tcPr>
            <w:tcW w:type="dxa" w:w="742"/>
          </w:tcPr>
          <w:p>
            <w:pPr>
              <w:pStyle w:val="MDPI42tablebody"/>
              <w:spacing w:line="240" w:lineRule="auto" w:before="30" w:after="30"/>
              <w:jc w:val="center"/>
            </w:pPr>
            <w:r>
              <w:rPr>
                <w:b w:val="0"/>
                <w:i w:val="0"/>
                <w:sz w:val="16"/>
              </w:rPr>
              <w:t>0.121</w:t>
            </w:r>
          </w:p>
        </w:tc>
        <w:tc>
          <w:tcPr>
            <w:tcW w:type="dxa" w:w="742"/>
          </w:tcPr>
          <w:p>
            <w:pPr>
              <w:pStyle w:val="MDPI42tablebody"/>
              <w:spacing w:line="240" w:lineRule="auto" w:before="30" w:after="30"/>
              <w:jc w:val="center"/>
            </w:pPr>
            <w:r>
              <w:rPr>
                <w:b w:val="0"/>
                <w:i w:val="0"/>
                <w:sz w:val="16"/>
              </w:rPr>
              <w:t>0.904</w:t>
            </w:r>
          </w:p>
        </w:tc>
        <w:tc>
          <w:tcPr>
            <w:tcW w:type="dxa" w:w="742"/>
          </w:tcPr>
          <w:p>
            <w:pPr>
              <w:pStyle w:val="MDPI42tablebody"/>
              <w:spacing w:line="240" w:lineRule="auto" w:before="30" w:after="30"/>
              <w:jc w:val="center"/>
            </w:pPr>
            <w:r>
              <w:rPr>
                <w:b w:val="0"/>
                <w:i w:val="0"/>
                <w:sz w:val="16"/>
              </w:rPr>
              <w:t>0.858</w:t>
            </w:r>
          </w:p>
        </w:tc>
        <w:tc>
          <w:tcPr>
            <w:tcW w:type="dxa" w:w="742"/>
          </w:tcPr>
          <w:p>
            <w:pPr>
              <w:pStyle w:val="MDPI42tablebody"/>
              <w:spacing w:line="240" w:lineRule="auto" w:before="30" w:after="30"/>
              <w:jc w:val="center"/>
            </w:pPr>
            <w:r>
              <w:rPr>
                <w:b w:val="0"/>
                <w:i w:val="0"/>
                <w:sz w:val="16"/>
              </w:rPr>
              <w:t>−31.6</w:t>
            </w:r>
          </w:p>
        </w:tc>
        <w:tc>
          <w:tcPr>
            <w:tcW w:type="dxa" w:w="742"/>
          </w:tcPr>
          <w:p>
            <w:pPr>
              <w:pStyle w:val="MDPI42tablebody"/>
              <w:spacing w:line="240" w:lineRule="auto" w:before="30" w:after="30"/>
              <w:jc w:val="center"/>
            </w:pPr>
            <w:r>
              <w:rPr>
                <w:b w:val="0"/>
                <w:i w:val="0"/>
                <w:sz w:val="16"/>
              </w:rPr>
              <w:t>−8.5</w:t>
            </w:r>
          </w:p>
        </w:tc>
        <w:tc>
          <w:tcPr>
            <w:tcW w:type="dxa" w:w="742"/>
          </w:tcPr>
          <w:p>
            <w:pPr>
              <w:pStyle w:val="MDPI42tablebody"/>
              <w:spacing w:line="240" w:lineRule="auto" w:before="30" w:after="30"/>
              <w:jc w:val="center"/>
            </w:pPr>
            <w:r>
              <w:rPr>
                <w:b w:val="0"/>
                <w:i w:val="0"/>
                <w:sz w:val="16"/>
              </w:rPr>
              <w:t>7.6</w:t>
            </w:r>
          </w:p>
        </w:tc>
        <w:tc>
          <w:tcPr>
            <w:tcW w:type="dxa" w:w="742"/>
          </w:tcPr>
          <w:p>
            <w:pPr>
              <w:pStyle w:val="MDPI42tablebody"/>
              <w:spacing w:line="240" w:lineRule="auto" w:before="30" w:after="30"/>
              <w:jc w:val="center"/>
            </w:pPr>
            <w:r>
              <w:rPr>
                <w:b w:val="0"/>
                <w:i w:val="0"/>
                <w:sz w:val="16"/>
              </w:rPr>
              <w:t>−16.2</w:t>
            </w:r>
          </w:p>
        </w:tc>
        <w:tc>
          <w:tcPr>
            <w:tcW w:type="dxa" w:w="742"/>
          </w:tcPr>
          <w:p>
            <w:pPr>
              <w:pStyle w:val="MDPI42tablebody"/>
              <w:spacing w:line="240" w:lineRule="auto" w:before="30" w:after="30"/>
              <w:jc w:val="center"/>
            </w:pPr>
            <w:r>
              <w:rPr>
                <w:b w:val="0"/>
                <w:i w:val="0"/>
                <w:sz w:val="16"/>
              </w:rPr>
              <w:t>−0.279</w:t>
            </w:r>
          </w:p>
        </w:tc>
      </w:tr>
      <w:tr>
        <w:tc>
          <w:tcPr>
            <w:tcW w:type="dxa" w:w="816"/>
          </w:tcPr>
          <w:p>
            <w:pPr>
              <w:pStyle w:val="MDPI42tablebody"/>
              <w:spacing w:line="240" w:lineRule="auto" w:before="30" w:after="30"/>
              <w:jc w:val="center"/>
            </w:pPr>
            <w:r>
              <w:rPr>
                <w:b w:val="0"/>
                <w:i w:val="0"/>
                <w:sz w:val="16"/>
              </w:rPr>
              <w:t>25</w:t>
            </w:r>
          </w:p>
        </w:tc>
        <w:tc>
          <w:tcPr>
            <w:tcW w:type="dxa" w:w="742"/>
          </w:tcPr>
          <w:p>
            <w:pPr>
              <w:pStyle w:val="MDPI42tablebody"/>
              <w:spacing w:line="240" w:lineRule="auto" w:before="30" w:after="30"/>
              <w:jc w:val="center"/>
            </w:pPr>
            <w:r>
              <w:rPr>
                <w:b w:val="0"/>
                <w:i w:val="0"/>
                <w:sz w:val="16"/>
              </w:rPr>
              <w:t>0.945</w:t>
            </w:r>
          </w:p>
        </w:tc>
        <w:tc>
          <w:tcPr>
            <w:tcW w:type="dxa" w:w="742"/>
          </w:tcPr>
          <w:p>
            <w:pPr>
              <w:pStyle w:val="MDPI42tablebody"/>
              <w:spacing w:line="240" w:lineRule="auto" w:before="30" w:after="30"/>
              <w:jc w:val="center"/>
            </w:pPr>
            <w:r>
              <w:rPr>
                <w:b w:val="0"/>
                <w:i w:val="0"/>
                <w:sz w:val="16"/>
              </w:rPr>
              <w:t>0.692</w:t>
            </w:r>
          </w:p>
        </w:tc>
        <w:tc>
          <w:tcPr>
            <w:tcW w:type="dxa" w:w="742"/>
          </w:tcPr>
          <w:p>
            <w:pPr>
              <w:pStyle w:val="MDPI42tablebody"/>
              <w:spacing w:line="240" w:lineRule="auto" w:before="30" w:after="30"/>
              <w:jc w:val="center"/>
            </w:pPr>
            <w:r>
              <w:rPr>
                <w:b w:val="0"/>
                <w:i w:val="0"/>
                <w:sz w:val="16"/>
              </w:rPr>
              <w:t>1.119</w:t>
            </w:r>
          </w:p>
        </w:tc>
        <w:tc>
          <w:tcPr>
            <w:tcW w:type="dxa" w:w="742"/>
          </w:tcPr>
          <w:p>
            <w:pPr>
              <w:pStyle w:val="MDPI42tablebody"/>
              <w:spacing w:line="240" w:lineRule="auto" w:before="30" w:after="30"/>
              <w:jc w:val="center"/>
            </w:pPr>
            <w:r>
              <w:rPr>
                <w:b w:val="0"/>
                <w:i w:val="0"/>
                <w:sz w:val="16"/>
              </w:rPr>
              <w:t>0.528</w:t>
            </w:r>
          </w:p>
        </w:tc>
        <w:tc>
          <w:tcPr>
            <w:tcW w:type="dxa" w:w="742"/>
          </w:tcPr>
          <w:p>
            <w:pPr>
              <w:pStyle w:val="MDPI42tablebody"/>
              <w:spacing w:line="240" w:lineRule="auto" w:before="30" w:after="30"/>
              <w:jc w:val="center"/>
            </w:pPr>
            <w:r>
              <w:rPr>
                <w:b w:val="0"/>
                <w:i w:val="0"/>
                <w:sz w:val="16"/>
              </w:rPr>
              <w:t>0.469</w:t>
            </w:r>
          </w:p>
        </w:tc>
        <w:tc>
          <w:tcPr>
            <w:tcW w:type="dxa" w:w="742"/>
          </w:tcPr>
          <w:p>
            <w:pPr>
              <w:pStyle w:val="MDPI42tablebody"/>
              <w:spacing w:line="240" w:lineRule="auto" w:before="30" w:after="30"/>
              <w:jc w:val="center"/>
            </w:pPr>
            <w:r>
              <w:rPr>
                <w:b w:val="0"/>
                <w:i w:val="0"/>
                <w:sz w:val="16"/>
              </w:rPr>
              <w:t>0.128</w:t>
            </w:r>
          </w:p>
        </w:tc>
        <w:tc>
          <w:tcPr>
            <w:tcW w:type="dxa" w:w="742"/>
          </w:tcPr>
          <w:p>
            <w:pPr>
              <w:pStyle w:val="MDPI42tablebody"/>
              <w:spacing w:line="240" w:lineRule="auto" w:before="30" w:after="30"/>
              <w:jc w:val="center"/>
            </w:pPr>
            <w:r>
              <w:rPr>
                <w:b w:val="0"/>
                <w:i w:val="0"/>
                <w:sz w:val="16"/>
              </w:rPr>
              <w:t>0.906</w:t>
            </w:r>
          </w:p>
        </w:tc>
        <w:tc>
          <w:tcPr>
            <w:tcW w:type="dxa" w:w="742"/>
          </w:tcPr>
          <w:p>
            <w:pPr>
              <w:pStyle w:val="MDPI42tablebody"/>
              <w:spacing w:line="240" w:lineRule="auto" w:before="30" w:after="30"/>
              <w:jc w:val="center"/>
            </w:pPr>
            <w:r>
              <w:rPr>
                <w:b w:val="0"/>
                <w:i w:val="0"/>
                <w:sz w:val="16"/>
              </w:rPr>
              <w:t>0.864</w:t>
            </w:r>
          </w:p>
        </w:tc>
        <w:tc>
          <w:tcPr>
            <w:tcW w:type="dxa" w:w="742"/>
          </w:tcPr>
          <w:p>
            <w:pPr>
              <w:pStyle w:val="MDPI42tablebody"/>
              <w:spacing w:line="240" w:lineRule="auto" w:before="30" w:after="30"/>
              <w:jc w:val="center"/>
            </w:pPr>
            <w:r>
              <w:rPr>
                <w:b w:val="0"/>
                <w:i w:val="0"/>
                <w:sz w:val="16"/>
              </w:rPr>
              <w:t>−30.7</w:t>
            </w:r>
          </w:p>
        </w:tc>
        <w:tc>
          <w:tcPr>
            <w:tcW w:type="dxa" w:w="742"/>
          </w:tcPr>
          <w:p>
            <w:pPr>
              <w:pStyle w:val="MDPI42tablebody"/>
              <w:spacing w:line="240" w:lineRule="auto" w:before="30" w:after="30"/>
              <w:jc w:val="center"/>
            </w:pPr>
            <w:r>
              <w:rPr>
                <w:b w:val="0"/>
                <w:i w:val="0"/>
                <w:sz w:val="16"/>
              </w:rPr>
              <w:t>−7.9</w:t>
            </w:r>
          </w:p>
        </w:tc>
        <w:tc>
          <w:tcPr>
            <w:tcW w:type="dxa" w:w="742"/>
          </w:tcPr>
          <w:p>
            <w:pPr>
              <w:pStyle w:val="MDPI42tablebody"/>
              <w:spacing w:line="240" w:lineRule="auto" w:before="30" w:after="30"/>
              <w:jc w:val="center"/>
            </w:pPr>
            <w:r>
              <w:rPr>
                <w:b w:val="0"/>
                <w:i w:val="0"/>
                <w:sz w:val="16"/>
              </w:rPr>
              <w:t>9.4</w:t>
            </w:r>
          </w:p>
        </w:tc>
        <w:tc>
          <w:tcPr>
            <w:tcW w:type="dxa" w:w="742"/>
          </w:tcPr>
          <w:p>
            <w:pPr>
              <w:pStyle w:val="MDPI42tablebody"/>
              <w:spacing w:line="240" w:lineRule="auto" w:before="30" w:after="30"/>
              <w:jc w:val="center"/>
            </w:pPr>
            <w:r>
              <w:rPr>
                <w:b w:val="0"/>
                <w:i w:val="0"/>
                <w:sz w:val="16"/>
              </w:rPr>
              <w:t>−16.9</w:t>
            </w:r>
          </w:p>
        </w:tc>
        <w:tc>
          <w:tcPr>
            <w:tcW w:type="dxa" w:w="742"/>
          </w:tcPr>
          <w:p>
            <w:pPr>
              <w:pStyle w:val="MDPI42tablebody"/>
              <w:spacing w:line="240" w:lineRule="auto" w:before="30" w:after="30"/>
              <w:jc w:val="center"/>
            </w:pPr>
            <w:r>
              <w:rPr>
                <w:b w:val="0"/>
                <w:i w:val="0"/>
                <w:sz w:val="16"/>
              </w:rPr>
              <w:t>−0.274</w:t>
            </w:r>
          </w:p>
        </w:tc>
      </w:tr>
    </w:tbl>
    <w:p>
      <w:pPr>
        <w:pStyle w:val="MDPI43tablefooter"/>
        <w:spacing w:line="240" w:lineRule="auto" w:before="40" w:after="200"/>
        <w:ind w:left="2608" w:firstLine="0"/>
      </w:pPr>
      <w:r>
        <w:rPr>
          <w:i/>
          <w:sz w:val="16"/>
        </w:rPr>
        <w:t xml:space="preserve">Note: </w:t>
      </w:r>
      <w:r>
        <w:rPr>
          <w:b w:val="0"/>
          <w:i w:val="0"/>
          <w:sz w:val="16"/>
        </w:rPr>
        <w:t>Δ denotes the percentage deviation from the no-GenAI counterfactual run of the identical model; E is the net entry-port elasticity of Equation (19). Symbols are defined in Table 1.</w:t>
      </w:r>
    </w:p>
    <w:p>
      <w:pPr>
        <w:pStyle w:val="MDPI31text"/>
      </w:pPr>
      <w:r>
        <w:rPr>
          <w:b w:val="0"/>
          <w:i w:val="0"/>
        </w:rPr>
        <w:t xml:space="preserve">The trajectory then overshoots. Entry employment troughs at 37.2% below the counterfactual in year seven, and entry hiring — the flow rather than the stock — troughs at 56.1% below it in year three and a half, because the firm both stops replacing separations and absorbs the gap through attrition. Recovery is slow and incomplete: routines accumulate, reinstatement rises from 3.8% to 12.8% of core tasks and the scale loop adds demand, but entry employment is still 30.7% below the counterfactual after 25 years, and cumulative entry hiring over the horizon is 27.8% lower. The pattern is a worse-before-better trajectory of the kind familiar from the productivity J-curve for general-purpose technologies </w:t>
      </w:r>
      <w:r>
        <w:t>[</w:t>
      </w:r>
      <w:r>
        <w:fldChar w:fldCharType="begin"/>
      </w:r>
      <w:r>
        <w:instrText xml:space="preserve"> REF _Ref_37 \h </w:instrText>
      </w:r>
      <w:r>
        <w:fldChar w:fldCharType="separate"/>
      </w:r>
      <w:r>
        <w:t>37</w:t>
      </w:r>
      <w:r>
        <w:fldChar w:fldCharType="end"/>
      </w:r>
      <w:r>
        <w:t>]</w:t>
      </w:r>
      <w:r>
        <w:rPr>
          <w:b w:val="0"/>
          <w:i w:val="0"/>
        </w:rPr>
        <w:t xml:space="preserve"> and it confirms Proposition 2.</w:t>
      </w:r>
    </w:p>
    <w:p>
      <w:pPr>
        <w:pStyle w:val="MDPI31text"/>
      </w:pPr>
      <w:r>
        <w:rPr>
          <w:b w:val="0"/>
          <w:i w:val="0"/>
        </w:rPr>
        <w:t xml:space="preserve">The delayed consequence appears in the other stocks. The experienced-staff stock peels away from the counterfactual only after year three, once the thinner junior cohorts begin to reach the promotion stage, and settles about 8% below it. The experiential-quality index falls to 0.91, so the juniors who are hired also learn more slowly per unit of time. Because promotions no longer cover senior separations, the sector-wide availability index </w:t>
      </w:r>
      <m:oMath>
        <m:r>
          <m:t xml:space="preserve">Ω</m:t>
        </m:r>
      </m:oMath>
      <w:r>
        <w:rPr>
          <w:b w:val="0"/>
          <w:i w:val="0"/>
        </w:rPr>
        <w:t xml:space="preserve"> falls below one and the external market cannot close the gap. The result is a persistent capability gap: the output fulfilment ratio </w:t>
      </w:r>
      <m:oMath>
        <m:r>
          <m:t xml:space="preserve">Φ</m:t>
        </m:r>
      </m:oMath>
      <w:r>
        <w:rPr>
          <w:b w:val="0"/>
          <w:i w:val="0"/>
        </w:rPr>
        <w:t xml:space="preserve"> declines from unity to 0.86, meaning that by the end of the horizon the organisation delivers 14% less than it plans to deliver, not because demand is missing but because the experienced staff required for judgement-intensive work are missing. Output nevertheless ends 9.4% above the counterfactual and unit cost 16.9% below it: the technology is profitable, and the capability gap is the price paid for it.</w:t>
      </w:r>
    </w:p>
    <w:p>
      <w:pPr>
        <w:pStyle w:val="MDPI22heading2"/>
      </w:pPr>
      <w:r>
        <w:t>4.2. Loop Dominance and the Anatomy of the Entry-Port Elasticity</w:t>
      </w:r>
    </w:p>
    <w:p>
      <w:pPr>
        <w:pStyle w:val="MDPI32textnoindent"/>
      </w:pPr>
      <w:r>
        <w:rPr>
          <w:b w:val="0"/>
          <w:i w:val="0"/>
        </w:rPr>
        <w:t xml:space="preserve">Figure 4a decomposes the net entry-port elasticity of Equation (19) into its three components. The displacement force peaks early, at the point of steepest growth in capability, and then decays as the automation sigmoid saturates. The headcount-saving force builds more slowly and stabilises. The reinstatement force is the slowest of the three because it is proportional to the routine stock, and it is still rising at the end of the horizon. The net elasticity is therefore sharply negative early — reaching −0.40 in year four — and recovers only to −0.27 by year 25. Loop dominance in the calibrated baseline never switches: B1 and B2 dominate throughout, and the partial recovery in Figure 3 is driven by the scale loop R4 rather than by a change in the sign of </w:t>
      </w:r>
      <m:oMath>
        <m:r>
          <m:t xml:space="preserve">E</m:t>
        </m:r>
      </m:oMath>
      <w:r>
        <w:rPr>
          <w:b w:val="0"/>
          <w:i w:val="0"/>
        </w:rPr>
        <w:t>.</w:t>
      </w:r>
    </w:p>
    <w:p>
      <w:pPr>
        <w:pStyle w:val="MDPI52figure"/>
        <w:keepNext/>
        <w:jc w:val="center"/>
      </w:pPr>
      <w:r>
        <w:drawing>
          <wp:inline xmlns:a="http://schemas.openxmlformats.org/drawingml/2006/main" xmlns:pic="http://schemas.openxmlformats.org/drawingml/2006/picture">
            <wp:extent cx="6120000" cy="2071420"/>
            <wp:docPr id="4" name="Picture 4"/>
            <wp:cNvGraphicFramePr>
              <a:graphicFrameLocks noChangeAspect="1"/>
            </wp:cNvGraphicFramePr>
            <a:graphic>
              <a:graphicData uri="http://schemas.openxmlformats.org/drawingml/2006/picture">
                <pic:pic>
                  <pic:nvPicPr>
                    <pic:cNvPr id="0" name="figure4_elasticity.png"/>
                    <pic:cNvPicPr/>
                  </pic:nvPicPr>
                  <pic:blipFill>
                    <a:blip r:embed="rId20"/>
                    <a:stretch>
                      <a:fillRect/>
                    </a:stretch>
                  </pic:blipFill>
                  <pic:spPr>
                    <a:xfrm>
                      <a:off x="0" y="0"/>
                      <a:ext cx="6120000" cy="2071420"/>
                    </a:xfrm>
                    <a:prstGeom prst="rect"/>
                  </pic:spPr>
                </pic:pic>
              </a:graphicData>
            </a:graphic>
          </wp:inline>
        </w:drawing>
      </w:r>
    </w:p>
    <w:p>
      <w:pPr>
        <w:pStyle w:val="MDPI51figurecaption"/>
        <w:keepNext/>
        <w:spacing w:after="40"/>
      </w:pPr>
      <w:r>
        <w:rPr>
          <w:b/>
          <w:sz w:val="18"/>
        </w:rPr>
        <w:t xml:space="preserve">Figure 4. </w:t>
      </w:r>
      <w:r>
        <w:rPr>
          <w:b w:val="0"/>
          <w:i w:val="0"/>
          <w:sz w:val="18"/>
        </w:rPr>
        <w:t>Decomposition and scenario dependence of the net entry-port elasticity. (a) Contributions of the reinstatement, displacement and headcount-saving forces in the baseline; (b) net elasticity under five scenarios.</w:t>
      </w:r>
    </w:p>
    <w:p>
      <w:pPr>
        <w:pStyle w:val="MDPI51figurecaption"/>
        <w:spacing w:line="240" w:lineRule="auto" w:before="0" w:after="200"/>
        <w:ind w:left="2608" w:firstLine="0"/>
      </w:pPr>
      <w:r>
        <w:rPr>
          <w:i/>
          <w:sz w:val="16"/>
        </w:rPr>
        <w:t xml:space="preserve">Note: </w:t>
      </w:r>
      <w:r>
        <w:rPr>
          <w:b w:val="0"/>
          <w:i w:val="0"/>
          <w:sz w:val="16"/>
        </w:rPr>
        <w:t>The three contributions in panel (a) sum to the net elasticity E of Equation (19). Negative values indicate dominance of the balancing loops B1 and B2 and positive values dominance of the reinforcing loops R1 and R2.</w:t>
      </w:r>
    </w:p>
    <w:p>
      <w:pPr>
        <w:pStyle w:val="MDPI31text"/>
      </w:pPr>
      <w:r>
        <w:rPr>
          <w:b w:val="0"/>
          <w:i w:val="0"/>
        </w:rPr>
        <w:t>Figure 4b shows that the elasticity path is a design variable. Under an automation-first strategy the net elasticity falls to −0.60 and remains at −0.48 after 25 years, whereas the joint socio-technical package lifts it to −0.20. The ordering of the five scenarios by elasticity in year 25 is identical to their ordering by entry employment, which confirms that Equation (19) is an adequate summary statistic for loop dominance in this model.</w:t>
      </w:r>
    </w:p>
    <w:p>
      <w:pPr>
        <w:pStyle w:val="MDPI22heading2"/>
      </w:pPr>
      <w:r>
        <w:t>4.3. Regime Analysis: When Does Generative AI Widen the Entry Port?</w:t>
      </w:r>
    </w:p>
    <w:p>
      <w:pPr>
        <w:pStyle w:val="MDPI32textnoindent"/>
      </w:pPr>
      <w:r>
        <w:rPr>
          <w:b w:val="0"/>
          <w:i w:val="0"/>
        </w:rPr>
        <w:t xml:space="preserve">Proposition 1 asserts that the sign of the effect is a property of organisational design rather than of the technology. Figure 5a maps the 25-year effect on entry employment over the two design parameters that define the technical division of labour, the automation ceiling </w:t>
      </w:r>
      <m:oMath>
        <m:sSub>
          <m:e>
            <m:r>
              <m:t xml:space="preserve">α</m:t>
            </m:r>
          </m:e>
          <m:sub>
            <m:r>
              <m:rPr>
                <m:sty m:val="p"/>
              </m:rPr>
              <m:t xml:space="preserve">max</m:t>
            </m:r>
          </m:sub>
        </m:sSub>
      </m:oMath>
      <w:r>
        <w:rPr>
          <w:b w:val="0"/>
          <w:i w:val="0"/>
        </w:rPr>
        <w:t xml:space="preserve"> and the reinstatement ceiling </w:t>
      </w:r>
      <m:oMath>
        <m:sSub>
          <m:e>
            <m:r>
              <m:t xml:space="preserve">ρ</m:t>
            </m:r>
          </m:e>
          <m:sub>
            <m:r>
              <m:rPr>
                <m:sty m:val="p"/>
              </m:rPr>
              <m:t xml:space="preserve">max</m:t>
            </m:r>
          </m:sub>
        </m:sSub>
      </m:oMath>
      <w:r>
        <w:rPr>
          <w:b w:val="0"/>
          <w:i w:val="0"/>
        </w:rPr>
        <w:t xml:space="preserve">, holding every other parameter at its calibrated value. The effect ranges from −70.0% to +19.2%, and it is positive in 17.1% of the design space. The zero contour is close to linear, </w:t>
      </w:r>
      <m:oMath>
        <m:sSub>
          <m:e>
            <m:r>
              <m:t xml:space="preserve">α</m:t>
            </m:r>
          </m:e>
          <m:sub>
            <m:r>
              <m:rPr>
                <m:sty m:val="p"/>
              </m:rPr>
              <m:t xml:space="preserve">max</m:t>
            </m:r>
          </m:sub>
        </m:sSub>
        <m:r>
          <m:rPr>
            <m:sty m:val="p"/>
          </m:rPr>
          <m:t xml:space="preserve">=</m:t>
        </m:r>
        <m:r>
          <m:rPr>
            <m:sty m:val="p"/>
          </m:rPr>
          <m:t xml:space="preserve">-</m:t>
        </m:r>
        <m:r>
          <m:rPr>
            <m:sty m:val="p"/>
          </m:rPr>
          <m:t xml:space="preserve">0.335</m:t>
        </m:r>
        <m:r>
          <m:rPr>
            <m:sty m:val="p"/>
          </m:rPr>
          <m:t xml:space="preserve">+</m:t>
        </m:r>
        <m:r>
          <m:rPr>
            <m:sty m:val="p"/>
          </m:rPr>
          <m:t xml:space="preserve">1.207</m:t>
        </m:r>
        <m:sSub>
          <m:e>
            <m:r>
              <m:t xml:space="preserve">ρ</m:t>
            </m:r>
          </m:e>
          <m:sub>
            <m:r>
              <m:rPr>
                <m:sty m:val="p"/>
              </m:rPr>
              <m:t xml:space="preserve">max</m:t>
            </m:r>
          </m:sub>
        </m:sSub>
      </m:oMath>
      <w:r>
        <w:rPr>
          <w:b w:val="0"/>
          <w:i w:val="0"/>
        </w:rPr>
        <w:t>, which has a direct managerial reading: for every additional percentage point of the entry-task band that an organisation automates, it must reinstate roughly 0.83 percentage points of the core band to AI-assisted juniors in order to hold the entry port constant. The calibrated baseline lies well inside the displacement-dominant region.</w:t>
      </w:r>
    </w:p>
    <w:p>
      <w:pPr>
        <w:pStyle w:val="MDPI52figure"/>
        <w:keepNext/>
        <w:jc w:val="center"/>
      </w:pPr>
      <w:r>
        <w:drawing>
          <wp:inline xmlns:a="http://schemas.openxmlformats.org/drawingml/2006/main" xmlns:pic="http://schemas.openxmlformats.org/drawingml/2006/picture">
            <wp:extent cx="6120000" cy="2623944"/>
            <wp:docPr id="5" name="Picture 5"/>
            <wp:cNvGraphicFramePr>
              <a:graphicFrameLocks noChangeAspect="1"/>
            </wp:cNvGraphicFramePr>
            <a:graphic>
              <a:graphicData uri="http://schemas.openxmlformats.org/drawingml/2006/picture">
                <pic:pic>
                  <pic:nvPicPr>
                    <pic:cNvPr id="0" name="figure5_regimes.png"/>
                    <pic:cNvPicPr/>
                  </pic:nvPicPr>
                  <pic:blipFill>
                    <a:blip r:embed="rId21"/>
                    <a:stretch>
                      <a:fillRect/>
                    </a:stretch>
                  </pic:blipFill>
                  <pic:spPr>
                    <a:xfrm>
                      <a:off x="0" y="0"/>
                      <a:ext cx="6120000" cy="2623944"/>
                    </a:xfrm>
                    <a:prstGeom prst="rect"/>
                  </pic:spPr>
                </pic:pic>
              </a:graphicData>
            </a:graphic>
          </wp:inline>
        </w:drawing>
      </w:r>
    </w:p>
    <w:p>
      <w:pPr>
        <w:pStyle w:val="MDPI51figurecaption"/>
        <w:keepNext/>
        <w:spacing w:after="40"/>
      </w:pPr>
      <w:r>
        <w:rPr>
          <w:b/>
          <w:sz w:val="18"/>
        </w:rPr>
        <w:t xml:space="preserve">Figure 5. </w:t>
      </w:r>
      <w:r>
        <w:rPr>
          <w:b w:val="0"/>
          <w:i w:val="0"/>
          <w:sz w:val="18"/>
        </w:rPr>
        <w:t>Regime maps of the 25-year effect on entry employment. (a) Automation ceiling against reinstatement ceiling; (b) learning-investment rate against reinstatement ceiling.</w:t>
      </w:r>
    </w:p>
    <w:p>
      <w:pPr>
        <w:pStyle w:val="MDPI51figurecaption"/>
        <w:spacing w:line="240" w:lineRule="auto" w:before="0" w:after="200"/>
        <w:ind w:left="2608" w:firstLine="0"/>
      </w:pPr>
      <w:r>
        <w:rPr>
          <w:i/>
          <w:sz w:val="16"/>
        </w:rPr>
        <w:t xml:space="preserve">Note: </w:t>
      </w:r>
      <w:r>
        <w:rPr>
          <w:b w:val="0"/>
          <w:i w:val="0"/>
          <w:sz w:val="16"/>
        </w:rPr>
        <w:t>The solid contour is the locus along which generative AI leaves entry employment unchanged relative to the counterfactual; dotted contours mark −20% and −40%. The open circle marks the calibrated baseline. All parameters other than the two on the axes are held at their baseline values.</w:t>
      </w:r>
    </w:p>
    <w:p>
      <w:pPr>
        <w:pStyle w:val="MDPI31text"/>
      </w:pPr>
      <w:r>
        <w:rPr>
          <w:b w:val="0"/>
          <w:i w:val="0"/>
        </w:rPr>
        <w:t xml:space="preserve">Figure 5b repeats the exercise over the reinstatement ceiling and the learning-investment rate </w:t>
      </w:r>
      <m:oMath>
        <m:r>
          <m:t xml:space="preserve">λ</m:t>
        </m:r>
      </m:oMath>
      <w:r>
        <w:rPr>
          <w:b w:val="0"/>
          <w:i w:val="0"/>
        </w:rPr>
        <w:t xml:space="preserve">, at the baseline automation ceiling. The contours are strongly convex rather than parallel, which is the visual signature of complementarity: increasing the reinstatement ceiling alone yields little when the routine stock is thin, because Equation (5) multiplies the ceiling by </w:t>
      </w:r>
      <m:oMath>
        <m:r>
          <m:t xml:space="preserve">Λ</m:t>
        </m:r>
      </m:oMath>
      <w:r>
        <w:rPr>
          <w:b w:val="0"/>
          <w:i w:val="0"/>
        </w:rPr>
        <w:t>, and increasing learning investment alone yields little when the organisation does not delegate the work that the routines would support. The positive region is much smaller in this panel (2.5%) than in Figure 5a, which is the appropriate conclusion: at an automation ceiling of 0.60, no feasible combination of the two social-subsystem levers restores the entry port on its own.</w:t>
      </w:r>
    </w:p>
    <w:p>
      <w:pPr>
        <w:pStyle w:val="MDPI22heading2"/>
      </w:pPr>
      <w:r>
        <w:t>4.4. Design Interventions and the Joint-Optimisation Test</w:t>
      </w:r>
    </w:p>
    <w:p>
      <w:pPr>
        <w:pStyle w:val="MDPI32textnoindent"/>
      </w:pPr>
      <w:r>
        <w:rPr>
          <w:b w:val="0"/>
          <w:i w:val="0"/>
        </w:rPr>
        <w:t>Table 6 and Figure 6 report seven scenarios. Relative to the baseline S0, an automation-first intensification S1 — a higher automation ceiling combined with halved learning investment, which is the configuration a firm reaches if it treats GenAI as a cost-reduction programme — lowers unit cost faster than the baseline over the first three years, and by year 25 leaves entry employment 46.4% below the counterfactual, the experienced stock 23.9% below it, the fulfilment ratio at 0.695 and output 15.7% below the counterfactual in which the technology was never adopted. This is Proposition 3: the automation-first configuration is not merely bad for young workers, it is bad for the firm, and the damage is invisible in the first five years, when its output path is barely distinguishable from the baseline.</w:t>
      </w:r>
    </w:p>
    <w:p>
      <w:pPr>
        <w:pStyle w:val="MDPI41tablecaption"/>
        <w:keepNext/>
        <w:spacing w:after="60"/>
      </w:pPr>
      <w:r>
        <w:rPr>
          <w:b/>
          <w:sz w:val="18"/>
        </w:rPr>
        <w:t xml:space="preserve">Table 6. </w:t>
      </w:r>
      <w:r>
        <w:rPr>
          <w:b w:val="0"/>
          <w:i w:val="0"/>
          <w:sz w:val="18"/>
        </w:rPr>
        <w:t>Design and policy scenarios: outcomes relative to the no-GenAI counterfactual.</w:t>
      </w:r>
    </w:p>
    <w:tbl>
      <w:tblPr>
        <w:tblStyle w:val="MDPI41threelinetable"/>
        <w:tblW w:w="10467"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CellMar>
          <w:top w:w="0" w:type="dxa"/>
          <w:left w:w="57" w:type="dxa"/>
          <w:bottom w:w="0" w:type="dxa"/>
          <w:right w:w="57" w:type="dxa"/>
        </w:tblCellMar>
        <w:tblLook w:firstColumn="1" w:firstRow="1" w:lastColumn="0" w:lastRow="0" w:noHBand="0" w:noVBand="1" w:val="04A0"/>
      </w:tblPr>
      <w:tblGrid>
        <w:gridCol w:w="648"/>
        <w:gridCol w:w="2177"/>
        <w:gridCol w:w="764"/>
        <w:gridCol w:w="764"/>
        <w:gridCol w:w="764"/>
        <w:gridCol w:w="764"/>
        <w:gridCol w:w="764"/>
        <w:gridCol w:w="764"/>
        <w:gridCol w:w="764"/>
        <w:gridCol w:w="764"/>
        <w:gridCol w:w="764"/>
        <w:gridCol w:w="764"/>
      </w:tblGrid>
      <w:tr>
        <w:tc>
          <w:tcPr>
            <w:tcW w:type="dxa" w:w="648"/>
            <w:tcBorders>
              <w:bottom w:val="single" w:sz="8" w:space="0" w:color="auto"/>
            </w:tcBorders>
          </w:tcPr>
          <w:p>
            <w:pPr>
              <w:pStyle w:val="MDPI42tablebody"/>
              <w:spacing w:line="240" w:lineRule="auto" w:before="30" w:after="30"/>
              <w:jc w:val="center"/>
            </w:pPr>
            <w:r>
              <w:rPr>
                <w:b/>
                <w:i w:val="0"/>
                <w:sz w:val="16"/>
              </w:rPr>
              <w:t>Code</w:t>
            </w:r>
          </w:p>
        </w:tc>
        <w:tc>
          <w:tcPr>
            <w:tcW w:type="dxa" w:w="2177"/>
            <w:tcBorders>
              <w:bottom w:val="single" w:sz="8" w:space="0" w:color="auto"/>
            </w:tcBorders>
          </w:tcPr>
          <w:p>
            <w:pPr>
              <w:pStyle w:val="MDPI42tablebody"/>
              <w:spacing w:line="240" w:lineRule="auto" w:before="30" w:after="30"/>
              <w:jc w:val="center"/>
            </w:pPr>
            <w:r>
              <w:rPr>
                <w:b/>
                <w:i w:val="0"/>
                <w:sz w:val="16"/>
              </w:rPr>
              <w:t>Scenario</w:t>
            </w:r>
          </w:p>
        </w:tc>
        <w:tc>
          <w:tcPr>
            <w:tcW w:type="dxa" w:w="764"/>
            <w:tcBorders>
              <w:bottom w:val="single" w:sz="8" w:space="0" w:color="auto"/>
            </w:tcBorders>
          </w:tcPr>
          <w:p>
            <w:pPr>
              <w:pStyle w:val="MDPI42tablebody"/>
              <w:spacing w:line="240" w:lineRule="auto" w:before="30" w:after="30"/>
              <w:jc w:val="center"/>
            </w:pPr>
            <w:r>
              <w:rPr>
                <w:b/>
                <w:i w:val="0"/>
                <w:sz w:val="16"/>
              </w:rPr>
              <w:t>ΔJ</w:t>
            </w:r>
            <w:r>
              <w:rPr>
                <w:b/>
                <w:i w:val="0"/>
                <w:sz w:val="16"/>
                <w:vertAlign w:val="subscript"/>
              </w:rPr>
              <w:t>5</w:t>
            </w:r>
          </w:p>
        </w:tc>
        <w:tc>
          <w:tcPr>
            <w:tcW w:type="dxa" w:w="764"/>
            <w:tcBorders>
              <w:bottom w:val="single" w:sz="8" w:space="0" w:color="auto"/>
            </w:tcBorders>
          </w:tcPr>
          <w:p>
            <w:pPr>
              <w:pStyle w:val="MDPI42tablebody"/>
              <w:spacing w:line="240" w:lineRule="auto" w:before="30" w:after="30"/>
              <w:jc w:val="center"/>
            </w:pPr>
            <w:r>
              <w:rPr>
                <w:b/>
                <w:i w:val="0"/>
                <w:sz w:val="16"/>
              </w:rPr>
              <w:t>ΔJ</w:t>
            </w:r>
            <w:r>
              <w:rPr>
                <w:b/>
                <w:i w:val="0"/>
                <w:sz w:val="16"/>
                <w:vertAlign w:val="subscript"/>
              </w:rPr>
              <w:t>25</w:t>
            </w:r>
          </w:p>
        </w:tc>
        <w:tc>
          <w:tcPr>
            <w:tcW w:type="dxa" w:w="764"/>
            <w:tcBorders>
              <w:bottom w:val="single" w:sz="8" w:space="0" w:color="auto"/>
            </w:tcBorders>
          </w:tcPr>
          <w:p>
            <w:pPr>
              <w:pStyle w:val="MDPI42tablebody"/>
              <w:spacing w:line="240" w:lineRule="auto" w:before="30" w:after="30"/>
              <w:jc w:val="center"/>
            </w:pPr>
            <w:r>
              <w:rPr>
                <w:b/>
                <w:i w:val="0"/>
                <w:sz w:val="16"/>
              </w:rPr>
              <w:t>Δh</w:t>
            </w:r>
          </w:p>
        </w:tc>
        <w:tc>
          <w:tcPr>
            <w:tcW w:type="dxa" w:w="764"/>
            <w:tcBorders>
              <w:bottom w:val="single" w:sz="8" w:space="0" w:color="auto"/>
            </w:tcBorders>
          </w:tcPr>
          <w:p>
            <w:pPr>
              <w:pStyle w:val="MDPI42tablebody"/>
              <w:spacing w:line="240" w:lineRule="auto" w:before="30" w:after="30"/>
              <w:jc w:val="center"/>
            </w:pPr>
            <w:r>
              <w:rPr>
                <w:b/>
                <w:i w:val="0"/>
                <w:sz w:val="16"/>
              </w:rPr>
              <w:t>ΔS</w:t>
            </w:r>
            <w:r>
              <w:rPr>
                <w:b/>
                <w:i w:val="0"/>
                <w:sz w:val="16"/>
                <w:vertAlign w:val="subscript"/>
              </w:rPr>
              <w:t>25</w:t>
            </w:r>
          </w:p>
        </w:tc>
        <w:tc>
          <w:tcPr>
            <w:tcW w:type="dxa" w:w="764"/>
            <w:tcBorders>
              <w:bottom w:val="single" w:sz="8" w:space="0" w:color="auto"/>
            </w:tcBorders>
          </w:tcPr>
          <w:p>
            <w:pPr>
              <w:pStyle w:val="MDPI42tablebody"/>
              <w:spacing w:line="240" w:lineRule="auto" w:before="30" w:after="30"/>
              <w:jc w:val="center"/>
            </w:pPr>
            <w:r>
              <w:rPr>
                <w:b/>
                <w:i w:val="0"/>
                <w:sz w:val="16"/>
              </w:rPr>
              <w:t>ΔY</w:t>
            </w:r>
            <w:r>
              <w:rPr>
                <w:b/>
                <w:i w:val="0"/>
                <w:sz w:val="16"/>
                <w:vertAlign w:val="subscript"/>
              </w:rPr>
              <w:t>5</w:t>
            </w:r>
          </w:p>
        </w:tc>
        <w:tc>
          <w:tcPr>
            <w:tcW w:type="dxa" w:w="764"/>
            <w:tcBorders>
              <w:bottom w:val="single" w:sz="8" w:space="0" w:color="auto"/>
            </w:tcBorders>
          </w:tcPr>
          <w:p>
            <w:pPr>
              <w:pStyle w:val="MDPI42tablebody"/>
              <w:spacing w:line="240" w:lineRule="auto" w:before="30" w:after="30"/>
              <w:jc w:val="center"/>
            </w:pPr>
            <w:r>
              <w:rPr>
                <w:b/>
                <w:i w:val="0"/>
                <w:sz w:val="16"/>
              </w:rPr>
              <w:t>ΔY</w:t>
            </w:r>
            <w:r>
              <w:rPr>
                <w:b/>
                <w:i w:val="0"/>
                <w:sz w:val="16"/>
                <w:vertAlign w:val="subscript"/>
              </w:rPr>
              <w:t>25</w:t>
            </w:r>
          </w:p>
        </w:tc>
        <w:tc>
          <w:tcPr>
            <w:tcW w:type="dxa" w:w="764"/>
            <w:tcBorders>
              <w:bottom w:val="single" w:sz="8" w:space="0" w:color="auto"/>
            </w:tcBorders>
          </w:tcPr>
          <w:p>
            <w:pPr>
              <w:pStyle w:val="MDPI42tablebody"/>
              <w:spacing w:line="240" w:lineRule="auto" w:before="30" w:after="30"/>
              <w:jc w:val="center"/>
            </w:pPr>
            <w:r>
              <w:rPr>
                <w:b/>
                <w:i w:val="0"/>
                <w:sz w:val="16"/>
              </w:rPr>
              <w:t>ΔC</w:t>
            </w:r>
            <w:r>
              <w:rPr>
                <w:b/>
                <w:i w:val="0"/>
                <w:sz w:val="16"/>
                <w:vertAlign w:val="subscript"/>
              </w:rPr>
              <w:t>25</w:t>
            </w:r>
          </w:p>
        </w:tc>
        <w:tc>
          <w:tcPr>
            <w:tcW w:type="dxa" w:w="764"/>
            <w:tcBorders>
              <w:bottom w:val="single" w:sz="8" w:space="0" w:color="auto"/>
            </w:tcBorders>
          </w:tcPr>
          <w:p>
            <w:pPr>
              <w:pStyle w:val="MDPI42tablebody"/>
              <w:spacing w:line="240" w:lineRule="auto" w:before="30" w:after="30"/>
              <w:jc w:val="center"/>
            </w:pPr>
            <w:r>
              <w:rPr>
                <w:b/>
                <w:i w:val="0"/>
                <w:sz w:val="16"/>
              </w:rPr>
              <w:t>Φ</w:t>
            </w:r>
            <w:r>
              <w:rPr>
                <w:b/>
                <w:i w:val="0"/>
                <w:sz w:val="16"/>
                <w:vertAlign w:val="subscript"/>
              </w:rPr>
              <w:t>25</w:t>
            </w:r>
          </w:p>
        </w:tc>
        <w:tc>
          <w:tcPr>
            <w:tcW w:type="dxa" w:w="764"/>
            <w:tcBorders>
              <w:bottom w:val="single" w:sz="8" w:space="0" w:color="auto"/>
            </w:tcBorders>
          </w:tcPr>
          <w:p>
            <w:pPr>
              <w:pStyle w:val="MDPI42tablebody"/>
              <w:spacing w:line="240" w:lineRule="auto" w:before="30" w:after="30"/>
              <w:jc w:val="center"/>
            </w:pPr>
            <w:r>
              <w:rPr>
                <w:b/>
                <w:i w:val="0"/>
                <w:sz w:val="16"/>
              </w:rPr>
              <w:t>Trough</w:t>
            </w:r>
          </w:p>
        </w:tc>
        <w:tc>
          <w:tcPr>
            <w:tcW w:type="dxa" w:w="764"/>
            <w:tcBorders>
              <w:bottom w:val="single" w:sz="8" w:space="0" w:color="auto"/>
            </w:tcBorders>
          </w:tcPr>
          <w:p>
            <w:pPr>
              <w:pStyle w:val="MDPI42tablebody"/>
              <w:spacing w:line="240" w:lineRule="auto" w:before="30" w:after="30"/>
              <w:jc w:val="center"/>
            </w:pPr>
            <w:r>
              <w:rPr>
                <w:b/>
                <w:i w:val="0"/>
                <w:sz w:val="16"/>
              </w:rPr>
              <w:t>t*</w:t>
            </w:r>
          </w:p>
        </w:tc>
      </w:tr>
      <w:tr>
        <w:tc>
          <w:tcPr>
            <w:tcW w:type="dxa" w:w="648"/>
          </w:tcPr>
          <w:p>
            <w:pPr>
              <w:pStyle w:val="MDPI42tablebody"/>
              <w:spacing w:line="240" w:lineRule="auto" w:before="30" w:after="30"/>
              <w:jc w:val="center"/>
            </w:pPr>
            <w:r>
              <w:rPr>
                <w:b w:val="0"/>
                <w:i w:val="0"/>
                <w:sz w:val="16"/>
              </w:rPr>
              <w:t>S0</w:t>
            </w:r>
          </w:p>
        </w:tc>
        <w:tc>
          <w:tcPr>
            <w:tcW w:type="dxa" w:w="2177"/>
          </w:tcPr>
          <w:p>
            <w:pPr>
              <w:pStyle w:val="MDPI42tablebody"/>
              <w:spacing w:line="240" w:lineRule="auto" w:before="30" w:after="30"/>
              <w:jc w:val="left"/>
            </w:pPr>
            <w:r>
              <w:rPr>
                <w:b w:val="0"/>
                <w:i w:val="0"/>
                <w:sz w:val="16"/>
              </w:rPr>
              <w:t>Baseline</w:t>
            </w:r>
          </w:p>
        </w:tc>
        <w:tc>
          <w:tcPr>
            <w:tcW w:type="dxa" w:w="764"/>
          </w:tcPr>
          <w:p>
            <w:pPr>
              <w:pStyle w:val="MDPI42tablebody"/>
              <w:spacing w:line="240" w:lineRule="auto" w:before="30" w:after="30"/>
              <w:jc w:val="center"/>
            </w:pPr>
            <w:r>
              <w:rPr>
                <w:b w:val="0"/>
                <w:i w:val="0"/>
                <w:sz w:val="16"/>
              </w:rPr>
              <w:t>−33.0</w:t>
            </w:r>
          </w:p>
        </w:tc>
        <w:tc>
          <w:tcPr>
            <w:tcW w:type="dxa" w:w="764"/>
          </w:tcPr>
          <w:p>
            <w:pPr>
              <w:pStyle w:val="MDPI42tablebody"/>
              <w:spacing w:line="240" w:lineRule="auto" w:before="30" w:after="30"/>
              <w:jc w:val="center"/>
            </w:pPr>
            <w:r>
              <w:rPr>
                <w:b w:val="0"/>
                <w:i w:val="0"/>
                <w:sz w:val="16"/>
              </w:rPr>
              <w:t>−30.7</w:t>
            </w:r>
          </w:p>
        </w:tc>
        <w:tc>
          <w:tcPr>
            <w:tcW w:type="dxa" w:w="764"/>
          </w:tcPr>
          <w:p>
            <w:pPr>
              <w:pStyle w:val="MDPI42tablebody"/>
              <w:spacing w:line="240" w:lineRule="auto" w:before="30" w:after="30"/>
              <w:jc w:val="center"/>
            </w:pPr>
            <w:r>
              <w:rPr>
                <w:b w:val="0"/>
                <w:i w:val="0"/>
                <w:sz w:val="16"/>
              </w:rPr>
              <w:t>−27.8</w:t>
            </w:r>
          </w:p>
        </w:tc>
        <w:tc>
          <w:tcPr>
            <w:tcW w:type="dxa" w:w="764"/>
          </w:tcPr>
          <w:p>
            <w:pPr>
              <w:pStyle w:val="MDPI42tablebody"/>
              <w:spacing w:line="240" w:lineRule="auto" w:before="30" w:after="30"/>
              <w:jc w:val="center"/>
            </w:pPr>
            <w:r>
              <w:rPr>
                <w:b w:val="0"/>
                <w:i w:val="0"/>
                <w:sz w:val="16"/>
              </w:rPr>
              <w:t>−7.9</w:t>
            </w:r>
          </w:p>
        </w:tc>
        <w:tc>
          <w:tcPr>
            <w:tcW w:type="dxa" w:w="764"/>
          </w:tcPr>
          <w:p>
            <w:pPr>
              <w:pStyle w:val="MDPI42tablebody"/>
              <w:spacing w:line="240" w:lineRule="auto" w:before="30" w:after="30"/>
              <w:jc w:val="center"/>
            </w:pPr>
            <w:r>
              <w:rPr>
                <w:b w:val="0"/>
                <w:i w:val="0"/>
                <w:sz w:val="16"/>
              </w:rPr>
              <w:t>3.8</w:t>
            </w:r>
          </w:p>
        </w:tc>
        <w:tc>
          <w:tcPr>
            <w:tcW w:type="dxa" w:w="764"/>
          </w:tcPr>
          <w:p>
            <w:pPr>
              <w:pStyle w:val="MDPI42tablebody"/>
              <w:spacing w:line="240" w:lineRule="auto" w:before="30" w:after="30"/>
              <w:jc w:val="center"/>
            </w:pPr>
            <w:r>
              <w:rPr>
                <w:b w:val="0"/>
                <w:i w:val="0"/>
                <w:sz w:val="16"/>
              </w:rPr>
              <w:t>9.4</w:t>
            </w:r>
          </w:p>
        </w:tc>
        <w:tc>
          <w:tcPr>
            <w:tcW w:type="dxa" w:w="764"/>
          </w:tcPr>
          <w:p>
            <w:pPr>
              <w:pStyle w:val="MDPI42tablebody"/>
              <w:spacing w:line="240" w:lineRule="auto" w:before="30" w:after="30"/>
              <w:jc w:val="center"/>
            </w:pPr>
            <w:r>
              <w:rPr>
                <w:b w:val="0"/>
                <w:i w:val="0"/>
                <w:sz w:val="16"/>
              </w:rPr>
              <w:t>−16.9</w:t>
            </w:r>
          </w:p>
        </w:tc>
        <w:tc>
          <w:tcPr>
            <w:tcW w:type="dxa" w:w="764"/>
          </w:tcPr>
          <w:p>
            <w:pPr>
              <w:pStyle w:val="MDPI42tablebody"/>
              <w:spacing w:line="240" w:lineRule="auto" w:before="30" w:after="30"/>
              <w:jc w:val="center"/>
            </w:pPr>
            <w:r>
              <w:rPr>
                <w:b w:val="0"/>
                <w:i w:val="0"/>
                <w:sz w:val="16"/>
              </w:rPr>
              <w:t>0.864</w:t>
            </w:r>
          </w:p>
        </w:tc>
        <w:tc>
          <w:tcPr>
            <w:tcW w:type="dxa" w:w="764"/>
          </w:tcPr>
          <w:p>
            <w:pPr>
              <w:pStyle w:val="MDPI42tablebody"/>
              <w:spacing w:line="240" w:lineRule="auto" w:before="30" w:after="30"/>
              <w:jc w:val="center"/>
            </w:pPr>
            <w:r>
              <w:rPr>
                <w:b w:val="0"/>
                <w:i w:val="0"/>
                <w:sz w:val="16"/>
              </w:rPr>
              <w:t>−37.2</w:t>
            </w:r>
          </w:p>
        </w:tc>
        <w:tc>
          <w:tcPr>
            <w:tcW w:type="dxa" w:w="764"/>
          </w:tcPr>
          <w:p>
            <w:pPr>
              <w:pStyle w:val="MDPI42tablebody"/>
              <w:spacing w:line="240" w:lineRule="auto" w:before="30" w:after="30"/>
              <w:jc w:val="center"/>
            </w:pPr>
            <w:r>
              <w:rPr>
                <w:b w:val="0"/>
                <w:i w:val="0"/>
                <w:sz w:val="16"/>
              </w:rPr>
              <w:t>7.1</w:t>
            </w:r>
          </w:p>
        </w:tc>
      </w:tr>
      <w:tr>
        <w:tc>
          <w:tcPr>
            <w:tcW w:type="dxa" w:w="648"/>
          </w:tcPr>
          <w:p>
            <w:pPr>
              <w:pStyle w:val="MDPI42tablebody"/>
              <w:spacing w:line="240" w:lineRule="auto" w:before="30" w:after="30"/>
              <w:jc w:val="center"/>
            </w:pPr>
            <w:r>
              <w:rPr>
                <w:b w:val="0"/>
                <w:i w:val="0"/>
                <w:sz w:val="16"/>
              </w:rPr>
              <w:t>S1</w:t>
            </w:r>
          </w:p>
        </w:tc>
        <w:tc>
          <w:tcPr>
            <w:tcW w:type="dxa" w:w="2177"/>
          </w:tcPr>
          <w:p>
            <w:pPr>
              <w:pStyle w:val="MDPI42tablebody"/>
              <w:spacing w:line="240" w:lineRule="auto" w:before="30" w:after="30"/>
              <w:jc w:val="left"/>
            </w:pPr>
            <w:r>
              <w:rPr>
                <w:b w:val="0"/>
                <w:i w:val="0"/>
                <w:sz w:val="16"/>
              </w:rPr>
              <w:t>Automation-first</w:t>
            </w:r>
          </w:p>
        </w:tc>
        <w:tc>
          <w:tcPr>
            <w:tcW w:type="dxa" w:w="764"/>
          </w:tcPr>
          <w:p>
            <w:pPr>
              <w:pStyle w:val="MDPI42tablebody"/>
              <w:spacing w:line="240" w:lineRule="auto" w:before="30" w:after="30"/>
              <w:jc w:val="center"/>
            </w:pPr>
            <w:r>
              <w:rPr>
                <w:b w:val="0"/>
                <w:i w:val="0"/>
                <w:sz w:val="16"/>
              </w:rPr>
              <w:t>−38.7</w:t>
            </w:r>
          </w:p>
        </w:tc>
        <w:tc>
          <w:tcPr>
            <w:tcW w:type="dxa" w:w="764"/>
          </w:tcPr>
          <w:p>
            <w:pPr>
              <w:pStyle w:val="MDPI42tablebody"/>
              <w:spacing w:line="240" w:lineRule="auto" w:before="30" w:after="30"/>
              <w:jc w:val="center"/>
            </w:pPr>
            <w:r>
              <w:rPr>
                <w:b w:val="0"/>
                <w:i w:val="0"/>
                <w:sz w:val="16"/>
              </w:rPr>
              <w:t>−46.4</w:t>
            </w:r>
          </w:p>
        </w:tc>
        <w:tc>
          <w:tcPr>
            <w:tcW w:type="dxa" w:w="764"/>
          </w:tcPr>
          <w:p>
            <w:pPr>
              <w:pStyle w:val="MDPI42tablebody"/>
              <w:spacing w:line="240" w:lineRule="auto" w:before="30" w:after="30"/>
              <w:jc w:val="center"/>
            </w:pPr>
            <w:r>
              <w:rPr>
                <w:b w:val="0"/>
                <w:i w:val="0"/>
                <w:sz w:val="16"/>
              </w:rPr>
              <w:t>−42.0</w:t>
            </w:r>
          </w:p>
        </w:tc>
        <w:tc>
          <w:tcPr>
            <w:tcW w:type="dxa" w:w="764"/>
          </w:tcPr>
          <w:p>
            <w:pPr>
              <w:pStyle w:val="MDPI42tablebody"/>
              <w:spacing w:line="240" w:lineRule="auto" w:before="30" w:after="30"/>
              <w:jc w:val="center"/>
            </w:pPr>
            <w:r>
              <w:rPr>
                <w:b w:val="0"/>
                <w:i w:val="0"/>
                <w:sz w:val="16"/>
              </w:rPr>
              <w:t>−23.9</w:t>
            </w:r>
          </w:p>
        </w:tc>
        <w:tc>
          <w:tcPr>
            <w:tcW w:type="dxa" w:w="764"/>
          </w:tcPr>
          <w:p>
            <w:pPr>
              <w:pStyle w:val="MDPI42tablebody"/>
              <w:spacing w:line="240" w:lineRule="auto" w:before="30" w:after="30"/>
              <w:jc w:val="center"/>
            </w:pPr>
            <w:r>
              <w:rPr>
                <w:b w:val="0"/>
                <w:i w:val="0"/>
                <w:sz w:val="16"/>
              </w:rPr>
              <w:t>1.4</w:t>
            </w:r>
          </w:p>
        </w:tc>
        <w:tc>
          <w:tcPr>
            <w:tcW w:type="dxa" w:w="764"/>
          </w:tcPr>
          <w:p>
            <w:pPr>
              <w:pStyle w:val="MDPI42tablebody"/>
              <w:spacing w:line="240" w:lineRule="auto" w:before="30" w:after="30"/>
              <w:jc w:val="center"/>
            </w:pPr>
            <w:r>
              <w:rPr>
                <w:b w:val="0"/>
                <w:i w:val="0"/>
                <w:sz w:val="16"/>
              </w:rPr>
              <w:t>−15.7</w:t>
            </w:r>
          </w:p>
        </w:tc>
        <w:tc>
          <w:tcPr>
            <w:tcW w:type="dxa" w:w="764"/>
          </w:tcPr>
          <w:p>
            <w:pPr>
              <w:pStyle w:val="MDPI42tablebody"/>
              <w:spacing w:line="240" w:lineRule="auto" w:before="30" w:after="30"/>
              <w:jc w:val="center"/>
            </w:pPr>
            <w:r>
              <w:rPr>
                <w:b w:val="0"/>
                <w:i w:val="0"/>
                <w:sz w:val="16"/>
              </w:rPr>
              <w:t>−13.0</w:t>
            </w:r>
          </w:p>
        </w:tc>
        <w:tc>
          <w:tcPr>
            <w:tcW w:type="dxa" w:w="764"/>
          </w:tcPr>
          <w:p>
            <w:pPr>
              <w:pStyle w:val="MDPI42tablebody"/>
              <w:spacing w:line="240" w:lineRule="auto" w:before="30" w:after="30"/>
              <w:jc w:val="center"/>
            </w:pPr>
            <w:r>
              <w:rPr>
                <w:b w:val="0"/>
                <w:i w:val="0"/>
                <w:sz w:val="16"/>
              </w:rPr>
              <w:t>0.695</w:t>
            </w:r>
          </w:p>
        </w:tc>
        <w:tc>
          <w:tcPr>
            <w:tcW w:type="dxa" w:w="764"/>
          </w:tcPr>
          <w:p>
            <w:pPr>
              <w:pStyle w:val="MDPI42tablebody"/>
              <w:spacing w:line="240" w:lineRule="auto" w:before="30" w:after="30"/>
              <w:jc w:val="center"/>
            </w:pPr>
            <w:r>
              <w:rPr>
                <w:b w:val="0"/>
                <w:i w:val="0"/>
                <w:sz w:val="16"/>
              </w:rPr>
              <w:t>−47.8</w:t>
            </w:r>
          </w:p>
        </w:tc>
        <w:tc>
          <w:tcPr>
            <w:tcW w:type="dxa" w:w="764"/>
          </w:tcPr>
          <w:p>
            <w:pPr>
              <w:pStyle w:val="MDPI42tablebody"/>
              <w:spacing w:line="240" w:lineRule="auto" w:before="30" w:after="30"/>
              <w:jc w:val="center"/>
            </w:pPr>
            <w:r>
              <w:rPr>
                <w:b w:val="0"/>
                <w:i w:val="0"/>
                <w:sz w:val="16"/>
              </w:rPr>
              <w:t>8.6</w:t>
            </w:r>
          </w:p>
        </w:tc>
      </w:tr>
      <w:tr>
        <w:tc>
          <w:tcPr>
            <w:tcW w:type="dxa" w:w="648"/>
          </w:tcPr>
          <w:p>
            <w:pPr>
              <w:pStyle w:val="MDPI42tablebody"/>
              <w:spacing w:line="240" w:lineRule="auto" w:before="30" w:after="30"/>
              <w:jc w:val="center"/>
            </w:pPr>
            <w:r>
              <w:rPr>
                <w:b w:val="0"/>
                <w:i w:val="0"/>
                <w:sz w:val="16"/>
              </w:rPr>
              <w:t>S2</w:t>
            </w:r>
          </w:p>
        </w:tc>
        <w:tc>
          <w:tcPr>
            <w:tcW w:type="dxa" w:w="2177"/>
          </w:tcPr>
          <w:p>
            <w:pPr>
              <w:pStyle w:val="MDPI42tablebody"/>
              <w:spacing w:line="240" w:lineRule="auto" w:before="30" w:after="30"/>
              <w:jc w:val="left"/>
            </w:pPr>
            <w:r>
              <w:rPr>
                <w:b w:val="0"/>
                <w:i w:val="0"/>
                <w:sz w:val="16"/>
              </w:rPr>
              <w:t>Learning system</w:t>
            </w:r>
          </w:p>
        </w:tc>
        <w:tc>
          <w:tcPr>
            <w:tcW w:type="dxa" w:w="764"/>
          </w:tcPr>
          <w:p>
            <w:pPr>
              <w:pStyle w:val="MDPI42tablebody"/>
              <w:spacing w:line="240" w:lineRule="auto" w:before="30" w:after="30"/>
              <w:jc w:val="center"/>
            </w:pPr>
            <w:r>
              <w:rPr>
                <w:b w:val="0"/>
                <w:i w:val="0"/>
                <w:sz w:val="16"/>
              </w:rPr>
              <w:t>−35.2</w:t>
            </w:r>
          </w:p>
        </w:tc>
        <w:tc>
          <w:tcPr>
            <w:tcW w:type="dxa" w:w="764"/>
          </w:tcPr>
          <w:p>
            <w:pPr>
              <w:pStyle w:val="MDPI42tablebody"/>
              <w:spacing w:line="240" w:lineRule="auto" w:before="30" w:after="30"/>
              <w:jc w:val="center"/>
            </w:pPr>
            <w:r>
              <w:rPr>
                <w:b w:val="0"/>
                <w:i w:val="0"/>
                <w:sz w:val="16"/>
              </w:rPr>
              <w:t>−26.6</w:t>
            </w:r>
          </w:p>
        </w:tc>
        <w:tc>
          <w:tcPr>
            <w:tcW w:type="dxa" w:w="764"/>
          </w:tcPr>
          <w:p>
            <w:pPr>
              <w:pStyle w:val="MDPI42tablebody"/>
              <w:spacing w:line="240" w:lineRule="auto" w:before="30" w:after="30"/>
              <w:jc w:val="center"/>
            </w:pPr>
            <w:r>
              <w:rPr>
                <w:b w:val="0"/>
                <w:i w:val="0"/>
                <w:sz w:val="16"/>
              </w:rPr>
              <w:t>−23.6</w:t>
            </w:r>
          </w:p>
        </w:tc>
        <w:tc>
          <w:tcPr>
            <w:tcW w:type="dxa" w:w="764"/>
          </w:tcPr>
          <w:p>
            <w:pPr>
              <w:pStyle w:val="MDPI42tablebody"/>
              <w:spacing w:line="240" w:lineRule="auto" w:before="30" w:after="30"/>
              <w:jc w:val="center"/>
            </w:pPr>
            <w:r>
              <w:rPr>
                <w:b w:val="0"/>
                <w:i w:val="0"/>
                <w:sz w:val="16"/>
              </w:rPr>
              <w:t>−0.2</w:t>
            </w:r>
          </w:p>
        </w:tc>
        <w:tc>
          <w:tcPr>
            <w:tcW w:type="dxa" w:w="764"/>
          </w:tcPr>
          <w:p>
            <w:pPr>
              <w:pStyle w:val="MDPI42tablebody"/>
              <w:spacing w:line="240" w:lineRule="auto" w:before="30" w:after="30"/>
              <w:jc w:val="center"/>
            </w:pPr>
            <w:r>
              <w:rPr>
                <w:b w:val="0"/>
                <w:i w:val="0"/>
                <w:sz w:val="16"/>
              </w:rPr>
              <w:t>4.5</w:t>
            </w:r>
          </w:p>
        </w:tc>
        <w:tc>
          <w:tcPr>
            <w:tcW w:type="dxa" w:w="764"/>
          </w:tcPr>
          <w:p>
            <w:pPr>
              <w:pStyle w:val="MDPI42tablebody"/>
              <w:spacing w:line="240" w:lineRule="auto" w:before="30" w:after="30"/>
              <w:jc w:val="center"/>
            </w:pPr>
            <w:r>
              <w:rPr>
                <w:b w:val="0"/>
                <w:i w:val="0"/>
                <w:sz w:val="16"/>
              </w:rPr>
              <w:t>25.5</w:t>
            </w:r>
          </w:p>
        </w:tc>
        <w:tc>
          <w:tcPr>
            <w:tcW w:type="dxa" w:w="764"/>
          </w:tcPr>
          <w:p>
            <w:pPr>
              <w:pStyle w:val="MDPI42tablebody"/>
              <w:spacing w:line="240" w:lineRule="auto" w:before="30" w:after="30"/>
              <w:jc w:val="center"/>
            </w:pPr>
            <w:r>
              <w:rPr>
                <w:b w:val="0"/>
                <w:i w:val="0"/>
                <w:sz w:val="16"/>
              </w:rPr>
              <w:t>−20.4</w:t>
            </w:r>
          </w:p>
        </w:tc>
        <w:tc>
          <w:tcPr>
            <w:tcW w:type="dxa" w:w="764"/>
          </w:tcPr>
          <w:p>
            <w:pPr>
              <w:pStyle w:val="MDPI42tablebody"/>
              <w:spacing w:line="240" w:lineRule="auto" w:before="30" w:after="30"/>
              <w:jc w:val="center"/>
            </w:pPr>
            <w:r>
              <w:rPr>
                <w:b w:val="0"/>
                <w:i w:val="0"/>
                <w:sz w:val="16"/>
              </w:rPr>
              <w:t>0.948</w:t>
            </w:r>
          </w:p>
        </w:tc>
        <w:tc>
          <w:tcPr>
            <w:tcW w:type="dxa" w:w="764"/>
          </w:tcPr>
          <w:p>
            <w:pPr>
              <w:pStyle w:val="MDPI42tablebody"/>
              <w:spacing w:line="240" w:lineRule="auto" w:before="30" w:after="30"/>
              <w:jc w:val="center"/>
            </w:pPr>
            <w:r>
              <w:rPr>
                <w:b w:val="0"/>
                <w:i w:val="0"/>
                <w:sz w:val="16"/>
              </w:rPr>
              <w:t>−38.0</w:t>
            </w:r>
          </w:p>
        </w:tc>
        <w:tc>
          <w:tcPr>
            <w:tcW w:type="dxa" w:w="764"/>
          </w:tcPr>
          <w:p>
            <w:pPr>
              <w:pStyle w:val="MDPI42tablebody"/>
              <w:spacing w:line="240" w:lineRule="auto" w:before="30" w:after="30"/>
              <w:jc w:val="center"/>
            </w:pPr>
            <w:r>
              <w:rPr>
                <w:b w:val="0"/>
                <w:i w:val="0"/>
                <w:sz w:val="16"/>
              </w:rPr>
              <w:t>6.4</w:t>
            </w:r>
          </w:p>
        </w:tc>
      </w:tr>
      <w:tr>
        <w:tc>
          <w:tcPr>
            <w:tcW w:type="dxa" w:w="648"/>
          </w:tcPr>
          <w:p>
            <w:pPr>
              <w:pStyle w:val="MDPI42tablebody"/>
              <w:spacing w:line="240" w:lineRule="auto" w:before="30" w:after="30"/>
              <w:jc w:val="center"/>
            </w:pPr>
            <w:r>
              <w:rPr>
                <w:b w:val="0"/>
                <w:i w:val="0"/>
                <w:sz w:val="16"/>
              </w:rPr>
              <w:t>S3</w:t>
            </w:r>
          </w:p>
        </w:tc>
        <w:tc>
          <w:tcPr>
            <w:tcW w:type="dxa" w:w="2177"/>
          </w:tcPr>
          <w:p>
            <w:pPr>
              <w:pStyle w:val="MDPI42tablebody"/>
              <w:spacing w:line="240" w:lineRule="auto" w:before="30" w:after="30"/>
              <w:jc w:val="left"/>
            </w:pPr>
            <w:r>
              <w:rPr>
                <w:b w:val="0"/>
                <w:i w:val="0"/>
                <w:sz w:val="16"/>
              </w:rPr>
              <w:t>Work redesign</w:t>
            </w:r>
          </w:p>
        </w:tc>
        <w:tc>
          <w:tcPr>
            <w:tcW w:type="dxa" w:w="764"/>
          </w:tcPr>
          <w:p>
            <w:pPr>
              <w:pStyle w:val="MDPI42tablebody"/>
              <w:spacing w:line="240" w:lineRule="auto" w:before="30" w:after="30"/>
              <w:jc w:val="center"/>
            </w:pPr>
            <w:r>
              <w:rPr>
                <w:b w:val="0"/>
                <w:i w:val="0"/>
                <w:sz w:val="16"/>
              </w:rPr>
              <w:t>−29.9</w:t>
            </w:r>
          </w:p>
        </w:tc>
        <w:tc>
          <w:tcPr>
            <w:tcW w:type="dxa" w:w="764"/>
          </w:tcPr>
          <w:p>
            <w:pPr>
              <w:pStyle w:val="MDPI42tablebody"/>
              <w:spacing w:line="240" w:lineRule="auto" w:before="30" w:after="30"/>
              <w:jc w:val="center"/>
            </w:pPr>
            <w:r>
              <w:rPr>
                <w:b w:val="0"/>
                <w:i w:val="0"/>
                <w:sz w:val="16"/>
              </w:rPr>
              <w:t>−20.8</w:t>
            </w:r>
          </w:p>
        </w:tc>
        <w:tc>
          <w:tcPr>
            <w:tcW w:type="dxa" w:w="764"/>
          </w:tcPr>
          <w:p>
            <w:pPr>
              <w:pStyle w:val="MDPI42tablebody"/>
              <w:spacing w:line="240" w:lineRule="auto" w:before="30" w:after="30"/>
              <w:jc w:val="center"/>
            </w:pPr>
            <w:r>
              <w:rPr>
                <w:b w:val="0"/>
                <w:i w:val="0"/>
                <w:sz w:val="16"/>
              </w:rPr>
              <w:t>−21.6</w:t>
            </w:r>
          </w:p>
        </w:tc>
        <w:tc>
          <w:tcPr>
            <w:tcW w:type="dxa" w:w="764"/>
          </w:tcPr>
          <w:p>
            <w:pPr>
              <w:pStyle w:val="MDPI42tablebody"/>
              <w:spacing w:line="240" w:lineRule="auto" w:before="30" w:after="30"/>
              <w:jc w:val="center"/>
            </w:pPr>
            <w:r>
              <w:rPr>
                <w:b w:val="0"/>
                <w:i w:val="0"/>
                <w:sz w:val="16"/>
              </w:rPr>
              <w:t>−4.3</w:t>
            </w:r>
          </w:p>
        </w:tc>
        <w:tc>
          <w:tcPr>
            <w:tcW w:type="dxa" w:w="764"/>
          </w:tcPr>
          <w:p>
            <w:pPr>
              <w:pStyle w:val="MDPI42tablebody"/>
              <w:spacing w:line="240" w:lineRule="auto" w:before="30" w:after="30"/>
              <w:jc w:val="center"/>
            </w:pPr>
            <w:r>
              <w:rPr>
                <w:b w:val="0"/>
                <w:i w:val="0"/>
                <w:sz w:val="16"/>
              </w:rPr>
              <w:t>5.5</w:t>
            </w:r>
          </w:p>
        </w:tc>
        <w:tc>
          <w:tcPr>
            <w:tcW w:type="dxa" w:w="764"/>
          </w:tcPr>
          <w:p>
            <w:pPr>
              <w:pStyle w:val="MDPI42tablebody"/>
              <w:spacing w:line="240" w:lineRule="auto" w:before="30" w:after="30"/>
              <w:jc w:val="center"/>
            </w:pPr>
            <w:r>
              <w:rPr>
                <w:b w:val="0"/>
                <w:i w:val="0"/>
                <w:sz w:val="16"/>
              </w:rPr>
              <w:t>19.1</w:t>
            </w:r>
          </w:p>
        </w:tc>
        <w:tc>
          <w:tcPr>
            <w:tcW w:type="dxa" w:w="764"/>
          </w:tcPr>
          <w:p>
            <w:pPr>
              <w:pStyle w:val="MDPI42tablebody"/>
              <w:spacing w:line="240" w:lineRule="auto" w:before="30" w:after="30"/>
              <w:jc w:val="center"/>
            </w:pPr>
            <w:r>
              <w:rPr>
                <w:b w:val="0"/>
                <w:i w:val="0"/>
                <w:sz w:val="16"/>
              </w:rPr>
              <w:t>−18.9</w:t>
            </w:r>
          </w:p>
        </w:tc>
        <w:tc>
          <w:tcPr>
            <w:tcW w:type="dxa" w:w="764"/>
          </w:tcPr>
          <w:p>
            <w:pPr>
              <w:pStyle w:val="MDPI42tablebody"/>
              <w:spacing w:line="240" w:lineRule="auto" w:before="30" w:after="30"/>
              <w:jc w:val="center"/>
            </w:pPr>
            <w:r>
              <w:rPr>
                <w:b w:val="0"/>
                <w:i w:val="0"/>
                <w:sz w:val="16"/>
              </w:rPr>
              <w:t>0.918</w:t>
            </w:r>
          </w:p>
        </w:tc>
        <w:tc>
          <w:tcPr>
            <w:tcW w:type="dxa" w:w="764"/>
          </w:tcPr>
          <w:p>
            <w:pPr>
              <w:pStyle w:val="MDPI42tablebody"/>
              <w:spacing w:line="240" w:lineRule="auto" w:before="30" w:after="30"/>
              <w:jc w:val="center"/>
            </w:pPr>
            <w:r>
              <w:rPr>
                <w:b w:val="0"/>
                <w:i w:val="0"/>
                <w:sz w:val="16"/>
              </w:rPr>
              <w:t>−32.8</w:t>
            </w:r>
          </w:p>
        </w:tc>
        <w:tc>
          <w:tcPr>
            <w:tcW w:type="dxa" w:w="764"/>
          </w:tcPr>
          <w:p>
            <w:pPr>
              <w:pStyle w:val="MDPI42tablebody"/>
              <w:spacing w:line="240" w:lineRule="auto" w:before="30" w:after="30"/>
              <w:jc w:val="center"/>
            </w:pPr>
            <w:r>
              <w:rPr>
                <w:b w:val="0"/>
                <w:i w:val="0"/>
                <w:sz w:val="16"/>
              </w:rPr>
              <w:t>6.5</w:t>
            </w:r>
          </w:p>
        </w:tc>
      </w:tr>
      <w:tr>
        <w:tc>
          <w:tcPr>
            <w:tcW w:type="dxa" w:w="648"/>
          </w:tcPr>
          <w:p>
            <w:pPr>
              <w:pStyle w:val="MDPI42tablebody"/>
              <w:spacing w:line="240" w:lineRule="auto" w:before="30" w:after="30"/>
              <w:jc w:val="center"/>
            </w:pPr>
            <w:r>
              <w:rPr>
                <w:b w:val="0"/>
                <w:i w:val="0"/>
                <w:sz w:val="16"/>
              </w:rPr>
              <w:t>S4</w:t>
            </w:r>
          </w:p>
        </w:tc>
        <w:tc>
          <w:tcPr>
            <w:tcW w:type="dxa" w:w="2177"/>
          </w:tcPr>
          <w:p>
            <w:pPr>
              <w:pStyle w:val="MDPI42tablebody"/>
              <w:spacing w:line="240" w:lineRule="auto" w:before="30" w:after="30"/>
              <w:jc w:val="left"/>
            </w:pPr>
            <w:r>
              <w:rPr>
                <w:b w:val="0"/>
                <w:i w:val="0"/>
                <w:sz w:val="16"/>
              </w:rPr>
              <w:t>Apprenticeship</w:t>
            </w:r>
          </w:p>
        </w:tc>
        <w:tc>
          <w:tcPr>
            <w:tcW w:type="dxa" w:w="764"/>
          </w:tcPr>
          <w:p>
            <w:pPr>
              <w:pStyle w:val="MDPI42tablebody"/>
              <w:spacing w:line="240" w:lineRule="auto" w:before="30" w:after="30"/>
              <w:jc w:val="center"/>
            </w:pPr>
            <w:r>
              <w:rPr>
                <w:b w:val="0"/>
                <w:i w:val="0"/>
                <w:sz w:val="16"/>
              </w:rPr>
              <w:t>−34.4</w:t>
            </w:r>
          </w:p>
        </w:tc>
        <w:tc>
          <w:tcPr>
            <w:tcW w:type="dxa" w:w="764"/>
          </w:tcPr>
          <w:p>
            <w:pPr>
              <w:pStyle w:val="MDPI42tablebody"/>
              <w:spacing w:line="240" w:lineRule="auto" w:before="30" w:after="30"/>
              <w:jc w:val="center"/>
            </w:pPr>
            <w:r>
              <w:rPr>
                <w:b w:val="0"/>
                <w:i w:val="0"/>
                <w:sz w:val="16"/>
              </w:rPr>
              <w:t>−28.9</w:t>
            </w:r>
          </w:p>
        </w:tc>
        <w:tc>
          <w:tcPr>
            <w:tcW w:type="dxa" w:w="764"/>
          </w:tcPr>
          <w:p>
            <w:pPr>
              <w:pStyle w:val="MDPI42tablebody"/>
              <w:spacing w:line="240" w:lineRule="auto" w:before="30" w:after="30"/>
              <w:jc w:val="center"/>
            </w:pPr>
            <w:r>
              <w:rPr>
                <w:b w:val="0"/>
                <w:i w:val="0"/>
                <w:sz w:val="16"/>
              </w:rPr>
              <w:t>−21.7</w:t>
            </w:r>
          </w:p>
        </w:tc>
        <w:tc>
          <w:tcPr>
            <w:tcW w:type="dxa" w:w="764"/>
          </w:tcPr>
          <w:p>
            <w:pPr>
              <w:pStyle w:val="MDPI42tablebody"/>
              <w:spacing w:line="240" w:lineRule="auto" w:before="30" w:after="30"/>
              <w:jc w:val="center"/>
            </w:pPr>
            <w:r>
              <w:rPr>
                <w:b w:val="0"/>
                <w:i w:val="0"/>
                <w:sz w:val="16"/>
              </w:rPr>
              <w:t>4.0</w:t>
            </w:r>
          </w:p>
        </w:tc>
        <w:tc>
          <w:tcPr>
            <w:tcW w:type="dxa" w:w="764"/>
          </w:tcPr>
          <w:p>
            <w:pPr>
              <w:pStyle w:val="MDPI42tablebody"/>
              <w:spacing w:line="240" w:lineRule="auto" w:before="30" w:after="30"/>
              <w:jc w:val="center"/>
            </w:pPr>
            <w:r>
              <w:rPr>
                <w:b w:val="0"/>
                <w:i w:val="0"/>
                <w:sz w:val="16"/>
              </w:rPr>
              <w:t>2.4</w:t>
            </w:r>
          </w:p>
        </w:tc>
        <w:tc>
          <w:tcPr>
            <w:tcW w:type="dxa" w:w="764"/>
          </w:tcPr>
          <w:p>
            <w:pPr>
              <w:pStyle w:val="MDPI42tablebody"/>
              <w:spacing w:line="240" w:lineRule="auto" w:before="30" w:after="30"/>
              <w:jc w:val="center"/>
            </w:pPr>
            <w:r>
              <w:rPr>
                <w:b w:val="0"/>
                <w:i w:val="0"/>
                <w:sz w:val="16"/>
              </w:rPr>
              <w:t>24.2</w:t>
            </w:r>
          </w:p>
        </w:tc>
        <w:tc>
          <w:tcPr>
            <w:tcW w:type="dxa" w:w="764"/>
          </w:tcPr>
          <w:p>
            <w:pPr>
              <w:pStyle w:val="MDPI42tablebody"/>
              <w:spacing w:line="240" w:lineRule="auto" w:before="30" w:after="30"/>
              <w:jc w:val="center"/>
            </w:pPr>
            <w:r>
              <w:rPr>
                <w:b w:val="0"/>
                <w:i w:val="0"/>
                <w:sz w:val="16"/>
              </w:rPr>
              <w:t>−18.8</w:t>
            </w:r>
          </w:p>
        </w:tc>
        <w:tc>
          <w:tcPr>
            <w:tcW w:type="dxa" w:w="764"/>
          </w:tcPr>
          <w:p>
            <w:pPr>
              <w:pStyle w:val="MDPI42tablebody"/>
              <w:spacing w:line="240" w:lineRule="auto" w:before="30" w:after="30"/>
              <w:jc w:val="center"/>
            </w:pPr>
            <w:r>
              <w:rPr>
                <w:b w:val="0"/>
                <w:i w:val="0"/>
                <w:sz w:val="16"/>
              </w:rPr>
              <w:t>0.956</w:t>
            </w:r>
          </w:p>
        </w:tc>
        <w:tc>
          <w:tcPr>
            <w:tcW w:type="dxa" w:w="764"/>
          </w:tcPr>
          <w:p>
            <w:pPr>
              <w:pStyle w:val="MDPI42tablebody"/>
              <w:spacing w:line="240" w:lineRule="auto" w:before="30" w:after="30"/>
              <w:jc w:val="center"/>
            </w:pPr>
            <w:r>
              <w:rPr>
                <w:b w:val="0"/>
                <w:i w:val="0"/>
                <w:sz w:val="16"/>
              </w:rPr>
              <w:t>−39.3</w:t>
            </w:r>
          </w:p>
        </w:tc>
        <w:tc>
          <w:tcPr>
            <w:tcW w:type="dxa" w:w="764"/>
          </w:tcPr>
          <w:p>
            <w:pPr>
              <w:pStyle w:val="MDPI42tablebody"/>
              <w:spacing w:line="240" w:lineRule="auto" w:before="30" w:after="30"/>
              <w:jc w:val="center"/>
            </w:pPr>
            <w:r>
              <w:rPr>
                <w:b w:val="0"/>
                <w:i w:val="0"/>
                <w:sz w:val="16"/>
              </w:rPr>
              <w:t>6.9</w:t>
            </w:r>
          </w:p>
        </w:tc>
      </w:tr>
      <w:tr>
        <w:tc>
          <w:tcPr>
            <w:tcW w:type="dxa" w:w="648"/>
          </w:tcPr>
          <w:p>
            <w:pPr>
              <w:pStyle w:val="MDPI42tablebody"/>
              <w:spacing w:line="240" w:lineRule="auto" w:before="30" w:after="30"/>
              <w:jc w:val="center"/>
            </w:pPr>
            <w:r>
              <w:rPr>
                <w:b w:val="0"/>
                <w:i w:val="0"/>
                <w:sz w:val="16"/>
              </w:rPr>
              <w:t>S5</w:t>
            </w:r>
          </w:p>
        </w:tc>
        <w:tc>
          <w:tcPr>
            <w:tcW w:type="dxa" w:w="2177"/>
          </w:tcPr>
          <w:p>
            <w:pPr>
              <w:pStyle w:val="MDPI42tablebody"/>
              <w:spacing w:line="240" w:lineRule="auto" w:before="30" w:after="30"/>
              <w:jc w:val="left"/>
            </w:pPr>
            <w:r>
              <w:rPr>
                <w:b w:val="0"/>
                <w:i w:val="0"/>
                <w:sz w:val="16"/>
              </w:rPr>
              <w:t>AI scaffolding</w:t>
            </w:r>
          </w:p>
        </w:tc>
        <w:tc>
          <w:tcPr>
            <w:tcW w:type="dxa" w:w="764"/>
          </w:tcPr>
          <w:p>
            <w:pPr>
              <w:pStyle w:val="MDPI42tablebody"/>
              <w:spacing w:line="240" w:lineRule="auto" w:before="30" w:after="30"/>
              <w:jc w:val="center"/>
            </w:pPr>
            <w:r>
              <w:rPr>
                <w:b w:val="0"/>
                <w:i w:val="0"/>
                <w:sz w:val="16"/>
              </w:rPr>
              <w:t>−33.0</w:t>
            </w:r>
          </w:p>
        </w:tc>
        <w:tc>
          <w:tcPr>
            <w:tcW w:type="dxa" w:w="764"/>
          </w:tcPr>
          <w:p>
            <w:pPr>
              <w:pStyle w:val="MDPI42tablebody"/>
              <w:spacing w:line="240" w:lineRule="auto" w:before="30" w:after="30"/>
              <w:jc w:val="center"/>
            </w:pPr>
            <w:r>
              <w:rPr>
                <w:b w:val="0"/>
                <w:i w:val="0"/>
                <w:sz w:val="16"/>
              </w:rPr>
              <w:t>−29.9</w:t>
            </w:r>
          </w:p>
        </w:tc>
        <w:tc>
          <w:tcPr>
            <w:tcW w:type="dxa" w:w="764"/>
          </w:tcPr>
          <w:p>
            <w:pPr>
              <w:pStyle w:val="MDPI42tablebody"/>
              <w:spacing w:line="240" w:lineRule="auto" w:before="30" w:after="30"/>
              <w:jc w:val="center"/>
            </w:pPr>
            <w:r>
              <w:rPr>
                <w:b w:val="0"/>
                <w:i w:val="0"/>
                <w:sz w:val="16"/>
              </w:rPr>
              <w:t>−25.5</w:t>
            </w:r>
          </w:p>
        </w:tc>
        <w:tc>
          <w:tcPr>
            <w:tcW w:type="dxa" w:w="764"/>
          </w:tcPr>
          <w:p>
            <w:pPr>
              <w:pStyle w:val="MDPI42tablebody"/>
              <w:spacing w:line="240" w:lineRule="auto" w:before="30" w:after="30"/>
              <w:jc w:val="center"/>
            </w:pPr>
            <w:r>
              <w:rPr>
                <w:b w:val="0"/>
                <w:i w:val="0"/>
                <w:sz w:val="16"/>
              </w:rPr>
              <w:t>−1.6</w:t>
            </w:r>
          </w:p>
        </w:tc>
        <w:tc>
          <w:tcPr>
            <w:tcW w:type="dxa" w:w="764"/>
          </w:tcPr>
          <w:p>
            <w:pPr>
              <w:pStyle w:val="MDPI42tablebody"/>
              <w:spacing w:line="240" w:lineRule="auto" w:before="30" w:after="30"/>
              <w:jc w:val="center"/>
            </w:pPr>
            <w:r>
              <w:rPr>
                <w:b w:val="0"/>
                <w:i w:val="0"/>
                <w:sz w:val="16"/>
              </w:rPr>
              <w:t>4.2</w:t>
            </w:r>
          </w:p>
        </w:tc>
        <w:tc>
          <w:tcPr>
            <w:tcW w:type="dxa" w:w="764"/>
          </w:tcPr>
          <w:p>
            <w:pPr>
              <w:pStyle w:val="MDPI42tablebody"/>
              <w:spacing w:line="240" w:lineRule="auto" w:before="30" w:after="30"/>
              <w:jc w:val="center"/>
            </w:pPr>
            <w:r>
              <w:rPr>
                <w:b w:val="0"/>
                <w:i w:val="0"/>
                <w:sz w:val="16"/>
              </w:rPr>
              <w:t>17.2</w:t>
            </w:r>
          </w:p>
        </w:tc>
        <w:tc>
          <w:tcPr>
            <w:tcW w:type="dxa" w:w="764"/>
          </w:tcPr>
          <w:p>
            <w:pPr>
              <w:pStyle w:val="MDPI42tablebody"/>
              <w:spacing w:line="240" w:lineRule="auto" w:before="30" w:after="30"/>
              <w:jc w:val="center"/>
            </w:pPr>
            <w:r>
              <w:rPr>
                <w:b w:val="0"/>
                <w:i w:val="0"/>
                <w:sz w:val="16"/>
              </w:rPr>
              <w:t>−18.0</w:t>
            </w:r>
          </w:p>
        </w:tc>
        <w:tc>
          <w:tcPr>
            <w:tcW w:type="dxa" w:w="764"/>
          </w:tcPr>
          <w:p>
            <w:pPr>
              <w:pStyle w:val="MDPI42tablebody"/>
              <w:spacing w:line="240" w:lineRule="auto" w:before="30" w:after="30"/>
              <w:jc w:val="center"/>
            </w:pPr>
            <w:r>
              <w:rPr>
                <w:b w:val="0"/>
                <w:i w:val="0"/>
                <w:sz w:val="16"/>
              </w:rPr>
              <w:t>0.914</w:t>
            </w:r>
          </w:p>
        </w:tc>
        <w:tc>
          <w:tcPr>
            <w:tcW w:type="dxa" w:w="764"/>
          </w:tcPr>
          <w:p>
            <w:pPr>
              <w:pStyle w:val="MDPI42tablebody"/>
              <w:spacing w:line="240" w:lineRule="auto" w:before="30" w:after="30"/>
              <w:jc w:val="center"/>
            </w:pPr>
            <w:r>
              <w:rPr>
                <w:b w:val="0"/>
                <w:i w:val="0"/>
                <w:sz w:val="16"/>
              </w:rPr>
              <w:t>−37.2</w:t>
            </w:r>
          </w:p>
        </w:tc>
        <w:tc>
          <w:tcPr>
            <w:tcW w:type="dxa" w:w="764"/>
          </w:tcPr>
          <w:p>
            <w:pPr>
              <w:pStyle w:val="MDPI42tablebody"/>
              <w:spacing w:line="240" w:lineRule="auto" w:before="30" w:after="30"/>
              <w:jc w:val="center"/>
            </w:pPr>
            <w:r>
              <w:rPr>
                <w:b w:val="0"/>
                <w:i w:val="0"/>
                <w:sz w:val="16"/>
              </w:rPr>
              <w:t>7.0</w:t>
            </w:r>
          </w:p>
        </w:tc>
      </w:tr>
      <w:tr>
        <w:tc>
          <w:tcPr>
            <w:tcW w:type="dxa" w:w="648"/>
          </w:tcPr>
          <w:p>
            <w:pPr>
              <w:pStyle w:val="MDPI42tablebody"/>
              <w:spacing w:line="240" w:lineRule="auto" w:before="30" w:after="30"/>
              <w:jc w:val="center"/>
            </w:pPr>
            <w:r>
              <w:rPr>
                <w:b w:val="0"/>
                <w:i w:val="0"/>
                <w:sz w:val="16"/>
              </w:rPr>
              <w:t>S6</w:t>
            </w:r>
          </w:p>
        </w:tc>
        <w:tc>
          <w:tcPr>
            <w:tcW w:type="dxa" w:w="2177"/>
          </w:tcPr>
          <w:p>
            <w:pPr>
              <w:pStyle w:val="MDPI42tablebody"/>
              <w:spacing w:line="240" w:lineRule="auto" w:before="30" w:after="30"/>
              <w:jc w:val="left"/>
            </w:pPr>
            <w:r>
              <w:rPr>
                <w:b w:val="0"/>
                <w:i w:val="0"/>
                <w:sz w:val="16"/>
              </w:rPr>
              <w:t>Joint package</w:t>
            </w:r>
          </w:p>
        </w:tc>
        <w:tc>
          <w:tcPr>
            <w:tcW w:type="dxa" w:w="764"/>
          </w:tcPr>
          <w:p>
            <w:pPr>
              <w:pStyle w:val="MDPI42tablebody"/>
              <w:spacing w:line="240" w:lineRule="auto" w:before="30" w:after="30"/>
              <w:jc w:val="center"/>
            </w:pPr>
            <w:r>
              <w:rPr>
                <w:b w:val="0"/>
                <w:i w:val="0"/>
                <w:sz w:val="16"/>
              </w:rPr>
              <w:t>−32.1</w:t>
            </w:r>
          </w:p>
        </w:tc>
        <w:tc>
          <w:tcPr>
            <w:tcW w:type="dxa" w:w="764"/>
          </w:tcPr>
          <w:p>
            <w:pPr>
              <w:pStyle w:val="MDPI42tablebody"/>
              <w:spacing w:line="240" w:lineRule="auto" w:before="30" w:after="30"/>
              <w:jc w:val="center"/>
            </w:pPr>
            <w:r>
              <w:rPr>
                <w:b w:val="0"/>
                <w:i w:val="0"/>
                <w:sz w:val="16"/>
              </w:rPr>
              <w:t>−14.6</w:t>
            </w:r>
          </w:p>
        </w:tc>
        <w:tc>
          <w:tcPr>
            <w:tcW w:type="dxa" w:w="764"/>
          </w:tcPr>
          <w:p>
            <w:pPr>
              <w:pStyle w:val="MDPI42tablebody"/>
              <w:spacing w:line="240" w:lineRule="auto" w:before="30" w:after="30"/>
              <w:jc w:val="center"/>
            </w:pPr>
            <w:r>
              <w:rPr>
                <w:b w:val="0"/>
                <w:i w:val="0"/>
                <w:sz w:val="16"/>
              </w:rPr>
              <w:t>−9.2</w:t>
            </w:r>
          </w:p>
        </w:tc>
        <w:tc>
          <w:tcPr>
            <w:tcW w:type="dxa" w:w="764"/>
          </w:tcPr>
          <w:p>
            <w:pPr>
              <w:pStyle w:val="MDPI42tablebody"/>
              <w:spacing w:line="240" w:lineRule="auto" w:before="30" w:after="30"/>
              <w:jc w:val="center"/>
            </w:pPr>
            <w:r>
              <w:rPr>
                <w:b w:val="0"/>
                <w:i w:val="0"/>
                <w:sz w:val="16"/>
              </w:rPr>
              <w:t>0.4</w:t>
            </w:r>
          </w:p>
        </w:tc>
        <w:tc>
          <w:tcPr>
            <w:tcW w:type="dxa" w:w="764"/>
          </w:tcPr>
          <w:p>
            <w:pPr>
              <w:pStyle w:val="MDPI42tablebody"/>
              <w:spacing w:line="240" w:lineRule="auto" w:before="30" w:after="30"/>
              <w:jc w:val="center"/>
            </w:pPr>
            <w:r>
              <w:rPr>
                <w:b w:val="0"/>
                <w:i w:val="0"/>
                <w:sz w:val="16"/>
              </w:rPr>
              <w:t>0.5</w:t>
            </w:r>
          </w:p>
        </w:tc>
        <w:tc>
          <w:tcPr>
            <w:tcW w:type="dxa" w:w="764"/>
          </w:tcPr>
          <w:p>
            <w:pPr>
              <w:pStyle w:val="MDPI42tablebody"/>
              <w:spacing w:line="240" w:lineRule="auto" w:before="30" w:after="30"/>
              <w:jc w:val="center"/>
            </w:pPr>
            <w:r>
              <w:rPr>
                <w:b w:val="0"/>
                <w:i w:val="0"/>
                <w:sz w:val="16"/>
              </w:rPr>
              <w:t>31.7</w:t>
            </w:r>
          </w:p>
        </w:tc>
        <w:tc>
          <w:tcPr>
            <w:tcW w:type="dxa" w:w="764"/>
          </w:tcPr>
          <w:p>
            <w:pPr>
              <w:pStyle w:val="MDPI42tablebody"/>
              <w:spacing w:line="240" w:lineRule="auto" w:before="30" w:after="30"/>
              <w:jc w:val="center"/>
            </w:pPr>
            <w:r>
              <w:rPr>
                <w:b w:val="0"/>
                <w:i w:val="0"/>
                <w:sz w:val="16"/>
              </w:rPr>
              <w:t>−21.1</w:t>
            </w:r>
          </w:p>
        </w:tc>
        <w:tc>
          <w:tcPr>
            <w:tcW w:type="dxa" w:w="764"/>
          </w:tcPr>
          <w:p>
            <w:pPr>
              <w:pStyle w:val="MDPI42tablebody"/>
              <w:spacing w:line="240" w:lineRule="auto" w:before="30" w:after="30"/>
              <w:jc w:val="center"/>
            </w:pPr>
            <w:r>
              <w:rPr>
                <w:b w:val="0"/>
                <w:i w:val="0"/>
                <w:sz w:val="16"/>
              </w:rPr>
              <w:t>0.979</w:t>
            </w:r>
          </w:p>
        </w:tc>
        <w:tc>
          <w:tcPr>
            <w:tcW w:type="dxa" w:w="764"/>
          </w:tcPr>
          <w:p>
            <w:pPr>
              <w:pStyle w:val="MDPI42tablebody"/>
              <w:spacing w:line="240" w:lineRule="auto" w:before="30" w:after="30"/>
              <w:jc w:val="center"/>
            </w:pPr>
            <w:r>
              <w:rPr>
                <w:b w:val="0"/>
                <w:i w:val="0"/>
                <w:sz w:val="16"/>
              </w:rPr>
              <w:t>−35.2</w:t>
            </w:r>
          </w:p>
        </w:tc>
        <w:tc>
          <w:tcPr>
            <w:tcW w:type="dxa" w:w="764"/>
          </w:tcPr>
          <w:p>
            <w:pPr>
              <w:pStyle w:val="MDPI42tablebody"/>
              <w:spacing w:line="240" w:lineRule="auto" w:before="30" w:after="30"/>
              <w:jc w:val="center"/>
            </w:pPr>
            <w:r>
              <w:rPr>
                <w:b w:val="0"/>
                <w:i w:val="0"/>
                <w:sz w:val="16"/>
              </w:rPr>
              <w:t>6.7</w:t>
            </w:r>
          </w:p>
        </w:tc>
      </w:tr>
    </w:tbl>
    <w:p>
      <w:pPr>
        <w:pStyle w:val="MDPI43tablefooter"/>
        <w:spacing w:line="240" w:lineRule="auto" w:before="40" w:after="200"/>
        <w:ind w:left="2608" w:firstLine="0"/>
      </w:pPr>
      <w:r>
        <w:rPr>
          <w:i/>
          <w:sz w:val="16"/>
        </w:rPr>
        <w:t xml:space="preserve">Note: </w:t>
      </w:r>
      <w:r>
        <w:rPr>
          <w:b w:val="0"/>
          <w:i w:val="0"/>
          <w:sz w:val="16"/>
        </w:rPr>
        <w:t>All entries other than Φ and t* are percentage deviations from the no-GenAI counterfactual; subscripts denote the year of evaluation. Δh is the change in cumulative entry hiring over the 25-year horizon, “Trough” the deepest deviation of entry employment and t* the year in which it occurs. S1 combines a higher automation ceiling (0.75) with halved learning investment; S2 doubles λ; S3 raises the reinstatement ceiling to 0.50; S4 raises m by 30%; S5 raises η by 60%; S6 applies S2–S5 jointly. No scenario returns entry employment to the counterfactual level within the horizon.</w:t>
      </w:r>
    </w:p>
    <w:p>
      <w:pPr>
        <w:pStyle w:val="MDPI52figure"/>
        <w:keepNext/>
        <w:jc w:val="center"/>
      </w:pPr>
      <w:r>
        <w:drawing>
          <wp:inline xmlns:a="http://schemas.openxmlformats.org/drawingml/2006/main" xmlns:pic="http://schemas.openxmlformats.org/drawingml/2006/picture">
            <wp:extent cx="6120000" cy="2366909"/>
            <wp:docPr id="6" name="Picture 6"/>
            <wp:cNvGraphicFramePr>
              <a:graphicFrameLocks noChangeAspect="1"/>
            </wp:cNvGraphicFramePr>
            <a:graphic>
              <a:graphicData uri="http://schemas.openxmlformats.org/drawingml/2006/picture">
                <pic:pic>
                  <pic:nvPicPr>
                    <pic:cNvPr id="0" name="figure6_policies.png"/>
                    <pic:cNvPicPr/>
                  </pic:nvPicPr>
                  <pic:blipFill>
                    <a:blip r:embed="rId22"/>
                    <a:stretch>
                      <a:fillRect/>
                    </a:stretch>
                  </pic:blipFill>
                  <pic:spPr>
                    <a:xfrm>
                      <a:off x="0" y="0"/>
                      <a:ext cx="6120000" cy="2366909"/>
                    </a:xfrm>
                    <a:prstGeom prst="rect"/>
                  </pic:spPr>
                </pic:pic>
              </a:graphicData>
            </a:graphic>
          </wp:inline>
        </w:drawing>
      </w:r>
    </w:p>
    <w:p>
      <w:pPr>
        <w:pStyle w:val="MDPI51figurecaption"/>
        <w:keepNext/>
        <w:spacing w:after="40"/>
      </w:pPr>
      <w:r>
        <w:rPr>
          <w:b/>
          <w:sz w:val="18"/>
        </w:rPr>
        <w:t xml:space="preserve">Figure 6. </w:t>
      </w:r>
      <w:r>
        <w:rPr>
          <w:b w:val="0"/>
          <w:i w:val="0"/>
          <w:sz w:val="18"/>
        </w:rPr>
        <w:t>Design and policy scenarios. (a) Trajectories of entry employment relative to the counterfactual; (b) outcomes at year 25, with the output fulfilment ratio on the right axis.</w:t>
      </w:r>
    </w:p>
    <w:p>
      <w:pPr>
        <w:pStyle w:val="MDPI51figurecaption"/>
        <w:spacing w:line="240" w:lineRule="auto" w:before="0" w:after="200"/>
        <w:ind w:left="2608" w:firstLine="0"/>
      </w:pPr>
      <w:r>
        <w:rPr>
          <w:i/>
          <w:sz w:val="16"/>
        </w:rPr>
        <w:t xml:space="preserve">Note: </w:t>
      </w:r>
      <w:r>
        <w:rPr>
          <w:b w:val="0"/>
          <w:i w:val="0"/>
          <w:sz w:val="16"/>
        </w:rPr>
        <w:t>Scenario codes are defined in Table 6: S0 baseline; S1 automation-first intensification; S2 learning-system investment; S3 work redesign; S4 apprenticeship protection; S5 AI-mediated knowledge scaffolding; S6 joint socio-technical package.</w:t>
      </w:r>
    </w:p>
    <w:p>
      <w:pPr>
        <w:pStyle w:val="MDPI31text"/>
      </w:pPr>
      <w:r>
        <w:rPr>
          <w:b w:val="0"/>
          <w:i w:val="0"/>
        </w:rPr>
        <w:t>The four constructive interventions differ in what they repair. Work redesign S3 acts directly on the entry port and delivers the largest single improvement in entry employment, 9.9 percentage points. Learning-system investment S2 acts on the gate and delivers 4.1 points on employment while lifting the fulfilment ratio from 0.864 to 0.948. Apprenticeship protection S4 and AI-mediated scaffolding S5 act on the pipeline: their effect on entry employment is small, 1.8 and 0.8 points, but S4 is the only single intervention that leaves the experienced stock above the counterfactual, and both raise output substantially by relieving the senior bottleneck. The joint package S6 halves the long-run entry-employment loss to 14.6%, cuts the cumulative shortfall in entry hiring from 27.8% to 9.2%, restores the experienced stock and raises the fulfilment ratio to 0.979 and output to 31.7% above the counterfactual.</w:t>
      </w:r>
    </w:p>
    <w:p>
      <w:pPr>
        <w:pStyle w:val="MDPI31text"/>
      </w:pPr>
      <w:r>
        <w:rPr>
          <w:b w:val="0"/>
          <w:i w:val="0"/>
        </w:rPr>
        <w:t>Proposition 4 requires a cleaner test than a comparison of packages, because the four interventions act partly on the same bottleneck. Table 7 therefore reports a pre-specified 2 × 2 factorial on the one technical lever and the one social lever that the theory identifies as jointly optimised: the reinstatement ceiling and the learning-investment rate. The main effect of work redesign is 11.29 percentage points, the main effect of learning investment is 5.50 points, and the interaction is +2.74 points, or 20% of the combined main effects. Joint optimisation is therefore not a slogan in this system: it is a measurable superadditivity that follows directly from the multiplicative form of Equation (5). For completeness we note that the four-lever decomposition underlying Table 6 is close to additive overall, with an interaction of −0.5 points, because the mentoring and scaffolding levers substitute for one another in relieving the same senior bottleneck. Complementarity holds between subsystems, not between every pair of instruments.</w:t>
      </w:r>
    </w:p>
    <w:p>
      <w:pPr>
        <w:pStyle w:val="MDPI41tablecaption"/>
        <w:keepNext/>
        <w:spacing w:after="60"/>
      </w:pPr>
      <w:r>
        <w:rPr>
          <w:b/>
          <w:sz w:val="18"/>
        </w:rPr>
        <w:t xml:space="preserve">Table 7. </w:t>
      </w:r>
      <w:r>
        <w:rPr>
          <w:b w:val="0"/>
          <w:i w:val="0"/>
          <w:sz w:val="18"/>
        </w:rPr>
        <w:t>Joint-optimisation test: 2 × 2 factorial on the technical and the social design lever.</w:t>
      </w:r>
    </w:p>
    <w:tbl>
      <w:tblPr>
        <w:tblStyle w:val="MDPI41threelinetable"/>
        <w:tblW w:w="10467"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CellMar>
          <w:top w:w="0" w:type="dxa"/>
          <w:left w:w="57" w:type="dxa"/>
          <w:bottom w:w="0" w:type="dxa"/>
          <w:right w:w="57" w:type="dxa"/>
        </w:tblCellMar>
        <w:tblLook w:firstColumn="1" w:firstRow="1" w:lastColumn="0" w:lastRow="0" w:noHBand="0" w:noVBand="1" w:val="04A0"/>
      </w:tblPr>
      <w:tblGrid>
        <w:gridCol w:w="2930"/>
        <w:gridCol w:w="1151"/>
        <w:gridCol w:w="1360"/>
        <w:gridCol w:w="1674"/>
        <w:gridCol w:w="1674"/>
        <w:gridCol w:w="1674"/>
      </w:tblGrid>
      <w:tr>
        <w:tc>
          <w:tcPr>
            <w:tcW w:type="dxa" w:w="2930"/>
            <w:tcBorders>
              <w:bottom w:val="single" w:sz="8" w:space="0" w:color="auto"/>
            </w:tcBorders>
          </w:tcPr>
          <w:p>
            <w:pPr>
              <w:pStyle w:val="MDPI42tablebody"/>
              <w:spacing w:line="240" w:lineRule="auto" w:before="30" w:after="30"/>
              <w:jc w:val="center"/>
            </w:pPr>
            <w:r>
              <w:rPr>
                <w:b/>
                <w:i w:val="0"/>
                <w:sz w:val="18"/>
              </w:rPr>
              <w:t>Configuration</w:t>
            </w:r>
          </w:p>
        </w:tc>
        <w:tc>
          <w:tcPr>
            <w:tcW w:type="dxa" w:w="1151"/>
            <w:tcBorders>
              <w:bottom w:val="single" w:sz="8" w:space="0" w:color="auto"/>
            </w:tcBorders>
          </w:tcPr>
          <w:p>
            <w:pPr>
              <w:pStyle w:val="MDPI42tablebody"/>
              <w:spacing w:line="240" w:lineRule="auto" w:before="30" w:after="30"/>
              <w:jc w:val="center"/>
            </w:pPr>
            <w:r>
              <w:rPr>
                <w:b/>
                <w:i w:val="0"/>
                <w:sz w:val="18"/>
              </w:rPr>
              <w:t>λ</w:t>
            </w:r>
          </w:p>
        </w:tc>
        <w:tc>
          <w:tcPr>
            <w:tcW w:type="dxa" w:w="1360"/>
            <w:tcBorders>
              <w:bottom w:val="single" w:sz="8" w:space="0" w:color="auto"/>
            </w:tcBorders>
          </w:tcPr>
          <w:p>
            <w:pPr>
              <w:pStyle w:val="MDPI42tablebody"/>
              <w:spacing w:line="240" w:lineRule="auto" w:before="30" w:after="30"/>
              <w:jc w:val="center"/>
            </w:pPr>
            <w:r>
              <w:rPr>
                <w:b/>
                <w:i w:val="0"/>
                <w:sz w:val="18"/>
              </w:rPr>
              <w:t>ρ</w:t>
            </w:r>
            <w:r>
              <w:rPr>
                <w:b/>
                <w:i w:val="0"/>
                <w:sz w:val="18"/>
                <w:vertAlign w:val="subscript"/>
              </w:rPr>
              <w:t>max</w:t>
            </w:r>
          </w:p>
        </w:tc>
        <w:tc>
          <w:tcPr>
            <w:tcW w:type="dxa" w:w="1674"/>
            <w:tcBorders>
              <w:bottom w:val="single" w:sz="8" w:space="0" w:color="auto"/>
            </w:tcBorders>
          </w:tcPr>
          <w:p>
            <w:pPr>
              <w:pStyle w:val="MDPI42tablebody"/>
              <w:spacing w:line="240" w:lineRule="auto" w:before="30" w:after="30"/>
              <w:jc w:val="center"/>
            </w:pPr>
            <w:r>
              <w:rPr>
                <w:b/>
                <w:i w:val="0"/>
                <w:sz w:val="18"/>
              </w:rPr>
              <w:t>ΔJ₂₅ (%)</w:t>
            </w:r>
          </w:p>
        </w:tc>
        <w:tc>
          <w:tcPr>
            <w:tcW w:type="dxa" w:w="1674"/>
            <w:tcBorders>
              <w:bottom w:val="single" w:sz="8" w:space="0" w:color="auto"/>
            </w:tcBorders>
          </w:tcPr>
          <w:p>
            <w:pPr>
              <w:pStyle w:val="MDPI42tablebody"/>
              <w:spacing w:line="240" w:lineRule="auto" w:before="30" w:after="30"/>
              <w:jc w:val="center"/>
            </w:pPr>
            <w:r>
              <w:rPr>
                <w:b/>
                <w:i w:val="0"/>
                <w:sz w:val="18"/>
              </w:rPr>
              <w:t>ΔY₂₅ (%)</w:t>
            </w:r>
          </w:p>
        </w:tc>
        <w:tc>
          <w:tcPr>
            <w:tcW w:type="dxa" w:w="1674"/>
            <w:tcBorders>
              <w:bottom w:val="single" w:sz="8" w:space="0" w:color="auto"/>
            </w:tcBorders>
          </w:tcPr>
          <w:p>
            <w:pPr>
              <w:pStyle w:val="MDPI42tablebody"/>
              <w:spacing w:line="240" w:lineRule="auto" w:before="30" w:after="30"/>
              <w:jc w:val="center"/>
            </w:pPr>
            <w:r>
              <w:rPr>
                <w:b/>
                <w:i w:val="0"/>
                <w:sz w:val="18"/>
              </w:rPr>
              <w:t>ρ at year 25</w:t>
            </w:r>
          </w:p>
        </w:tc>
      </w:tr>
      <w:tr>
        <w:tc>
          <w:tcPr>
            <w:tcW w:type="dxa" w:w="2930"/>
          </w:tcPr>
          <w:p>
            <w:pPr>
              <w:pStyle w:val="MDPI42tablebody"/>
              <w:spacing w:line="240" w:lineRule="auto" w:before="30" w:after="30"/>
              <w:jc w:val="left"/>
            </w:pPr>
            <w:r>
              <w:rPr>
                <w:b w:val="0"/>
                <w:i w:val="0"/>
                <w:sz w:val="18"/>
              </w:rPr>
              <w:t>λ low, ρ</w:t>
            </w:r>
            <w:r>
              <w:rPr>
                <w:b w:val="0"/>
                <w:i w:val="0"/>
                <w:sz w:val="18"/>
                <w:vertAlign w:val="subscript"/>
              </w:rPr>
              <w:t>max</w:t>
            </w:r>
            <w:r>
              <w:rPr>
                <w:b w:val="0"/>
                <w:i w:val="0"/>
                <w:sz w:val="18"/>
              </w:rPr>
              <w:t xml:space="preserve"> low</w:t>
            </w:r>
          </w:p>
        </w:tc>
        <w:tc>
          <w:tcPr>
            <w:tcW w:type="dxa" w:w="1151"/>
          </w:tcPr>
          <w:p>
            <w:pPr>
              <w:pStyle w:val="MDPI42tablebody"/>
              <w:spacing w:line="240" w:lineRule="auto" w:before="30" w:after="30"/>
              <w:jc w:val="center"/>
            </w:pPr>
            <w:r>
              <w:rPr>
                <w:b w:val="0"/>
                <w:i w:val="0"/>
                <w:sz w:val="18"/>
              </w:rPr>
              <w:t>0.3</w:t>
            </w:r>
          </w:p>
        </w:tc>
        <w:tc>
          <w:tcPr>
            <w:tcW w:type="dxa" w:w="1360"/>
          </w:tcPr>
          <w:p>
            <w:pPr>
              <w:pStyle w:val="MDPI42tablebody"/>
              <w:spacing w:line="240" w:lineRule="auto" w:before="30" w:after="30"/>
              <w:jc w:val="center"/>
            </w:pPr>
            <w:r>
              <w:rPr>
                <w:b w:val="0"/>
                <w:i w:val="0"/>
                <w:sz w:val="18"/>
              </w:rPr>
              <w:t>0.35</w:t>
            </w:r>
          </w:p>
        </w:tc>
        <w:tc>
          <w:tcPr>
            <w:tcW w:type="dxa" w:w="1674"/>
          </w:tcPr>
          <w:p>
            <w:pPr>
              <w:pStyle w:val="MDPI42tablebody"/>
              <w:spacing w:line="240" w:lineRule="auto" w:before="30" w:after="30"/>
              <w:jc w:val="center"/>
            </w:pPr>
            <w:r>
              <w:rPr>
                <w:b w:val="0"/>
                <w:i w:val="0"/>
                <w:sz w:val="18"/>
              </w:rPr>
              <w:t>−30.7</w:t>
            </w:r>
          </w:p>
        </w:tc>
        <w:tc>
          <w:tcPr>
            <w:tcW w:type="dxa" w:w="1674"/>
          </w:tcPr>
          <w:p>
            <w:pPr>
              <w:pStyle w:val="MDPI42tablebody"/>
              <w:spacing w:line="240" w:lineRule="auto" w:before="30" w:after="30"/>
              <w:jc w:val="center"/>
            </w:pPr>
            <w:r>
              <w:rPr>
                <w:b w:val="0"/>
                <w:i w:val="0"/>
                <w:sz w:val="18"/>
              </w:rPr>
              <w:t>9.4</w:t>
            </w:r>
          </w:p>
        </w:tc>
        <w:tc>
          <w:tcPr>
            <w:tcW w:type="dxa" w:w="1674"/>
          </w:tcPr>
          <w:p>
            <w:pPr>
              <w:pStyle w:val="MDPI42tablebody"/>
              <w:spacing w:line="240" w:lineRule="auto" w:before="30" w:after="30"/>
              <w:jc w:val="center"/>
            </w:pPr>
            <w:r>
              <w:rPr>
                <w:b w:val="0"/>
                <w:i w:val="0"/>
                <w:sz w:val="18"/>
              </w:rPr>
              <w:t>0.128</w:t>
            </w:r>
          </w:p>
        </w:tc>
      </w:tr>
      <w:tr>
        <w:tc>
          <w:tcPr>
            <w:tcW w:type="dxa" w:w="2930"/>
          </w:tcPr>
          <w:p>
            <w:pPr>
              <w:pStyle w:val="MDPI42tablebody"/>
              <w:spacing w:line="240" w:lineRule="auto" w:before="30" w:after="30"/>
              <w:jc w:val="left"/>
            </w:pPr>
            <w:r>
              <w:rPr>
                <w:b w:val="0"/>
                <w:i w:val="0"/>
                <w:sz w:val="18"/>
              </w:rPr>
              <w:t>λ low, ρ</w:t>
            </w:r>
            <w:r>
              <w:rPr>
                <w:b w:val="0"/>
                <w:i w:val="0"/>
                <w:sz w:val="18"/>
                <w:vertAlign w:val="subscript"/>
              </w:rPr>
              <w:t>max</w:t>
            </w:r>
            <w:r>
              <w:rPr>
                <w:b w:val="0"/>
                <w:i w:val="0"/>
                <w:sz w:val="18"/>
              </w:rPr>
              <w:t xml:space="preserve"> high</w:t>
            </w:r>
          </w:p>
        </w:tc>
        <w:tc>
          <w:tcPr>
            <w:tcW w:type="dxa" w:w="1151"/>
          </w:tcPr>
          <w:p>
            <w:pPr>
              <w:pStyle w:val="MDPI42tablebody"/>
              <w:spacing w:line="240" w:lineRule="auto" w:before="30" w:after="30"/>
              <w:jc w:val="center"/>
            </w:pPr>
            <w:r>
              <w:rPr>
                <w:b w:val="0"/>
                <w:i w:val="0"/>
                <w:sz w:val="18"/>
              </w:rPr>
              <w:t>0.3</w:t>
            </w:r>
          </w:p>
        </w:tc>
        <w:tc>
          <w:tcPr>
            <w:tcW w:type="dxa" w:w="1360"/>
          </w:tcPr>
          <w:p>
            <w:pPr>
              <w:pStyle w:val="MDPI42tablebody"/>
              <w:spacing w:line="240" w:lineRule="auto" w:before="30" w:after="30"/>
              <w:jc w:val="center"/>
            </w:pPr>
            <w:r>
              <w:rPr>
                <w:b w:val="0"/>
                <w:i w:val="0"/>
                <w:sz w:val="18"/>
              </w:rPr>
              <w:t>0.5</w:t>
            </w:r>
          </w:p>
        </w:tc>
        <w:tc>
          <w:tcPr>
            <w:tcW w:type="dxa" w:w="1674"/>
          </w:tcPr>
          <w:p>
            <w:pPr>
              <w:pStyle w:val="MDPI42tablebody"/>
              <w:spacing w:line="240" w:lineRule="auto" w:before="30" w:after="30"/>
              <w:jc w:val="center"/>
            </w:pPr>
            <w:r>
              <w:rPr>
                <w:b w:val="0"/>
                <w:i w:val="0"/>
                <w:sz w:val="18"/>
              </w:rPr>
              <w:t>−20.8</w:t>
            </w:r>
          </w:p>
        </w:tc>
        <w:tc>
          <w:tcPr>
            <w:tcW w:type="dxa" w:w="1674"/>
          </w:tcPr>
          <w:p>
            <w:pPr>
              <w:pStyle w:val="MDPI42tablebody"/>
              <w:spacing w:line="240" w:lineRule="auto" w:before="30" w:after="30"/>
              <w:jc w:val="center"/>
            </w:pPr>
            <w:r>
              <w:rPr>
                <w:b w:val="0"/>
                <w:i w:val="0"/>
                <w:sz w:val="18"/>
              </w:rPr>
              <w:t>19.1</w:t>
            </w:r>
          </w:p>
        </w:tc>
        <w:tc>
          <w:tcPr>
            <w:tcW w:type="dxa" w:w="1674"/>
          </w:tcPr>
          <w:p>
            <w:pPr>
              <w:pStyle w:val="MDPI42tablebody"/>
              <w:spacing w:line="240" w:lineRule="auto" w:before="30" w:after="30"/>
              <w:jc w:val="center"/>
            </w:pPr>
            <w:r>
              <w:rPr>
                <w:b w:val="0"/>
                <w:i w:val="0"/>
                <w:sz w:val="18"/>
              </w:rPr>
              <w:t>0.189</w:t>
            </w:r>
          </w:p>
        </w:tc>
      </w:tr>
      <w:tr>
        <w:tc>
          <w:tcPr>
            <w:tcW w:type="dxa" w:w="2930"/>
          </w:tcPr>
          <w:p>
            <w:pPr>
              <w:pStyle w:val="MDPI42tablebody"/>
              <w:spacing w:line="240" w:lineRule="auto" w:before="30" w:after="30"/>
              <w:jc w:val="left"/>
            </w:pPr>
            <w:r>
              <w:rPr>
                <w:b w:val="0"/>
                <w:i w:val="0"/>
                <w:sz w:val="18"/>
              </w:rPr>
              <w:t>λ high, ρ</w:t>
            </w:r>
            <w:r>
              <w:rPr>
                <w:b w:val="0"/>
                <w:i w:val="0"/>
                <w:sz w:val="18"/>
                <w:vertAlign w:val="subscript"/>
              </w:rPr>
              <w:t>max</w:t>
            </w:r>
            <w:r>
              <w:rPr>
                <w:b w:val="0"/>
                <w:i w:val="0"/>
                <w:sz w:val="18"/>
              </w:rPr>
              <w:t xml:space="preserve"> low</w:t>
            </w:r>
          </w:p>
        </w:tc>
        <w:tc>
          <w:tcPr>
            <w:tcW w:type="dxa" w:w="1151"/>
          </w:tcPr>
          <w:p>
            <w:pPr>
              <w:pStyle w:val="MDPI42tablebody"/>
              <w:spacing w:line="240" w:lineRule="auto" w:before="30" w:after="30"/>
              <w:jc w:val="center"/>
            </w:pPr>
            <w:r>
              <w:rPr>
                <w:b w:val="0"/>
                <w:i w:val="0"/>
                <w:sz w:val="18"/>
              </w:rPr>
              <w:t>0.6</w:t>
            </w:r>
          </w:p>
        </w:tc>
        <w:tc>
          <w:tcPr>
            <w:tcW w:type="dxa" w:w="1360"/>
          </w:tcPr>
          <w:p>
            <w:pPr>
              <w:pStyle w:val="MDPI42tablebody"/>
              <w:spacing w:line="240" w:lineRule="auto" w:before="30" w:after="30"/>
              <w:jc w:val="center"/>
            </w:pPr>
            <w:r>
              <w:rPr>
                <w:b w:val="0"/>
                <w:i w:val="0"/>
                <w:sz w:val="18"/>
              </w:rPr>
              <w:t>0.35</w:t>
            </w:r>
          </w:p>
        </w:tc>
        <w:tc>
          <w:tcPr>
            <w:tcW w:type="dxa" w:w="1674"/>
          </w:tcPr>
          <w:p>
            <w:pPr>
              <w:pStyle w:val="MDPI42tablebody"/>
              <w:spacing w:line="240" w:lineRule="auto" w:before="30" w:after="30"/>
              <w:jc w:val="center"/>
            </w:pPr>
            <w:r>
              <w:rPr>
                <w:b w:val="0"/>
                <w:i w:val="0"/>
                <w:sz w:val="18"/>
              </w:rPr>
              <w:t>−26.6</w:t>
            </w:r>
          </w:p>
        </w:tc>
        <w:tc>
          <w:tcPr>
            <w:tcW w:type="dxa" w:w="1674"/>
          </w:tcPr>
          <w:p>
            <w:pPr>
              <w:pStyle w:val="MDPI42tablebody"/>
              <w:spacing w:line="240" w:lineRule="auto" w:before="30" w:after="30"/>
              <w:jc w:val="center"/>
            </w:pPr>
            <w:r>
              <w:rPr>
                <w:b w:val="0"/>
                <w:i w:val="0"/>
                <w:sz w:val="18"/>
              </w:rPr>
              <w:t>25.5</w:t>
            </w:r>
          </w:p>
        </w:tc>
        <w:tc>
          <w:tcPr>
            <w:tcW w:type="dxa" w:w="1674"/>
          </w:tcPr>
          <w:p>
            <w:pPr>
              <w:pStyle w:val="MDPI42tablebody"/>
              <w:spacing w:line="240" w:lineRule="auto" w:before="30" w:after="30"/>
              <w:jc w:val="center"/>
            </w:pPr>
            <w:r>
              <w:rPr>
                <w:b w:val="0"/>
                <w:i w:val="0"/>
                <w:sz w:val="18"/>
              </w:rPr>
              <w:t>0.171</w:t>
            </w:r>
          </w:p>
        </w:tc>
      </w:tr>
      <w:tr>
        <w:tc>
          <w:tcPr>
            <w:tcW w:type="dxa" w:w="2930"/>
          </w:tcPr>
          <w:p>
            <w:pPr>
              <w:pStyle w:val="MDPI42tablebody"/>
              <w:spacing w:line="240" w:lineRule="auto" w:before="30" w:after="30"/>
              <w:jc w:val="left"/>
            </w:pPr>
            <w:r>
              <w:rPr>
                <w:b w:val="0"/>
                <w:i w:val="0"/>
                <w:sz w:val="18"/>
              </w:rPr>
              <w:t>λ high, ρ</w:t>
            </w:r>
            <w:r>
              <w:rPr>
                <w:b w:val="0"/>
                <w:i w:val="0"/>
                <w:sz w:val="18"/>
                <w:vertAlign w:val="subscript"/>
              </w:rPr>
              <w:t>max</w:t>
            </w:r>
            <w:r>
              <w:rPr>
                <w:b w:val="0"/>
                <w:i w:val="0"/>
                <w:sz w:val="18"/>
              </w:rPr>
              <w:t xml:space="preserve"> high</w:t>
            </w:r>
          </w:p>
        </w:tc>
        <w:tc>
          <w:tcPr>
            <w:tcW w:type="dxa" w:w="1151"/>
          </w:tcPr>
          <w:p>
            <w:pPr>
              <w:pStyle w:val="MDPI42tablebody"/>
              <w:spacing w:line="240" w:lineRule="auto" w:before="30" w:after="30"/>
              <w:jc w:val="center"/>
            </w:pPr>
            <w:r>
              <w:rPr>
                <w:b w:val="0"/>
                <w:i w:val="0"/>
                <w:sz w:val="18"/>
              </w:rPr>
              <w:t>0.6</w:t>
            </w:r>
          </w:p>
        </w:tc>
        <w:tc>
          <w:tcPr>
            <w:tcW w:type="dxa" w:w="1360"/>
          </w:tcPr>
          <w:p>
            <w:pPr>
              <w:pStyle w:val="MDPI42tablebody"/>
              <w:spacing w:line="240" w:lineRule="auto" w:before="30" w:after="30"/>
              <w:jc w:val="center"/>
            </w:pPr>
            <w:r>
              <w:rPr>
                <w:b w:val="0"/>
                <w:i w:val="0"/>
                <w:sz w:val="18"/>
              </w:rPr>
              <w:t>0.5</w:t>
            </w:r>
          </w:p>
        </w:tc>
        <w:tc>
          <w:tcPr>
            <w:tcW w:type="dxa" w:w="1674"/>
          </w:tcPr>
          <w:p>
            <w:pPr>
              <w:pStyle w:val="MDPI42tablebody"/>
              <w:spacing w:line="240" w:lineRule="auto" w:before="30" w:after="30"/>
              <w:jc w:val="center"/>
            </w:pPr>
            <w:r>
              <w:rPr>
                <w:b w:val="0"/>
                <w:i w:val="0"/>
                <w:sz w:val="18"/>
              </w:rPr>
              <w:t>−14.0</w:t>
            </w:r>
          </w:p>
        </w:tc>
        <w:tc>
          <w:tcPr>
            <w:tcW w:type="dxa" w:w="1674"/>
          </w:tcPr>
          <w:p>
            <w:pPr>
              <w:pStyle w:val="MDPI42tablebody"/>
              <w:spacing w:line="240" w:lineRule="auto" w:before="30" w:after="30"/>
              <w:jc w:val="center"/>
            </w:pPr>
            <w:r>
              <w:rPr>
                <w:b w:val="0"/>
                <w:i w:val="0"/>
                <w:sz w:val="18"/>
              </w:rPr>
              <w:t>31.7</w:t>
            </w:r>
          </w:p>
        </w:tc>
        <w:tc>
          <w:tcPr>
            <w:tcW w:type="dxa" w:w="1674"/>
          </w:tcPr>
          <w:p>
            <w:pPr>
              <w:pStyle w:val="MDPI42tablebody"/>
              <w:spacing w:line="240" w:lineRule="auto" w:before="30" w:after="30"/>
              <w:jc w:val="center"/>
            </w:pPr>
            <w:r>
              <w:rPr>
                <w:b w:val="0"/>
                <w:i w:val="0"/>
                <w:sz w:val="18"/>
              </w:rPr>
              <w:t>0.249</w:t>
            </w:r>
          </w:p>
        </w:tc>
      </w:tr>
      <w:tr>
        <w:tc>
          <w:tcPr>
            <w:tcW w:type="dxa" w:w="2930"/>
          </w:tcPr>
          <w:p>
            <w:pPr>
              <w:pStyle w:val="MDPI42tablebody"/>
              <w:spacing w:line="240" w:lineRule="auto" w:before="30" w:after="30"/>
              <w:jc w:val="left"/>
            </w:pPr>
            <w:r>
              <w:rPr>
                <w:b w:val="0"/>
                <w:i w:val="0"/>
                <w:sz w:val="18"/>
              </w:rPr>
              <w:t>Main effect of learning investment (λ)</w:t>
            </w:r>
          </w:p>
        </w:tc>
        <w:tc>
          <w:tcPr>
            <w:tcW w:type="dxa" w:w="1151"/>
          </w:tcPr>
          <w:p>
            <w:pPr>
              <w:pStyle w:val="MDPI42tablebody"/>
              <w:spacing w:line="240" w:lineRule="auto" w:before="30" w:after="30"/>
              <w:jc w:val="center"/>
            </w:pPr>
          </w:p>
        </w:tc>
        <w:tc>
          <w:tcPr>
            <w:tcW w:type="dxa" w:w="1360"/>
          </w:tcPr>
          <w:p>
            <w:pPr>
              <w:pStyle w:val="MDPI42tablebody"/>
              <w:spacing w:line="240" w:lineRule="auto" w:before="30" w:after="30"/>
              <w:jc w:val="center"/>
            </w:pPr>
          </w:p>
        </w:tc>
        <w:tc>
          <w:tcPr>
            <w:tcW w:type="dxa" w:w="1674"/>
          </w:tcPr>
          <w:p>
            <w:pPr>
              <w:pStyle w:val="MDPI42tablebody"/>
              <w:spacing w:line="240" w:lineRule="auto" w:before="30" w:after="30"/>
              <w:jc w:val="center"/>
            </w:pPr>
            <w:r>
              <w:rPr>
                <w:b w:val="0"/>
                <w:i w:val="0"/>
                <w:sz w:val="18"/>
              </w:rPr>
              <w:t>5.5</w:t>
            </w:r>
          </w:p>
        </w:tc>
        <w:tc>
          <w:tcPr>
            <w:tcW w:type="dxa" w:w="1674"/>
          </w:tcPr>
          <w:p>
            <w:pPr>
              <w:pStyle w:val="MDPI42tablebody"/>
              <w:spacing w:line="240" w:lineRule="auto" w:before="30" w:after="30"/>
              <w:jc w:val="center"/>
            </w:pPr>
          </w:p>
        </w:tc>
        <w:tc>
          <w:tcPr>
            <w:tcW w:type="dxa" w:w="1674"/>
          </w:tcPr>
          <w:p>
            <w:pPr>
              <w:pStyle w:val="MDPI42tablebody"/>
              <w:spacing w:line="240" w:lineRule="auto" w:before="30" w:after="30"/>
              <w:jc w:val="center"/>
            </w:pPr>
          </w:p>
        </w:tc>
      </w:tr>
      <w:tr>
        <w:tc>
          <w:tcPr>
            <w:tcW w:type="dxa" w:w="2930"/>
          </w:tcPr>
          <w:p>
            <w:pPr>
              <w:pStyle w:val="MDPI42tablebody"/>
              <w:spacing w:line="240" w:lineRule="auto" w:before="30" w:after="30"/>
              <w:jc w:val="left"/>
            </w:pPr>
            <w:r>
              <w:rPr>
                <w:b w:val="0"/>
                <w:i w:val="0"/>
                <w:sz w:val="18"/>
              </w:rPr>
              <w:t>Main effect of work redesign (ρ</w:t>
            </w:r>
            <w:r>
              <w:rPr>
                <w:b w:val="0"/>
                <w:i w:val="0"/>
                <w:sz w:val="18"/>
                <w:vertAlign w:val="subscript"/>
              </w:rPr>
              <w:t>max</w:t>
            </w:r>
            <w:r>
              <w:rPr>
                <w:b w:val="0"/>
                <w:i w:val="0"/>
                <w:sz w:val="18"/>
              </w:rPr>
              <w:t>)</w:t>
            </w:r>
          </w:p>
        </w:tc>
        <w:tc>
          <w:tcPr>
            <w:tcW w:type="dxa" w:w="1151"/>
          </w:tcPr>
          <w:p>
            <w:pPr>
              <w:pStyle w:val="MDPI42tablebody"/>
              <w:spacing w:line="240" w:lineRule="auto" w:before="30" w:after="30"/>
              <w:jc w:val="center"/>
            </w:pPr>
          </w:p>
        </w:tc>
        <w:tc>
          <w:tcPr>
            <w:tcW w:type="dxa" w:w="1360"/>
          </w:tcPr>
          <w:p>
            <w:pPr>
              <w:pStyle w:val="MDPI42tablebody"/>
              <w:spacing w:line="240" w:lineRule="auto" w:before="30" w:after="30"/>
              <w:jc w:val="center"/>
            </w:pPr>
          </w:p>
        </w:tc>
        <w:tc>
          <w:tcPr>
            <w:tcW w:type="dxa" w:w="1674"/>
          </w:tcPr>
          <w:p>
            <w:pPr>
              <w:pStyle w:val="MDPI42tablebody"/>
              <w:spacing w:line="240" w:lineRule="auto" w:before="30" w:after="30"/>
              <w:jc w:val="center"/>
            </w:pPr>
            <w:r>
              <w:rPr>
                <w:b w:val="0"/>
                <w:i w:val="0"/>
                <w:sz w:val="18"/>
              </w:rPr>
              <w:t>11.29</w:t>
            </w:r>
          </w:p>
        </w:tc>
        <w:tc>
          <w:tcPr>
            <w:tcW w:type="dxa" w:w="1674"/>
          </w:tcPr>
          <w:p>
            <w:pPr>
              <w:pStyle w:val="MDPI42tablebody"/>
              <w:spacing w:line="240" w:lineRule="auto" w:before="30" w:after="30"/>
              <w:jc w:val="center"/>
            </w:pPr>
          </w:p>
        </w:tc>
        <w:tc>
          <w:tcPr>
            <w:tcW w:type="dxa" w:w="1674"/>
          </w:tcPr>
          <w:p>
            <w:pPr>
              <w:pStyle w:val="MDPI42tablebody"/>
              <w:spacing w:line="240" w:lineRule="auto" w:before="30" w:after="30"/>
              <w:jc w:val="center"/>
            </w:pPr>
          </w:p>
        </w:tc>
      </w:tr>
      <w:tr>
        <w:tc>
          <w:tcPr>
            <w:tcW w:type="dxa" w:w="2930"/>
          </w:tcPr>
          <w:p>
            <w:pPr>
              <w:pStyle w:val="MDPI42tablebody"/>
              <w:spacing w:line="240" w:lineRule="auto" w:before="30" w:after="30"/>
              <w:jc w:val="left"/>
            </w:pPr>
            <w:r>
              <w:rPr>
                <w:b w:val="0"/>
                <w:i w:val="0"/>
                <w:sz w:val="18"/>
              </w:rPr>
              <w:t>Interaction, λ × ρ</w:t>
            </w:r>
            <w:r>
              <w:rPr>
                <w:b w:val="0"/>
                <w:i w:val="0"/>
                <w:sz w:val="18"/>
                <w:vertAlign w:val="subscript"/>
              </w:rPr>
              <w:t>max</w:t>
            </w:r>
          </w:p>
        </w:tc>
        <w:tc>
          <w:tcPr>
            <w:tcW w:type="dxa" w:w="1151"/>
          </w:tcPr>
          <w:p>
            <w:pPr>
              <w:pStyle w:val="MDPI42tablebody"/>
              <w:spacing w:line="240" w:lineRule="auto" w:before="30" w:after="30"/>
              <w:jc w:val="center"/>
            </w:pPr>
          </w:p>
        </w:tc>
        <w:tc>
          <w:tcPr>
            <w:tcW w:type="dxa" w:w="1360"/>
          </w:tcPr>
          <w:p>
            <w:pPr>
              <w:pStyle w:val="MDPI42tablebody"/>
              <w:spacing w:line="240" w:lineRule="auto" w:before="30" w:after="30"/>
              <w:jc w:val="center"/>
            </w:pPr>
          </w:p>
        </w:tc>
        <w:tc>
          <w:tcPr>
            <w:tcW w:type="dxa" w:w="1674"/>
          </w:tcPr>
          <w:p>
            <w:pPr>
              <w:pStyle w:val="MDPI42tablebody"/>
              <w:spacing w:line="240" w:lineRule="auto" w:before="30" w:after="30"/>
              <w:jc w:val="center"/>
            </w:pPr>
            <w:r>
              <w:rPr>
                <w:b w:val="0"/>
                <w:i w:val="0"/>
                <w:sz w:val="18"/>
              </w:rPr>
              <w:t>2.74</w:t>
            </w:r>
          </w:p>
        </w:tc>
        <w:tc>
          <w:tcPr>
            <w:tcW w:type="dxa" w:w="1674"/>
          </w:tcPr>
          <w:p>
            <w:pPr>
              <w:pStyle w:val="MDPI42tablebody"/>
              <w:spacing w:line="240" w:lineRule="auto" w:before="30" w:after="30"/>
              <w:jc w:val="center"/>
            </w:pPr>
          </w:p>
        </w:tc>
        <w:tc>
          <w:tcPr>
            <w:tcW w:type="dxa" w:w="1674"/>
          </w:tcPr>
          <w:p>
            <w:pPr>
              <w:pStyle w:val="MDPI42tablebody"/>
              <w:spacing w:line="240" w:lineRule="auto" w:before="30" w:after="30"/>
              <w:jc w:val="center"/>
            </w:pPr>
          </w:p>
        </w:tc>
      </w:tr>
    </w:tbl>
    <w:p>
      <w:pPr>
        <w:pStyle w:val="MDPI43tablefooter"/>
        <w:spacing w:line="240" w:lineRule="auto" w:before="40" w:after="200"/>
        <w:ind w:left="2608" w:firstLine="0"/>
      </w:pPr>
      <w:r>
        <w:rPr>
          <w:i/>
          <w:sz w:val="16"/>
        </w:rPr>
        <w:t xml:space="preserve">Note: </w:t>
      </w:r>
      <w:r>
        <w:rPr>
          <w:b w:val="0"/>
          <w:i w:val="0"/>
          <w:sz w:val="16"/>
        </w:rPr>
        <w:t>Main effects are the average of the two simple effects and the interaction is the difference of differences, both in percentage points of entry employment at year 25. A positive interaction indicates that the technical and the social subsystem are complements, as predicted by Proposition 4.</w:t>
      </w:r>
    </w:p>
    <w:p>
      <w:pPr>
        <w:pStyle w:val="MDPI22heading2"/>
      </w:pPr>
      <w:r>
        <w:t>4.5. Model Boundary: Why the Sector-Consistent Closure Matters</w:t>
      </w:r>
    </w:p>
    <w:p>
      <w:pPr>
        <w:pStyle w:val="MDPI32textnoindent"/>
      </w:pPr>
      <w:r>
        <w:rPr>
          <w:b w:val="0"/>
          <w:i w:val="0"/>
        </w:rPr>
        <w:t>A firm considering these trade-offs in isolation would reason that experienced staff can be recruited if the internal pipeline underdelivers. Table 8 quantifies what that reasoning misses. Under the partial-equilibrium closure, in which the external market for experienced staff is unaffected by the sector's own behaviour, the baseline loss of experienced staff is 3.8% and output is 14.5% above the counterfactual. Under the sector-consistent closure the same configuration loses 7.9% of experienced staff and gains only 9.4% of output. The divergence widens sharply in the automation-first scenario: 16.6% against 23.9% for the experienced stock, and −7.4% against −15.7% for output. Partial equilibrium understates the long-run cost of entry-port erosion by roughly a factor of two, and it does so precisely in the configurations in which the cost matters most.</w:t>
      </w:r>
    </w:p>
    <w:p>
      <w:pPr>
        <w:pStyle w:val="MDPI41tablecaption"/>
        <w:keepNext/>
        <w:spacing w:after="60"/>
      </w:pPr>
      <w:r>
        <w:rPr>
          <w:b/>
          <w:sz w:val="18"/>
        </w:rPr>
        <w:t xml:space="preserve">Table 8. </w:t>
      </w:r>
      <w:r>
        <w:rPr>
          <w:b w:val="0"/>
          <w:i w:val="0"/>
          <w:sz w:val="18"/>
        </w:rPr>
        <w:t>Effect of the model boundary: partial-equilibrium versus sector-consistent closure of the external market for experienced staff.</w:t>
      </w:r>
    </w:p>
    <w:tbl>
      <w:tblPr>
        <w:tblStyle w:val="MDPI41threelinetable"/>
        <w:tblW w:w="10467"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CellMar>
          <w:top w:w="0" w:type="dxa"/>
          <w:left w:w="57" w:type="dxa"/>
          <w:bottom w:w="0" w:type="dxa"/>
          <w:right w:w="57" w:type="dxa"/>
        </w:tblCellMar>
        <w:tblLook w:firstColumn="1" w:firstRow="1" w:lastColumn="0" w:lastRow="0" w:noHBand="0" w:noVBand="1" w:val="04A0"/>
      </w:tblPr>
      <w:tblGrid>
        <w:gridCol w:w="2198"/>
        <w:gridCol w:w="2407"/>
        <w:gridCol w:w="1256"/>
        <w:gridCol w:w="1256"/>
        <w:gridCol w:w="1256"/>
        <w:gridCol w:w="1046"/>
        <w:gridCol w:w="1046"/>
      </w:tblGrid>
      <w:tr>
        <w:tc>
          <w:tcPr>
            <w:tcW w:type="dxa" w:w="2198"/>
            <w:tcBorders>
              <w:bottom w:val="single" w:sz="8" w:space="0" w:color="auto"/>
            </w:tcBorders>
          </w:tcPr>
          <w:p>
            <w:pPr>
              <w:pStyle w:val="MDPI42tablebody"/>
              <w:spacing w:line="240" w:lineRule="auto" w:before="30" w:after="30"/>
              <w:jc w:val="center"/>
            </w:pPr>
            <w:r>
              <w:rPr>
                <w:b/>
                <w:i w:val="0"/>
                <w:sz w:val="18"/>
              </w:rPr>
              <w:t>Scenario</w:t>
            </w:r>
          </w:p>
        </w:tc>
        <w:tc>
          <w:tcPr>
            <w:tcW w:type="dxa" w:w="2407"/>
            <w:tcBorders>
              <w:bottom w:val="single" w:sz="8" w:space="0" w:color="auto"/>
            </w:tcBorders>
          </w:tcPr>
          <w:p>
            <w:pPr>
              <w:pStyle w:val="MDPI42tablebody"/>
              <w:spacing w:line="240" w:lineRule="auto" w:before="30" w:after="30"/>
              <w:jc w:val="center"/>
            </w:pPr>
            <w:r>
              <w:rPr>
                <w:b/>
                <w:i w:val="0"/>
                <w:sz w:val="18"/>
              </w:rPr>
              <w:t>Closure</w:t>
            </w:r>
          </w:p>
        </w:tc>
        <w:tc>
          <w:tcPr>
            <w:tcW w:type="dxa" w:w="1256"/>
            <w:tcBorders>
              <w:bottom w:val="single" w:sz="8" w:space="0" w:color="auto"/>
            </w:tcBorders>
          </w:tcPr>
          <w:p>
            <w:pPr>
              <w:pStyle w:val="MDPI42tablebody"/>
              <w:spacing w:line="240" w:lineRule="auto" w:before="30" w:after="30"/>
              <w:jc w:val="center"/>
            </w:pPr>
            <w:r>
              <w:rPr>
                <w:b/>
                <w:i w:val="0"/>
                <w:sz w:val="18"/>
              </w:rPr>
              <w:t>ΔJ</w:t>
            </w:r>
            <w:r>
              <w:rPr>
                <w:b/>
                <w:i w:val="0"/>
                <w:sz w:val="18"/>
                <w:vertAlign w:val="subscript"/>
              </w:rPr>
              <w:t>25</w:t>
            </w:r>
            <w:r>
              <w:rPr>
                <w:b/>
                <w:i w:val="0"/>
                <w:sz w:val="18"/>
              </w:rPr>
              <w:t xml:space="preserve"> (%)</w:t>
            </w:r>
          </w:p>
        </w:tc>
        <w:tc>
          <w:tcPr>
            <w:tcW w:type="dxa" w:w="1256"/>
            <w:tcBorders>
              <w:bottom w:val="single" w:sz="8" w:space="0" w:color="auto"/>
            </w:tcBorders>
          </w:tcPr>
          <w:p>
            <w:pPr>
              <w:pStyle w:val="MDPI42tablebody"/>
              <w:spacing w:line="240" w:lineRule="auto" w:before="30" w:after="30"/>
              <w:jc w:val="center"/>
            </w:pPr>
            <w:r>
              <w:rPr>
                <w:b/>
                <w:i w:val="0"/>
                <w:sz w:val="18"/>
              </w:rPr>
              <w:t>ΔS</w:t>
            </w:r>
            <w:r>
              <w:rPr>
                <w:b/>
                <w:i w:val="0"/>
                <w:sz w:val="18"/>
                <w:vertAlign w:val="subscript"/>
              </w:rPr>
              <w:t>25</w:t>
            </w:r>
            <w:r>
              <w:rPr>
                <w:b/>
                <w:i w:val="0"/>
                <w:sz w:val="18"/>
              </w:rPr>
              <w:t xml:space="preserve"> (%)</w:t>
            </w:r>
          </w:p>
        </w:tc>
        <w:tc>
          <w:tcPr>
            <w:tcW w:type="dxa" w:w="1256"/>
            <w:tcBorders>
              <w:bottom w:val="single" w:sz="8" w:space="0" w:color="auto"/>
            </w:tcBorders>
          </w:tcPr>
          <w:p>
            <w:pPr>
              <w:pStyle w:val="MDPI42tablebody"/>
              <w:spacing w:line="240" w:lineRule="auto" w:before="30" w:after="30"/>
              <w:jc w:val="center"/>
            </w:pPr>
            <w:r>
              <w:rPr>
                <w:b/>
                <w:i w:val="0"/>
                <w:sz w:val="18"/>
              </w:rPr>
              <w:t>ΔY</w:t>
            </w:r>
            <w:r>
              <w:rPr>
                <w:b/>
                <w:i w:val="0"/>
                <w:sz w:val="18"/>
                <w:vertAlign w:val="subscript"/>
              </w:rPr>
              <w:t>25</w:t>
            </w:r>
            <w:r>
              <w:rPr>
                <w:b/>
                <w:i w:val="0"/>
                <w:sz w:val="18"/>
              </w:rPr>
              <w:t xml:space="preserve"> (%)</w:t>
            </w:r>
          </w:p>
        </w:tc>
        <w:tc>
          <w:tcPr>
            <w:tcW w:type="dxa" w:w="1046"/>
            <w:tcBorders>
              <w:bottom w:val="single" w:sz="8" w:space="0" w:color="auto"/>
            </w:tcBorders>
          </w:tcPr>
          <w:p>
            <w:pPr>
              <w:pStyle w:val="MDPI42tablebody"/>
              <w:spacing w:line="240" w:lineRule="auto" w:before="30" w:after="30"/>
              <w:jc w:val="center"/>
            </w:pPr>
            <w:r>
              <w:rPr>
                <w:b/>
                <w:i w:val="0"/>
                <w:sz w:val="18"/>
              </w:rPr>
              <w:t>Φ</w:t>
            </w:r>
            <w:r>
              <w:rPr>
                <w:b/>
                <w:i w:val="0"/>
                <w:sz w:val="18"/>
                <w:vertAlign w:val="subscript"/>
              </w:rPr>
              <w:t>25</w:t>
            </w:r>
          </w:p>
        </w:tc>
        <w:tc>
          <w:tcPr>
            <w:tcW w:type="dxa" w:w="1046"/>
            <w:tcBorders>
              <w:bottom w:val="single" w:sz="8" w:space="0" w:color="auto"/>
            </w:tcBorders>
          </w:tcPr>
          <w:p>
            <w:pPr>
              <w:pStyle w:val="MDPI42tablebody"/>
              <w:spacing w:line="240" w:lineRule="auto" w:before="30" w:after="30"/>
              <w:jc w:val="center"/>
            </w:pPr>
            <w:r>
              <w:rPr>
                <w:b/>
                <w:i w:val="0"/>
                <w:sz w:val="18"/>
              </w:rPr>
              <w:t>Ω</w:t>
            </w:r>
            <w:r>
              <w:rPr>
                <w:b/>
                <w:i w:val="0"/>
                <w:sz w:val="18"/>
                <w:vertAlign w:val="subscript"/>
              </w:rPr>
              <w:t>25</w:t>
            </w:r>
          </w:p>
        </w:tc>
      </w:tr>
      <w:tr>
        <w:tc>
          <w:tcPr>
            <w:tcW w:type="dxa" w:w="2198"/>
          </w:tcPr>
          <w:p>
            <w:pPr>
              <w:pStyle w:val="MDPI42tablebody"/>
              <w:spacing w:line="240" w:lineRule="auto" w:before="30" w:after="30"/>
              <w:jc w:val="left"/>
            </w:pPr>
            <w:r>
              <w:rPr>
                <w:b w:val="0"/>
                <w:i w:val="0"/>
                <w:sz w:val="18"/>
              </w:rPr>
              <w:t>S0  Baseline</w:t>
            </w:r>
          </w:p>
        </w:tc>
        <w:tc>
          <w:tcPr>
            <w:tcW w:type="dxa" w:w="2407"/>
          </w:tcPr>
          <w:p>
            <w:pPr>
              <w:pStyle w:val="MDPI42tablebody"/>
              <w:spacing w:line="240" w:lineRule="auto" w:before="30" w:after="30"/>
              <w:jc w:val="left"/>
            </w:pPr>
            <w:r>
              <w:rPr>
                <w:b w:val="0"/>
                <w:i w:val="0"/>
                <w:sz w:val="18"/>
              </w:rPr>
              <w:t>Partial equilibrium (ω = 0)</w:t>
            </w:r>
          </w:p>
        </w:tc>
        <w:tc>
          <w:tcPr>
            <w:tcW w:type="dxa" w:w="1256"/>
          </w:tcPr>
          <w:p>
            <w:pPr>
              <w:pStyle w:val="MDPI42tablebody"/>
              <w:spacing w:line="240" w:lineRule="auto" w:before="30" w:after="30"/>
              <w:jc w:val="center"/>
            </w:pPr>
            <w:r>
              <w:rPr>
                <w:b w:val="0"/>
                <w:i w:val="0"/>
                <w:sz w:val="18"/>
              </w:rPr>
              <w:t>−30.1</w:t>
            </w:r>
          </w:p>
        </w:tc>
        <w:tc>
          <w:tcPr>
            <w:tcW w:type="dxa" w:w="1256"/>
          </w:tcPr>
          <w:p>
            <w:pPr>
              <w:pStyle w:val="MDPI42tablebody"/>
              <w:spacing w:line="240" w:lineRule="auto" w:before="30" w:after="30"/>
              <w:jc w:val="center"/>
            </w:pPr>
            <w:r>
              <w:rPr>
                <w:b w:val="0"/>
                <w:i w:val="0"/>
                <w:sz w:val="18"/>
              </w:rPr>
              <w:t>−3.8</w:t>
            </w:r>
          </w:p>
        </w:tc>
        <w:tc>
          <w:tcPr>
            <w:tcW w:type="dxa" w:w="1256"/>
          </w:tcPr>
          <w:p>
            <w:pPr>
              <w:pStyle w:val="MDPI42tablebody"/>
              <w:spacing w:line="240" w:lineRule="auto" w:before="30" w:after="30"/>
              <w:jc w:val="center"/>
            </w:pPr>
            <w:r>
              <w:rPr>
                <w:b w:val="0"/>
                <w:i w:val="0"/>
                <w:sz w:val="18"/>
              </w:rPr>
              <w:t>14.5</w:t>
            </w:r>
          </w:p>
        </w:tc>
        <w:tc>
          <w:tcPr>
            <w:tcW w:type="dxa" w:w="1046"/>
          </w:tcPr>
          <w:p>
            <w:pPr>
              <w:pStyle w:val="MDPI42tablebody"/>
              <w:spacing w:line="240" w:lineRule="auto" w:before="30" w:after="30"/>
              <w:jc w:val="center"/>
            </w:pPr>
            <w:r>
              <w:rPr>
                <w:b w:val="0"/>
                <w:i w:val="0"/>
                <w:sz w:val="18"/>
              </w:rPr>
              <w:t>0.896</w:t>
            </w:r>
          </w:p>
        </w:tc>
        <w:tc>
          <w:tcPr>
            <w:tcW w:type="dxa" w:w="1046"/>
          </w:tcPr>
          <w:p>
            <w:pPr>
              <w:pStyle w:val="MDPI42tablebody"/>
              <w:spacing w:line="240" w:lineRule="auto" w:before="30" w:after="30"/>
              <w:jc w:val="center"/>
            </w:pPr>
            <w:r>
              <w:rPr>
                <w:b w:val="0"/>
                <w:i w:val="0"/>
                <w:sz w:val="18"/>
              </w:rPr>
              <w:t>1.000</w:t>
            </w:r>
          </w:p>
        </w:tc>
      </w:tr>
      <w:tr>
        <w:tc>
          <w:tcPr>
            <w:tcW w:type="dxa" w:w="2198"/>
          </w:tcPr>
          <w:p>
            <w:pPr>
              <w:pStyle w:val="MDPI42tablebody"/>
              <w:spacing w:line="240" w:lineRule="auto" w:before="30" w:after="30"/>
              <w:jc w:val="left"/>
            </w:pPr>
            <w:r>
              <w:rPr>
                <w:b w:val="0"/>
                <w:i w:val="0"/>
                <w:sz w:val="18"/>
              </w:rPr>
              <w:t>S0  Baseline</w:t>
            </w:r>
          </w:p>
        </w:tc>
        <w:tc>
          <w:tcPr>
            <w:tcW w:type="dxa" w:w="2407"/>
          </w:tcPr>
          <w:p>
            <w:pPr>
              <w:pStyle w:val="MDPI42tablebody"/>
              <w:spacing w:line="240" w:lineRule="auto" w:before="30" w:after="30"/>
              <w:jc w:val="left"/>
            </w:pPr>
            <w:r>
              <w:rPr>
                <w:b w:val="0"/>
                <w:i w:val="0"/>
                <w:sz w:val="18"/>
              </w:rPr>
              <w:t>Sector-consistent (ω = 1)</w:t>
            </w:r>
          </w:p>
        </w:tc>
        <w:tc>
          <w:tcPr>
            <w:tcW w:type="dxa" w:w="1256"/>
          </w:tcPr>
          <w:p>
            <w:pPr>
              <w:pStyle w:val="MDPI42tablebody"/>
              <w:spacing w:line="240" w:lineRule="auto" w:before="30" w:after="30"/>
              <w:jc w:val="center"/>
            </w:pPr>
            <w:r>
              <w:rPr>
                <w:b w:val="0"/>
                <w:i w:val="0"/>
                <w:sz w:val="18"/>
              </w:rPr>
              <w:t>−30.7</w:t>
            </w:r>
          </w:p>
        </w:tc>
        <w:tc>
          <w:tcPr>
            <w:tcW w:type="dxa" w:w="1256"/>
          </w:tcPr>
          <w:p>
            <w:pPr>
              <w:pStyle w:val="MDPI42tablebody"/>
              <w:spacing w:line="240" w:lineRule="auto" w:before="30" w:after="30"/>
              <w:jc w:val="center"/>
            </w:pPr>
            <w:r>
              <w:rPr>
                <w:b w:val="0"/>
                <w:i w:val="0"/>
                <w:sz w:val="18"/>
              </w:rPr>
              <w:t>−7.9</w:t>
            </w:r>
          </w:p>
        </w:tc>
        <w:tc>
          <w:tcPr>
            <w:tcW w:type="dxa" w:w="1256"/>
          </w:tcPr>
          <w:p>
            <w:pPr>
              <w:pStyle w:val="MDPI42tablebody"/>
              <w:spacing w:line="240" w:lineRule="auto" w:before="30" w:after="30"/>
              <w:jc w:val="center"/>
            </w:pPr>
            <w:r>
              <w:rPr>
                <w:b w:val="0"/>
                <w:i w:val="0"/>
                <w:sz w:val="18"/>
              </w:rPr>
              <w:t>9.4</w:t>
            </w:r>
          </w:p>
        </w:tc>
        <w:tc>
          <w:tcPr>
            <w:tcW w:type="dxa" w:w="1046"/>
          </w:tcPr>
          <w:p>
            <w:pPr>
              <w:pStyle w:val="MDPI42tablebody"/>
              <w:spacing w:line="240" w:lineRule="auto" w:before="30" w:after="30"/>
              <w:jc w:val="center"/>
            </w:pPr>
            <w:r>
              <w:rPr>
                <w:b w:val="0"/>
                <w:i w:val="0"/>
                <w:sz w:val="18"/>
              </w:rPr>
              <w:t>0.864</w:t>
            </w:r>
          </w:p>
        </w:tc>
        <w:tc>
          <w:tcPr>
            <w:tcW w:type="dxa" w:w="1046"/>
          </w:tcPr>
          <w:p>
            <w:pPr>
              <w:pStyle w:val="MDPI42tablebody"/>
              <w:spacing w:line="240" w:lineRule="auto" w:before="30" w:after="30"/>
              <w:jc w:val="center"/>
            </w:pPr>
            <w:r>
              <w:rPr>
                <w:b w:val="0"/>
                <w:i w:val="0"/>
                <w:sz w:val="18"/>
              </w:rPr>
              <w:t>0.927</w:t>
            </w:r>
          </w:p>
        </w:tc>
      </w:tr>
      <w:tr>
        <w:tc>
          <w:tcPr>
            <w:tcW w:type="dxa" w:w="2198"/>
          </w:tcPr>
          <w:p>
            <w:pPr>
              <w:pStyle w:val="MDPI42tablebody"/>
              <w:spacing w:line="240" w:lineRule="auto" w:before="30" w:after="30"/>
              <w:jc w:val="left"/>
            </w:pPr>
            <w:r>
              <w:rPr>
                <w:b w:val="0"/>
                <w:i w:val="0"/>
                <w:sz w:val="18"/>
              </w:rPr>
              <w:t>S1  Automation-first</w:t>
            </w:r>
          </w:p>
        </w:tc>
        <w:tc>
          <w:tcPr>
            <w:tcW w:type="dxa" w:w="2407"/>
          </w:tcPr>
          <w:p>
            <w:pPr>
              <w:pStyle w:val="MDPI42tablebody"/>
              <w:spacing w:line="240" w:lineRule="auto" w:before="30" w:after="30"/>
              <w:jc w:val="left"/>
            </w:pPr>
            <w:r>
              <w:rPr>
                <w:b w:val="0"/>
                <w:i w:val="0"/>
                <w:sz w:val="18"/>
              </w:rPr>
              <w:t>Partial equilibrium (ω = 0)</w:t>
            </w:r>
          </w:p>
        </w:tc>
        <w:tc>
          <w:tcPr>
            <w:tcW w:type="dxa" w:w="1256"/>
          </w:tcPr>
          <w:p>
            <w:pPr>
              <w:pStyle w:val="MDPI42tablebody"/>
              <w:spacing w:line="240" w:lineRule="auto" w:before="30" w:after="30"/>
              <w:jc w:val="center"/>
            </w:pPr>
            <w:r>
              <w:rPr>
                <w:b w:val="0"/>
                <w:i w:val="0"/>
                <w:sz w:val="18"/>
              </w:rPr>
              <w:t>−45.5</w:t>
            </w:r>
          </w:p>
        </w:tc>
        <w:tc>
          <w:tcPr>
            <w:tcW w:type="dxa" w:w="1256"/>
          </w:tcPr>
          <w:p>
            <w:pPr>
              <w:pStyle w:val="MDPI42tablebody"/>
              <w:spacing w:line="240" w:lineRule="auto" w:before="30" w:after="30"/>
              <w:jc w:val="center"/>
            </w:pPr>
            <w:r>
              <w:rPr>
                <w:b w:val="0"/>
                <w:i w:val="0"/>
                <w:sz w:val="18"/>
              </w:rPr>
              <w:t>−16.6</w:t>
            </w:r>
          </w:p>
        </w:tc>
        <w:tc>
          <w:tcPr>
            <w:tcW w:type="dxa" w:w="1256"/>
          </w:tcPr>
          <w:p>
            <w:pPr>
              <w:pStyle w:val="MDPI42tablebody"/>
              <w:spacing w:line="240" w:lineRule="auto" w:before="30" w:after="30"/>
              <w:jc w:val="center"/>
            </w:pPr>
            <w:r>
              <w:rPr>
                <w:b w:val="0"/>
                <w:i w:val="0"/>
                <w:sz w:val="18"/>
              </w:rPr>
              <w:t>−7.4</w:t>
            </w:r>
          </w:p>
        </w:tc>
        <w:tc>
          <w:tcPr>
            <w:tcW w:type="dxa" w:w="1046"/>
          </w:tcPr>
          <w:p>
            <w:pPr>
              <w:pStyle w:val="MDPI42tablebody"/>
              <w:spacing w:line="240" w:lineRule="auto" w:before="30" w:after="30"/>
              <w:jc w:val="center"/>
            </w:pPr>
            <w:r>
              <w:rPr>
                <w:b w:val="0"/>
                <w:i w:val="0"/>
                <w:sz w:val="18"/>
              </w:rPr>
              <w:t>0.751</w:t>
            </w:r>
          </w:p>
        </w:tc>
        <w:tc>
          <w:tcPr>
            <w:tcW w:type="dxa" w:w="1046"/>
          </w:tcPr>
          <w:p>
            <w:pPr>
              <w:pStyle w:val="MDPI42tablebody"/>
              <w:spacing w:line="240" w:lineRule="auto" w:before="30" w:after="30"/>
              <w:jc w:val="center"/>
            </w:pPr>
            <w:r>
              <w:rPr>
                <w:b w:val="0"/>
                <w:i w:val="0"/>
                <w:sz w:val="18"/>
              </w:rPr>
              <w:t>1.000</w:t>
            </w:r>
          </w:p>
        </w:tc>
      </w:tr>
      <w:tr>
        <w:tc>
          <w:tcPr>
            <w:tcW w:type="dxa" w:w="2198"/>
          </w:tcPr>
          <w:p>
            <w:pPr>
              <w:pStyle w:val="MDPI42tablebody"/>
              <w:spacing w:line="240" w:lineRule="auto" w:before="30" w:after="30"/>
              <w:jc w:val="left"/>
            </w:pPr>
            <w:r>
              <w:rPr>
                <w:b w:val="0"/>
                <w:i w:val="0"/>
                <w:sz w:val="18"/>
              </w:rPr>
              <w:t>S1  Automation-first</w:t>
            </w:r>
          </w:p>
        </w:tc>
        <w:tc>
          <w:tcPr>
            <w:tcW w:type="dxa" w:w="2407"/>
          </w:tcPr>
          <w:p>
            <w:pPr>
              <w:pStyle w:val="MDPI42tablebody"/>
              <w:spacing w:line="240" w:lineRule="auto" w:before="30" w:after="30"/>
              <w:jc w:val="left"/>
            </w:pPr>
            <w:r>
              <w:rPr>
                <w:b w:val="0"/>
                <w:i w:val="0"/>
                <w:sz w:val="18"/>
              </w:rPr>
              <w:t>Sector-consistent (ω = 1)</w:t>
            </w:r>
          </w:p>
        </w:tc>
        <w:tc>
          <w:tcPr>
            <w:tcW w:type="dxa" w:w="1256"/>
          </w:tcPr>
          <w:p>
            <w:pPr>
              <w:pStyle w:val="MDPI42tablebody"/>
              <w:spacing w:line="240" w:lineRule="auto" w:before="30" w:after="30"/>
              <w:jc w:val="center"/>
            </w:pPr>
            <w:r>
              <w:rPr>
                <w:b w:val="0"/>
                <w:i w:val="0"/>
                <w:sz w:val="18"/>
              </w:rPr>
              <w:t>−46.4</w:t>
            </w:r>
          </w:p>
        </w:tc>
        <w:tc>
          <w:tcPr>
            <w:tcW w:type="dxa" w:w="1256"/>
          </w:tcPr>
          <w:p>
            <w:pPr>
              <w:pStyle w:val="MDPI42tablebody"/>
              <w:spacing w:line="240" w:lineRule="auto" w:before="30" w:after="30"/>
              <w:jc w:val="center"/>
            </w:pPr>
            <w:r>
              <w:rPr>
                <w:b w:val="0"/>
                <w:i w:val="0"/>
                <w:sz w:val="18"/>
              </w:rPr>
              <w:t>−23.9</w:t>
            </w:r>
          </w:p>
        </w:tc>
        <w:tc>
          <w:tcPr>
            <w:tcW w:type="dxa" w:w="1256"/>
          </w:tcPr>
          <w:p>
            <w:pPr>
              <w:pStyle w:val="MDPI42tablebody"/>
              <w:spacing w:line="240" w:lineRule="auto" w:before="30" w:after="30"/>
              <w:jc w:val="center"/>
            </w:pPr>
            <w:r>
              <w:rPr>
                <w:b w:val="0"/>
                <w:i w:val="0"/>
                <w:sz w:val="18"/>
              </w:rPr>
              <w:t>−15.7</w:t>
            </w:r>
          </w:p>
        </w:tc>
        <w:tc>
          <w:tcPr>
            <w:tcW w:type="dxa" w:w="1046"/>
          </w:tcPr>
          <w:p>
            <w:pPr>
              <w:pStyle w:val="MDPI42tablebody"/>
              <w:spacing w:line="240" w:lineRule="auto" w:before="30" w:after="30"/>
              <w:jc w:val="center"/>
            </w:pPr>
            <w:r>
              <w:rPr>
                <w:b w:val="0"/>
                <w:i w:val="0"/>
                <w:sz w:val="18"/>
              </w:rPr>
              <w:t>0.695</w:t>
            </w:r>
          </w:p>
        </w:tc>
        <w:tc>
          <w:tcPr>
            <w:tcW w:type="dxa" w:w="1046"/>
          </w:tcPr>
          <w:p>
            <w:pPr>
              <w:pStyle w:val="MDPI42tablebody"/>
              <w:spacing w:line="240" w:lineRule="auto" w:before="30" w:after="30"/>
              <w:jc w:val="center"/>
            </w:pPr>
            <w:r>
              <w:rPr>
                <w:b w:val="0"/>
                <w:i w:val="0"/>
                <w:sz w:val="18"/>
              </w:rPr>
              <w:t>0.840</w:t>
            </w:r>
          </w:p>
        </w:tc>
      </w:tr>
    </w:tbl>
    <w:p>
      <w:pPr>
        <w:pStyle w:val="MDPI43tablefooter"/>
        <w:spacing w:line="240" w:lineRule="auto" w:before="40" w:after="200"/>
        <w:ind w:left="2608" w:firstLine="0"/>
      </w:pPr>
      <w:r>
        <w:rPr>
          <w:i/>
          <w:sz w:val="16"/>
        </w:rPr>
        <w:t xml:space="preserve">Note: </w:t>
      </w:r>
      <w:r>
        <w:rPr>
          <w:b w:val="0"/>
          <w:i w:val="0"/>
          <w:sz w:val="16"/>
        </w:rPr>
        <w:t>Under the partial-equilibrium closure (ω = 0) the external pool of experienced staff is unaffected by the sector's own promotion flow; under the sector-consistent closure (ω = 1) it is proportional to it, as in Equation (14). The comparison isolates the composition fallacy discussed in Section 4.5.</w:t>
      </w:r>
    </w:p>
    <w:p>
      <w:pPr>
        <w:pStyle w:val="MDPI31text"/>
      </w:pPr>
      <w:r>
        <w:rPr>
          <w:b w:val="0"/>
          <w:i w:val="0"/>
        </w:rPr>
        <w:t xml:space="preserve">This is a composition fallacy of the classic kind </w:t>
      </w:r>
      <w:r>
        <w:t>[</w:t>
      </w:r>
      <w:r>
        <w:fldChar w:fldCharType="begin"/>
      </w:r>
      <w:r>
        <w:instrText xml:space="preserve"> REF _Ref_57 \h </w:instrText>
      </w:r>
      <w:r>
        <w:fldChar w:fldCharType="separate"/>
      </w:r>
      <w:r>
        <w:t>57</w:t>
      </w:r>
      <w:r>
        <w:fldChar w:fldCharType="end"/>
      </w:r>
      <w:r>
        <w:t>,</w:t>
      </w:r>
      <w:r>
        <w:fldChar w:fldCharType="begin"/>
      </w:r>
      <w:r>
        <w:instrText xml:space="preserve"> REF _Ref_59 \h </w:instrText>
      </w:r>
      <w:r>
        <w:fldChar w:fldCharType="separate"/>
      </w:r>
      <w:r>
        <w:t>59</w:t>
      </w:r>
      <w:r>
        <w:fldChar w:fldCharType="end"/>
      </w:r>
      <w:r>
        <w:t>]</w:t>
      </w:r>
      <w:r>
        <w:rPr>
          <w:b w:val="0"/>
          <w:i w:val="0"/>
        </w:rPr>
        <w:t>. Each organisation can rationally treat the external market for experienced staff as a substitute for its own training pipeline; the sector cannot. The result also identifies where the boundary of a model of AI adoption has to be drawn: an analysis conducted at the level of the individual firm will systematically under-predict the capability consequences of a technology that every firm is adopting at the same time.</w:t>
      </w:r>
    </w:p>
    <w:p>
      <w:pPr>
        <w:pStyle w:val="MDPI22heading2"/>
      </w:pPr>
      <w:r>
        <w:t>4.6. Global Sensitivity Analysis</w:t>
      </w:r>
    </w:p>
    <w:p>
      <w:pPr>
        <w:pStyle w:val="MDPI32textnoindent"/>
      </w:pPr>
      <w:r>
        <w:rPr>
          <w:b w:val="0"/>
          <w:i w:val="0"/>
        </w:rPr>
        <w:t>Robustness was assessed by Latin hypercube sampling of 800 parameter vectors drawn from a ±30% interval around the calibrated values of fifteen parameters, with the mentoring coefficient re-derived in each draw so that every sampled configuration starts from its own exact pre-GenAI equilibrium. Table 9 reports partial rank correlation coefficients and Figure 7 displays them alongside the distribution of outcomes.</w:t>
      </w:r>
    </w:p>
    <w:p>
      <w:pPr>
        <w:pStyle w:val="MDPI41tablecaption"/>
        <w:keepNext/>
        <w:spacing w:after="60"/>
      </w:pPr>
      <w:r>
        <w:rPr>
          <w:b/>
          <w:sz w:val="18"/>
        </w:rPr>
        <w:t xml:space="preserve">Table 9. </w:t>
      </w:r>
      <w:r>
        <w:rPr>
          <w:b w:val="0"/>
          <w:i w:val="0"/>
          <w:sz w:val="18"/>
        </w:rPr>
        <w:t>Global sensitivity analysis: partial rank correlation coefficients.</w:t>
      </w:r>
    </w:p>
    <w:tbl>
      <w:tblPr>
        <w:tblStyle w:val="MDPI41threelinetable"/>
        <w:tblW w:w="10467"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CellMar>
          <w:top w:w="0" w:type="dxa"/>
          <w:left w:w="57" w:type="dxa"/>
          <w:bottom w:w="0" w:type="dxa"/>
          <w:right w:w="57" w:type="dxa"/>
        </w:tblCellMar>
        <w:tblLook w:firstColumn="1" w:firstRow="1" w:lastColumn="0" w:lastRow="0" w:noHBand="0" w:noVBand="1" w:val="04A0"/>
      </w:tblPr>
      <w:tblGrid>
        <w:gridCol w:w="4396"/>
        <w:gridCol w:w="1203"/>
        <w:gridCol w:w="1308"/>
        <w:gridCol w:w="1308"/>
        <w:gridCol w:w="1308"/>
        <w:gridCol w:w="942"/>
      </w:tblGrid>
      <w:tr>
        <w:tc>
          <w:tcPr>
            <w:tcW w:type="dxa" w:w="4396"/>
            <w:tcBorders>
              <w:bottom w:val="single" w:sz="8" w:space="0" w:color="auto"/>
            </w:tcBorders>
          </w:tcPr>
          <w:p>
            <w:pPr>
              <w:pStyle w:val="MDPI42tablebody"/>
              <w:spacing w:line="240" w:lineRule="auto" w:before="30" w:after="30"/>
              <w:jc w:val="center"/>
            </w:pPr>
            <w:r>
              <w:rPr>
                <w:b/>
                <w:i w:val="0"/>
                <w:sz w:val="18"/>
              </w:rPr>
              <w:t>Parameter</w:t>
            </w:r>
          </w:p>
        </w:tc>
        <w:tc>
          <w:tcPr>
            <w:tcW w:type="dxa" w:w="1203"/>
            <w:tcBorders>
              <w:bottom w:val="single" w:sz="8" w:space="0" w:color="auto"/>
            </w:tcBorders>
          </w:tcPr>
          <w:p>
            <w:pPr>
              <w:pStyle w:val="MDPI42tablebody"/>
              <w:spacing w:line="240" w:lineRule="auto" w:before="30" w:after="30"/>
              <w:jc w:val="center"/>
            </w:pPr>
            <w:r>
              <w:rPr>
                <w:b/>
                <w:i w:val="0"/>
                <w:sz w:val="18"/>
              </w:rPr>
              <w:t>Baseline</w:t>
            </w:r>
          </w:p>
        </w:tc>
        <w:tc>
          <w:tcPr>
            <w:tcW w:type="dxa" w:w="1308"/>
            <w:tcBorders>
              <w:bottom w:val="single" w:sz="8" w:space="0" w:color="auto"/>
            </w:tcBorders>
          </w:tcPr>
          <w:p>
            <w:pPr>
              <w:pStyle w:val="MDPI42tablebody"/>
              <w:spacing w:line="240" w:lineRule="auto" w:before="30" w:after="30"/>
              <w:jc w:val="center"/>
            </w:pPr>
            <w:r>
              <w:rPr>
                <w:b/>
                <w:i w:val="0"/>
                <w:sz w:val="18"/>
              </w:rPr>
              <w:t>PRCC (ΔJ)</w:t>
            </w:r>
          </w:p>
        </w:tc>
        <w:tc>
          <w:tcPr>
            <w:tcW w:type="dxa" w:w="1308"/>
            <w:tcBorders>
              <w:bottom w:val="single" w:sz="8" w:space="0" w:color="auto"/>
            </w:tcBorders>
          </w:tcPr>
          <w:p>
            <w:pPr>
              <w:pStyle w:val="MDPI42tablebody"/>
              <w:spacing w:line="240" w:lineRule="auto" w:before="30" w:after="30"/>
              <w:jc w:val="center"/>
            </w:pPr>
            <w:r>
              <w:rPr>
                <w:b/>
                <w:i w:val="0"/>
                <w:sz w:val="18"/>
              </w:rPr>
              <w:t>PRCC (ΔS)</w:t>
            </w:r>
          </w:p>
        </w:tc>
        <w:tc>
          <w:tcPr>
            <w:tcW w:type="dxa" w:w="1308"/>
            <w:tcBorders>
              <w:bottom w:val="single" w:sz="8" w:space="0" w:color="auto"/>
            </w:tcBorders>
          </w:tcPr>
          <w:p>
            <w:pPr>
              <w:pStyle w:val="MDPI42tablebody"/>
              <w:spacing w:line="240" w:lineRule="auto" w:before="30" w:after="30"/>
              <w:jc w:val="center"/>
            </w:pPr>
            <w:r>
              <w:rPr>
                <w:b/>
                <w:i w:val="0"/>
                <w:sz w:val="18"/>
              </w:rPr>
              <w:t>PRCC (ΔY)</w:t>
            </w:r>
          </w:p>
        </w:tc>
        <w:tc>
          <w:tcPr>
            <w:tcW w:type="dxa" w:w="942"/>
            <w:tcBorders>
              <w:bottom w:val="single" w:sz="8" w:space="0" w:color="auto"/>
            </w:tcBorders>
          </w:tcPr>
          <w:p>
            <w:pPr>
              <w:pStyle w:val="MDPI42tablebody"/>
              <w:spacing w:line="240" w:lineRule="auto" w:before="30" w:after="30"/>
              <w:jc w:val="center"/>
            </w:pPr>
            <w:r>
              <w:rPr>
                <w:b/>
                <w:i w:val="0"/>
                <w:sz w:val="18"/>
              </w:rPr>
              <w:t>Sig.</w:t>
            </w:r>
          </w:p>
        </w:tc>
      </w:tr>
      <w:tr>
        <w:tc>
          <w:tcPr>
            <w:tcW w:type="dxa" w:w="4396"/>
          </w:tcPr>
          <w:p>
            <w:pPr>
              <w:pStyle w:val="MDPI42tablebody"/>
              <w:spacing w:line="240" w:lineRule="auto" w:before="30" w:after="30"/>
              <w:jc w:val="left"/>
            </w:pPr>
            <w:r>
              <w:rPr>
                <w:b w:val="0"/>
                <w:i w:val="0"/>
                <w:sz w:val="18"/>
              </w:rPr>
              <w:t>Automation ceiling for entry tasks, α</w:t>
            </w:r>
            <w:r>
              <w:rPr>
                <w:b w:val="0"/>
                <w:i w:val="0"/>
                <w:sz w:val="18"/>
                <w:vertAlign w:val="subscript"/>
              </w:rPr>
              <w:t>max</w:t>
            </w:r>
          </w:p>
        </w:tc>
        <w:tc>
          <w:tcPr>
            <w:tcW w:type="dxa" w:w="1203"/>
          </w:tcPr>
          <w:p>
            <w:pPr>
              <w:pStyle w:val="MDPI42tablebody"/>
              <w:spacing w:line="240" w:lineRule="auto" w:before="30" w:after="30"/>
              <w:jc w:val="center"/>
            </w:pPr>
            <w:r>
              <w:rPr>
                <w:b w:val="0"/>
                <w:i w:val="0"/>
                <w:sz w:val="18"/>
              </w:rPr>
              <w:t>0.6</w:t>
            </w:r>
          </w:p>
        </w:tc>
        <w:tc>
          <w:tcPr>
            <w:tcW w:type="dxa" w:w="1308"/>
          </w:tcPr>
          <w:p>
            <w:pPr>
              <w:pStyle w:val="MDPI42tablebody"/>
              <w:spacing w:line="240" w:lineRule="auto" w:before="30" w:after="30"/>
              <w:jc w:val="center"/>
            </w:pPr>
            <w:r>
              <w:rPr>
                <w:b w:val="0"/>
                <w:i w:val="0"/>
                <w:sz w:val="18"/>
              </w:rPr>
              <w:t>−0.975</w:t>
            </w:r>
          </w:p>
        </w:tc>
        <w:tc>
          <w:tcPr>
            <w:tcW w:type="dxa" w:w="1308"/>
          </w:tcPr>
          <w:p>
            <w:pPr>
              <w:pStyle w:val="MDPI42tablebody"/>
              <w:spacing w:line="240" w:lineRule="auto" w:before="30" w:after="30"/>
              <w:jc w:val="center"/>
            </w:pPr>
            <w:r>
              <w:rPr>
                <w:b w:val="0"/>
                <w:i w:val="0"/>
                <w:sz w:val="18"/>
              </w:rPr>
              <w:t>−0.811</w:t>
            </w:r>
          </w:p>
        </w:tc>
        <w:tc>
          <w:tcPr>
            <w:tcW w:type="dxa" w:w="1308"/>
          </w:tcPr>
          <w:p>
            <w:pPr>
              <w:pStyle w:val="MDPI42tablebody"/>
              <w:spacing w:line="240" w:lineRule="auto" w:before="30" w:after="30"/>
              <w:jc w:val="center"/>
            </w:pPr>
            <w:r>
              <w:rPr>
                <w:b w:val="0"/>
                <w:i w:val="0"/>
                <w:sz w:val="18"/>
              </w:rPr>
              <w:t>−0.821</w:t>
            </w:r>
          </w:p>
        </w:tc>
        <w:tc>
          <w:tcPr>
            <w:tcW w:type="dxa" w:w="942"/>
          </w:tcPr>
          <w:p>
            <w:pPr>
              <w:pStyle w:val="MDPI42tablebody"/>
              <w:spacing w:line="240" w:lineRule="auto" w:before="30" w:after="30"/>
              <w:jc w:val="center"/>
            </w:pPr>
            <w:r>
              <w:rPr>
                <w:b w:val="0"/>
                <w:i w:val="0"/>
                <w:sz w:val="18"/>
              </w:rPr>
              <w:t>***</w:t>
            </w:r>
          </w:p>
        </w:tc>
      </w:tr>
      <w:tr>
        <w:tc>
          <w:tcPr>
            <w:tcW w:type="dxa" w:w="4396"/>
          </w:tcPr>
          <w:p>
            <w:pPr>
              <w:pStyle w:val="MDPI42tablebody"/>
              <w:spacing w:line="240" w:lineRule="auto" w:before="30" w:after="30"/>
              <w:jc w:val="left"/>
            </w:pPr>
            <w:r>
              <w:rPr>
                <w:b w:val="0"/>
                <w:i w:val="0"/>
                <w:sz w:val="18"/>
              </w:rPr>
              <w:t>Reinstatement ceiling, ρ</w:t>
            </w:r>
            <w:r>
              <w:rPr>
                <w:b w:val="0"/>
                <w:i w:val="0"/>
                <w:sz w:val="18"/>
                <w:vertAlign w:val="subscript"/>
              </w:rPr>
              <w:t>max</w:t>
            </w:r>
          </w:p>
        </w:tc>
        <w:tc>
          <w:tcPr>
            <w:tcW w:type="dxa" w:w="1203"/>
          </w:tcPr>
          <w:p>
            <w:pPr>
              <w:pStyle w:val="MDPI42tablebody"/>
              <w:spacing w:line="240" w:lineRule="auto" w:before="30" w:after="30"/>
              <w:jc w:val="center"/>
            </w:pPr>
            <w:r>
              <w:rPr>
                <w:b w:val="0"/>
                <w:i w:val="0"/>
                <w:sz w:val="18"/>
              </w:rPr>
              <w:t>0.35</w:t>
            </w:r>
          </w:p>
        </w:tc>
        <w:tc>
          <w:tcPr>
            <w:tcW w:type="dxa" w:w="1308"/>
          </w:tcPr>
          <w:p>
            <w:pPr>
              <w:pStyle w:val="MDPI42tablebody"/>
              <w:spacing w:line="240" w:lineRule="auto" w:before="30" w:after="30"/>
              <w:jc w:val="center"/>
            </w:pPr>
            <w:r>
              <w:rPr>
                <w:b w:val="0"/>
                <w:i w:val="0"/>
                <w:sz w:val="18"/>
              </w:rPr>
              <w:t>0.896</w:t>
            </w:r>
          </w:p>
        </w:tc>
        <w:tc>
          <w:tcPr>
            <w:tcW w:type="dxa" w:w="1308"/>
          </w:tcPr>
          <w:p>
            <w:pPr>
              <w:pStyle w:val="MDPI42tablebody"/>
              <w:spacing w:line="240" w:lineRule="auto" w:before="30" w:after="30"/>
              <w:jc w:val="center"/>
            </w:pPr>
            <w:r>
              <w:rPr>
                <w:b w:val="0"/>
                <w:i w:val="0"/>
                <w:sz w:val="18"/>
              </w:rPr>
              <w:t>0.12</w:t>
            </w:r>
          </w:p>
        </w:tc>
        <w:tc>
          <w:tcPr>
            <w:tcW w:type="dxa" w:w="1308"/>
          </w:tcPr>
          <w:p>
            <w:pPr>
              <w:pStyle w:val="MDPI42tablebody"/>
              <w:spacing w:line="240" w:lineRule="auto" w:before="30" w:after="30"/>
              <w:jc w:val="center"/>
            </w:pPr>
            <w:r>
              <w:rPr>
                <w:b w:val="0"/>
                <w:i w:val="0"/>
                <w:sz w:val="18"/>
              </w:rPr>
              <w:t>0.454</w:t>
            </w:r>
          </w:p>
        </w:tc>
        <w:tc>
          <w:tcPr>
            <w:tcW w:type="dxa" w:w="942"/>
          </w:tcPr>
          <w:p>
            <w:pPr>
              <w:pStyle w:val="MDPI42tablebody"/>
              <w:spacing w:line="240" w:lineRule="auto" w:before="30" w:after="30"/>
              <w:jc w:val="center"/>
            </w:pPr>
            <w:r>
              <w:rPr>
                <w:b w:val="0"/>
                <w:i w:val="0"/>
                <w:sz w:val="18"/>
              </w:rPr>
              <w:t>***</w:t>
            </w:r>
          </w:p>
        </w:tc>
      </w:tr>
      <w:tr>
        <w:tc>
          <w:tcPr>
            <w:tcW w:type="dxa" w:w="4396"/>
          </w:tcPr>
          <w:p>
            <w:pPr>
              <w:pStyle w:val="MDPI42tablebody"/>
              <w:spacing w:line="240" w:lineRule="auto" w:before="30" w:after="30"/>
              <w:jc w:val="left"/>
            </w:pPr>
            <w:r>
              <w:rPr>
                <w:b w:val="0"/>
                <w:i w:val="0"/>
                <w:sz w:val="18"/>
              </w:rPr>
              <w:t>Demand elasticity with respect to unit cost, ε</w:t>
            </w:r>
          </w:p>
        </w:tc>
        <w:tc>
          <w:tcPr>
            <w:tcW w:type="dxa" w:w="1203"/>
          </w:tcPr>
          <w:p>
            <w:pPr>
              <w:pStyle w:val="MDPI42tablebody"/>
              <w:spacing w:line="240" w:lineRule="auto" w:before="30" w:after="30"/>
              <w:jc w:val="center"/>
            </w:pPr>
            <w:r>
              <w:rPr>
                <w:b w:val="0"/>
                <w:i w:val="0"/>
                <w:sz w:val="18"/>
              </w:rPr>
              <w:t>1.1</w:t>
            </w:r>
          </w:p>
        </w:tc>
        <w:tc>
          <w:tcPr>
            <w:tcW w:type="dxa" w:w="1308"/>
          </w:tcPr>
          <w:p>
            <w:pPr>
              <w:pStyle w:val="MDPI42tablebody"/>
              <w:spacing w:line="240" w:lineRule="auto" w:before="30" w:after="30"/>
              <w:jc w:val="center"/>
            </w:pPr>
            <w:r>
              <w:rPr>
                <w:b w:val="0"/>
                <w:i w:val="0"/>
                <w:sz w:val="18"/>
              </w:rPr>
              <w:t>0.789</w:t>
            </w:r>
          </w:p>
        </w:tc>
        <w:tc>
          <w:tcPr>
            <w:tcW w:type="dxa" w:w="1308"/>
          </w:tcPr>
          <w:p>
            <w:pPr>
              <w:pStyle w:val="MDPI42tablebody"/>
              <w:spacing w:line="240" w:lineRule="auto" w:before="30" w:after="30"/>
              <w:jc w:val="center"/>
            </w:pPr>
            <w:r>
              <w:rPr>
                <w:b w:val="0"/>
                <w:i w:val="0"/>
                <w:sz w:val="18"/>
              </w:rPr>
              <w:t>0.515</w:t>
            </w:r>
          </w:p>
        </w:tc>
        <w:tc>
          <w:tcPr>
            <w:tcW w:type="dxa" w:w="1308"/>
          </w:tcPr>
          <w:p>
            <w:pPr>
              <w:pStyle w:val="MDPI42tablebody"/>
              <w:spacing w:line="240" w:lineRule="auto" w:before="30" w:after="30"/>
              <w:jc w:val="center"/>
            </w:pPr>
            <w:r>
              <w:rPr>
                <w:b w:val="0"/>
                <w:i w:val="0"/>
                <w:sz w:val="18"/>
              </w:rPr>
              <w:t>0.511</w:t>
            </w:r>
          </w:p>
        </w:tc>
        <w:tc>
          <w:tcPr>
            <w:tcW w:type="dxa" w:w="942"/>
          </w:tcPr>
          <w:p>
            <w:pPr>
              <w:pStyle w:val="MDPI42tablebody"/>
              <w:spacing w:line="240" w:lineRule="auto" w:before="30" w:after="30"/>
              <w:jc w:val="center"/>
            </w:pPr>
            <w:r>
              <w:rPr>
                <w:b w:val="0"/>
                <w:i w:val="0"/>
                <w:sz w:val="18"/>
              </w:rPr>
              <w:t>***</w:t>
            </w:r>
          </w:p>
        </w:tc>
      </w:tr>
      <w:tr>
        <w:tc>
          <w:tcPr>
            <w:tcW w:type="dxa" w:w="4396"/>
          </w:tcPr>
          <w:p>
            <w:pPr>
              <w:pStyle w:val="MDPI42tablebody"/>
              <w:spacing w:line="240" w:lineRule="auto" w:before="30" w:after="30"/>
              <w:jc w:val="left"/>
            </w:pPr>
            <w:r>
              <w:rPr>
                <w:b w:val="0"/>
                <w:i w:val="0"/>
                <w:sz w:val="18"/>
              </w:rPr>
              <w:t>AI productivity elasticity, juniors, β</w:t>
            </w:r>
            <w:r>
              <w:rPr>
                <w:b w:val="0"/>
                <w:i w:val="0"/>
                <w:sz w:val="18"/>
                <w:vertAlign w:val="subscript"/>
              </w:rPr>
              <w:t>J</w:t>
            </w:r>
          </w:p>
        </w:tc>
        <w:tc>
          <w:tcPr>
            <w:tcW w:type="dxa" w:w="1203"/>
          </w:tcPr>
          <w:p>
            <w:pPr>
              <w:pStyle w:val="MDPI42tablebody"/>
              <w:spacing w:line="240" w:lineRule="auto" w:before="30" w:after="30"/>
              <w:jc w:val="center"/>
            </w:pPr>
            <w:r>
              <w:rPr>
                <w:b w:val="0"/>
                <w:i w:val="0"/>
                <w:sz w:val="18"/>
              </w:rPr>
              <w:t>0.739</w:t>
            </w:r>
          </w:p>
        </w:tc>
        <w:tc>
          <w:tcPr>
            <w:tcW w:type="dxa" w:w="1308"/>
          </w:tcPr>
          <w:p>
            <w:pPr>
              <w:pStyle w:val="MDPI42tablebody"/>
              <w:spacing w:line="240" w:lineRule="auto" w:before="30" w:after="30"/>
              <w:jc w:val="center"/>
            </w:pPr>
            <w:r>
              <w:rPr>
                <w:b w:val="0"/>
                <w:i w:val="0"/>
                <w:sz w:val="18"/>
              </w:rPr>
              <w:t>−0.787</w:t>
            </w:r>
          </w:p>
        </w:tc>
        <w:tc>
          <w:tcPr>
            <w:tcW w:type="dxa" w:w="1308"/>
          </w:tcPr>
          <w:p>
            <w:pPr>
              <w:pStyle w:val="MDPI42tablebody"/>
              <w:spacing w:line="240" w:lineRule="auto" w:before="30" w:after="30"/>
              <w:jc w:val="center"/>
            </w:pPr>
            <w:r>
              <w:rPr>
                <w:b w:val="0"/>
                <w:i w:val="0"/>
                <w:sz w:val="18"/>
              </w:rPr>
              <w:t>−0.304</w:t>
            </w:r>
          </w:p>
        </w:tc>
        <w:tc>
          <w:tcPr>
            <w:tcW w:type="dxa" w:w="1308"/>
          </w:tcPr>
          <w:p>
            <w:pPr>
              <w:pStyle w:val="MDPI42tablebody"/>
              <w:spacing w:line="240" w:lineRule="auto" w:before="30" w:after="30"/>
              <w:jc w:val="center"/>
            </w:pPr>
            <w:r>
              <w:rPr>
                <w:b w:val="0"/>
                <w:i w:val="0"/>
                <w:sz w:val="18"/>
              </w:rPr>
              <w:t>−0.32</w:t>
            </w:r>
          </w:p>
        </w:tc>
        <w:tc>
          <w:tcPr>
            <w:tcW w:type="dxa" w:w="942"/>
          </w:tcPr>
          <w:p>
            <w:pPr>
              <w:pStyle w:val="MDPI42tablebody"/>
              <w:spacing w:line="240" w:lineRule="auto" w:before="30" w:after="30"/>
              <w:jc w:val="center"/>
            </w:pPr>
            <w:r>
              <w:rPr>
                <w:b w:val="0"/>
                <w:i w:val="0"/>
                <w:sz w:val="18"/>
              </w:rPr>
              <w:t>***</w:t>
            </w:r>
          </w:p>
        </w:tc>
      </w:tr>
      <w:tr>
        <w:tc>
          <w:tcPr>
            <w:tcW w:type="dxa" w:w="4396"/>
          </w:tcPr>
          <w:p>
            <w:pPr>
              <w:pStyle w:val="MDPI42tablebody"/>
              <w:spacing w:line="240" w:lineRule="auto" w:before="30" w:after="30"/>
              <w:jc w:val="left"/>
            </w:pPr>
            <w:r>
              <w:rPr>
                <w:b w:val="0"/>
                <w:i w:val="0"/>
                <w:sz w:val="18"/>
              </w:rPr>
              <w:t>Learning investment rate, λ</w:t>
            </w:r>
          </w:p>
        </w:tc>
        <w:tc>
          <w:tcPr>
            <w:tcW w:type="dxa" w:w="1203"/>
          </w:tcPr>
          <w:p>
            <w:pPr>
              <w:pStyle w:val="MDPI42tablebody"/>
              <w:spacing w:line="240" w:lineRule="auto" w:before="30" w:after="30"/>
              <w:jc w:val="center"/>
            </w:pPr>
            <w:r>
              <w:rPr>
                <w:b w:val="0"/>
                <w:i w:val="0"/>
                <w:sz w:val="18"/>
              </w:rPr>
              <w:t>0.3</w:t>
            </w:r>
          </w:p>
        </w:tc>
        <w:tc>
          <w:tcPr>
            <w:tcW w:type="dxa" w:w="1308"/>
          </w:tcPr>
          <w:p>
            <w:pPr>
              <w:pStyle w:val="MDPI42tablebody"/>
              <w:spacing w:line="240" w:lineRule="auto" w:before="30" w:after="30"/>
              <w:jc w:val="center"/>
            </w:pPr>
            <w:r>
              <w:rPr>
                <w:b w:val="0"/>
                <w:i w:val="0"/>
                <w:sz w:val="18"/>
              </w:rPr>
              <w:t>0.513</w:t>
            </w:r>
          </w:p>
        </w:tc>
        <w:tc>
          <w:tcPr>
            <w:tcW w:type="dxa" w:w="1308"/>
          </w:tcPr>
          <w:p>
            <w:pPr>
              <w:pStyle w:val="MDPI42tablebody"/>
              <w:spacing w:line="240" w:lineRule="auto" w:before="30" w:after="30"/>
              <w:jc w:val="center"/>
            </w:pPr>
            <w:r>
              <w:rPr>
                <w:b w:val="0"/>
                <w:i w:val="0"/>
                <w:sz w:val="18"/>
              </w:rPr>
              <w:t>0.226</w:t>
            </w:r>
          </w:p>
        </w:tc>
        <w:tc>
          <w:tcPr>
            <w:tcW w:type="dxa" w:w="1308"/>
          </w:tcPr>
          <w:p>
            <w:pPr>
              <w:pStyle w:val="MDPI42tablebody"/>
              <w:spacing w:line="240" w:lineRule="auto" w:before="30" w:after="30"/>
              <w:jc w:val="center"/>
            </w:pPr>
            <w:r>
              <w:rPr>
                <w:b w:val="0"/>
                <w:i w:val="0"/>
                <w:sz w:val="18"/>
              </w:rPr>
              <w:t>0.478</w:t>
            </w:r>
          </w:p>
        </w:tc>
        <w:tc>
          <w:tcPr>
            <w:tcW w:type="dxa" w:w="942"/>
          </w:tcPr>
          <w:p>
            <w:pPr>
              <w:pStyle w:val="MDPI42tablebody"/>
              <w:spacing w:line="240" w:lineRule="auto" w:before="30" w:after="30"/>
              <w:jc w:val="center"/>
            </w:pPr>
            <w:r>
              <w:rPr>
                <w:b w:val="0"/>
                <w:i w:val="0"/>
                <w:sz w:val="18"/>
              </w:rPr>
              <w:t>***</w:t>
            </w:r>
          </w:p>
        </w:tc>
      </w:tr>
      <w:tr>
        <w:tc>
          <w:tcPr>
            <w:tcW w:type="dxa" w:w="4396"/>
          </w:tcPr>
          <w:p>
            <w:pPr>
              <w:pStyle w:val="MDPI42tablebody"/>
              <w:spacing w:line="240" w:lineRule="auto" w:before="30" w:after="30"/>
              <w:jc w:val="left"/>
            </w:pPr>
            <w:r>
              <w:rPr>
                <w:b w:val="0"/>
                <w:i w:val="0"/>
                <w:sz w:val="18"/>
              </w:rPr>
              <w:t>Routine obsolescence rate, δ</w:t>
            </w:r>
            <w:r>
              <w:rPr>
                <w:b w:val="0"/>
                <w:i w:val="0"/>
                <w:sz w:val="18"/>
                <w:vertAlign w:val="subscript"/>
              </w:rPr>
              <w:t>K</w:t>
            </w:r>
          </w:p>
        </w:tc>
        <w:tc>
          <w:tcPr>
            <w:tcW w:type="dxa" w:w="1203"/>
          </w:tcPr>
          <w:p>
            <w:pPr>
              <w:pStyle w:val="MDPI42tablebody"/>
              <w:spacing w:line="240" w:lineRule="auto" w:before="30" w:after="30"/>
              <w:jc w:val="center"/>
            </w:pPr>
            <w:r>
              <w:rPr>
                <w:b w:val="0"/>
                <w:i w:val="0"/>
                <w:sz w:val="18"/>
              </w:rPr>
              <w:t>0.2</w:t>
            </w:r>
          </w:p>
        </w:tc>
        <w:tc>
          <w:tcPr>
            <w:tcW w:type="dxa" w:w="1308"/>
          </w:tcPr>
          <w:p>
            <w:pPr>
              <w:pStyle w:val="MDPI42tablebody"/>
              <w:spacing w:line="240" w:lineRule="auto" w:before="30" w:after="30"/>
              <w:jc w:val="center"/>
            </w:pPr>
            <w:r>
              <w:rPr>
                <w:b w:val="0"/>
                <w:i w:val="0"/>
                <w:sz w:val="18"/>
              </w:rPr>
              <w:t>−0.488</w:t>
            </w:r>
          </w:p>
        </w:tc>
        <w:tc>
          <w:tcPr>
            <w:tcW w:type="dxa" w:w="1308"/>
          </w:tcPr>
          <w:p>
            <w:pPr>
              <w:pStyle w:val="MDPI42tablebody"/>
              <w:spacing w:line="240" w:lineRule="auto" w:before="30" w:after="30"/>
              <w:jc w:val="center"/>
            </w:pPr>
            <w:r>
              <w:rPr>
                <w:b w:val="0"/>
                <w:i w:val="0"/>
                <w:sz w:val="18"/>
              </w:rPr>
              <w:t>−0.261</w:t>
            </w:r>
          </w:p>
        </w:tc>
        <w:tc>
          <w:tcPr>
            <w:tcW w:type="dxa" w:w="1308"/>
          </w:tcPr>
          <w:p>
            <w:pPr>
              <w:pStyle w:val="MDPI42tablebody"/>
              <w:spacing w:line="240" w:lineRule="auto" w:before="30" w:after="30"/>
              <w:jc w:val="center"/>
            </w:pPr>
            <w:r>
              <w:rPr>
                <w:b w:val="0"/>
                <w:i w:val="0"/>
                <w:sz w:val="18"/>
              </w:rPr>
              <w:t>−0.476</w:t>
            </w:r>
          </w:p>
        </w:tc>
        <w:tc>
          <w:tcPr>
            <w:tcW w:type="dxa" w:w="942"/>
          </w:tcPr>
          <w:p>
            <w:pPr>
              <w:pStyle w:val="MDPI42tablebody"/>
              <w:spacing w:line="240" w:lineRule="auto" w:before="30" w:after="30"/>
              <w:jc w:val="center"/>
            </w:pPr>
            <w:r>
              <w:rPr>
                <w:b w:val="0"/>
                <w:i w:val="0"/>
                <w:sz w:val="18"/>
              </w:rPr>
              <w:t>***</w:t>
            </w:r>
          </w:p>
        </w:tc>
      </w:tr>
      <w:tr>
        <w:tc>
          <w:tcPr>
            <w:tcW w:type="dxa" w:w="4396"/>
          </w:tcPr>
          <w:p>
            <w:pPr>
              <w:pStyle w:val="MDPI42tablebody"/>
              <w:spacing w:line="240" w:lineRule="auto" w:before="30" w:after="30"/>
              <w:jc w:val="left"/>
            </w:pPr>
            <w:r>
              <w:rPr>
                <w:b w:val="0"/>
                <w:i w:val="0"/>
                <w:sz w:val="18"/>
              </w:rPr>
              <w:t>Senior separation rate, δ</w:t>
            </w:r>
            <w:r>
              <w:rPr>
                <w:b w:val="0"/>
                <w:i w:val="0"/>
                <w:sz w:val="18"/>
                <w:vertAlign w:val="subscript"/>
              </w:rPr>
              <w:t>S</w:t>
            </w:r>
          </w:p>
        </w:tc>
        <w:tc>
          <w:tcPr>
            <w:tcW w:type="dxa" w:w="1203"/>
          </w:tcPr>
          <w:p>
            <w:pPr>
              <w:pStyle w:val="MDPI42tablebody"/>
              <w:spacing w:line="240" w:lineRule="auto" w:before="30" w:after="30"/>
              <w:jc w:val="center"/>
            </w:pPr>
            <w:r>
              <w:rPr>
                <w:b w:val="0"/>
                <w:i w:val="0"/>
                <w:sz w:val="18"/>
              </w:rPr>
              <w:t>0.08</w:t>
            </w:r>
          </w:p>
        </w:tc>
        <w:tc>
          <w:tcPr>
            <w:tcW w:type="dxa" w:w="1308"/>
          </w:tcPr>
          <w:p>
            <w:pPr>
              <w:pStyle w:val="MDPI42tablebody"/>
              <w:spacing w:line="240" w:lineRule="auto" w:before="30" w:after="30"/>
              <w:jc w:val="center"/>
            </w:pPr>
            <w:r>
              <w:rPr>
                <w:b w:val="0"/>
                <w:i w:val="0"/>
                <w:sz w:val="18"/>
              </w:rPr>
              <w:t>−0.485</w:t>
            </w:r>
          </w:p>
        </w:tc>
        <w:tc>
          <w:tcPr>
            <w:tcW w:type="dxa" w:w="1308"/>
          </w:tcPr>
          <w:p>
            <w:pPr>
              <w:pStyle w:val="MDPI42tablebody"/>
              <w:spacing w:line="240" w:lineRule="auto" w:before="30" w:after="30"/>
              <w:jc w:val="center"/>
            </w:pPr>
            <w:r>
              <w:rPr>
                <w:b w:val="0"/>
                <w:i w:val="0"/>
                <w:sz w:val="18"/>
              </w:rPr>
              <w:t>−0.843</w:t>
            </w:r>
          </w:p>
        </w:tc>
        <w:tc>
          <w:tcPr>
            <w:tcW w:type="dxa" w:w="1308"/>
          </w:tcPr>
          <w:p>
            <w:pPr>
              <w:pStyle w:val="MDPI42tablebody"/>
              <w:spacing w:line="240" w:lineRule="auto" w:before="30" w:after="30"/>
              <w:jc w:val="center"/>
            </w:pPr>
            <w:r>
              <w:rPr>
                <w:b w:val="0"/>
                <w:i w:val="0"/>
                <w:sz w:val="18"/>
              </w:rPr>
              <w:t>−0.834</w:t>
            </w:r>
          </w:p>
        </w:tc>
        <w:tc>
          <w:tcPr>
            <w:tcW w:type="dxa" w:w="942"/>
          </w:tcPr>
          <w:p>
            <w:pPr>
              <w:pStyle w:val="MDPI42tablebody"/>
              <w:spacing w:line="240" w:lineRule="auto" w:before="30" w:after="30"/>
              <w:jc w:val="center"/>
            </w:pPr>
            <w:r>
              <w:rPr>
                <w:b w:val="0"/>
                <w:i w:val="0"/>
                <w:sz w:val="18"/>
              </w:rPr>
              <w:t>***</w:t>
            </w:r>
          </w:p>
        </w:tc>
      </w:tr>
      <w:tr>
        <w:tc>
          <w:tcPr>
            <w:tcW w:type="dxa" w:w="4396"/>
          </w:tcPr>
          <w:p>
            <w:pPr>
              <w:pStyle w:val="MDPI42tablebody"/>
              <w:spacing w:line="240" w:lineRule="auto" w:before="30" w:after="30"/>
              <w:jc w:val="left"/>
            </w:pPr>
            <w:r>
              <w:rPr>
                <w:b w:val="0"/>
                <w:i w:val="0"/>
                <w:sz w:val="18"/>
              </w:rPr>
              <w:t>AI productivity elasticity, seniors, β</w:t>
            </w:r>
            <w:r>
              <w:rPr>
                <w:b w:val="0"/>
                <w:i w:val="0"/>
                <w:sz w:val="18"/>
                <w:vertAlign w:val="subscript"/>
              </w:rPr>
              <w:t>S</w:t>
            </w:r>
          </w:p>
        </w:tc>
        <w:tc>
          <w:tcPr>
            <w:tcW w:type="dxa" w:w="1203"/>
          </w:tcPr>
          <w:p>
            <w:pPr>
              <w:pStyle w:val="MDPI42tablebody"/>
              <w:spacing w:line="240" w:lineRule="auto" w:before="30" w:after="30"/>
              <w:jc w:val="center"/>
            </w:pPr>
            <w:r>
              <w:rPr>
                <w:b w:val="0"/>
                <w:i w:val="0"/>
                <w:sz w:val="18"/>
              </w:rPr>
              <w:t>0.246</w:t>
            </w:r>
          </w:p>
        </w:tc>
        <w:tc>
          <w:tcPr>
            <w:tcW w:type="dxa" w:w="1308"/>
          </w:tcPr>
          <w:p>
            <w:pPr>
              <w:pStyle w:val="MDPI42tablebody"/>
              <w:spacing w:line="240" w:lineRule="auto" w:before="30" w:after="30"/>
              <w:jc w:val="center"/>
            </w:pPr>
            <w:r>
              <w:rPr>
                <w:b w:val="0"/>
                <w:i w:val="0"/>
                <w:sz w:val="18"/>
              </w:rPr>
              <w:t>0.434</w:t>
            </w:r>
          </w:p>
        </w:tc>
        <w:tc>
          <w:tcPr>
            <w:tcW w:type="dxa" w:w="1308"/>
          </w:tcPr>
          <w:p>
            <w:pPr>
              <w:pStyle w:val="MDPI42tablebody"/>
              <w:spacing w:line="240" w:lineRule="auto" w:before="30" w:after="30"/>
              <w:jc w:val="center"/>
            </w:pPr>
            <w:r>
              <w:rPr>
                <w:b w:val="0"/>
                <w:i w:val="0"/>
                <w:sz w:val="18"/>
              </w:rPr>
              <w:t>0.071</w:t>
            </w:r>
          </w:p>
        </w:tc>
        <w:tc>
          <w:tcPr>
            <w:tcW w:type="dxa" w:w="1308"/>
          </w:tcPr>
          <w:p>
            <w:pPr>
              <w:pStyle w:val="MDPI42tablebody"/>
              <w:spacing w:line="240" w:lineRule="auto" w:before="30" w:after="30"/>
              <w:jc w:val="center"/>
            </w:pPr>
            <w:r>
              <w:rPr>
                <w:b w:val="0"/>
                <w:i w:val="0"/>
                <w:sz w:val="18"/>
              </w:rPr>
              <w:t>0.376</w:t>
            </w:r>
          </w:p>
        </w:tc>
        <w:tc>
          <w:tcPr>
            <w:tcW w:type="dxa" w:w="942"/>
          </w:tcPr>
          <w:p>
            <w:pPr>
              <w:pStyle w:val="MDPI42tablebody"/>
              <w:spacing w:line="240" w:lineRule="auto" w:before="30" w:after="30"/>
              <w:jc w:val="center"/>
            </w:pPr>
            <w:r>
              <w:rPr>
                <w:b w:val="0"/>
                <w:i w:val="0"/>
                <w:sz w:val="18"/>
              </w:rPr>
              <w:t>***</w:t>
            </w:r>
          </w:p>
        </w:tc>
      </w:tr>
      <w:tr>
        <w:tc>
          <w:tcPr>
            <w:tcW w:type="dxa" w:w="4396"/>
          </w:tcPr>
          <w:p>
            <w:pPr>
              <w:pStyle w:val="MDPI42tablebody"/>
              <w:spacing w:line="240" w:lineRule="auto" w:before="30" w:after="30"/>
              <w:jc w:val="left"/>
            </w:pPr>
            <w:r>
              <w:rPr>
                <w:b w:val="0"/>
                <w:i w:val="0"/>
                <w:sz w:val="18"/>
              </w:rPr>
              <w:t>Time to competence, τ</w:t>
            </w:r>
            <w:r>
              <w:rPr>
                <w:b w:val="0"/>
                <w:i w:val="0"/>
                <w:sz w:val="18"/>
                <w:vertAlign w:val="subscript"/>
              </w:rPr>
              <w:t>dev</w:t>
            </w:r>
          </w:p>
        </w:tc>
        <w:tc>
          <w:tcPr>
            <w:tcW w:type="dxa" w:w="1203"/>
          </w:tcPr>
          <w:p>
            <w:pPr>
              <w:pStyle w:val="MDPI42tablebody"/>
              <w:spacing w:line="240" w:lineRule="auto" w:before="30" w:after="30"/>
              <w:jc w:val="center"/>
            </w:pPr>
            <w:r>
              <w:rPr>
                <w:b w:val="0"/>
                <w:i w:val="0"/>
                <w:sz w:val="18"/>
              </w:rPr>
              <w:t>3.0</w:t>
            </w:r>
          </w:p>
        </w:tc>
        <w:tc>
          <w:tcPr>
            <w:tcW w:type="dxa" w:w="1308"/>
          </w:tcPr>
          <w:p>
            <w:pPr>
              <w:pStyle w:val="MDPI42tablebody"/>
              <w:spacing w:line="240" w:lineRule="auto" w:before="30" w:after="30"/>
              <w:jc w:val="center"/>
            </w:pPr>
            <w:r>
              <w:rPr>
                <w:b w:val="0"/>
                <w:i w:val="0"/>
                <w:sz w:val="18"/>
              </w:rPr>
              <w:t>−0.389</w:t>
            </w:r>
          </w:p>
        </w:tc>
        <w:tc>
          <w:tcPr>
            <w:tcW w:type="dxa" w:w="1308"/>
          </w:tcPr>
          <w:p>
            <w:pPr>
              <w:pStyle w:val="MDPI42tablebody"/>
              <w:spacing w:line="240" w:lineRule="auto" w:before="30" w:after="30"/>
              <w:jc w:val="center"/>
            </w:pPr>
            <w:r>
              <w:rPr>
                <w:b w:val="0"/>
                <w:i w:val="0"/>
                <w:sz w:val="18"/>
              </w:rPr>
              <w:t>−0.784</w:t>
            </w:r>
          </w:p>
        </w:tc>
        <w:tc>
          <w:tcPr>
            <w:tcW w:type="dxa" w:w="1308"/>
          </w:tcPr>
          <w:p>
            <w:pPr>
              <w:pStyle w:val="MDPI42tablebody"/>
              <w:spacing w:line="240" w:lineRule="auto" w:before="30" w:after="30"/>
              <w:jc w:val="center"/>
            </w:pPr>
            <w:r>
              <w:rPr>
                <w:b w:val="0"/>
                <w:i w:val="0"/>
                <w:sz w:val="18"/>
              </w:rPr>
              <w:t>−0.77</w:t>
            </w:r>
          </w:p>
        </w:tc>
        <w:tc>
          <w:tcPr>
            <w:tcW w:type="dxa" w:w="942"/>
          </w:tcPr>
          <w:p>
            <w:pPr>
              <w:pStyle w:val="MDPI42tablebody"/>
              <w:spacing w:line="240" w:lineRule="auto" w:before="30" w:after="30"/>
              <w:jc w:val="center"/>
            </w:pPr>
            <w:r>
              <w:rPr>
                <w:b w:val="0"/>
                <w:i w:val="0"/>
                <w:sz w:val="18"/>
              </w:rPr>
              <w:t>***</w:t>
            </w:r>
          </w:p>
        </w:tc>
      </w:tr>
      <w:tr>
        <w:tc>
          <w:tcPr>
            <w:tcW w:type="dxa" w:w="4396"/>
          </w:tcPr>
          <w:p>
            <w:pPr>
              <w:pStyle w:val="MDPI42tablebody"/>
              <w:spacing w:line="240" w:lineRule="auto" w:before="30" w:after="30"/>
              <w:jc w:val="left"/>
            </w:pPr>
            <w:r>
              <w:rPr>
                <w:b w:val="0"/>
                <w:i w:val="0"/>
                <w:sz w:val="18"/>
              </w:rPr>
              <w:t>External senior recruitment ceiling, χ</w:t>
            </w:r>
            <w:r>
              <w:rPr>
                <w:b w:val="0"/>
                <w:i w:val="0"/>
                <w:sz w:val="18"/>
                <w:vertAlign w:val="subscript"/>
              </w:rPr>
              <w:t>S</w:t>
            </w:r>
          </w:p>
        </w:tc>
        <w:tc>
          <w:tcPr>
            <w:tcW w:type="dxa" w:w="1203"/>
          </w:tcPr>
          <w:p>
            <w:pPr>
              <w:pStyle w:val="MDPI42tablebody"/>
              <w:spacing w:line="240" w:lineRule="auto" w:before="30" w:after="30"/>
              <w:jc w:val="center"/>
            </w:pPr>
            <w:r>
              <w:rPr>
                <w:b w:val="0"/>
                <w:i w:val="0"/>
                <w:sz w:val="18"/>
              </w:rPr>
              <w:t>0.03</w:t>
            </w:r>
          </w:p>
        </w:tc>
        <w:tc>
          <w:tcPr>
            <w:tcW w:type="dxa" w:w="1308"/>
          </w:tcPr>
          <w:p>
            <w:pPr>
              <w:pStyle w:val="MDPI42tablebody"/>
              <w:spacing w:line="240" w:lineRule="auto" w:before="30" w:after="30"/>
              <w:jc w:val="center"/>
            </w:pPr>
            <w:r>
              <w:rPr>
                <w:b w:val="0"/>
                <w:i w:val="0"/>
                <w:sz w:val="18"/>
              </w:rPr>
              <w:t>0.323</w:t>
            </w:r>
          </w:p>
        </w:tc>
        <w:tc>
          <w:tcPr>
            <w:tcW w:type="dxa" w:w="1308"/>
          </w:tcPr>
          <w:p>
            <w:pPr>
              <w:pStyle w:val="MDPI42tablebody"/>
              <w:spacing w:line="240" w:lineRule="auto" w:before="30" w:after="30"/>
              <w:jc w:val="center"/>
            </w:pPr>
            <w:r>
              <w:rPr>
                <w:b w:val="0"/>
                <w:i w:val="0"/>
                <w:sz w:val="18"/>
              </w:rPr>
              <w:t>0.695</w:t>
            </w:r>
          </w:p>
        </w:tc>
        <w:tc>
          <w:tcPr>
            <w:tcW w:type="dxa" w:w="1308"/>
          </w:tcPr>
          <w:p>
            <w:pPr>
              <w:pStyle w:val="MDPI42tablebody"/>
              <w:spacing w:line="240" w:lineRule="auto" w:before="30" w:after="30"/>
              <w:jc w:val="center"/>
            </w:pPr>
            <w:r>
              <w:rPr>
                <w:b w:val="0"/>
                <w:i w:val="0"/>
                <w:sz w:val="18"/>
              </w:rPr>
              <w:t>0.686</w:t>
            </w:r>
          </w:p>
        </w:tc>
        <w:tc>
          <w:tcPr>
            <w:tcW w:type="dxa" w:w="942"/>
          </w:tcPr>
          <w:p>
            <w:pPr>
              <w:pStyle w:val="MDPI42tablebody"/>
              <w:spacing w:line="240" w:lineRule="auto" w:before="30" w:after="30"/>
              <w:jc w:val="center"/>
            </w:pPr>
            <w:r>
              <w:rPr>
                <w:b w:val="0"/>
                <w:i w:val="0"/>
                <w:sz w:val="18"/>
              </w:rPr>
              <w:t>***</w:t>
            </w:r>
          </w:p>
        </w:tc>
      </w:tr>
      <w:tr>
        <w:tc>
          <w:tcPr>
            <w:tcW w:type="dxa" w:w="4396"/>
          </w:tcPr>
          <w:p>
            <w:pPr>
              <w:pStyle w:val="MDPI42tablebody"/>
              <w:spacing w:line="240" w:lineRule="auto" w:before="30" w:after="30"/>
              <w:jc w:val="left"/>
            </w:pPr>
            <w:r>
              <w:rPr>
                <w:b w:val="0"/>
                <w:i w:val="0"/>
                <w:sz w:val="18"/>
              </w:rPr>
              <w:t>Half-saturation of mentoring adequacy, q</w:t>
            </w:r>
            <w:r>
              <w:rPr>
                <w:b w:val="0"/>
                <w:i w:val="0"/>
                <w:sz w:val="18"/>
                <w:vertAlign w:val="subscript"/>
              </w:rPr>
              <w:t>0</w:t>
            </w:r>
          </w:p>
        </w:tc>
        <w:tc>
          <w:tcPr>
            <w:tcW w:type="dxa" w:w="1203"/>
          </w:tcPr>
          <w:p>
            <w:pPr>
              <w:pStyle w:val="MDPI42tablebody"/>
              <w:spacing w:line="240" w:lineRule="auto" w:before="30" w:after="30"/>
              <w:jc w:val="center"/>
            </w:pPr>
            <w:r>
              <w:rPr>
                <w:b w:val="0"/>
                <w:i w:val="0"/>
                <w:sz w:val="18"/>
              </w:rPr>
              <w:t>1.0</w:t>
            </w:r>
          </w:p>
        </w:tc>
        <w:tc>
          <w:tcPr>
            <w:tcW w:type="dxa" w:w="1308"/>
          </w:tcPr>
          <w:p>
            <w:pPr>
              <w:pStyle w:val="MDPI42tablebody"/>
              <w:spacing w:line="240" w:lineRule="auto" w:before="30" w:after="30"/>
              <w:jc w:val="center"/>
            </w:pPr>
            <w:r>
              <w:rPr>
                <w:b w:val="0"/>
                <w:i w:val="0"/>
                <w:sz w:val="18"/>
              </w:rPr>
              <w:t>−0.135</w:t>
            </w:r>
          </w:p>
        </w:tc>
        <w:tc>
          <w:tcPr>
            <w:tcW w:type="dxa" w:w="1308"/>
          </w:tcPr>
          <w:p>
            <w:pPr>
              <w:pStyle w:val="MDPI42tablebody"/>
              <w:spacing w:line="240" w:lineRule="auto" w:before="30" w:after="30"/>
              <w:jc w:val="center"/>
            </w:pPr>
            <w:r>
              <w:rPr>
                <w:b w:val="0"/>
                <w:i w:val="0"/>
                <w:sz w:val="18"/>
              </w:rPr>
              <w:t>−0.288</w:t>
            </w:r>
          </w:p>
        </w:tc>
        <w:tc>
          <w:tcPr>
            <w:tcW w:type="dxa" w:w="1308"/>
          </w:tcPr>
          <w:p>
            <w:pPr>
              <w:pStyle w:val="MDPI42tablebody"/>
              <w:spacing w:line="240" w:lineRule="auto" w:before="30" w:after="30"/>
              <w:jc w:val="center"/>
            </w:pPr>
            <w:r>
              <w:rPr>
                <w:b w:val="0"/>
                <w:i w:val="0"/>
                <w:sz w:val="18"/>
              </w:rPr>
              <w:t>−0.272</w:t>
            </w:r>
          </w:p>
        </w:tc>
        <w:tc>
          <w:tcPr>
            <w:tcW w:type="dxa" w:w="942"/>
          </w:tcPr>
          <w:p>
            <w:pPr>
              <w:pStyle w:val="MDPI42tablebody"/>
              <w:spacing w:line="240" w:lineRule="auto" w:before="30" w:after="30"/>
              <w:jc w:val="center"/>
            </w:pPr>
            <w:r>
              <w:rPr>
                <w:b w:val="0"/>
                <w:i w:val="0"/>
                <w:sz w:val="18"/>
              </w:rPr>
              <w:t>***</w:t>
            </w:r>
          </w:p>
        </w:tc>
      </w:tr>
      <w:tr>
        <w:tc>
          <w:tcPr>
            <w:tcW w:type="dxa" w:w="4396"/>
          </w:tcPr>
          <w:p>
            <w:pPr>
              <w:pStyle w:val="MDPI42tablebody"/>
              <w:spacing w:line="240" w:lineRule="auto" w:before="30" w:after="30"/>
              <w:jc w:val="left"/>
            </w:pPr>
            <w:r>
              <w:rPr>
                <w:b w:val="0"/>
                <w:i w:val="0"/>
                <w:sz w:val="18"/>
              </w:rPr>
              <w:t>AI knowledge-scaffolding coefficient, η</w:t>
            </w:r>
          </w:p>
        </w:tc>
        <w:tc>
          <w:tcPr>
            <w:tcW w:type="dxa" w:w="1203"/>
          </w:tcPr>
          <w:p>
            <w:pPr>
              <w:pStyle w:val="MDPI42tablebody"/>
              <w:spacing w:line="240" w:lineRule="auto" w:before="30" w:after="30"/>
              <w:jc w:val="center"/>
            </w:pPr>
            <w:r>
              <w:rPr>
                <w:b w:val="0"/>
                <w:i w:val="0"/>
                <w:sz w:val="18"/>
              </w:rPr>
              <w:t>0.35</w:t>
            </w:r>
          </w:p>
        </w:tc>
        <w:tc>
          <w:tcPr>
            <w:tcW w:type="dxa" w:w="1308"/>
          </w:tcPr>
          <w:p>
            <w:pPr>
              <w:pStyle w:val="MDPI42tablebody"/>
              <w:spacing w:line="240" w:lineRule="auto" w:before="30" w:after="30"/>
              <w:jc w:val="center"/>
            </w:pPr>
            <w:r>
              <w:rPr>
                <w:b w:val="0"/>
                <w:i w:val="0"/>
                <w:sz w:val="18"/>
              </w:rPr>
              <w:t>0.12</w:t>
            </w:r>
          </w:p>
        </w:tc>
        <w:tc>
          <w:tcPr>
            <w:tcW w:type="dxa" w:w="1308"/>
          </w:tcPr>
          <w:p>
            <w:pPr>
              <w:pStyle w:val="MDPI42tablebody"/>
              <w:spacing w:line="240" w:lineRule="auto" w:before="30" w:after="30"/>
              <w:jc w:val="center"/>
            </w:pPr>
            <w:r>
              <w:rPr>
                <w:b w:val="0"/>
                <w:i w:val="0"/>
                <w:sz w:val="18"/>
              </w:rPr>
              <w:t>0.352</w:t>
            </w:r>
          </w:p>
        </w:tc>
        <w:tc>
          <w:tcPr>
            <w:tcW w:type="dxa" w:w="1308"/>
          </w:tcPr>
          <w:p>
            <w:pPr>
              <w:pStyle w:val="MDPI42tablebody"/>
              <w:spacing w:line="240" w:lineRule="auto" w:before="30" w:after="30"/>
              <w:jc w:val="center"/>
            </w:pPr>
            <w:r>
              <w:rPr>
                <w:b w:val="0"/>
                <w:i w:val="0"/>
                <w:sz w:val="18"/>
              </w:rPr>
              <w:t>0.33</w:t>
            </w:r>
          </w:p>
        </w:tc>
        <w:tc>
          <w:tcPr>
            <w:tcW w:type="dxa" w:w="942"/>
          </w:tcPr>
          <w:p>
            <w:pPr>
              <w:pStyle w:val="MDPI42tablebody"/>
              <w:spacing w:line="240" w:lineRule="auto" w:before="30" w:after="30"/>
              <w:jc w:val="center"/>
            </w:pPr>
            <w:r>
              <w:rPr>
                <w:b w:val="0"/>
                <w:i w:val="0"/>
                <w:sz w:val="18"/>
              </w:rPr>
              <w:t>***</w:t>
            </w:r>
          </w:p>
        </w:tc>
      </w:tr>
      <w:tr>
        <w:tc>
          <w:tcPr>
            <w:tcW w:type="dxa" w:w="4396"/>
          </w:tcPr>
          <w:p>
            <w:pPr>
              <w:pStyle w:val="MDPI42tablebody"/>
              <w:spacing w:line="240" w:lineRule="auto" w:before="30" w:after="30"/>
              <w:jc w:val="left"/>
            </w:pPr>
            <w:r>
              <w:rPr>
                <w:b w:val="0"/>
                <w:i w:val="0"/>
                <w:sz w:val="18"/>
              </w:rPr>
              <w:t>AI adoption rate, ν</w:t>
            </w:r>
          </w:p>
        </w:tc>
        <w:tc>
          <w:tcPr>
            <w:tcW w:type="dxa" w:w="1203"/>
          </w:tcPr>
          <w:p>
            <w:pPr>
              <w:pStyle w:val="MDPI42tablebody"/>
              <w:spacing w:line="240" w:lineRule="auto" w:before="30" w:after="30"/>
              <w:jc w:val="center"/>
            </w:pPr>
            <w:r>
              <w:rPr>
                <w:b w:val="0"/>
                <w:i w:val="0"/>
                <w:sz w:val="18"/>
              </w:rPr>
              <w:t>1.327</w:t>
            </w:r>
          </w:p>
        </w:tc>
        <w:tc>
          <w:tcPr>
            <w:tcW w:type="dxa" w:w="1308"/>
          </w:tcPr>
          <w:p>
            <w:pPr>
              <w:pStyle w:val="MDPI42tablebody"/>
              <w:spacing w:line="240" w:lineRule="auto" w:before="30" w:after="30"/>
              <w:jc w:val="center"/>
            </w:pPr>
            <w:r>
              <w:rPr>
                <w:b w:val="0"/>
                <w:i w:val="0"/>
                <w:sz w:val="18"/>
              </w:rPr>
              <w:t>−0.071</w:t>
            </w:r>
          </w:p>
        </w:tc>
        <w:tc>
          <w:tcPr>
            <w:tcW w:type="dxa" w:w="1308"/>
          </w:tcPr>
          <w:p>
            <w:pPr>
              <w:pStyle w:val="MDPI42tablebody"/>
              <w:spacing w:line="240" w:lineRule="auto" w:before="30" w:after="30"/>
              <w:jc w:val="center"/>
            </w:pPr>
            <w:r>
              <w:rPr>
                <w:b w:val="0"/>
                <w:i w:val="0"/>
                <w:sz w:val="18"/>
              </w:rPr>
              <w:t>0.004</w:t>
            </w:r>
          </w:p>
        </w:tc>
        <w:tc>
          <w:tcPr>
            <w:tcW w:type="dxa" w:w="1308"/>
          </w:tcPr>
          <w:p>
            <w:pPr>
              <w:pStyle w:val="MDPI42tablebody"/>
              <w:spacing w:line="240" w:lineRule="auto" w:before="30" w:after="30"/>
              <w:jc w:val="center"/>
            </w:pPr>
            <w:r>
              <w:rPr>
                <w:b w:val="0"/>
                <w:i w:val="0"/>
                <w:sz w:val="18"/>
              </w:rPr>
              <w:t>0.021</w:t>
            </w:r>
          </w:p>
        </w:tc>
        <w:tc>
          <w:tcPr>
            <w:tcW w:type="dxa" w:w="942"/>
          </w:tcPr>
          <w:p>
            <w:pPr>
              <w:pStyle w:val="MDPI42tablebody"/>
              <w:spacing w:line="240" w:lineRule="auto" w:before="30" w:after="30"/>
              <w:jc w:val="center"/>
            </w:pPr>
            <w:r>
              <w:rPr>
                <w:b w:val="0"/>
                <w:i w:val="0"/>
                <w:sz w:val="18"/>
              </w:rPr>
              <w:t>*</w:t>
            </w:r>
          </w:p>
        </w:tc>
      </w:tr>
      <w:tr>
        <w:tc>
          <w:tcPr>
            <w:tcW w:type="dxa" w:w="4396"/>
          </w:tcPr>
          <w:p>
            <w:pPr>
              <w:pStyle w:val="MDPI42tablebody"/>
              <w:spacing w:line="240" w:lineRule="auto" w:before="30" w:after="30"/>
              <w:jc w:val="left"/>
            </w:pPr>
            <w:r>
              <w:rPr>
                <w:b w:val="0"/>
                <w:i w:val="0"/>
                <w:sz w:val="18"/>
              </w:rPr>
              <w:t>Elasticity of external senior availability, ω</w:t>
            </w:r>
          </w:p>
        </w:tc>
        <w:tc>
          <w:tcPr>
            <w:tcW w:type="dxa" w:w="1203"/>
          </w:tcPr>
          <w:p>
            <w:pPr>
              <w:pStyle w:val="MDPI42tablebody"/>
              <w:spacing w:line="240" w:lineRule="auto" w:before="30" w:after="30"/>
              <w:jc w:val="center"/>
            </w:pPr>
            <w:r>
              <w:rPr>
                <w:b w:val="0"/>
                <w:i w:val="0"/>
                <w:sz w:val="18"/>
              </w:rPr>
              <w:t>1.0</w:t>
            </w:r>
          </w:p>
        </w:tc>
        <w:tc>
          <w:tcPr>
            <w:tcW w:type="dxa" w:w="1308"/>
          </w:tcPr>
          <w:p>
            <w:pPr>
              <w:pStyle w:val="MDPI42tablebody"/>
              <w:spacing w:line="240" w:lineRule="auto" w:before="30" w:after="30"/>
              <w:jc w:val="center"/>
            </w:pPr>
            <w:r>
              <w:rPr>
                <w:b w:val="0"/>
                <w:i w:val="0"/>
                <w:sz w:val="18"/>
              </w:rPr>
              <w:t>−0.029</w:t>
            </w:r>
          </w:p>
        </w:tc>
        <w:tc>
          <w:tcPr>
            <w:tcW w:type="dxa" w:w="1308"/>
          </w:tcPr>
          <w:p>
            <w:pPr>
              <w:pStyle w:val="MDPI42tablebody"/>
              <w:spacing w:line="240" w:lineRule="auto" w:before="30" w:after="30"/>
              <w:jc w:val="center"/>
            </w:pPr>
            <w:r>
              <w:rPr>
                <w:b w:val="0"/>
                <w:i w:val="0"/>
                <w:sz w:val="18"/>
              </w:rPr>
              <w:t>−0.042</w:t>
            </w:r>
          </w:p>
        </w:tc>
        <w:tc>
          <w:tcPr>
            <w:tcW w:type="dxa" w:w="1308"/>
          </w:tcPr>
          <w:p>
            <w:pPr>
              <w:pStyle w:val="MDPI42tablebody"/>
              <w:spacing w:line="240" w:lineRule="auto" w:before="30" w:after="30"/>
              <w:jc w:val="center"/>
            </w:pPr>
            <w:r>
              <w:rPr>
                <w:b w:val="0"/>
                <w:i w:val="0"/>
                <w:sz w:val="18"/>
              </w:rPr>
              <w:t>−0.045</w:t>
            </w:r>
          </w:p>
        </w:tc>
        <w:tc>
          <w:tcPr>
            <w:tcW w:type="dxa" w:w="942"/>
          </w:tcPr>
          <w:p>
            <w:pPr>
              <w:pStyle w:val="MDPI42tablebody"/>
              <w:spacing w:line="240" w:lineRule="auto" w:before="30" w:after="30"/>
              <w:jc w:val="center"/>
            </w:pPr>
          </w:p>
        </w:tc>
      </w:tr>
      <w:tr>
        <w:tc>
          <w:tcPr>
            <w:tcW w:type="dxa" w:w="4396"/>
          </w:tcPr>
          <w:p>
            <w:pPr>
              <w:pStyle w:val="MDPI42tablebody"/>
              <w:spacing w:line="240" w:lineRule="auto" w:before="30" w:after="30"/>
              <w:jc w:val="left"/>
            </w:pPr>
            <w:r>
              <w:rPr>
                <w:b w:val="0"/>
                <w:i w:val="0"/>
                <w:sz w:val="18"/>
              </w:rPr>
              <w:t>Skill-formation value of AI-mediated work, ζ</w:t>
            </w:r>
            <w:r>
              <w:rPr>
                <w:b w:val="0"/>
                <w:i w:val="0"/>
                <w:sz w:val="18"/>
                <w:vertAlign w:val="subscript"/>
              </w:rPr>
              <w:t>0</w:t>
            </w:r>
          </w:p>
        </w:tc>
        <w:tc>
          <w:tcPr>
            <w:tcW w:type="dxa" w:w="1203"/>
          </w:tcPr>
          <w:p>
            <w:pPr>
              <w:pStyle w:val="MDPI42tablebody"/>
              <w:spacing w:line="240" w:lineRule="auto" w:before="30" w:after="30"/>
              <w:jc w:val="center"/>
            </w:pPr>
            <w:r>
              <w:rPr>
                <w:b w:val="0"/>
                <w:i w:val="0"/>
                <w:sz w:val="18"/>
              </w:rPr>
              <w:t>0.25</w:t>
            </w:r>
          </w:p>
        </w:tc>
        <w:tc>
          <w:tcPr>
            <w:tcW w:type="dxa" w:w="1308"/>
          </w:tcPr>
          <w:p>
            <w:pPr>
              <w:pStyle w:val="MDPI42tablebody"/>
              <w:spacing w:line="240" w:lineRule="auto" w:before="30" w:after="30"/>
              <w:jc w:val="center"/>
            </w:pPr>
            <w:r>
              <w:rPr>
                <w:b w:val="0"/>
                <w:i w:val="0"/>
                <w:sz w:val="18"/>
              </w:rPr>
              <w:t>0.019</w:t>
            </w:r>
          </w:p>
        </w:tc>
        <w:tc>
          <w:tcPr>
            <w:tcW w:type="dxa" w:w="1308"/>
          </w:tcPr>
          <w:p>
            <w:pPr>
              <w:pStyle w:val="MDPI42tablebody"/>
              <w:spacing w:line="240" w:lineRule="auto" w:before="30" w:after="30"/>
              <w:jc w:val="center"/>
            </w:pPr>
            <w:r>
              <w:rPr>
                <w:b w:val="0"/>
                <w:i w:val="0"/>
                <w:sz w:val="18"/>
              </w:rPr>
              <w:t>0.126</w:t>
            </w:r>
          </w:p>
        </w:tc>
        <w:tc>
          <w:tcPr>
            <w:tcW w:type="dxa" w:w="1308"/>
          </w:tcPr>
          <w:p>
            <w:pPr>
              <w:pStyle w:val="MDPI42tablebody"/>
              <w:spacing w:line="240" w:lineRule="auto" w:before="30" w:after="30"/>
              <w:jc w:val="center"/>
            </w:pPr>
            <w:r>
              <w:rPr>
                <w:b w:val="0"/>
                <w:i w:val="0"/>
                <w:sz w:val="18"/>
              </w:rPr>
              <w:t>0.127</w:t>
            </w:r>
          </w:p>
        </w:tc>
        <w:tc>
          <w:tcPr>
            <w:tcW w:type="dxa" w:w="942"/>
          </w:tcPr>
          <w:p>
            <w:pPr>
              <w:pStyle w:val="MDPI42tablebody"/>
              <w:spacing w:line="240" w:lineRule="auto" w:before="30" w:after="30"/>
              <w:jc w:val="center"/>
            </w:pPr>
          </w:p>
        </w:tc>
      </w:tr>
    </w:tbl>
    <w:p>
      <w:pPr>
        <w:pStyle w:val="MDPI43tablefooter"/>
        <w:spacing w:line="240" w:lineRule="auto" w:before="40" w:after="200"/>
        <w:ind w:left="2608" w:firstLine="0"/>
      </w:pPr>
      <w:r>
        <w:rPr>
          <w:i/>
          <w:sz w:val="16"/>
        </w:rPr>
        <w:t xml:space="preserve">Note: </w:t>
      </w:r>
      <w:r>
        <w:rPr>
          <w:b w:val="0"/>
          <w:i w:val="0"/>
          <w:sz w:val="16"/>
        </w:rPr>
        <w:t>Latin hypercube sample of 800 parameter vectors drawn from ±30% intervals around the calibrated values of fifteen parameters; the mentoring coefficient is re-derived in every draw so that each configuration starts from its own exact pre-GenAI equilibrium. Outcomes are 25-year deviations from the matched counterfactual. *** p &lt; 0.001, ** p &lt; 0.01, * p &lt; 0.05.</w:t>
      </w:r>
    </w:p>
    <w:p>
      <w:pPr>
        <w:pStyle w:val="MDPI52figure"/>
        <w:keepNext/>
        <w:jc w:val="center"/>
      </w:pPr>
      <w:r>
        <w:drawing>
          <wp:inline xmlns:a="http://schemas.openxmlformats.org/drawingml/2006/main" xmlns:pic="http://schemas.openxmlformats.org/drawingml/2006/picture">
            <wp:extent cx="6120000" cy="2727183"/>
            <wp:docPr id="7" name="Picture 7"/>
            <wp:cNvGraphicFramePr>
              <a:graphicFrameLocks noChangeAspect="1"/>
            </wp:cNvGraphicFramePr>
            <a:graphic>
              <a:graphicData uri="http://schemas.openxmlformats.org/drawingml/2006/picture">
                <pic:pic>
                  <pic:nvPicPr>
                    <pic:cNvPr id="0" name="figure7_sensitivity.png"/>
                    <pic:cNvPicPr/>
                  </pic:nvPicPr>
                  <pic:blipFill>
                    <a:blip r:embed="rId23"/>
                    <a:stretch>
                      <a:fillRect/>
                    </a:stretch>
                  </pic:blipFill>
                  <pic:spPr>
                    <a:xfrm>
                      <a:off x="0" y="0"/>
                      <a:ext cx="6120000" cy="2727183"/>
                    </a:xfrm>
                    <a:prstGeom prst="rect"/>
                  </pic:spPr>
                </pic:pic>
              </a:graphicData>
            </a:graphic>
          </wp:inline>
        </w:drawing>
      </w:r>
    </w:p>
    <w:p>
      <w:pPr>
        <w:pStyle w:val="MDPI51figurecaption"/>
        <w:keepNext/>
        <w:spacing w:after="40"/>
      </w:pPr>
      <w:r>
        <w:rPr>
          <w:b/>
          <w:sz w:val="18"/>
        </w:rPr>
        <w:t xml:space="preserve">Figure 7. </w:t>
      </w:r>
      <w:r>
        <w:rPr>
          <w:b w:val="0"/>
          <w:i w:val="0"/>
          <w:sz w:val="18"/>
        </w:rPr>
        <w:t>Global sensitivity analysis. (a) Partial rank correlation coefficients with the 25-year effect on entry employment; (b) distribution of that effect across the sample.</w:t>
      </w:r>
    </w:p>
    <w:p>
      <w:pPr>
        <w:pStyle w:val="MDPI51figurecaption"/>
        <w:spacing w:line="240" w:lineRule="auto" w:before="0" w:after="200"/>
        <w:ind w:left="2608" w:firstLine="0"/>
      </w:pPr>
      <w:r>
        <w:rPr>
          <w:i/>
          <w:sz w:val="16"/>
        </w:rPr>
        <w:t xml:space="preserve">Note: </w:t>
      </w:r>
      <w:r>
        <w:rPr>
          <w:b w:val="0"/>
          <w:i w:val="0"/>
          <w:sz w:val="16"/>
        </w:rPr>
        <w:t>Latin hypercube sample of 800 draws from ±30% intervals around the calibrated parameter values. Blue bars indicate a positive and red bars a negative partial rank correlation. The dashed line in panel (b) marks the median outcome.</w:t>
      </w:r>
    </w:p>
    <w:p>
      <w:pPr>
        <w:pStyle w:val="MDPI31text"/>
      </w:pPr>
      <w:r>
        <w:rPr>
          <w:b w:val="0"/>
          <w:i w:val="0"/>
        </w:rPr>
        <w:t>Three conclusions follow. First, the baseline result is robust in magnitude: the median 25-year effect on entry employment is −30.6%, the interquartile range is [−37.6%, −24.0%] and the 5th–95th percentile range is [−45.9%, −15.5%]; no draw in the neighbourhood of the calibrated configuration produces a positive effect. The sign reversals documented in Section 4.3 require design choices well outside a ±30% perturbation, which is the correct interpretation of Proposition 1: they are strategic decisions, not parameter noise. Second, the ranking of drivers matches the theory. The automation ceiling dominates (PRCC −0.975), followed by the reinstatement ceiling (+0.896), the demand elasticity (+0.789) and the junior productivity elasticity (−0.787); the learning-investment rate and the routine obsolescence rate enter with the expected opposite signs (+0.513 and −0.488). Third, the pipeline parameters matter more for the capability outcome than for the employment outcome: the senior separation rate and the time to competence rank first and third for the experienced stock (−0.843 and −0.784) but only seventh and ninth for entry employment, and the experienced stock is below its counterfactual in 73.4% of draws. The employment effect and the capability effect are driven by partly different parts of the structure, which is why a policy designed for one of them will not automatically deliver the other.</w:t>
      </w:r>
    </w:p>
    <w:p>
      <w:pPr>
        <w:pStyle w:val="MDPI21heading1"/>
      </w:pPr>
      <w:r>
        <w:t>5. Discussion</w:t>
      </w:r>
    </w:p>
    <w:p>
      <w:pPr>
        <w:pStyle w:val="MDPI22heading2"/>
      </w:pPr>
      <w:r>
        <w:t>5.1. Theoretical Contributions</w:t>
      </w:r>
    </w:p>
    <w:p>
      <w:pPr>
        <w:pStyle w:val="MDPI32textnoindent"/>
      </w:pPr>
      <w:r>
        <w:rPr>
          <w:b w:val="0"/>
          <w:i w:val="0"/>
        </w:rPr>
        <w:t xml:space="preserve">The study makes three theoretical contributions. First, it moves the question of GenAI and youth employment from the technology to the system. The task-based framework establishes that the net effect depends on the balance between displacement and reinstatement </w:t>
      </w:r>
      <w:r>
        <w:t>[</w:t>
      </w:r>
      <w:r>
        <w:fldChar w:fldCharType="begin"/>
      </w:r>
      <w:r>
        <w:instrText xml:space="preserve"> REF _Ref_15 \h </w:instrText>
      </w:r>
      <w:r>
        <w:fldChar w:fldCharType="separate"/>
      </w:r>
      <w:r>
        <w:t>15</w:t>
      </w:r>
      <w:r>
        <w:fldChar w:fldCharType="end"/>
      </w:r>
      <w:r>
        <w:t>,</w:t>
      </w:r>
      <w:r>
        <w:fldChar w:fldCharType="begin"/>
      </w:r>
      <w:r>
        <w:instrText xml:space="preserve"> REF _Ref_16 \h </w:instrText>
      </w:r>
      <w:r>
        <w:fldChar w:fldCharType="separate"/>
      </w:r>
      <w:r>
        <w:t>16</w:t>
      </w:r>
      <w:r>
        <w:fldChar w:fldCharType="end"/>
      </w:r>
      <w:r>
        <w:t>]</w:t>
      </w:r>
      <w:r>
        <w:rPr>
          <w:b w:val="0"/>
          <w:i w:val="0"/>
        </w:rPr>
        <w:t xml:space="preserve">; what has been missing is a specification of what sets that balance. We show that in a socio-technical system it is set by two organisational design parameters and by an accumulated stock of collaboration routines that gates one force but not the other, and we derive a closed-form elasticity, Equation (19), that makes loop dominance observable. This connects the automation–augmentation paradox </w:t>
      </w:r>
      <w:r>
        <w:t>[</w:t>
      </w:r>
      <w:r>
        <w:fldChar w:fldCharType="begin"/>
      </w:r>
      <w:r>
        <w:instrText xml:space="preserve"> REF _Ref_18 \h </w:instrText>
      </w:r>
      <w:r>
        <w:fldChar w:fldCharType="separate"/>
      </w:r>
      <w:r>
        <w:t>18</w:t>
      </w:r>
      <w:r>
        <w:fldChar w:fldCharType="end"/>
      </w:r>
      <w:r>
        <w:t>,</w:t>
      </w:r>
      <w:r>
        <w:fldChar w:fldCharType="begin"/>
      </w:r>
      <w:r>
        <w:instrText xml:space="preserve"> REF _Ref_20 \h </w:instrText>
      </w:r>
      <w:r>
        <w:fldChar w:fldCharType="separate"/>
      </w:r>
      <w:r>
        <w:t>20</w:t>
      </w:r>
      <w:r>
        <w:fldChar w:fldCharType="end"/>
      </w:r>
      <w:r>
        <w:t>]</w:t>
      </w:r>
      <w:r>
        <w:rPr>
          <w:b w:val="0"/>
          <w:i w:val="0"/>
        </w:rPr>
        <w:t xml:space="preserve"> to a dynamic, quantitative criterion rather than a typology.</w:t>
      </w:r>
    </w:p>
    <w:p>
      <w:pPr>
        <w:pStyle w:val="MDPI31text"/>
      </w:pPr>
      <w:r>
        <w:rPr>
          <w:b w:val="0"/>
          <w:i w:val="0"/>
        </w:rPr>
        <w:t xml:space="preserve">Second, it extends the capability-trap family of models </w:t>
      </w:r>
      <w:r>
        <w:t>[</w:t>
      </w:r>
      <w:r>
        <w:fldChar w:fldCharType="begin"/>
      </w:r>
      <w:r>
        <w:instrText xml:space="preserve"> REF _Ref_26 \h </w:instrText>
      </w:r>
      <w:r>
        <w:fldChar w:fldCharType="separate"/>
      </w:r>
      <w:r>
        <w:t>26</w:t>
      </w:r>
      <w:r>
        <w:fldChar w:fldCharType="end"/>
      </w:r>
      <w:r>
        <w:t>,</w:t>
      </w:r>
      <w:r>
        <w:fldChar w:fldCharType="begin"/>
      </w:r>
      <w:r>
        <w:instrText xml:space="preserve"> REF _Ref_27 \h </w:instrText>
      </w:r>
      <w:r>
        <w:fldChar w:fldCharType="separate"/>
      </w:r>
      <w:r>
        <w:t>27</w:t>
      </w:r>
      <w:r>
        <w:fldChar w:fldCharType="end"/>
      </w:r>
      <w:r>
        <w:t>,</w:t>
      </w:r>
      <w:r>
        <w:fldChar w:fldCharType="begin"/>
      </w:r>
      <w:r>
        <w:instrText xml:space="preserve"> REF _Ref_50 \h </w:instrText>
      </w:r>
      <w:r>
        <w:fldChar w:fldCharType="separate"/>
      </w:r>
      <w:r>
        <w:t>50</w:t>
      </w:r>
      <w:r>
        <w:fldChar w:fldCharType="end"/>
      </w:r>
      <w:r>
        <w:t>]</w:t>
      </w:r>
      <w:r>
        <w:rPr>
          <w:b w:val="0"/>
          <w:i w:val="0"/>
        </w:rPr>
        <w:t xml:space="preserve"> to workforce entry. The mechanism has the canonical structure — a locally rational reduction in an investment whose returns are delayed and unmeasured erodes the capability that produced the performance — but the eroding asset here is the intake stage of the firm's own skill pipeline, and the erosion operates through two channels rather than one: fewer juniors, and less learning per junior. The second channel formalises the shadow-learning and black-boxing findings of the qualitative literature </w:t>
      </w:r>
      <w:r>
        <w:t>[</w:t>
      </w:r>
      <w:r>
        <w:fldChar w:fldCharType="begin"/>
      </w:r>
      <w:r>
        <w:instrText xml:space="preserve"> REF _Ref_23 \h </w:instrText>
      </w:r>
      <w:r>
        <w:fldChar w:fldCharType="separate"/>
      </w:r>
      <w:r>
        <w:t>23</w:t>
      </w:r>
      <w:r>
        <w:fldChar w:fldCharType="end"/>
      </w:r>
      <w:r>
        <w:t>,</w:t>
      </w:r>
      <w:r>
        <w:fldChar w:fldCharType="begin"/>
      </w:r>
      <w:r>
        <w:instrText xml:space="preserve"> REF _Ref_24 \h </w:instrText>
      </w:r>
      <w:r>
        <w:fldChar w:fldCharType="separate"/>
      </w:r>
      <w:r>
        <w:t>24</w:t>
      </w:r>
      <w:r>
        <w:fldChar w:fldCharType="end"/>
      </w:r>
      <w:r>
        <w:t>]</w:t>
      </w:r>
      <w:r>
        <w:rPr>
          <w:b w:val="0"/>
          <w:i w:val="0"/>
        </w:rPr>
        <w:t xml:space="preserve"> as a state variable, which allows their long-run consequences to be traced. Adding the sector-consistent closure shows that the trap is not escapable by recruitment, which is the escape route the existing firm-level models implicitly allow.</w:t>
      </w:r>
    </w:p>
    <w:p>
      <w:pPr>
        <w:pStyle w:val="MDPI31text"/>
      </w:pPr>
      <w:r>
        <w:rPr>
          <w:b w:val="0"/>
          <w:i w:val="0"/>
        </w:rPr>
        <w:t xml:space="preserve">Third, it supplies a quantitative test of joint optimisation. That the social and technical subsystems must be designed together is the founding claim of socio-technical theory </w:t>
      </w:r>
      <w:r>
        <w:t>[</w:t>
      </w:r>
      <w:r>
        <w:fldChar w:fldCharType="begin"/>
      </w:r>
      <w:r>
        <w:instrText xml:space="preserve"> REF _Ref_28 \h </w:instrText>
      </w:r>
      <w:r>
        <w:fldChar w:fldCharType="separate"/>
      </w:r>
      <w:r>
        <w:t>28</w:t>
      </w:r>
      <w:r>
        <w:fldChar w:fldCharType="end"/>
      </w:r>
      <w:r>
        <w:t>,</w:t>
      </w:r>
      <w:r>
        <w:fldChar w:fldCharType="begin"/>
      </w:r>
      <w:r>
        <w:instrText xml:space="preserve"> REF _Ref_34 \h </w:instrText>
      </w:r>
      <w:r>
        <w:fldChar w:fldCharType="separate"/>
      </w:r>
      <w:r>
        <w:t>34</w:t>
      </w:r>
      <w:r>
        <w:fldChar w:fldCharType="end"/>
      </w:r>
      <w:r>
        <w:t>,</w:t>
      </w:r>
      <w:r>
        <w:fldChar w:fldCharType="begin"/>
      </w:r>
      <w:r>
        <w:instrText xml:space="preserve"> REF _Ref_52 \h </w:instrText>
      </w:r>
      <w:r>
        <w:fldChar w:fldCharType="separate"/>
      </w:r>
      <w:r>
        <w:t>52</w:t>
      </w:r>
      <w:r>
        <w:fldChar w:fldCharType="end"/>
      </w:r>
      <w:r>
        <w:t>]</w:t>
      </w:r>
      <w:r>
        <w:rPr>
          <w:b w:val="0"/>
          <w:i w:val="0"/>
        </w:rPr>
        <w:t xml:space="preserve"> but it is usually argued qualitatively. In our system the claim has a precise counterpart: because realised reinstatement is the product of a design ceiling and an absorptive-capacity multiplier, Equation (5), interventions in the two subsystems must interact positively, and they do, by 2.74 percentage points, or 20% of the sum of their main effects. Equally important is the negative result: the four-way decomposition is close to additive, because instruments acting on the same bottleneck substitute for one another. Complementarity in socio-technical design is a property of subsystems, not of instruments, and treating every combination of interventions as synergistic is a design error.</w:t>
      </w:r>
    </w:p>
    <w:p>
      <w:pPr>
        <w:pStyle w:val="MDPI22heading2"/>
      </w:pPr>
      <w:r>
        <w:t>5.2. Managerial Implications</w:t>
      </w:r>
    </w:p>
    <w:p>
      <w:pPr>
        <w:pStyle w:val="MDPI32textnoindent"/>
      </w:pPr>
      <w:r>
        <w:rPr>
          <w:b w:val="0"/>
          <w:i w:val="0"/>
        </w:rPr>
        <w:t>For organisations, the model changes the object of the decision. The relevant question is not how much of the entry-level work GenAI can do, but what proportion of core work the organisation is willing and able to move down to AI-assisted juniors, and whether it has built the routines that make that movement safe. The regime map in Figure 5a converts this into a planning rule: holding the entry port constant requires roughly 0.7 points of reinstatement for every point of automation. Firms that automate the entry band without a matching reinstatement programme are choosing the displacement-dominant regime, whether or not they intend to.</w:t>
      </w:r>
    </w:p>
    <w:p>
      <w:pPr>
        <w:pStyle w:val="MDPI31text"/>
      </w:pPr>
      <w:r>
        <w:rPr>
          <w:b w:val="0"/>
          <w:i w:val="0"/>
        </w:rPr>
        <w:t xml:space="preserve">Second, the fulfilment ratio </w:t>
      </w:r>
      <m:oMath>
        <m:r>
          <m:t xml:space="preserve">Φ</m:t>
        </m:r>
      </m:oMath>
      <w:r>
        <w:rPr>
          <w:b w:val="0"/>
          <w:i w:val="0"/>
        </w:rPr>
        <w:t xml:space="preserve"> is the metric that management systems currently lack. In the baseline it declines to 0.86 and in the automation-first scenario to 0.695, while unit cost improves throughout. A firm tracking cost per unit of output would record success in every year of the simulation; the capability gap appears only as an unexplained inability to staff judgement-intensive work, roughly a decade after the decision that caused it. Monitoring the ratio of promotion flow to senior separations, which is the internal analogue of </w:t>
      </w:r>
      <m:oMath>
        <m:r>
          <m:t xml:space="preserve">Ω</m:t>
        </m:r>
      </m:oMath>
      <w:r>
        <w:rPr>
          <w:b w:val="0"/>
          <w:i w:val="0"/>
        </w:rPr>
        <w:t xml:space="preserve"> in Equation (14), gives management a leading indicator of the same phenomenon.</w:t>
      </w:r>
    </w:p>
    <w:p>
      <w:pPr>
        <w:pStyle w:val="MDPI31text"/>
      </w:pPr>
      <w:r>
        <w:rPr>
          <w:b w:val="0"/>
          <w:i w:val="0"/>
        </w:rPr>
        <w:t xml:space="preserve">Third, the sequencing matters. The two interventions that operate through the learning stock, S2 and S4, are worse than the baseline on entry employment in year five (−35.2% and −34.4% against −33.0%) and clearly better by year 25 (−26.6% and −28.9% against −30.7%), because the stock has to accumulate before it can gate anything. Organisations that evaluate a reskilling or work-redesign programme on a three-year horizon will abandon it in the trough. This is the practical content of the worse-before-better dynamic </w:t>
      </w:r>
      <w:r>
        <w:t>[</w:t>
      </w:r>
      <w:r>
        <w:fldChar w:fldCharType="begin"/>
      </w:r>
      <w:r>
        <w:instrText xml:space="preserve"> REF _Ref_26 \h </w:instrText>
      </w:r>
      <w:r>
        <w:fldChar w:fldCharType="separate"/>
      </w:r>
      <w:r>
        <w:t>26</w:t>
      </w:r>
      <w:r>
        <w:fldChar w:fldCharType="end"/>
      </w:r>
      <w:r>
        <w:t>,</w:t>
      </w:r>
      <w:r>
        <w:fldChar w:fldCharType="begin"/>
      </w:r>
      <w:r>
        <w:instrText xml:space="preserve"> REF _Ref_37 \h </w:instrText>
      </w:r>
      <w:r>
        <w:fldChar w:fldCharType="separate"/>
      </w:r>
      <w:r>
        <w:t>37</w:t>
      </w:r>
      <w:r>
        <w:fldChar w:fldCharType="end"/>
      </w:r>
      <w:r>
        <w:t>]</w:t>
      </w:r>
      <w:r>
        <w:rPr>
          <w:b w:val="0"/>
          <w:i w:val="0"/>
        </w:rPr>
        <w:t xml:space="preserve"> and it argues for explicitly protecting such programmes from short-horizon review.</w:t>
      </w:r>
    </w:p>
    <w:p>
      <w:pPr>
        <w:pStyle w:val="MDPI22heading2"/>
      </w:pPr>
      <w:r>
        <w:t>5.3. Policy Implications</w:t>
      </w:r>
    </w:p>
    <w:p>
      <w:pPr>
        <w:pStyle w:val="MDPI32textnoindent"/>
      </w:pPr>
      <w:r>
        <w:rPr>
          <w:b w:val="0"/>
          <w:i w:val="0"/>
        </w:rPr>
        <w:t xml:space="preserve">For policy, the sector-consistent closure result is the most consequential. Because the external market for experienced staff is fed by the same entry ports that firms are individually thinning, the depletion of mid-career capability is an externality: each organisation captures the full cost saving from automating its entry band and bears only its own share of the resulting scarcity. This is a standard justification for public intervention in training, and the model indicates where the intervention should bite. Instruments that subsidise the reinstatement of core work to supervised early-career staff — structured apprenticeship in professional services, graduate rotation schemes with protected task content, conditional hiring subsidies tied to task design rather than headcount — act on </w:t>
      </w:r>
      <m:oMath>
        <m:sSub>
          <m:e>
            <m:r>
              <m:t xml:space="preserve">ρ</m:t>
            </m:r>
          </m:e>
          <m:sub>
            <m:r>
              <m:rPr>
                <m:sty m:val="p"/>
              </m:rPr>
              <m:t xml:space="preserve">max</m:t>
            </m:r>
          </m:sub>
        </m:sSub>
      </m:oMath>
      <w:r>
        <w:rPr>
          <w:b w:val="0"/>
          <w:i w:val="0"/>
        </w:rPr>
        <w:t xml:space="preserve">, the parameter with the second-largest partial rank correlation in Table 9. Instruments that fund generic AI literacy act on </w:t>
      </w:r>
      <m:oMath>
        <m:r>
          <m:t xml:space="preserve">u</m:t>
        </m:r>
      </m:oMath>
      <w:r>
        <w:rPr>
          <w:b w:val="0"/>
          <w:i w:val="0"/>
        </w:rPr>
        <w:t>, which is already close to saturation in the baseline by year five.</w:t>
      </w:r>
    </w:p>
    <w:p>
      <w:pPr>
        <w:pStyle w:val="MDPI31text"/>
      </w:pPr>
      <w:r>
        <w:rPr>
          <w:b w:val="0"/>
          <w:i w:val="0"/>
        </w:rPr>
        <w:t xml:space="preserve">Second, the transition is long relative to the electoral and reporting cycle. Entry employment troughs in year seven and is still below the counterfactual after 25 years even in the joint package. Cohorts entering during the trough will carry the scarring documented in the youth labour market literature </w:t>
      </w:r>
      <w:r>
        <w:t>[</w:t>
      </w:r>
      <w:r>
        <w:fldChar w:fldCharType="begin"/>
      </w:r>
      <w:r>
        <w:instrText xml:space="preserve"> REF _Ref_10 \h </w:instrText>
      </w:r>
      <w:r>
        <w:fldChar w:fldCharType="separate"/>
      </w:r>
      <w:r>
        <w:t>10</w:t>
      </w:r>
      <w:r>
        <w:fldChar w:fldCharType="end"/>
      </w:r>
      <w:r>
        <w:t>–</w:t>
      </w:r>
      <w:r>
        <w:fldChar w:fldCharType="begin"/>
      </w:r>
      <w:r>
        <w:instrText xml:space="preserve"> REF _Ref_12 \h </w:instrText>
      </w:r>
      <w:r>
        <w:fldChar w:fldCharType="separate"/>
      </w:r>
      <w:r>
        <w:t>12</w:t>
      </w:r>
      <w:r>
        <w:fldChar w:fldCharType="end"/>
      </w:r>
      <w:r>
        <w:t>]</w:t>
      </w:r>
      <w:r>
        <w:rPr>
          <w:b w:val="0"/>
          <w:i w:val="0"/>
        </w:rPr>
        <w:t xml:space="preserve"> regardless of what happens afterwards, which is an argument for treating the entry port as a target of stabilisation policy in its own right rather than as a residual of aggregate labour demand </w:t>
      </w:r>
      <w:r>
        <w:t>[</w:t>
      </w:r>
      <w:r>
        <w:fldChar w:fldCharType="begin"/>
      </w:r>
      <w:r>
        <w:instrText xml:space="preserve"> REF _Ref_13 \h </w:instrText>
      </w:r>
      <w:r>
        <w:fldChar w:fldCharType="separate"/>
      </w:r>
      <w:r>
        <w:t>13</w:t>
      </w:r>
      <w:r>
        <w:fldChar w:fldCharType="end"/>
      </w:r>
      <w:r>
        <w:t>]</w:t>
      </w:r>
      <w:r>
        <w:rPr>
          <w:b w:val="0"/>
          <w:i w:val="0"/>
        </w:rPr>
        <w:t xml:space="preserve">. Third, governance frameworks for GenAI are predominantly organised around risk, safety and accountability </w:t>
      </w:r>
      <w:r>
        <w:t>[</w:t>
      </w:r>
      <w:r>
        <w:fldChar w:fldCharType="begin"/>
      </w:r>
      <w:r>
        <w:instrText xml:space="preserve"> REF _Ref_53 \h </w:instrText>
      </w:r>
      <w:r>
        <w:fldChar w:fldCharType="separate"/>
      </w:r>
      <w:r>
        <w:t>53</w:t>
      </w:r>
      <w:r>
        <w:fldChar w:fldCharType="end"/>
      </w:r>
      <w:r>
        <w:t>,</w:t>
      </w:r>
      <w:r>
        <w:fldChar w:fldCharType="begin"/>
      </w:r>
      <w:r>
        <w:instrText xml:space="preserve"> REF _Ref_61 \h </w:instrText>
      </w:r>
      <w:r>
        <w:fldChar w:fldCharType="separate"/>
      </w:r>
      <w:r>
        <w:t>61</w:t>
      </w:r>
      <w:r>
        <w:fldChar w:fldCharType="end"/>
      </w:r>
      <w:r>
        <w:t>]</w:t>
      </w:r>
      <w:r>
        <w:rPr>
          <w:b w:val="0"/>
          <w:i w:val="0"/>
        </w:rPr>
        <w:t xml:space="preserve">. The model suggests adding a capability-continuity dimension: disclosure of entry-level hiring and internal promotion rates would make the erosion mechanism observable to regulators and investors at the point where intervention is still cheap, in the same way that disclosure has been used to make other slow-moving organisational risks visible </w:t>
      </w:r>
      <w:r>
        <w:t>[</w:t>
      </w:r>
      <w:r>
        <w:fldChar w:fldCharType="begin"/>
      </w:r>
      <w:r>
        <w:instrText xml:space="preserve"> REF _Ref_62 \h </w:instrText>
      </w:r>
      <w:r>
        <w:fldChar w:fldCharType="separate"/>
      </w:r>
      <w:r>
        <w:t>62</w:t>
      </w:r>
      <w:r>
        <w:fldChar w:fldCharType="end"/>
      </w:r>
      <w:r>
        <w:t>]</w:t>
      </w:r>
      <w:r>
        <w:rPr>
          <w:b w:val="0"/>
          <w:i w:val="0"/>
        </w:rPr>
        <w:t>.</w:t>
      </w:r>
    </w:p>
    <w:p>
      <w:pPr>
        <w:pStyle w:val="MDPI22heading2"/>
      </w:pPr>
      <w:r>
        <w:t>5.4. Limitations and Future Research</w:t>
      </w:r>
    </w:p>
    <w:p>
      <w:pPr>
        <w:pStyle w:val="MDPI32textnoindent"/>
      </w:pPr>
      <w:r>
        <w:rPr>
          <w:b w:val="0"/>
          <w:i w:val="0"/>
        </w:rPr>
        <w:t>Four limitations qualify the results. First, the model is calibrated rather than estimated. Four diffusion and augmentation parameters are fitted exactly to four published benchmarks, and the structural parameters are taken from the literature or derived from equilibrium conditions; the quantitative results should therefore be read as the behaviour of a disciplined structure, not as a forecast. The natural next step is estimation on firm-level panel data linking measured GenAI adoption to the age composition of hiring and to internal promotion rates, which would allow the elasticity in Equation (19) to be identified directly rather than derived.</w:t>
      </w:r>
    </w:p>
    <w:p>
      <w:pPr>
        <w:pStyle w:val="MDPI31text"/>
      </w:pPr>
      <w:r>
        <w:rPr>
          <w:b w:val="0"/>
          <w:i w:val="0"/>
        </w:rPr>
        <w:t xml:space="preserve">Second, the workforce is aggregated into two classes and the sector into a representative organisation. A vintage-structured workforce would permit the cohort-scarring channel to be modelled explicitly rather than inferred, and a multi-firm formulation would allow heterogeneous strategies to compete, which is where the composition fallacy of Section 4.5 would become a genuine coordination problem with free-riding on other firms' training. Third, the external frontier is exogenous and smooth. Discrete capability jumps, and the possibility that the automation ceiling itself is endogenous to how much codified practice the sector has published, are outside the boundary. Fourth, the model represents a highly exposed knowledge-intensive sector. Sectors in which the entry band is physical rather than cognitive will have different task shares and, plausibly, a different sign; extending the analysis across occupational groups using published exposure indices </w:t>
      </w:r>
      <w:r>
        <w:t>[</w:t>
      </w:r>
      <w:r>
        <w:fldChar w:fldCharType="begin"/>
      </w:r>
      <w:r>
        <w:instrText xml:space="preserve"> REF _Ref_6 \h </w:instrText>
      </w:r>
      <w:r>
        <w:fldChar w:fldCharType="separate"/>
      </w:r>
      <w:r>
        <w:t>6</w:t>
      </w:r>
      <w:r>
        <w:fldChar w:fldCharType="end"/>
      </w:r>
      <w:r>
        <w:t>,</w:t>
      </w:r>
      <w:r>
        <w:fldChar w:fldCharType="begin"/>
      </w:r>
      <w:r>
        <w:instrText xml:space="preserve"> REF _Ref_7 \h </w:instrText>
      </w:r>
      <w:r>
        <w:fldChar w:fldCharType="separate"/>
      </w:r>
      <w:r>
        <w:t>7</w:t>
      </w:r>
      <w:r>
        <w:fldChar w:fldCharType="end"/>
      </w:r>
      <w:r>
        <w:t>]</w:t>
      </w:r>
      <w:r>
        <w:rPr>
          <w:b w:val="0"/>
          <w:i w:val="0"/>
        </w:rPr>
        <w:t xml:space="preserve"> is a direct application of the same structure. Finally, the model treats the quality of AI-mediated skill formation through a single index </w:t>
      </w:r>
      <m:oMath>
        <m:r>
          <m:t xml:space="preserve">x</m:t>
        </m:r>
      </m:oMath>
      <w:r>
        <w:rPr>
          <w:b w:val="0"/>
          <w:i w:val="0"/>
        </w:rPr>
        <w:t xml:space="preserve">; the qualitative literature suggests this process is heterogeneous across professions and worth modelling in more detail </w:t>
      </w:r>
      <w:r>
        <w:t>[</w:t>
      </w:r>
      <w:r>
        <w:fldChar w:fldCharType="begin"/>
      </w:r>
      <w:r>
        <w:instrText xml:space="preserve"> REF _Ref_23 \h </w:instrText>
      </w:r>
      <w:r>
        <w:fldChar w:fldCharType="separate"/>
      </w:r>
      <w:r>
        <w:t>23</w:t>
      </w:r>
      <w:r>
        <w:fldChar w:fldCharType="end"/>
      </w:r>
      <w:r>
        <w:t>,</w:t>
      </w:r>
      <w:r>
        <w:fldChar w:fldCharType="begin"/>
      </w:r>
      <w:r>
        <w:instrText xml:space="preserve"> REF _Ref_25 \h </w:instrText>
      </w:r>
      <w:r>
        <w:fldChar w:fldCharType="separate"/>
      </w:r>
      <w:r>
        <w:t>25</w:t>
      </w:r>
      <w:r>
        <w:fldChar w:fldCharType="end"/>
      </w:r>
      <w:r>
        <w:t>,</w:t>
      </w:r>
      <w:r>
        <w:fldChar w:fldCharType="begin"/>
      </w:r>
      <w:r>
        <w:instrText xml:space="preserve"> REF _Ref_46 \h </w:instrText>
      </w:r>
      <w:r>
        <w:fldChar w:fldCharType="separate"/>
      </w:r>
      <w:r>
        <w:t>46</w:t>
      </w:r>
      <w:r>
        <w:fldChar w:fldCharType="end"/>
      </w:r>
      <w:r>
        <w:t>]</w:t>
      </w:r>
      <w:r>
        <w:rPr>
          <w:b w:val="0"/>
          <w:i w:val="0"/>
        </w:rPr>
        <w:t>.</w:t>
      </w:r>
    </w:p>
    <w:p>
      <w:pPr>
        <w:pStyle w:val="MDPI21heading1"/>
      </w:pPr>
      <w:r>
        <w:t>6. Conclusions</w:t>
      </w:r>
    </w:p>
    <w:p>
      <w:pPr>
        <w:pStyle w:val="MDPI32textnoindent"/>
      </w:pPr>
      <w:r>
        <w:rPr>
          <w:b w:val="0"/>
          <w:i w:val="0"/>
        </w:rPr>
        <w:t>Generative artificial intelligence is diffusing fastest through the tasks that have historically formed the first rung of the professional career ladder, and the earliest employment evidence shows that rung narrowing. This paper has argued that the narrowing is not a technological verdict but a system outcome, and it has built and validated a socio-technical system dynamics model to demonstrate the point. In the calibrated baseline, entry employment falls 15.0% within three years, troughs at 37.2% below the counterfactual in year seven and remains 30.7% below it after 25 years, while the thinning of the pipeline leaves the organisation delivering 14% less output than it plans. Yet across the design space the same technology produces effects ranging from −70.0% to +19.2%, and the boundary between the two regimes is drawn by two organisational parameters: how far automation is pushed into the entry band, and how far higher-level work is reinstated to AI-assisted juniors. Work redesign and investment in human–AI collaboration routines are complements, interacting positively by 2.74 percentage points, while an automation-first strategy is a capability trap that ends the horizon with output 15.7% below the level the organisation would have reached without the technology.</w:t>
      </w:r>
    </w:p>
    <w:p>
      <w:pPr>
        <w:pStyle w:val="MDPI31text"/>
      </w:pPr>
      <w:r>
        <w:rPr>
          <w:b w:val="0"/>
          <w:i w:val="0"/>
        </w:rPr>
        <w:t>The practical implication is that the entry port should be managed as infrastructure rather than as a cost line. It is the mechanism through which a sector reproduces the experienced judgement that its future depends on, and it is also, for a generation of young workers, the mechanism through which a career begins. Whether generative AI closes that mechanism or reopens it at a higher level of capability is being decided now, in decisions about task design, learning investment and apprenticeship that are made one organisation at a time and whose consequences arrive a decade later. The value of a systems approach is that it makes those consequences visible while the decisions are still open.</w:t>
      </w:r>
    </w:p>
    <w:p>
      <w:pPr>
        <w:pStyle w:val="MDPI62backmatter"/>
        <w:spacing w:before="120"/>
      </w:pPr>
      <w:r>
        <w:rPr>
          <w:b/>
          <w:i/>
        </w:rPr>
        <w:t xml:space="preserve">Author Contributions: </w:t>
      </w:r>
      <w:r>
        <w:rPr>
          <w:b w:val="0"/>
          <w:i w:val="0"/>
          <w:sz w:val="18"/>
        </w:rPr>
        <w:t>Conceptualization, [A.B.]; methodology, [A.B.]; software, [A.B.]; validation, [A.B.]; formal analysis, [A.B.]; investigation, [A.B.]; writing—original draft preparation, [A.B.]; writing—review and editing, [A.B.]; visualization, [A.B.]. The author has read and agreed to the published version of the manuscript.</w:t>
      </w:r>
    </w:p>
    <w:p>
      <w:pPr>
        <w:pStyle w:val="MDPI62backmatter"/>
        <w:spacing w:before="120"/>
      </w:pPr>
      <w:r>
        <w:rPr>
          <w:b/>
          <w:i/>
        </w:rPr>
        <w:t xml:space="preserve">Funding: </w:t>
      </w:r>
      <w:r>
        <w:rPr>
          <w:b w:val="0"/>
          <w:i w:val="0"/>
          <w:sz w:val="18"/>
        </w:rPr>
        <w:t>This research received no external funding.</w:t>
      </w:r>
    </w:p>
    <w:p>
      <w:pPr>
        <w:pStyle w:val="MDPI62backmatter"/>
        <w:spacing w:before="120"/>
      </w:pPr>
      <w:r>
        <w:rPr>
          <w:b/>
          <w:i/>
        </w:rPr>
        <w:t xml:space="preserve">Data Availability Statement: </w:t>
      </w:r>
      <w:r>
        <w:rPr>
          <w:b w:val="0"/>
          <w:i w:val="0"/>
          <w:sz w:val="18"/>
        </w:rPr>
        <w:t>No new empirical data were created. The model source code, the calibration routine, the complete simulation output underlying every table and figure, and the scripts that regenerate them are available from the author on request.</w:t>
      </w:r>
    </w:p>
    <w:p>
      <w:pPr>
        <w:pStyle w:val="MDPI62backmatter"/>
        <w:spacing w:before="120"/>
      </w:pPr>
      <w:r>
        <w:rPr>
          <w:b/>
          <w:i/>
        </w:rPr>
        <w:t xml:space="preserve">Conflicts of Interest: </w:t>
      </w:r>
      <w:r>
        <w:rPr>
          <w:b w:val="0"/>
          <w:i w:val="0"/>
          <w:sz w:val="18"/>
        </w:rPr>
        <w:t>The author declares no conflicts of interest.</w:t>
      </w:r>
    </w:p>
    <w:p>
      <w:pPr>
        <w:pStyle w:val="MDPI21heading1"/>
      </w:pPr>
      <w:r>
        <w:t>References</w:t>
      </w:r>
    </w:p>
    <w:p>
      <w:pPr>
        <w:pStyle w:val="MDPI32textnoindent"/>
        <w:spacing w:line="240" w:lineRule="auto" w:after="40"/>
        <w:ind w:left="2948" w:hanging="340"/>
      </w:pPr>
      <w:bookmarkStart w:id="1001" w:name="_Ref_1"/>
      <w:r>
        <w:rPr>
          <w:b w:val="0"/>
          <w:sz w:val="16"/>
        </w:rPr>
        <w:t>1</w:t>
      </w:r>
      <w:bookmarkEnd w:id="1001"/>
      <w:r>
        <w:rPr>
          <w:sz w:val="16"/>
        </w:rPr>
        <w:t xml:space="preserve">. </w:t>
      </w:r>
      <w:r>
        <w:rPr>
          <w:b w:val="0"/>
          <w:i w:val="0"/>
          <w:sz w:val="16"/>
        </w:rPr>
        <w:t xml:space="preserve">Brynjolfsson, E.; Li, D.; Raymond, L.R. </w:t>
      </w:r>
      <w:r>
        <w:rPr>
          <w:b w:val="0"/>
          <w:i w:val="0"/>
          <w:sz w:val="16"/>
        </w:rPr>
        <w:t xml:space="preserve">Generative AI at Work. </w:t>
      </w:r>
      <w:r>
        <w:rPr>
          <w:b w:val="0"/>
          <w:i/>
          <w:sz w:val="16"/>
        </w:rPr>
        <w:t xml:space="preserve">Q. J. Econ. </w:t>
      </w:r>
      <w:r>
        <w:rPr>
          <w:b/>
          <w:i w:val="0"/>
          <w:sz w:val="16"/>
        </w:rPr>
        <w:t>2025</w:t>
      </w:r>
      <w:r>
        <w:rPr>
          <w:b w:val="0"/>
          <w:i w:val="0"/>
          <w:sz w:val="16"/>
        </w:rPr>
        <w:t xml:space="preserve">, </w:t>
      </w:r>
      <w:r>
        <w:rPr>
          <w:b w:val="0"/>
          <w:i/>
          <w:sz w:val="16"/>
        </w:rPr>
        <w:t>140</w:t>
      </w:r>
      <w:r>
        <w:rPr>
          <w:b w:val="0"/>
          <w:i w:val="0"/>
          <w:sz w:val="16"/>
        </w:rPr>
        <w:t>, 889–942.</w:t>
      </w:r>
      <w:r>
        <w:rPr>
          <w:b w:val="0"/>
          <w:i w:val="0"/>
          <w:sz w:val="16"/>
        </w:rPr>
        <w:t xml:space="preserve"> [CrossRef]</w:t>
      </w:r>
    </w:p>
    <w:p>
      <w:pPr>
        <w:pStyle w:val="MDPI32textnoindent"/>
        <w:spacing w:line="240" w:lineRule="auto" w:after="40"/>
        <w:ind w:left="2948" w:hanging="340"/>
      </w:pPr>
      <w:bookmarkStart w:id="1002" w:name="_Ref_2"/>
      <w:r>
        <w:rPr>
          <w:b w:val="0"/>
          <w:sz w:val="16"/>
        </w:rPr>
        <w:t>2</w:t>
      </w:r>
      <w:bookmarkEnd w:id="1002"/>
      <w:r>
        <w:rPr>
          <w:sz w:val="16"/>
        </w:rPr>
        <w:t xml:space="preserve">. </w:t>
      </w:r>
      <w:r>
        <w:rPr>
          <w:b w:val="0"/>
          <w:i w:val="0"/>
          <w:sz w:val="16"/>
        </w:rPr>
        <w:t xml:space="preserve">Noy, S.; Zhang, W. </w:t>
      </w:r>
      <w:r>
        <w:rPr>
          <w:b w:val="0"/>
          <w:i w:val="0"/>
          <w:sz w:val="16"/>
        </w:rPr>
        <w:t xml:space="preserve">Experimental Evidence on the Productivity Effects of Generative Artificial Intelligence. </w:t>
      </w:r>
      <w:r>
        <w:rPr>
          <w:b w:val="0"/>
          <w:i/>
          <w:sz w:val="16"/>
        </w:rPr>
        <w:t xml:space="preserve">Science </w:t>
      </w:r>
      <w:r>
        <w:rPr>
          <w:b/>
          <w:i w:val="0"/>
          <w:sz w:val="16"/>
        </w:rPr>
        <w:t>2023</w:t>
      </w:r>
      <w:r>
        <w:rPr>
          <w:b w:val="0"/>
          <w:i w:val="0"/>
          <w:sz w:val="16"/>
        </w:rPr>
        <w:t xml:space="preserve">, </w:t>
      </w:r>
      <w:r>
        <w:rPr>
          <w:b w:val="0"/>
          <w:i/>
          <w:sz w:val="16"/>
        </w:rPr>
        <w:t>381</w:t>
      </w:r>
      <w:r>
        <w:rPr>
          <w:b w:val="0"/>
          <w:i w:val="0"/>
          <w:sz w:val="16"/>
        </w:rPr>
        <w:t>, 187–192.</w:t>
      </w:r>
      <w:r>
        <w:rPr>
          <w:b w:val="0"/>
          <w:i w:val="0"/>
          <w:sz w:val="16"/>
        </w:rPr>
        <w:t xml:space="preserve"> [CrossRef]</w:t>
      </w:r>
    </w:p>
    <w:p>
      <w:pPr>
        <w:pStyle w:val="MDPI32textnoindent"/>
        <w:spacing w:line="240" w:lineRule="auto" w:after="40"/>
        <w:ind w:left="2948" w:hanging="340"/>
      </w:pPr>
      <w:bookmarkStart w:id="1003" w:name="_Ref_3"/>
      <w:r>
        <w:rPr>
          <w:b w:val="0"/>
          <w:sz w:val="16"/>
        </w:rPr>
        <w:t>3</w:t>
      </w:r>
      <w:bookmarkEnd w:id="1003"/>
      <w:r>
        <w:rPr>
          <w:sz w:val="16"/>
        </w:rPr>
        <w:t xml:space="preserve">. </w:t>
      </w:r>
      <w:r>
        <w:rPr>
          <w:b w:val="0"/>
          <w:i w:val="0"/>
          <w:sz w:val="16"/>
        </w:rPr>
        <w:t xml:space="preserve">Dell'Acqua, F.; McFowland, E., III; Mollick, E.R.; Lifshitz-Assaf, H.; Kellogg, K.C.; Rajendran, S.; Krayer, L.; Candelon, F.; Lakhani, K.R. </w:t>
      </w:r>
      <w:r>
        <w:rPr>
          <w:b w:val="0"/>
          <w:i w:val="0"/>
          <w:sz w:val="16"/>
        </w:rPr>
        <w:t xml:space="preserve">Navigating the Jagged Technological Frontier: Field Experimental Evidence of the Effects of Artificial Intelligence on Knowledge Worker Productivity and Quality. </w:t>
      </w:r>
      <w:r>
        <w:rPr>
          <w:b w:val="0"/>
          <w:i/>
          <w:sz w:val="16"/>
        </w:rPr>
        <w:t xml:space="preserve">Organ. Sci. </w:t>
      </w:r>
      <w:r>
        <w:rPr>
          <w:b/>
          <w:i w:val="0"/>
          <w:sz w:val="16"/>
        </w:rPr>
        <w:t>2026</w:t>
      </w:r>
      <w:r>
        <w:rPr>
          <w:b w:val="0"/>
          <w:i w:val="0"/>
          <w:sz w:val="16"/>
        </w:rPr>
        <w:t xml:space="preserve">, </w:t>
      </w:r>
      <w:r>
        <w:rPr>
          <w:b w:val="0"/>
          <w:i w:val="0"/>
          <w:sz w:val="16"/>
        </w:rPr>
        <w:t>in press.</w:t>
      </w:r>
      <w:r>
        <w:rPr>
          <w:b w:val="0"/>
          <w:i w:val="0"/>
          <w:sz w:val="16"/>
        </w:rPr>
        <w:t xml:space="preserve"> [CrossRef]</w:t>
      </w:r>
    </w:p>
    <w:p>
      <w:pPr>
        <w:pStyle w:val="MDPI32textnoindent"/>
        <w:spacing w:line="240" w:lineRule="auto" w:after="40"/>
        <w:ind w:left="2948" w:hanging="340"/>
      </w:pPr>
      <w:bookmarkStart w:id="1004" w:name="_Ref_4"/>
      <w:r>
        <w:rPr>
          <w:b w:val="0"/>
          <w:sz w:val="16"/>
        </w:rPr>
        <w:t>4</w:t>
      </w:r>
      <w:bookmarkEnd w:id="1004"/>
      <w:r>
        <w:rPr>
          <w:sz w:val="16"/>
        </w:rPr>
        <w:t xml:space="preserve">. </w:t>
      </w:r>
      <w:r>
        <w:rPr>
          <w:b w:val="0"/>
          <w:i w:val="0"/>
          <w:sz w:val="16"/>
        </w:rPr>
        <w:t xml:space="preserve">Cui, Z.K.; Demirer, M.; Jaffe, S.; Musolff, L.; Peng, S.; Salz, T. </w:t>
      </w:r>
      <w:r>
        <w:rPr>
          <w:b w:val="0"/>
          <w:i w:val="0"/>
          <w:sz w:val="16"/>
        </w:rPr>
        <w:t xml:space="preserve">The Effects of Generative AI on High-Skilled Work: Evidence from Three Field Experiments with Software Developers. </w:t>
      </w:r>
      <w:r>
        <w:rPr>
          <w:b w:val="0"/>
          <w:i/>
          <w:sz w:val="16"/>
        </w:rPr>
        <w:t xml:space="preserve">Manag. Sci. </w:t>
      </w:r>
      <w:r>
        <w:rPr>
          <w:b/>
          <w:i w:val="0"/>
          <w:sz w:val="16"/>
        </w:rPr>
        <w:t>2026</w:t>
      </w:r>
      <w:r>
        <w:rPr>
          <w:b w:val="0"/>
          <w:i w:val="0"/>
          <w:sz w:val="16"/>
        </w:rPr>
        <w:t xml:space="preserve">, </w:t>
      </w:r>
      <w:r>
        <w:rPr>
          <w:b w:val="0"/>
          <w:i w:val="0"/>
          <w:sz w:val="16"/>
        </w:rPr>
        <w:t>in press.</w:t>
      </w:r>
      <w:r>
        <w:rPr>
          <w:b w:val="0"/>
          <w:i w:val="0"/>
          <w:sz w:val="16"/>
        </w:rPr>
        <w:t xml:space="preserve"> [CrossRef]</w:t>
      </w:r>
    </w:p>
    <w:p>
      <w:pPr>
        <w:pStyle w:val="MDPI32textnoindent"/>
        <w:spacing w:line="240" w:lineRule="auto" w:after="40"/>
        <w:ind w:left="2948" w:hanging="340"/>
      </w:pPr>
      <w:bookmarkStart w:id="1005" w:name="_Ref_5"/>
      <w:r>
        <w:rPr>
          <w:b w:val="0"/>
          <w:sz w:val="16"/>
        </w:rPr>
        <w:t>5</w:t>
      </w:r>
      <w:bookmarkEnd w:id="1005"/>
      <w:r>
        <w:rPr>
          <w:sz w:val="16"/>
        </w:rPr>
        <w:t xml:space="preserve">. </w:t>
      </w:r>
      <w:r>
        <w:rPr>
          <w:b w:val="0"/>
          <w:i w:val="0"/>
          <w:sz w:val="16"/>
        </w:rPr>
        <w:t xml:space="preserve">Otis, N.G.; Clarke, R.; Delecourt, S.; Holtz, D.; Koning, R. </w:t>
      </w:r>
      <w:r>
        <w:rPr>
          <w:b w:val="0"/>
          <w:i w:val="0"/>
          <w:sz w:val="16"/>
        </w:rPr>
        <w:t xml:space="preserve">The Uneven Impact of Generative Artificial Intelligence on Entrepreneurial Performance: Evidence from a Field Experiment in Kenya. </w:t>
      </w:r>
      <w:r>
        <w:rPr>
          <w:b w:val="0"/>
          <w:i/>
          <w:sz w:val="16"/>
        </w:rPr>
        <w:t xml:space="preserve">Manag. Sci. </w:t>
      </w:r>
      <w:r>
        <w:rPr>
          <w:b/>
          <w:i w:val="0"/>
          <w:sz w:val="16"/>
        </w:rPr>
        <w:t>2026</w:t>
      </w:r>
      <w:r>
        <w:rPr>
          <w:b w:val="0"/>
          <w:i w:val="0"/>
          <w:sz w:val="16"/>
        </w:rPr>
        <w:t xml:space="preserve">, </w:t>
      </w:r>
      <w:r>
        <w:rPr>
          <w:b w:val="0"/>
          <w:i w:val="0"/>
          <w:sz w:val="16"/>
        </w:rPr>
        <w:t>in press.</w:t>
      </w:r>
      <w:r>
        <w:rPr>
          <w:b w:val="0"/>
          <w:i w:val="0"/>
          <w:sz w:val="16"/>
        </w:rPr>
        <w:t xml:space="preserve"> [CrossRef]</w:t>
      </w:r>
    </w:p>
    <w:p>
      <w:pPr>
        <w:pStyle w:val="MDPI32textnoindent"/>
        <w:spacing w:line="240" w:lineRule="auto" w:after="40"/>
        <w:ind w:left="2948" w:hanging="340"/>
      </w:pPr>
      <w:bookmarkStart w:id="1006" w:name="_Ref_6"/>
      <w:r>
        <w:rPr>
          <w:b w:val="0"/>
          <w:sz w:val="16"/>
        </w:rPr>
        <w:t>6</w:t>
      </w:r>
      <w:bookmarkEnd w:id="1006"/>
      <w:r>
        <w:rPr>
          <w:sz w:val="16"/>
        </w:rPr>
        <w:t xml:space="preserve">. </w:t>
      </w:r>
      <w:r>
        <w:rPr>
          <w:b w:val="0"/>
          <w:i w:val="0"/>
          <w:sz w:val="16"/>
        </w:rPr>
        <w:t xml:space="preserve">Eloundou, T.; Manning, S.; Mishkin, P.; Rock, D. </w:t>
      </w:r>
      <w:r>
        <w:rPr>
          <w:b w:val="0"/>
          <w:i w:val="0"/>
          <w:sz w:val="16"/>
        </w:rPr>
        <w:t xml:space="preserve">GPTs Are GPTs: Labor Market Impact Potential of LLMs. </w:t>
      </w:r>
      <w:r>
        <w:rPr>
          <w:b w:val="0"/>
          <w:i/>
          <w:sz w:val="16"/>
        </w:rPr>
        <w:t xml:space="preserve">Science </w:t>
      </w:r>
      <w:r>
        <w:rPr>
          <w:b/>
          <w:i w:val="0"/>
          <w:sz w:val="16"/>
        </w:rPr>
        <w:t>2024</w:t>
      </w:r>
      <w:r>
        <w:rPr>
          <w:b w:val="0"/>
          <w:i w:val="0"/>
          <w:sz w:val="16"/>
        </w:rPr>
        <w:t xml:space="preserve">, </w:t>
      </w:r>
      <w:r>
        <w:rPr>
          <w:b w:val="0"/>
          <w:i/>
          <w:sz w:val="16"/>
        </w:rPr>
        <w:t>384</w:t>
      </w:r>
      <w:r>
        <w:rPr>
          <w:b w:val="0"/>
          <w:i w:val="0"/>
          <w:sz w:val="16"/>
        </w:rPr>
        <w:t>, 1306–1308.</w:t>
      </w:r>
      <w:r>
        <w:rPr>
          <w:b w:val="0"/>
          <w:i w:val="0"/>
          <w:sz w:val="16"/>
        </w:rPr>
        <w:t xml:space="preserve"> [CrossRef]</w:t>
      </w:r>
    </w:p>
    <w:p>
      <w:pPr>
        <w:pStyle w:val="MDPI32textnoindent"/>
        <w:spacing w:line="240" w:lineRule="auto" w:after="40"/>
        <w:ind w:left="2948" w:hanging="340"/>
      </w:pPr>
      <w:bookmarkStart w:id="1007" w:name="_Ref_7"/>
      <w:r>
        <w:rPr>
          <w:b w:val="0"/>
          <w:sz w:val="16"/>
        </w:rPr>
        <w:t>7</w:t>
      </w:r>
      <w:bookmarkEnd w:id="1007"/>
      <w:r>
        <w:rPr>
          <w:sz w:val="16"/>
        </w:rPr>
        <w:t xml:space="preserve">. </w:t>
      </w:r>
      <w:r>
        <w:rPr>
          <w:b w:val="0"/>
          <w:i w:val="0"/>
          <w:sz w:val="16"/>
        </w:rPr>
        <w:t xml:space="preserve">Felten, E.; Raj, M.; Seamans, R. </w:t>
      </w:r>
      <w:r>
        <w:rPr>
          <w:b w:val="0"/>
          <w:i w:val="0"/>
          <w:sz w:val="16"/>
        </w:rPr>
        <w:t xml:space="preserve">Occupational, Industry, and Geographic Exposure to Artificial Intelligence: A Novel Dataset and Its Potential Uses. </w:t>
      </w:r>
      <w:r>
        <w:rPr>
          <w:b w:val="0"/>
          <w:i/>
          <w:sz w:val="16"/>
        </w:rPr>
        <w:t xml:space="preserve">Strateg. Manag. J. </w:t>
      </w:r>
      <w:r>
        <w:rPr>
          <w:b/>
          <w:i w:val="0"/>
          <w:sz w:val="16"/>
        </w:rPr>
        <w:t>2021</w:t>
      </w:r>
      <w:r>
        <w:rPr>
          <w:b w:val="0"/>
          <w:i w:val="0"/>
          <w:sz w:val="16"/>
        </w:rPr>
        <w:t xml:space="preserve">, </w:t>
      </w:r>
      <w:r>
        <w:rPr>
          <w:b w:val="0"/>
          <w:i/>
          <w:sz w:val="16"/>
        </w:rPr>
        <w:t>42</w:t>
      </w:r>
      <w:r>
        <w:rPr>
          <w:b w:val="0"/>
          <w:i w:val="0"/>
          <w:sz w:val="16"/>
        </w:rPr>
        <w:t>, 2195–2217.</w:t>
      </w:r>
      <w:r>
        <w:rPr>
          <w:b w:val="0"/>
          <w:i w:val="0"/>
          <w:sz w:val="16"/>
        </w:rPr>
        <w:t xml:space="preserve"> [CrossRef]</w:t>
      </w:r>
    </w:p>
    <w:p>
      <w:pPr>
        <w:pStyle w:val="MDPI32textnoindent"/>
        <w:spacing w:line="240" w:lineRule="auto" w:after="40"/>
        <w:ind w:left="2948" w:hanging="340"/>
      </w:pPr>
      <w:bookmarkStart w:id="1008" w:name="_Ref_8"/>
      <w:r>
        <w:rPr>
          <w:b w:val="0"/>
          <w:sz w:val="16"/>
        </w:rPr>
        <w:t>8</w:t>
      </w:r>
      <w:bookmarkEnd w:id="1008"/>
      <w:r>
        <w:rPr>
          <w:sz w:val="16"/>
        </w:rPr>
        <w:t xml:space="preserve">. </w:t>
      </w:r>
      <w:r>
        <w:rPr>
          <w:b w:val="0"/>
          <w:i w:val="0"/>
          <w:sz w:val="16"/>
        </w:rPr>
        <w:t xml:space="preserve">Brynjolfsson, E.; Chandar, B.; Chen, R. </w:t>
      </w:r>
      <w:r>
        <w:rPr>
          <w:b w:val="0"/>
          <w:i/>
          <w:sz w:val="16"/>
        </w:rPr>
        <w:t xml:space="preserve">Canaries in the Coal Mine? Six Facts about the Recent Employment Effects of Artificial Intelligence; </w:t>
      </w:r>
      <w:r>
        <w:rPr>
          <w:b w:val="0"/>
          <w:i w:val="0"/>
          <w:sz w:val="16"/>
        </w:rPr>
        <w:t xml:space="preserve">Working Paper; </w:t>
      </w:r>
      <w:r>
        <w:rPr>
          <w:b w:val="0"/>
          <w:i w:val="0"/>
          <w:sz w:val="16"/>
        </w:rPr>
        <w:t>Stanford Digital Economy Lab, Stanford University: Stanford, CA, USA, 2025.</w:t>
      </w:r>
    </w:p>
    <w:p>
      <w:pPr>
        <w:pStyle w:val="MDPI32textnoindent"/>
        <w:spacing w:line="240" w:lineRule="auto" w:after="40"/>
        <w:ind w:left="2948" w:hanging="340"/>
      </w:pPr>
      <w:bookmarkStart w:id="1009" w:name="_Ref_9"/>
      <w:r>
        <w:rPr>
          <w:b w:val="0"/>
          <w:sz w:val="16"/>
        </w:rPr>
        <w:t>9</w:t>
      </w:r>
      <w:bookmarkEnd w:id="1009"/>
      <w:r>
        <w:rPr>
          <w:sz w:val="16"/>
        </w:rPr>
        <w:t xml:space="preserve">. </w:t>
      </w:r>
      <w:r>
        <w:rPr>
          <w:b w:val="0"/>
          <w:i w:val="0"/>
          <w:sz w:val="16"/>
        </w:rPr>
        <w:t xml:space="preserve">Humlum, A.; Vestergaard, E. </w:t>
      </w:r>
      <w:r>
        <w:rPr>
          <w:b w:val="0"/>
          <w:i/>
          <w:sz w:val="16"/>
        </w:rPr>
        <w:t xml:space="preserve">Large Language Models, Small Labor Market Effects; </w:t>
      </w:r>
      <w:r>
        <w:rPr>
          <w:b w:val="0"/>
          <w:i w:val="0"/>
          <w:sz w:val="16"/>
        </w:rPr>
        <w:t xml:space="preserve">NBER Working Paper 33777; </w:t>
      </w:r>
      <w:r>
        <w:rPr>
          <w:b w:val="0"/>
          <w:i w:val="0"/>
          <w:sz w:val="16"/>
        </w:rPr>
        <w:t>National Bureau of Economic Research: Cambridge, MA, USA, 2025.</w:t>
      </w:r>
    </w:p>
    <w:p>
      <w:pPr>
        <w:pStyle w:val="MDPI32textnoindent"/>
        <w:spacing w:line="240" w:lineRule="auto" w:after="40"/>
        <w:ind w:left="2948" w:hanging="340"/>
      </w:pPr>
      <w:bookmarkStart w:id="1010" w:name="_Ref_10"/>
      <w:r>
        <w:rPr>
          <w:b w:val="0"/>
          <w:sz w:val="16"/>
        </w:rPr>
        <w:t>10</w:t>
      </w:r>
      <w:bookmarkEnd w:id="1010"/>
      <w:r>
        <w:rPr>
          <w:sz w:val="16"/>
        </w:rPr>
        <w:t xml:space="preserve">. </w:t>
      </w:r>
      <w:r>
        <w:rPr>
          <w:b w:val="0"/>
          <w:i w:val="0"/>
          <w:sz w:val="16"/>
        </w:rPr>
        <w:t xml:space="preserve">Kahn, L.B. </w:t>
      </w:r>
      <w:r>
        <w:rPr>
          <w:b w:val="0"/>
          <w:i w:val="0"/>
          <w:sz w:val="16"/>
        </w:rPr>
        <w:t xml:space="preserve">The Long-Term Labor Market Consequences of Graduating from College in a Bad Economy. </w:t>
      </w:r>
      <w:r>
        <w:rPr>
          <w:b w:val="0"/>
          <w:i/>
          <w:sz w:val="16"/>
        </w:rPr>
        <w:t xml:space="preserve">Labour Econ. </w:t>
      </w:r>
      <w:r>
        <w:rPr>
          <w:b/>
          <w:i w:val="0"/>
          <w:sz w:val="16"/>
        </w:rPr>
        <w:t>2010</w:t>
      </w:r>
      <w:r>
        <w:rPr>
          <w:b w:val="0"/>
          <w:i w:val="0"/>
          <w:sz w:val="16"/>
        </w:rPr>
        <w:t xml:space="preserve">, </w:t>
      </w:r>
      <w:r>
        <w:rPr>
          <w:b w:val="0"/>
          <w:i/>
          <w:sz w:val="16"/>
        </w:rPr>
        <w:t>17</w:t>
      </w:r>
      <w:r>
        <w:rPr>
          <w:b w:val="0"/>
          <w:i w:val="0"/>
          <w:sz w:val="16"/>
        </w:rPr>
        <w:t>, 303–316.</w:t>
      </w:r>
      <w:r>
        <w:rPr>
          <w:b w:val="0"/>
          <w:i w:val="0"/>
          <w:sz w:val="16"/>
        </w:rPr>
        <w:t xml:space="preserve"> [CrossRef]</w:t>
      </w:r>
    </w:p>
    <w:p>
      <w:pPr>
        <w:pStyle w:val="MDPI32textnoindent"/>
        <w:spacing w:line="240" w:lineRule="auto" w:after="40"/>
        <w:ind w:left="2948" w:hanging="340"/>
      </w:pPr>
      <w:bookmarkStart w:id="1011" w:name="_Ref_11"/>
      <w:r>
        <w:rPr>
          <w:b w:val="0"/>
          <w:sz w:val="16"/>
        </w:rPr>
        <w:t>11</w:t>
      </w:r>
      <w:bookmarkEnd w:id="1011"/>
      <w:r>
        <w:rPr>
          <w:sz w:val="16"/>
        </w:rPr>
        <w:t xml:space="preserve">. </w:t>
      </w:r>
      <w:r>
        <w:rPr>
          <w:b w:val="0"/>
          <w:i w:val="0"/>
          <w:sz w:val="16"/>
        </w:rPr>
        <w:t xml:space="preserve">Schwandt, H.; von Wachter, T. </w:t>
      </w:r>
      <w:r>
        <w:rPr>
          <w:b w:val="0"/>
          <w:i w:val="0"/>
          <w:sz w:val="16"/>
        </w:rPr>
        <w:t xml:space="preserve">Unlucky Cohorts: Estimating the Long-Term Effects of Entering the Labor Market in a Recession in Large Cross-Sectional Data Sets. </w:t>
      </w:r>
      <w:r>
        <w:rPr>
          <w:b w:val="0"/>
          <w:i/>
          <w:sz w:val="16"/>
        </w:rPr>
        <w:t xml:space="preserve">J. Labor Econ. </w:t>
      </w:r>
      <w:r>
        <w:rPr>
          <w:b/>
          <w:i w:val="0"/>
          <w:sz w:val="16"/>
        </w:rPr>
        <w:t>2019</w:t>
      </w:r>
      <w:r>
        <w:rPr>
          <w:b w:val="0"/>
          <w:i w:val="0"/>
          <w:sz w:val="16"/>
        </w:rPr>
        <w:t xml:space="preserve">, </w:t>
      </w:r>
      <w:r>
        <w:rPr>
          <w:b w:val="0"/>
          <w:i/>
          <w:sz w:val="16"/>
        </w:rPr>
        <w:t>37</w:t>
      </w:r>
      <w:r>
        <w:rPr>
          <w:b w:val="0"/>
          <w:i w:val="0"/>
          <w:sz w:val="16"/>
        </w:rPr>
        <w:t>, S161–S198.</w:t>
      </w:r>
      <w:r>
        <w:rPr>
          <w:b w:val="0"/>
          <w:i w:val="0"/>
          <w:sz w:val="16"/>
        </w:rPr>
        <w:t xml:space="preserve"> [CrossRef]</w:t>
      </w:r>
    </w:p>
    <w:p>
      <w:pPr>
        <w:pStyle w:val="MDPI32textnoindent"/>
        <w:spacing w:line="240" w:lineRule="auto" w:after="40"/>
        <w:ind w:left="2948" w:hanging="340"/>
      </w:pPr>
      <w:bookmarkStart w:id="1012" w:name="_Ref_12"/>
      <w:r>
        <w:rPr>
          <w:b w:val="0"/>
          <w:sz w:val="16"/>
        </w:rPr>
        <w:t>12</w:t>
      </w:r>
      <w:bookmarkEnd w:id="1012"/>
      <w:r>
        <w:rPr>
          <w:sz w:val="16"/>
        </w:rPr>
        <w:t xml:space="preserve">. </w:t>
      </w:r>
      <w:r>
        <w:rPr>
          <w:b w:val="0"/>
          <w:i w:val="0"/>
          <w:sz w:val="16"/>
        </w:rPr>
        <w:t xml:space="preserve">von Wachter, T. </w:t>
      </w:r>
      <w:r>
        <w:rPr>
          <w:b w:val="0"/>
          <w:i w:val="0"/>
          <w:sz w:val="16"/>
        </w:rPr>
        <w:t xml:space="preserve">The Persistent Effects of Initial Labor Market Conditions for Young Adults and Their Sources. </w:t>
      </w:r>
      <w:r>
        <w:rPr>
          <w:b w:val="0"/>
          <w:i/>
          <w:sz w:val="16"/>
        </w:rPr>
        <w:t xml:space="preserve">J. Econ. Perspect. </w:t>
      </w:r>
      <w:r>
        <w:rPr>
          <w:b/>
          <w:i w:val="0"/>
          <w:sz w:val="16"/>
        </w:rPr>
        <w:t>2020</w:t>
      </w:r>
      <w:r>
        <w:rPr>
          <w:b w:val="0"/>
          <w:i w:val="0"/>
          <w:sz w:val="16"/>
        </w:rPr>
        <w:t xml:space="preserve">, </w:t>
      </w:r>
      <w:r>
        <w:rPr>
          <w:b w:val="0"/>
          <w:i/>
          <w:sz w:val="16"/>
        </w:rPr>
        <w:t>34</w:t>
      </w:r>
      <w:r>
        <w:rPr>
          <w:b w:val="0"/>
          <w:i w:val="0"/>
          <w:sz w:val="16"/>
        </w:rPr>
        <w:t>, 168–194.</w:t>
      </w:r>
      <w:r>
        <w:rPr>
          <w:b w:val="0"/>
          <w:i w:val="0"/>
          <w:sz w:val="16"/>
        </w:rPr>
        <w:t xml:space="preserve"> [CrossRef]</w:t>
      </w:r>
    </w:p>
    <w:p>
      <w:pPr>
        <w:pStyle w:val="MDPI32textnoindent"/>
        <w:spacing w:line="240" w:lineRule="auto" w:after="40"/>
        <w:ind w:left="2948" w:hanging="340"/>
      </w:pPr>
      <w:bookmarkStart w:id="1013" w:name="_Ref_13"/>
      <w:r>
        <w:rPr>
          <w:b w:val="0"/>
          <w:sz w:val="16"/>
        </w:rPr>
        <w:t>13</w:t>
      </w:r>
      <w:bookmarkEnd w:id="1013"/>
      <w:r>
        <w:rPr>
          <w:sz w:val="16"/>
        </w:rPr>
        <w:t xml:space="preserve">. </w:t>
      </w:r>
      <w:r>
        <w:rPr>
          <w:b w:val="0"/>
          <w:i w:val="0"/>
          <w:sz w:val="16"/>
        </w:rPr>
        <w:t xml:space="preserve">International Labour Organization </w:t>
      </w:r>
      <w:r>
        <w:rPr>
          <w:b w:val="0"/>
          <w:i/>
          <w:sz w:val="16"/>
        </w:rPr>
        <w:t xml:space="preserve">Global Employment Trends for Youth 2024: Decent Work, Brighter Futures; </w:t>
      </w:r>
      <w:r>
        <w:rPr>
          <w:b w:val="0"/>
          <w:i w:val="0"/>
          <w:sz w:val="16"/>
        </w:rPr>
        <w:t>International Labour Office: Geneva, Switzerland, 2024.</w:t>
      </w:r>
    </w:p>
    <w:p>
      <w:pPr>
        <w:pStyle w:val="MDPI32textnoindent"/>
        <w:spacing w:line="240" w:lineRule="auto" w:after="40"/>
        <w:ind w:left="2948" w:hanging="340"/>
      </w:pPr>
      <w:bookmarkStart w:id="1014" w:name="_Ref_14"/>
      <w:r>
        <w:rPr>
          <w:b w:val="0"/>
          <w:sz w:val="16"/>
        </w:rPr>
        <w:t>14</w:t>
      </w:r>
      <w:bookmarkEnd w:id="1014"/>
      <w:r>
        <w:rPr>
          <w:sz w:val="16"/>
        </w:rPr>
        <w:t xml:space="preserve">. </w:t>
      </w:r>
      <w:r>
        <w:rPr>
          <w:b w:val="0"/>
          <w:i w:val="0"/>
          <w:sz w:val="16"/>
        </w:rPr>
        <w:t xml:space="preserve">World Economic Forum </w:t>
      </w:r>
      <w:r>
        <w:rPr>
          <w:b w:val="0"/>
          <w:i/>
          <w:sz w:val="16"/>
        </w:rPr>
        <w:t xml:space="preserve">The Future of Jobs Report 2025; </w:t>
      </w:r>
      <w:r>
        <w:rPr>
          <w:b w:val="0"/>
          <w:i w:val="0"/>
          <w:sz w:val="16"/>
        </w:rPr>
        <w:t>World Economic Forum: Geneva, Switzerland, 2025.</w:t>
      </w:r>
    </w:p>
    <w:p>
      <w:pPr>
        <w:pStyle w:val="MDPI32textnoindent"/>
        <w:spacing w:line="240" w:lineRule="auto" w:after="40"/>
        <w:ind w:left="2948" w:hanging="340"/>
      </w:pPr>
      <w:bookmarkStart w:id="1015" w:name="_Ref_15"/>
      <w:r>
        <w:rPr>
          <w:b w:val="0"/>
          <w:sz w:val="16"/>
        </w:rPr>
        <w:t>15</w:t>
      </w:r>
      <w:bookmarkEnd w:id="1015"/>
      <w:r>
        <w:rPr>
          <w:sz w:val="16"/>
        </w:rPr>
        <w:t xml:space="preserve">. </w:t>
      </w:r>
      <w:r>
        <w:rPr>
          <w:b w:val="0"/>
          <w:i w:val="0"/>
          <w:sz w:val="16"/>
        </w:rPr>
        <w:t xml:space="preserve">Acemoglu, D.; Restrepo, P. </w:t>
      </w:r>
      <w:r>
        <w:rPr>
          <w:b w:val="0"/>
          <w:i w:val="0"/>
          <w:sz w:val="16"/>
        </w:rPr>
        <w:t xml:space="preserve">The Race between Man and Machine: Implications of Technology for Growth, Factor Shares, and Employment. </w:t>
      </w:r>
      <w:r>
        <w:rPr>
          <w:b w:val="0"/>
          <w:i/>
          <w:sz w:val="16"/>
        </w:rPr>
        <w:t xml:space="preserve">Am. Econ. Rev. </w:t>
      </w:r>
      <w:r>
        <w:rPr>
          <w:b/>
          <w:i w:val="0"/>
          <w:sz w:val="16"/>
        </w:rPr>
        <w:t>2018</w:t>
      </w:r>
      <w:r>
        <w:rPr>
          <w:b w:val="0"/>
          <w:i w:val="0"/>
          <w:sz w:val="16"/>
        </w:rPr>
        <w:t xml:space="preserve">, </w:t>
      </w:r>
      <w:r>
        <w:rPr>
          <w:b w:val="0"/>
          <w:i/>
          <w:sz w:val="16"/>
        </w:rPr>
        <w:t>108</w:t>
      </w:r>
      <w:r>
        <w:rPr>
          <w:b w:val="0"/>
          <w:i w:val="0"/>
          <w:sz w:val="16"/>
        </w:rPr>
        <w:t>, 1488–1542.</w:t>
      </w:r>
      <w:r>
        <w:rPr>
          <w:b w:val="0"/>
          <w:i w:val="0"/>
          <w:sz w:val="16"/>
        </w:rPr>
        <w:t xml:space="preserve"> [CrossRef]</w:t>
      </w:r>
    </w:p>
    <w:p>
      <w:pPr>
        <w:pStyle w:val="MDPI32textnoindent"/>
        <w:spacing w:line="240" w:lineRule="auto" w:after="40"/>
        <w:ind w:left="2948" w:hanging="340"/>
      </w:pPr>
      <w:bookmarkStart w:id="1016" w:name="_Ref_16"/>
      <w:r>
        <w:rPr>
          <w:b w:val="0"/>
          <w:sz w:val="16"/>
        </w:rPr>
        <w:t>16</w:t>
      </w:r>
      <w:bookmarkEnd w:id="1016"/>
      <w:r>
        <w:rPr>
          <w:sz w:val="16"/>
        </w:rPr>
        <w:t xml:space="preserve">. </w:t>
      </w:r>
      <w:r>
        <w:rPr>
          <w:b w:val="0"/>
          <w:i w:val="0"/>
          <w:sz w:val="16"/>
        </w:rPr>
        <w:t xml:space="preserve">Acemoglu, D.; Restrepo, P. </w:t>
      </w:r>
      <w:r>
        <w:rPr>
          <w:b w:val="0"/>
          <w:i w:val="0"/>
          <w:sz w:val="16"/>
        </w:rPr>
        <w:t xml:space="preserve">Tasks, Automation, and the Rise in U.S. Wage Inequality. </w:t>
      </w:r>
      <w:r>
        <w:rPr>
          <w:b w:val="0"/>
          <w:i/>
          <w:sz w:val="16"/>
        </w:rPr>
        <w:t xml:space="preserve">Econometrica </w:t>
      </w:r>
      <w:r>
        <w:rPr>
          <w:b/>
          <w:i w:val="0"/>
          <w:sz w:val="16"/>
        </w:rPr>
        <w:t>2022</w:t>
      </w:r>
      <w:r>
        <w:rPr>
          <w:b w:val="0"/>
          <w:i w:val="0"/>
          <w:sz w:val="16"/>
        </w:rPr>
        <w:t xml:space="preserve">, </w:t>
      </w:r>
      <w:r>
        <w:rPr>
          <w:b w:val="0"/>
          <w:i/>
          <w:sz w:val="16"/>
        </w:rPr>
        <w:t>90</w:t>
      </w:r>
      <w:r>
        <w:rPr>
          <w:b w:val="0"/>
          <w:i w:val="0"/>
          <w:sz w:val="16"/>
        </w:rPr>
        <w:t>, 1973–2016.</w:t>
      </w:r>
      <w:r>
        <w:rPr>
          <w:b w:val="0"/>
          <w:i w:val="0"/>
          <w:sz w:val="16"/>
        </w:rPr>
        <w:t xml:space="preserve"> [CrossRef]</w:t>
      </w:r>
    </w:p>
    <w:p>
      <w:pPr>
        <w:pStyle w:val="MDPI32textnoindent"/>
        <w:spacing w:line="240" w:lineRule="auto" w:after="40"/>
        <w:ind w:left="2948" w:hanging="340"/>
      </w:pPr>
      <w:bookmarkStart w:id="1017" w:name="_Ref_17"/>
      <w:r>
        <w:rPr>
          <w:b w:val="0"/>
          <w:sz w:val="16"/>
        </w:rPr>
        <w:t>17</w:t>
      </w:r>
      <w:bookmarkEnd w:id="1017"/>
      <w:r>
        <w:rPr>
          <w:sz w:val="16"/>
        </w:rPr>
        <w:t xml:space="preserve">. </w:t>
      </w:r>
      <w:r>
        <w:rPr>
          <w:b w:val="0"/>
          <w:i w:val="0"/>
          <w:sz w:val="16"/>
        </w:rPr>
        <w:t xml:space="preserve">Autor, D.; Chin, C.; Salomons, A.; Seegmiller, B. </w:t>
      </w:r>
      <w:r>
        <w:rPr>
          <w:b w:val="0"/>
          <w:i w:val="0"/>
          <w:sz w:val="16"/>
        </w:rPr>
        <w:t xml:space="preserve">New Frontiers: The Origins and Content of New Work, 1940–2018. </w:t>
      </w:r>
      <w:r>
        <w:rPr>
          <w:b w:val="0"/>
          <w:i/>
          <w:sz w:val="16"/>
        </w:rPr>
        <w:t xml:space="preserve">Q. J. Econ. </w:t>
      </w:r>
      <w:r>
        <w:rPr>
          <w:b/>
          <w:i w:val="0"/>
          <w:sz w:val="16"/>
        </w:rPr>
        <w:t>2024</w:t>
      </w:r>
      <w:r>
        <w:rPr>
          <w:b w:val="0"/>
          <w:i w:val="0"/>
          <w:sz w:val="16"/>
        </w:rPr>
        <w:t xml:space="preserve">, </w:t>
      </w:r>
      <w:r>
        <w:rPr>
          <w:b w:val="0"/>
          <w:i/>
          <w:sz w:val="16"/>
        </w:rPr>
        <w:t>139</w:t>
      </w:r>
      <w:r>
        <w:rPr>
          <w:b w:val="0"/>
          <w:i w:val="0"/>
          <w:sz w:val="16"/>
        </w:rPr>
        <w:t>, 1399–1465.</w:t>
      </w:r>
      <w:r>
        <w:rPr>
          <w:b w:val="0"/>
          <w:i w:val="0"/>
          <w:sz w:val="16"/>
        </w:rPr>
        <w:t xml:space="preserve"> [CrossRef]</w:t>
      </w:r>
    </w:p>
    <w:p>
      <w:pPr>
        <w:pStyle w:val="MDPI32textnoindent"/>
        <w:spacing w:line="240" w:lineRule="auto" w:after="40"/>
        <w:ind w:left="2948" w:hanging="340"/>
      </w:pPr>
      <w:bookmarkStart w:id="1018" w:name="_Ref_18"/>
      <w:r>
        <w:rPr>
          <w:b w:val="0"/>
          <w:sz w:val="16"/>
        </w:rPr>
        <w:t>18</w:t>
      </w:r>
      <w:bookmarkEnd w:id="1018"/>
      <w:r>
        <w:rPr>
          <w:sz w:val="16"/>
        </w:rPr>
        <w:t xml:space="preserve">. </w:t>
      </w:r>
      <w:r>
        <w:rPr>
          <w:b w:val="0"/>
          <w:i w:val="0"/>
          <w:sz w:val="16"/>
        </w:rPr>
        <w:t xml:space="preserve">Raisch, S.; Krakowski, S. </w:t>
      </w:r>
      <w:r>
        <w:rPr>
          <w:b w:val="0"/>
          <w:i w:val="0"/>
          <w:sz w:val="16"/>
        </w:rPr>
        <w:t xml:space="preserve">Artificial Intelligence and Management: The Automation–Augmentation Paradox. </w:t>
      </w:r>
      <w:r>
        <w:rPr>
          <w:b w:val="0"/>
          <w:i/>
          <w:sz w:val="16"/>
        </w:rPr>
        <w:t xml:space="preserve">Acad. Manag. Rev. </w:t>
      </w:r>
      <w:r>
        <w:rPr>
          <w:b/>
          <w:i w:val="0"/>
          <w:sz w:val="16"/>
        </w:rPr>
        <w:t>2021</w:t>
      </w:r>
      <w:r>
        <w:rPr>
          <w:b w:val="0"/>
          <w:i w:val="0"/>
          <w:sz w:val="16"/>
        </w:rPr>
        <w:t xml:space="preserve">, </w:t>
      </w:r>
      <w:r>
        <w:rPr>
          <w:b w:val="0"/>
          <w:i/>
          <w:sz w:val="16"/>
        </w:rPr>
        <w:t>46</w:t>
      </w:r>
      <w:r>
        <w:rPr>
          <w:b w:val="0"/>
          <w:i w:val="0"/>
          <w:sz w:val="16"/>
        </w:rPr>
        <w:t>, 192–210.</w:t>
      </w:r>
      <w:r>
        <w:rPr>
          <w:b w:val="0"/>
          <w:i w:val="0"/>
          <w:sz w:val="16"/>
        </w:rPr>
        <w:t xml:space="preserve"> [CrossRef]</w:t>
      </w:r>
    </w:p>
    <w:p>
      <w:pPr>
        <w:pStyle w:val="MDPI32textnoindent"/>
        <w:spacing w:line="240" w:lineRule="auto" w:after="40"/>
        <w:ind w:left="2948" w:hanging="340"/>
      </w:pPr>
      <w:bookmarkStart w:id="1019" w:name="_Ref_19"/>
      <w:r>
        <w:rPr>
          <w:b w:val="0"/>
          <w:sz w:val="16"/>
        </w:rPr>
        <w:t>19</w:t>
      </w:r>
      <w:bookmarkEnd w:id="1019"/>
      <w:r>
        <w:rPr>
          <w:sz w:val="16"/>
        </w:rPr>
        <w:t xml:space="preserve">. </w:t>
      </w:r>
      <w:r>
        <w:rPr>
          <w:b w:val="0"/>
          <w:i w:val="0"/>
          <w:sz w:val="16"/>
        </w:rPr>
        <w:t xml:space="preserve">Murray, A.; Rhymer, J.; Sirmon, D.G. </w:t>
      </w:r>
      <w:r>
        <w:rPr>
          <w:b w:val="0"/>
          <w:i w:val="0"/>
          <w:sz w:val="16"/>
        </w:rPr>
        <w:t xml:space="preserve">Humans and Technology: Forms of Conjoined Agency in Organizations. </w:t>
      </w:r>
      <w:r>
        <w:rPr>
          <w:b w:val="0"/>
          <w:i/>
          <w:sz w:val="16"/>
        </w:rPr>
        <w:t xml:space="preserve">Acad. Manag. Rev. </w:t>
      </w:r>
      <w:r>
        <w:rPr>
          <w:b/>
          <w:i w:val="0"/>
          <w:sz w:val="16"/>
        </w:rPr>
        <w:t>2021</w:t>
      </w:r>
      <w:r>
        <w:rPr>
          <w:b w:val="0"/>
          <w:i w:val="0"/>
          <w:sz w:val="16"/>
        </w:rPr>
        <w:t xml:space="preserve">, </w:t>
      </w:r>
      <w:r>
        <w:rPr>
          <w:b w:val="0"/>
          <w:i/>
          <w:sz w:val="16"/>
        </w:rPr>
        <w:t>46</w:t>
      </w:r>
      <w:r>
        <w:rPr>
          <w:b w:val="0"/>
          <w:i w:val="0"/>
          <w:sz w:val="16"/>
        </w:rPr>
        <w:t>, 552–571.</w:t>
      </w:r>
      <w:r>
        <w:rPr>
          <w:b w:val="0"/>
          <w:i w:val="0"/>
          <w:sz w:val="16"/>
        </w:rPr>
        <w:t xml:space="preserve"> [CrossRef]</w:t>
      </w:r>
    </w:p>
    <w:p>
      <w:pPr>
        <w:pStyle w:val="MDPI32textnoindent"/>
        <w:spacing w:line="240" w:lineRule="auto" w:after="40"/>
        <w:ind w:left="2948" w:hanging="340"/>
      </w:pPr>
      <w:bookmarkStart w:id="1020" w:name="_Ref_20"/>
      <w:r>
        <w:rPr>
          <w:b w:val="0"/>
          <w:sz w:val="16"/>
        </w:rPr>
        <w:t>20</w:t>
      </w:r>
      <w:bookmarkEnd w:id="1020"/>
      <w:r>
        <w:rPr>
          <w:sz w:val="16"/>
        </w:rPr>
        <w:t xml:space="preserve">. </w:t>
      </w:r>
      <w:r>
        <w:rPr>
          <w:b w:val="0"/>
          <w:i w:val="0"/>
          <w:sz w:val="16"/>
        </w:rPr>
        <w:t xml:space="preserve">Krakowski, S.; Luger, J.; Raisch, S. </w:t>
      </w:r>
      <w:r>
        <w:rPr>
          <w:b w:val="0"/>
          <w:i w:val="0"/>
          <w:sz w:val="16"/>
        </w:rPr>
        <w:t xml:space="preserve">Artificial Intelligence and the Changing Sources of Competitive Advantage. </w:t>
      </w:r>
      <w:r>
        <w:rPr>
          <w:b w:val="0"/>
          <w:i/>
          <w:sz w:val="16"/>
        </w:rPr>
        <w:t xml:space="preserve">Strateg. Manag. J. </w:t>
      </w:r>
      <w:r>
        <w:rPr>
          <w:b/>
          <w:i w:val="0"/>
          <w:sz w:val="16"/>
        </w:rPr>
        <w:t>2023</w:t>
      </w:r>
      <w:r>
        <w:rPr>
          <w:b w:val="0"/>
          <w:i w:val="0"/>
          <w:sz w:val="16"/>
        </w:rPr>
        <w:t xml:space="preserve">, </w:t>
      </w:r>
      <w:r>
        <w:rPr>
          <w:b w:val="0"/>
          <w:i/>
          <w:sz w:val="16"/>
        </w:rPr>
        <w:t>44</w:t>
      </w:r>
      <w:r>
        <w:rPr>
          <w:b w:val="0"/>
          <w:i w:val="0"/>
          <w:sz w:val="16"/>
        </w:rPr>
        <w:t>, 1425–1452.</w:t>
      </w:r>
      <w:r>
        <w:rPr>
          <w:b w:val="0"/>
          <w:i w:val="0"/>
          <w:sz w:val="16"/>
        </w:rPr>
        <w:t xml:space="preserve"> [CrossRef]</w:t>
      </w:r>
    </w:p>
    <w:p>
      <w:pPr>
        <w:pStyle w:val="MDPI32textnoindent"/>
        <w:spacing w:line="240" w:lineRule="auto" w:after="40"/>
        <w:ind w:left="2948" w:hanging="340"/>
      </w:pPr>
      <w:bookmarkStart w:id="1021" w:name="_Ref_21"/>
      <w:r>
        <w:rPr>
          <w:b w:val="0"/>
          <w:sz w:val="16"/>
        </w:rPr>
        <w:t>21</w:t>
      </w:r>
      <w:bookmarkEnd w:id="1021"/>
      <w:r>
        <w:rPr>
          <w:sz w:val="16"/>
        </w:rPr>
        <w:t xml:space="preserve">. </w:t>
      </w:r>
      <w:r>
        <w:rPr>
          <w:b w:val="0"/>
          <w:i w:val="0"/>
          <w:sz w:val="16"/>
        </w:rPr>
        <w:t xml:space="preserve">Lave, J.; Wenger, E. </w:t>
      </w:r>
      <w:r>
        <w:rPr>
          <w:b w:val="0"/>
          <w:i/>
          <w:sz w:val="16"/>
        </w:rPr>
        <w:t>Situated Learning: Legitimate Peripheral Participation</w:t>
      </w:r>
      <w:r>
        <w:rPr>
          <w:b w:val="0"/>
          <w:i w:val="0"/>
          <w:sz w:val="16"/>
        </w:rPr>
        <w:t xml:space="preserve">; </w:t>
      </w:r>
      <w:r>
        <w:rPr>
          <w:b w:val="0"/>
          <w:i w:val="0"/>
          <w:sz w:val="16"/>
        </w:rPr>
        <w:t>Cambridge University Press: Cambridge, UK, 1991.</w:t>
      </w:r>
    </w:p>
    <w:p>
      <w:pPr>
        <w:pStyle w:val="MDPI32textnoindent"/>
        <w:spacing w:line="240" w:lineRule="auto" w:after="40"/>
        <w:ind w:left="2948" w:hanging="340"/>
      </w:pPr>
      <w:bookmarkStart w:id="1022" w:name="_Ref_22"/>
      <w:r>
        <w:rPr>
          <w:b w:val="0"/>
          <w:sz w:val="16"/>
        </w:rPr>
        <w:t>22</w:t>
      </w:r>
      <w:bookmarkEnd w:id="1022"/>
      <w:r>
        <w:rPr>
          <w:sz w:val="16"/>
        </w:rPr>
        <w:t xml:space="preserve">. </w:t>
      </w:r>
      <w:r>
        <w:rPr>
          <w:b w:val="0"/>
          <w:i w:val="0"/>
          <w:sz w:val="16"/>
        </w:rPr>
        <w:t xml:space="preserve">Argote, L.; Miron-Spektor, E. </w:t>
      </w:r>
      <w:r>
        <w:rPr>
          <w:b w:val="0"/>
          <w:i w:val="0"/>
          <w:sz w:val="16"/>
        </w:rPr>
        <w:t xml:space="preserve">Organizational Learning: From Experience to Knowledge. </w:t>
      </w:r>
      <w:r>
        <w:rPr>
          <w:b w:val="0"/>
          <w:i/>
          <w:sz w:val="16"/>
        </w:rPr>
        <w:t xml:space="preserve">Organ. Sci. </w:t>
      </w:r>
      <w:r>
        <w:rPr>
          <w:b/>
          <w:i w:val="0"/>
          <w:sz w:val="16"/>
        </w:rPr>
        <w:t>2011</w:t>
      </w:r>
      <w:r>
        <w:rPr>
          <w:b w:val="0"/>
          <w:i w:val="0"/>
          <w:sz w:val="16"/>
        </w:rPr>
        <w:t xml:space="preserve">, </w:t>
      </w:r>
      <w:r>
        <w:rPr>
          <w:b w:val="0"/>
          <w:i/>
          <w:sz w:val="16"/>
        </w:rPr>
        <w:t>22</w:t>
      </w:r>
      <w:r>
        <w:rPr>
          <w:b w:val="0"/>
          <w:i w:val="0"/>
          <w:sz w:val="16"/>
        </w:rPr>
        <w:t>, 1123–1137.</w:t>
      </w:r>
      <w:r>
        <w:rPr>
          <w:b w:val="0"/>
          <w:i w:val="0"/>
          <w:sz w:val="16"/>
        </w:rPr>
        <w:t xml:space="preserve"> [CrossRef]</w:t>
      </w:r>
    </w:p>
    <w:p>
      <w:pPr>
        <w:pStyle w:val="MDPI32textnoindent"/>
        <w:spacing w:line="240" w:lineRule="auto" w:after="40"/>
        <w:ind w:left="2948" w:hanging="340"/>
      </w:pPr>
      <w:bookmarkStart w:id="1023" w:name="_Ref_23"/>
      <w:r>
        <w:rPr>
          <w:b w:val="0"/>
          <w:sz w:val="16"/>
        </w:rPr>
        <w:t>23</w:t>
      </w:r>
      <w:bookmarkEnd w:id="1023"/>
      <w:r>
        <w:rPr>
          <w:sz w:val="16"/>
        </w:rPr>
        <w:t xml:space="preserve">. </w:t>
      </w:r>
      <w:r>
        <w:rPr>
          <w:b w:val="0"/>
          <w:i w:val="0"/>
          <w:sz w:val="16"/>
        </w:rPr>
        <w:t xml:space="preserve">Beane, M. </w:t>
      </w:r>
      <w:r>
        <w:rPr>
          <w:b w:val="0"/>
          <w:i w:val="0"/>
          <w:sz w:val="16"/>
        </w:rPr>
        <w:t xml:space="preserve">Shadow Learning: Building Robotic Surgical Skill When Approved Means Fail. </w:t>
      </w:r>
      <w:r>
        <w:rPr>
          <w:b w:val="0"/>
          <w:i/>
          <w:sz w:val="16"/>
        </w:rPr>
        <w:t xml:space="preserve">Adm. Sci. Q. </w:t>
      </w:r>
      <w:r>
        <w:rPr>
          <w:b/>
          <w:i w:val="0"/>
          <w:sz w:val="16"/>
        </w:rPr>
        <w:t>2019</w:t>
      </w:r>
      <w:r>
        <w:rPr>
          <w:b w:val="0"/>
          <w:i w:val="0"/>
          <w:sz w:val="16"/>
        </w:rPr>
        <w:t xml:space="preserve">, </w:t>
      </w:r>
      <w:r>
        <w:rPr>
          <w:b w:val="0"/>
          <w:i/>
          <w:sz w:val="16"/>
        </w:rPr>
        <w:t>64</w:t>
      </w:r>
      <w:r>
        <w:rPr>
          <w:b w:val="0"/>
          <w:i w:val="0"/>
          <w:sz w:val="16"/>
        </w:rPr>
        <w:t>, 87–123.</w:t>
      </w:r>
      <w:r>
        <w:rPr>
          <w:b w:val="0"/>
          <w:i w:val="0"/>
          <w:sz w:val="16"/>
        </w:rPr>
        <w:t xml:space="preserve"> [CrossRef]</w:t>
      </w:r>
    </w:p>
    <w:p>
      <w:pPr>
        <w:pStyle w:val="MDPI32textnoindent"/>
        <w:spacing w:line="240" w:lineRule="auto" w:after="40"/>
        <w:ind w:left="2948" w:hanging="340"/>
      </w:pPr>
      <w:bookmarkStart w:id="1024" w:name="_Ref_24"/>
      <w:r>
        <w:rPr>
          <w:b w:val="0"/>
          <w:sz w:val="16"/>
        </w:rPr>
        <w:t>24</w:t>
      </w:r>
      <w:bookmarkEnd w:id="1024"/>
      <w:r>
        <w:rPr>
          <w:sz w:val="16"/>
        </w:rPr>
        <w:t xml:space="preserve">. </w:t>
      </w:r>
      <w:r>
        <w:rPr>
          <w:b w:val="0"/>
          <w:i w:val="0"/>
          <w:sz w:val="16"/>
        </w:rPr>
        <w:t xml:space="preserve">Anthony, C. </w:t>
      </w:r>
      <w:r>
        <w:rPr>
          <w:b w:val="0"/>
          <w:i w:val="0"/>
          <w:sz w:val="16"/>
        </w:rPr>
        <w:t xml:space="preserve">When Knowledge Work and Analytical Technologies Collide: The Practices and Consequences of Black Boxing Algorithmic Technologies. </w:t>
      </w:r>
      <w:r>
        <w:rPr>
          <w:b w:val="0"/>
          <w:i/>
          <w:sz w:val="16"/>
        </w:rPr>
        <w:t xml:space="preserve">Adm. Sci. Q. </w:t>
      </w:r>
      <w:r>
        <w:rPr>
          <w:b/>
          <w:i w:val="0"/>
          <w:sz w:val="16"/>
        </w:rPr>
        <w:t>2021</w:t>
      </w:r>
      <w:r>
        <w:rPr>
          <w:b w:val="0"/>
          <w:i w:val="0"/>
          <w:sz w:val="16"/>
        </w:rPr>
        <w:t xml:space="preserve">, </w:t>
      </w:r>
      <w:r>
        <w:rPr>
          <w:b w:val="0"/>
          <w:i/>
          <w:sz w:val="16"/>
        </w:rPr>
        <w:t>66</w:t>
      </w:r>
      <w:r>
        <w:rPr>
          <w:b w:val="0"/>
          <w:i w:val="0"/>
          <w:sz w:val="16"/>
        </w:rPr>
        <w:t>, 1173–1212.</w:t>
      </w:r>
      <w:r>
        <w:rPr>
          <w:b w:val="0"/>
          <w:i w:val="0"/>
          <w:sz w:val="16"/>
        </w:rPr>
        <w:t xml:space="preserve"> [CrossRef]</w:t>
      </w:r>
    </w:p>
    <w:p>
      <w:pPr>
        <w:pStyle w:val="MDPI32textnoindent"/>
        <w:spacing w:line="240" w:lineRule="auto" w:after="40"/>
        <w:ind w:left="2948" w:hanging="340"/>
      </w:pPr>
      <w:bookmarkStart w:id="1025" w:name="_Ref_25"/>
      <w:r>
        <w:rPr>
          <w:b w:val="0"/>
          <w:sz w:val="16"/>
        </w:rPr>
        <w:t>25</w:t>
      </w:r>
      <w:bookmarkEnd w:id="1025"/>
      <w:r>
        <w:rPr>
          <w:sz w:val="16"/>
        </w:rPr>
        <w:t xml:space="preserve">. </w:t>
      </w:r>
      <w:r>
        <w:rPr>
          <w:b w:val="0"/>
          <w:i w:val="0"/>
          <w:sz w:val="16"/>
        </w:rPr>
        <w:t xml:space="preserve">Lebovitz, S.; Lifshitz-Assaf, H.; Levina, N. </w:t>
      </w:r>
      <w:r>
        <w:rPr>
          <w:b w:val="0"/>
          <w:i w:val="0"/>
          <w:sz w:val="16"/>
        </w:rPr>
        <w:t xml:space="preserve">To Engage or Not to Engage with AI for Critical Judgments: How Professionals Deal with Opacity When Using AI for Medical Diagnosis. </w:t>
      </w:r>
      <w:r>
        <w:rPr>
          <w:b w:val="0"/>
          <w:i/>
          <w:sz w:val="16"/>
        </w:rPr>
        <w:t xml:space="preserve">Organ. Sci. </w:t>
      </w:r>
      <w:r>
        <w:rPr>
          <w:b/>
          <w:i w:val="0"/>
          <w:sz w:val="16"/>
        </w:rPr>
        <w:t>2022</w:t>
      </w:r>
      <w:r>
        <w:rPr>
          <w:b w:val="0"/>
          <w:i w:val="0"/>
          <w:sz w:val="16"/>
        </w:rPr>
        <w:t xml:space="preserve">, </w:t>
      </w:r>
      <w:r>
        <w:rPr>
          <w:b w:val="0"/>
          <w:i/>
          <w:sz w:val="16"/>
        </w:rPr>
        <w:t>33</w:t>
      </w:r>
      <w:r>
        <w:rPr>
          <w:b w:val="0"/>
          <w:i w:val="0"/>
          <w:sz w:val="16"/>
        </w:rPr>
        <w:t>, 126–148.</w:t>
      </w:r>
      <w:r>
        <w:rPr>
          <w:b w:val="0"/>
          <w:i w:val="0"/>
          <w:sz w:val="16"/>
        </w:rPr>
        <w:t xml:space="preserve"> [CrossRef]</w:t>
      </w:r>
    </w:p>
    <w:p>
      <w:pPr>
        <w:pStyle w:val="MDPI32textnoindent"/>
        <w:spacing w:line="240" w:lineRule="auto" w:after="40"/>
        <w:ind w:left="2948" w:hanging="340"/>
      </w:pPr>
      <w:bookmarkStart w:id="1026" w:name="_Ref_26"/>
      <w:r>
        <w:rPr>
          <w:b w:val="0"/>
          <w:sz w:val="16"/>
        </w:rPr>
        <w:t>26</w:t>
      </w:r>
      <w:bookmarkEnd w:id="1026"/>
      <w:r>
        <w:rPr>
          <w:sz w:val="16"/>
        </w:rPr>
        <w:t xml:space="preserve">. </w:t>
      </w:r>
      <w:r>
        <w:rPr>
          <w:b w:val="0"/>
          <w:i w:val="0"/>
          <w:sz w:val="16"/>
        </w:rPr>
        <w:t xml:space="preserve">Repenning, N.P.; Sterman, J.D. </w:t>
      </w:r>
      <w:r>
        <w:rPr>
          <w:b w:val="0"/>
          <w:i w:val="0"/>
          <w:sz w:val="16"/>
        </w:rPr>
        <w:t xml:space="preserve">Capability Traps and Self-Confirming Attribution Errors in the Dynamics of Process Improvement. </w:t>
      </w:r>
      <w:r>
        <w:rPr>
          <w:b w:val="0"/>
          <w:i/>
          <w:sz w:val="16"/>
        </w:rPr>
        <w:t xml:space="preserve">Adm. Sci. Q. </w:t>
      </w:r>
      <w:r>
        <w:rPr>
          <w:b/>
          <w:i w:val="0"/>
          <w:sz w:val="16"/>
        </w:rPr>
        <w:t>2002</w:t>
      </w:r>
      <w:r>
        <w:rPr>
          <w:b w:val="0"/>
          <w:i w:val="0"/>
          <w:sz w:val="16"/>
        </w:rPr>
        <w:t xml:space="preserve">, </w:t>
      </w:r>
      <w:r>
        <w:rPr>
          <w:b w:val="0"/>
          <w:i/>
          <w:sz w:val="16"/>
        </w:rPr>
        <w:t>47</w:t>
      </w:r>
      <w:r>
        <w:rPr>
          <w:b w:val="0"/>
          <w:i w:val="0"/>
          <w:sz w:val="16"/>
        </w:rPr>
        <w:t>, 265–295.</w:t>
      </w:r>
      <w:r>
        <w:rPr>
          <w:b w:val="0"/>
          <w:i w:val="0"/>
          <w:sz w:val="16"/>
        </w:rPr>
        <w:t xml:space="preserve"> [CrossRef]</w:t>
      </w:r>
    </w:p>
    <w:p>
      <w:pPr>
        <w:pStyle w:val="MDPI32textnoindent"/>
        <w:spacing w:line="240" w:lineRule="auto" w:after="40"/>
        <w:ind w:left="2948" w:hanging="340"/>
      </w:pPr>
      <w:bookmarkStart w:id="1027" w:name="_Ref_27"/>
      <w:r>
        <w:rPr>
          <w:b w:val="0"/>
          <w:sz w:val="16"/>
        </w:rPr>
        <w:t>27</w:t>
      </w:r>
      <w:bookmarkEnd w:id="1027"/>
      <w:r>
        <w:rPr>
          <w:sz w:val="16"/>
        </w:rPr>
        <w:t xml:space="preserve">. </w:t>
      </w:r>
      <w:r>
        <w:rPr>
          <w:b w:val="0"/>
          <w:i w:val="0"/>
          <w:sz w:val="16"/>
        </w:rPr>
        <w:t xml:space="preserve">Rahmandad, H.; Repenning, N. </w:t>
      </w:r>
      <w:r>
        <w:rPr>
          <w:b w:val="0"/>
          <w:i w:val="0"/>
          <w:sz w:val="16"/>
        </w:rPr>
        <w:t xml:space="preserve">Capability Erosion Dynamics. </w:t>
      </w:r>
      <w:r>
        <w:rPr>
          <w:b w:val="0"/>
          <w:i/>
          <w:sz w:val="16"/>
        </w:rPr>
        <w:t xml:space="preserve">Strateg. Manag. J. </w:t>
      </w:r>
      <w:r>
        <w:rPr>
          <w:b/>
          <w:i w:val="0"/>
          <w:sz w:val="16"/>
        </w:rPr>
        <w:t>2016</w:t>
      </w:r>
      <w:r>
        <w:rPr>
          <w:b w:val="0"/>
          <w:i w:val="0"/>
          <w:sz w:val="16"/>
        </w:rPr>
        <w:t xml:space="preserve">, </w:t>
      </w:r>
      <w:r>
        <w:rPr>
          <w:b w:val="0"/>
          <w:i/>
          <w:sz w:val="16"/>
        </w:rPr>
        <w:t>37</w:t>
      </w:r>
      <w:r>
        <w:rPr>
          <w:b w:val="0"/>
          <w:i w:val="0"/>
          <w:sz w:val="16"/>
        </w:rPr>
        <w:t>, 649–672.</w:t>
      </w:r>
      <w:r>
        <w:rPr>
          <w:b w:val="0"/>
          <w:i w:val="0"/>
          <w:sz w:val="16"/>
        </w:rPr>
        <w:t xml:space="preserve"> [CrossRef]</w:t>
      </w:r>
    </w:p>
    <w:p>
      <w:pPr>
        <w:pStyle w:val="MDPI32textnoindent"/>
        <w:spacing w:line="240" w:lineRule="auto" w:after="40"/>
        <w:ind w:left="2948" w:hanging="340"/>
      </w:pPr>
      <w:bookmarkStart w:id="1028" w:name="_Ref_28"/>
      <w:r>
        <w:rPr>
          <w:b w:val="0"/>
          <w:sz w:val="16"/>
        </w:rPr>
        <w:t>28</w:t>
      </w:r>
      <w:bookmarkEnd w:id="1028"/>
      <w:r>
        <w:rPr>
          <w:sz w:val="16"/>
        </w:rPr>
        <w:t xml:space="preserve">. </w:t>
      </w:r>
      <w:r>
        <w:rPr>
          <w:b w:val="0"/>
          <w:i w:val="0"/>
          <w:sz w:val="16"/>
        </w:rPr>
        <w:t xml:space="preserve">Trist, E.L.; Bamforth, K.W. </w:t>
      </w:r>
      <w:r>
        <w:rPr>
          <w:b w:val="0"/>
          <w:i w:val="0"/>
          <w:sz w:val="16"/>
        </w:rPr>
        <w:t xml:space="preserve">Some Social and Psychological Consequences of the Longwall Method of Coal-Getting. </w:t>
      </w:r>
      <w:r>
        <w:rPr>
          <w:b w:val="0"/>
          <w:i/>
          <w:sz w:val="16"/>
        </w:rPr>
        <w:t xml:space="preserve">Hum. Relat. </w:t>
      </w:r>
      <w:r>
        <w:rPr>
          <w:b/>
          <w:i w:val="0"/>
          <w:sz w:val="16"/>
        </w:rPr>
        <w:t>1951</w:t>
      </w:r>
      <w:r>
        <w:rPr>
          <w:b w:val="0"/>
          <w:i w:val="0"/>
          <w:sz w:val="16"/>
        </w:rPr>
        <w:t xml:space="preserve">, </w:t>
      </w:r>
      <w:r>
        <w:rPr>
          <w:b w:val="0"/>
          <w:i/>
          <w:sz w:val="16"/>
        </w:rPr>
        <w:t>4</w:t>
      </w:r>
      <w:r>
        <w:rPr>
          <w:b w:val="0"/>
          <w:i w:val="0"/>
          <w:sz w:val="16"/>
        </w:rPr>
        <w:t>, 3–38.</w:t>
      </w:r>
      <w:r>
        <w:rPr>
          <w:b w:val="0"/>
          <w:i w:val="0"/>
          <w:sz w:val="16"/>
        </w:rPr>
        <w:t xml:space="preserve"> [CrossRef]</w:t>
      </w:r>
    </w:p>
    <w:p>
      <w:pPr>
        <w:pStyle w:val="MDPI32textnoindent"/>
        <w:spacing w:line="240" w:lineRule="auto" w:after="40"/>
        <w:ind w:left="2948" w:hanging="340"/>
      </w:pPr>
      <w:bookmarkStart w:id="1029" w:name="_Ref_29"/>
      <w:r>
        <w:rPr>
          <w:b w:val="0"/>
          <w:sz w:val="16"/>
        </w:rPr>
        <w:t>29</w:t>
      </w:r>
      <w:bookmarkEnd w:id="1029"/>
      <w:r>
        <w:rPr>
          <w:sz w:val="16"/>
        </w:rPr>
        <w:t xml:space="preserve">. </w:t>
      </w:r>
      <w:r>
        <w:rPr>
          <w:b w:val="0"/>
          <w:i w:val="0"/>
          <w:sz w:val="16"/>
        </w:rPr>
        <w:t xml:space="preserve">Forrester, J.W. </w:t>
      </w:r>
      <w:r>
        <w:rPr>
          <w:b w:val="0"/>
          <w:i/>
          <w:sz w:val="16"/>
        </w:rPr>
        <w:t>Industrial Dynamics</w:t>
      </w:r>
      <w:r>
        <w:rPr>
          <w:b w:val="0"/>
          <w:i w:val="0"/>
          <w:sz w:val="16"/>
        </w:rPr>
        <w:t xml:space="preserve">; </w:t>
      </w:r>
      <w:r>
        <w:rPr>
          <w:b w:val="0"/>
          <w:i w:val="0"/>
          <w:sz w:val="16"/>
        </w:rPr>
        <w:t>MIT Press: Cambridge, MA, USA, 1961.</w:t>
      </w:r>
    </w:p>
    <w:p>
      <w:pPr>
        <w:pStyle w:val="MDPI32textnoindent"/>
        <w:spacing w:line="240" w:lineRule="auto" w:after="40"/>
        <w:ind w:left="2948" w:hanging="340"/>
      </w:pPr>
      <w:bookmarkStart w:id="1030" w:name="_Ref_30"/>
      <w:r>
        <w:rPr>
          <w:b w:val="0"/>
          <w:sz w:val="16"/>
        </w:rPr>
        <w:t>30</w:t>
      </w:r>
      <w:bookmarkEnd w:id="1030"/>
      <w:r>
        <w:rPr>
          <w:sz w:val="16"/>
        </w:rPr>
        <w:t xml:space="preserve">. </w:t>
      </w:r>
      <w:r>
        <w:rPr>
          <w:b w:val="0"/>
          <w:i w:val="0"/>
          <w:sz w:val="16"/>
        </w:rPr>
        <w:t xml:space="preserve">Sterman, J.D. </w:t>
      </w:r>
      <w:r>
        <w:rPr>
          <w:b w:val="0"/>
          <w:i/>
          <w:sz w:val="16"/>
        </w:rPr>
        <w:t>Business Dynamics: Systems Thinking and Modeling for a Complex World</w:t>
      </w:r>
      <w:r>
        <w:rPr>
          <w:b w:val="0"/>
          <w:i w:val="0"/>
          <w:sz w:val="16"/>
        </w:rPr>
        <w:t xml:space="preserve">; </w:t>
      </w:r>
      <w:r>
        <w:rPr>
          <w:b w:val="0"/>
          <w:i w:val="0"/>
          <w:sz w:val="16"/>
        </w:rPr>
        <w:t>Irwin/McGraw-Hill: Boston, MA, USA, 2000.</w:t>
      </w:r>
    </w:p>
    <w:p>
      <w:pPr>
        <w:pStyle w:val="MDPI32textnoindent"/>
        <w:spacing w:line="240" w:lineRule="auto" w:after="40"/>
        <w:ind w:left="2948" w:hanging="340"/>
      </w:pPr>
      <w:bookmarkStart w:id="1031" w:name="_Ref_31"/>
      <w:r>
        <w:rPr>
          <w:b w:val="0"/>
          <w:sz w:val="16"/>
        </w:rPr>
        <w:t>31</w:t>
      </w:r>
      <w:bookmarkEnd w:id="1031"/>
      <w:r>
        <w:rPr>
          <w:sz w:val="16"/>
        </w:rPr>
        <w:t xml:space="preserve">. </w:t>
      </w:r>
      <w:r>
        <w:rPr>
          <w:b w:val="0"/>
          <w:i w:val="0"/>
          <w:sz w:val="16"/>
        </w:rPr>
        <w:t xml:space="preserve">Forrester, J.W.; Senge, P.M. </w:t>
      </w:r>
      <w:r>
        <w:rPr>
          <w:b w:val="0"/>
          <w:i w:val="0"/>
          <w:sz w:val="16"/>
        </w:rPr>
        <w:t xml:space="preserve">Tests for Building Confidence in System Dynamics Models. </w:t>
      </w:r>
      <w:r>
        <w:rPr>
          <w:b w:val="0"/>
          <w:i/>
          <w:sz w:val="16"/>
        </w:rPr>
        <w:t xml:space="preserve">TIMS Stud. Manag. Sci. </w:t>
      </w:r>
      <w:r>
        <w:rPr>
          <w:b/>
          <w:i w:val="0"/>
          <w:sz w:val="16"/>
        </w:rPr>
        <w:t>1980</w:t>
      </w:r>
      <w:r>
        <w:rPr>
          <w:b w:val="0"/>
          <w:i w:val="0"/>
          <w:sz w:val="16"/>
        </w:rPr>
        <w:t xml:space="preserve">, </w:t>
      </w:r>
      <w:r>
        <w:rPr>
          <w:b w:val="0"/>
          <w:i/>
          <w:sz w:val="16"/>
        </w:rPr>
        <w:t>14</w:t>
      </w:r>
      <w:r>
        <w:rPr>
          <w:b w:val="0"/>
          <w:i w:val="0"/>
          <w:sz w:val="16"/>
        </w:rPr>
        <w:t>, 209–228.</w:t>
      </w:r>
    </w:p>
    <w:p>
      <w:pPr>
        <w:pStyle w:val="MDPI32textnoindent"/>
        <w:spacing w:line="240" w:lineRule="auto" w:after="40"/>
        <w:ind w:left="2948" w:hanging="340"/>
      </w:pPr>
      <w:bookmarkStart w:id="1032" w:name="_Ref_32"/>
      <w:r>
        <w:rPr>
          <w:b w:val="0"/>
          <w:sz w:val="16"/>
        </w:rPr>
        <w:t>32</w:t>
      </w:r>
      <w:bookmarkEnd w:id="1032"/>
      <w:r>
        <w:rPr>
          <w:sz w:val="16"/>
        </w:rPr>
        <w:t xml:space="preserve">. </w:t>
      </w:r>
      <w:r>
        <w:rPr>
          <w:b w:val="0"/>
          <w:i w:val="0"/>
          <w:sz w:val="16"/>
        </w:rPr>
        <w:t xml:space="preserve">Barlas, Y. </w:t>
      </w:r>
      <w:r>
        <w:rPr>
          <w:b w:val="0"/>
          <w:i w:val="0"/>
          <w:sz w:val="16"/>
        </w:rPr>
        <w:t xml:space="preserve">Formal Aspects of Model Validity and Validation in System Dynamics. </w:t>
      </w:r>
      <w:r>
        <w:rPr>
          <w:b w:val="0"/>
          <w:i/>
          <w:sz w:val="16"/>
        </w:rPr>
        <w:t xml:space="preserve">Syst. Dyn. Rev. </w:t>
      </w:r>
      <w:r>
        <w:rPr>
          <w:b/>
          <w:i w:val="0"/>
          <w:sz w:val="16"/>
        </w:rPr>
        <w:t>1996</w:t>
      </w:r>
      <w:r>
        <w:rPr>
          <w:b w:val="0"/>
          <w:i w:val="0"/>
          <w:sz w:val="16"/>
        </w:rPr>
        <w:t xml:space="preserve">, </w:t>
      </w:r>
      <w:r>
        <w:rPr>
          <w:b w:val="0"/>
          <w:i/>
          <w:sz w:val="16"/>
        </w:rPr>
        <w:t>12</w:t>
      </w:r>
      <w:r>
        <w:rPr>
          <w:b w:val="0"/>
          <w:i w:val="0"/>
          <w:sz w:val="16"/>
        </w:rPr>
        <w:t>, 183–210.</w:t>
      </w:r>
      <w:r>
        <w:rPr>
          <w:b w:val="0"/>
          <w:i w:val="0"/>
          <w:sz w:val="16"/>
        </w:rPr>
        <w:t xml:space="preserve"> [CrossRef]</w:t>
      </w:r>
    </w:p>
    <w:p>
      <w:pPr>
        <w:pStyle w:val="MDPI32textnoindent"/>
        <w:spacing w:line="240" w:lineRule="auto" w:after="40"/>
        <w:ind w:left="2948" w:hanging="340"/>
      </w:pPr>
      <w:bookmarkStart w:id="1033" w:name="_Ref_33"/>
      <w:r>
        <w:rPr>
          <w:b w:val="0"/>
          <w:sz w:val="16"/>
        </w:rPr>
        <w:t>33</w:t>
      </w:r>
      <w:bookmarkEnd w:id="1033"/>
      <w:r>
        <w:rPr>
          <w:sz w:val="16"/>
        </w:rPr>
        <w:t xml:space="preserve">. </w:t>
      </w:r>
      <w:r>
        <w:rPr>
          <w:b w:val="0"/>
          <w:i w:val="0"/>
          <w:sz w:val="16"/>
        </w:rPr>
        <w:t xml:space="preserve">Rahmandad, H.; Sterman, J.D. </w:t>
      </w:r>
      <w:r>
        <w:rPr>
          <w:b w:val="0"/>
          <w:i w:val="0"/>
          <w:sz w:val="16"/>
        </w:rPr>
        <w:t xml:space="preserve">Reporting Guidelines for Simulation-Based Research in Social Sciences. </w:t>
      </w:r>
      <w:r>
        <w:rPr>
          <w:b w:val="0"/>
          <w:i/>
          <w:sz w:val="16"/>
        </w:rPr>
        <w:t xml:space="preserve">Syst. Dyn. Rev. </w:t>
      </w:r>
      <w:r>
        <w:rPr>
          <w:b/>
          <w:i w:val="0"/>
          <w:sz w:val="16"/>
        </w:rPr>
        <w:t>2012</w:t>
      </w:r>
      <w:r>
        <w:rPr>
          <w:b w:val="0"/>
          <w:i w:val="0"/>
          <w:sz w:val="16"/>
        </w:rPr>
        <w:t xml:space="preserve">, </w:t>
      </w:r>
      <w:r>
        <w:rPr>
          <w:b w:val="0"/>
          <w:i/>
          <w:sz w:val="16"/>
        </w:rPr>
        <w:t>28</w:t>
      </w:r>
      <w:r>
        <w:rPr>
          <w:b w:val="0"/>
          <w:i w:val="0"/>
          <w:sz w:val="16"/>
        </w:rPr>
        <w:t>, 396–411.</w:t>
      </w:r>
      <w:r>
        <w:rPr>
          <w:b w:val="0"/>
          <w:i w:val="0"/>
          <w:sz w:val="16"/>
        </w:rPr>
        <w:t xml:space="preserve"> [CrossRef]</w:t>
      </w:r>
    </w:p>
    <w:p>
      <w:pPr>
        <w:pStyle w:val="MDPI32textnoindent"/>
        <w:spacing w:line="240" w:lineRule="auto" w:after="40"/>
        <w:ind w:left="2948" w:hanging="340"/>
      </w:pPr>
      <w:bookmarkStart w:id="1034" w:name="_Ref_34"/>
      <w:r>
        <w:rPr>
          <w:b w:val="0"/>
          <w:sz w:val="16"/>
        </w:rPr>
        <w:t>34</w:t>
      </w:r>
      <w:bookmarkEnd w:id="1034"/>
      <w:r>
        <w:rPr>
          <w:sz w:val="16"/>
        </w:rPr>
        <w:t xml:space="preserve">. </w:t>
      </w:r>
      <w:r>
        <w:rPr>
          <w:b w:val="0"/>
          <w:i w:val="0"/>
          <w:sz w:val="16"/>
        </w:rPr>
        <w:t xml:space="preserve">Cherns, A. </w:t>
      </w:r>
      <w:r>
        <w:rPr>
          <w:b w:val="0"/>
          <w:i w:val="0"/>
          <w:sz w:val="16"/>
        </w:rPr>
        <w:t xml:space="preserve">The Principles of Sociotechnical Design. </w:t>
      </w:r>
      <w:r>
        <w:rPr>
          <w:b w:val="0"/>
          <w:i/>
          <w:sz w:val="16"/>
        </w:rPr>
        <w:t xml:space="preserve">Hum. Relat. </w:t>
      </w:r>
      <w:r>
        <w:rPr>
          <w:b/>
          <w:i w:val="0"/>
          <w:sz w:val="16"/>
        </w:rPr>
        <w:t>1976</w:t>
      </w:r>
      <w:r>
        <w:rPr>
          <w:b w:val="0"/>
          <w:i w:val="0"/>
          <w:sz w:val="16"/>
        </w:rPr>
        <w:t xml:space="preserve">, </w:t>
      </w:r>
      <w:r>
        <w:rPr>
          <w:b w:val="0"/>
          <w:i/>
          <w:sz w:val="16"/>
        </w:rPr>
        <w:t>29</w:t>
      </w:r>
      <w:r>
        <w:rPr>
          <w:b w:val="0"/>
          <w:i w:val="0"/>
          <w:sz w:val="16"/>
        </w:rPr>
        <w:t>, 783–792.</w:t>
      </w:r>
      <w:r>
        <w:rPr>
          <w:b w:val="0"/>
          <w:i w:val="0"/>
          <w:sz w:val="16"/>
        </w:rPr>
        <w:t xml:space="preserve"> [CrossRef]</w:t>
      </w:r>
    </w:p>
    <w:p>
      <w:pPr>
        <w:pStyle w:val="MDPI32textnoindent"/>
        <w:spacing w:line="240" w:lineRule="auto" w:after="40"/>
        <w:ind w:left="2948" w:hanging="340"/>
      </w:pPr>
      <w:bookmarkStart w:id="1035" w:name="_Ref_35"/>
      <w:r>
        <w:rPr>
          <w:b w:val="0"/>
          <w:sz w:val="16"/>
        </w:rPr>
        <w:t>35</w:t>
      </w:r>
      <w:bookmarkEnd w:id="1035"/>
      <w:r>
        <w:rPr>
          <w:sz w:val="16"/>
        </w:rPr>
        <w:t xml:space="preserve">. </w:t>
      </w:r>
      <w:r>
        <w:rPr>
          <w:b w:val="0"/>
          <w:i w:val="0"/>
          <w:sz w:val="16"/>
        </w:rPr>
        <w:t xml:space="preserve">Agrawal, A.; Gans, J.S.; Goldfarb, A. </w:t>
      </w:r>
      <w:r>
        <w:rPr>
          <w:b w:val="0"/>
          <w:i w:val="0"/>
          <w:sz w:val="16"/>
        </w:rPr>
        <w:t xml:space="preserve">Artificial Intelligence: The Ambiguous Labor Market Impact of Automating Prediction. </w:t>
      </w:r>
      <w:r>
        <w:rPr>
          <w:b w:val="0"/>
          <w:i/>
          <w:sz w:val="16"/>
        </w:rPr>
        <w:t xml:space="preserve">J. Econ. Perspect. </w:t>
      </w:r>
      <w:r>
        <w:rPr>
          <w:b/>
          <w:i w:val="0"/>
          <w:sz w:val="16"/>
        </w:rPr>
        <w:t>2019</w:t>
      </w:r>
      <w:r>
        <w:rPr>
          <w:b w:val="0"/>
          <w:i w:val="0"/>
          <w:sz w:val="16"/>
        </w:rPr>
        <w:t xml:space="preserve">, </w:t>
      </w:r>
      <w:r>
        <w:rPr>
          <w:b w:val="0"/>
          <w:i/>
          <w:sz w:val="16"/>
        </w:rPr>
        <w:t>33</w:t>
      </w:r>
      <w:r>
        <w:rPr>
          <w:b w:val="0"/>
          <w:i w:val="0"/>
          <w:sz w:val="16"/>
        </w:rPr>
        <w:t>, 31–50.</w:t>
      </w:r>
      <w:r>
        <w:rPr>
          <w:b w:val="0"/>
          <w:i w:val="0"/>
          <w:sz w:val="16"/>
        </w:rPr>
        <w:t xml:space="preserve"> [CrossRef]</w:t>
      </w:r>
    </w:p>
    <w:p>
      <w:pPr>
        <w:pStyle w:val="MDPI32textnoindent"/>
        <w:spacing w:line="240" w:lineRule="auto" w:after="40"/>
        <w:ind w:left="2948" w:hanging="340"/>
      </w:pPr>
      <w:bookmarkStart w:id="1036" w:name="_Ref_36"/>
      <w:r>
        <w:rPr>
          <w:b w:val="0"/>
          <w:sz w:val="16"/>
        </w:rPr>
        <w:t>36</w:t>
      </w:r>
      <w:bookmarkEnd w:id="1036"/>
      <w:r>
        <w:rPr>
          <w:sz w:val="16"/>
        </w:rPr>
        <w:t xml:space="preserve">. </w:t>
      </w:r>
      <w:r>
        <w:rPr>
          <w:b w:val="0"/>
          <w:i w:val="0"/>
          <w:sz w:val="16"/>
        </w:rPr>
        <w:t xml:space="preserve">Bresnahan, T.F.; Trajtenberg, M. </w:t>
      </w:r>
      <w:r>
        <w:rPr>
          <w:b w:val="0"/>
          <w:i w:val="0"/>
          <w:sz w:val="16"/>
        </w:rPr>
        <w:t xml:space="preserve">General Purpose Technologies: “Engines of Growth”?. </w:t>
      </w:r>
      <w:r>
        <w:rPr>
          <w:b w:val="0"/>
          <w:i/>
          <w:sz w:val="16"/>
        </w:rPr>
        <w:t xml:space="preserve">J. Econom. </w:t>
      </w:r>
      <w:r>
        <w:rPr>
          <w:b/>
          <w:i w:val="0"/>
          <w:sz w:val="16"/>
        </w:rPr>
        <w:t>1995</w:t>
      </w:r>
      <w:r>
        <w:rPr>
          <w:b w:val="0"/>
          <w:i w:val="0"/>
          <w:sz w:val="16"/>
        </w:rPr>
        <w:t xml:space="preserve">, </w:t>
      </w:r>
      <w:r>
        <w:rPr>
          <w:b w:val="0"/>
          <w:i/>
          <w:sz w:val="16"/>
        </w:rPr>
        <w:t>65</w:t>
      </w:r>
      <w:r>
        <w:rPr>
          <w:b w:val="0"/>
          <w:i w:val="0"/>
          <w:sz w:val="16"/>
        </w:rPr>
        <w:t>, 83–108.</w:t>
      </w:r>
      <w:r>
        <w:rPr>
          <w:b w:val="0"/>
          <w:i w:val="0"/>
          <w:sz w:val="16"/>
        </w:rPr>
        <w:t xml:space="preserve"> [CrossRef]</w:t>
      </w:r>
    </w:p>
    <w:p>
      <w:pPr>
        <w:pStyle w:val="MDPI32textnoindent"/>
        <w:spacing w:line="240" w:lineRule="auto" w:after="40"/>
        <w:ind w:left="2948" w:hanging="340"/>
      </w:pPr>
      <w:bookmarkStart w:id="1037" w:name="_Ref_37"/>
      <w:r>
        <w:rPr>
          <w:b w:val="0"/>
          <w:sz w:val="16"/>
        </w:rPr>
        <w:t>37</w:t>
      </w:r>
      <w:bookmarkEnd w:id="1037"/>
      <w:r>
        <w:rPr>
          <w:sz w:val="16"/>
        </w:rPr>
        <w:t xml:space="preserve">. </w:t>
      </w:r>
      <w:r>
        <w:rPr>
          <w:b w:val="0"/>
          <w:i w:val="0"/>
          <w:sz w:val="16"/>
        </w:rPr>
        <w:t xml:space="preserve">Brynjolfsson, E.; Rock, D.; Syverson, C. </w:t>
      </w:r>
      <w:r>
        <w:rPr>
          <w:b w:val="0"/>
          <w:i w:val="0"/>
          <w:sz w:val="16"/>
        </w:rPr>
        <w:t xml:space="preserve">The Productivity J-Curve: How Intangibles Complement General Purpose Technologies. </w:t>
      </w:r>
      <w:r>
        <w:rPr>
          <w:b w:val="0"/>
          <w:i/>
          <w:sz w:val="16"/>
        </w:rPr>
        <w:t xml:space="preserve">Am. Econ. J. Macroecon. </w:t>
      </w:r>
      <w:r>
        <w:rPr>
          <w:b/>
          <w:i w:val="0"/>
          <w:sz w:val="16"/>
        </w:rPr>
        <w:t>2021</w:t>
      </w:r>
      <w:r>
        <w:rPr>
          <w:b w:val="0"/>
          <w:i w:val="0"/>
          <w:sz w:val="16"/>
        </w:rPr>
        <w:t xml:space="preserve">, </w:t>
      </w:r>
      <w:r>
        <w:rPr>
          <w:b w:val="0"/>
          <w:i/>
          <w:sz w:val="16"/>
        </w:rPr>
        <w:t>13</w:t>
      </w:r>
      <w:r>
        <w:rPr>
          <w:b w:val="0"/>
          <w:i w:val="0"/>
          <w:sz w:val="16"/>
        </w:rPr>
        <w:t>, 333–372.</w:t>
      </w:r>
      <w:r>
        <w:rPr>
          <w:b w:val="0"/>
          <w:i w:val="0"/>
          <w:sz w:val="16"/>
        </w:rPr>
        <w:t xml:space="preserve"> [CrossRef]</w:t>
      </w:r>
    </w:p>
    <w:p>
      <w:pPr>
        <w:pStyle w:val="MDPI32textnoindent"/>
        <w:spacing w:line="240" w:lineRule="auto" w:after="40"/>
        <w:ind w:left="2948" w:hanging="340"/>
      </w:pPr>
      <w:bookmarkStart w:id="1038" w:name="_Ref_38"/>
      <w:r>
        <w:rPr>
          <w:b w:val="0"/>
          <w:sz w:val="16"/>
        </w:rPr>
        <w:t>38</w:t>
      </w:r>
      <w:bookmarkEnd w:id="1038"/>
      <w:r>
        <w:rPr>
          <w:sz w:val="16"/>
        </w:rPr>
        <w:t xml:space="preserve">. </w:t>
      </w:r>
      <w:r>
        <w:rPr>
          <w:b w:val="0"/>
          <w:i w:val="0"/>
          <w:sz w:val="16"/>
        </w:rPr>
        <w:t xml:space="preserve">Peng, S.; Kalliamvakou, E.; Cihon, P.; Demirer, M. </w:t>
      </w:r>
      <w:r>
        <w:rPr>
          <w:b w:val="0"/>
          <w:i w:val="0"/>
          <w:sz w:val="16"/>
        </w:rPr>
        <w:t xml:space="preserve">The Impact of AI on Developer Productivity: Evidence from GitHub Copilot. </w:t>
      </w:r>
      <w:r>
        <w:rPr>
          <w:b w:val="0"/>
          <w:i/>
          <w:sz w:val="16"/>
        </w:rPr>
        <w:t xml:space="preserve">arXiv </w:t>
      </w:r>
      <w:r>
        <w:rPr>
          <w:b/>
          <w:i w:val="0"/>
          <w:sz w:val="16"/>
        </w:rPr>
        <w:t>2023</w:t>
      </w:r>
      <w:r>
        <w:rPr>
          <w:b w:val="0"/>
          <w:i w:val="0"/>
          <w:sz w:val="16"/>
        </w:rPr>
        <w:t xml:space="preserve">, </w:t>
      </w:r>
      <w:r>
        <w:rPr>
          <w:b w:val="0"/>
          <w:i w:val="0"/>
          <w:sz w:val="16"/>
        </w:rPr>
        <w:t>arXiv:2302.06590.</w:t>
      </w:r>
    </w:p>
    <w:p>
      <w:pPr>
        <w:pStyle w:val="MDPI32textnoindent"/>
        <w:spacing w:line="240" w:lineRule="auto" w:after="40"/>
        <w:ind w:left="2948" w:hanging="340"/>
      </w:pPr>
      <w:bookmarkStart w:id="1039" w:name="_Ref_39"/>
      <w:r>
        <w:rPr>
          <w:b w:val="0"/>
          <w:sz w:val="16"/>
        </w:rPr>
        <w:t>39</w:t>
      </w:r>
      <w:bookmarkEnd w:id="1039"/>
      <w:r>
        <w:rPr>
          <w:sz w:val="16"/>
        </w:rPr>
        <w:t xml:space="preserve">. </w:t>
      </w:r>
      <w:r>
        <w:rPr>
          <w:b w:val="0"/>
          <w:i w:val="0"/>
          <w:sz w:val="16"/>
        </w:rPr>
        <w:t xml:space="preserve">Vaccaro, M.; Almaatouq, A.; Malone, T. </w:t>
      </w:r>
      <w:r>
        <w:rPr>
          <w:b w:val="0"/>
          <w:i w:val="0"/>
          <w:sz w:val="16"/>
        </w:rPr>
        <w:t xml:space="preserve">When Combinations of Humans and AI Are Useful: A Systematic Review and Meta-Analysis. </w:t>
      </w:r>
      <w:r>
        <w:rPr>
          <w:b w:val="0"/>
          <w:i/>
          <w:sz w:val="16"/>
        </w:rPr>
        <w:t xml:space="preserve">Nat. Hum. Behav. </w:t>
      </w:r>
      <w:r>
        <w:rPr>
          <w:b/>
          <w:i w:val="0"/>
          <w:sz w:val="16"/>
        </w:rPr>
        <w:t>2024</w:t>
      </w:r>
      <w:r>
        <w:rPr>
          <w:b w:val="0"/>
          <w:i w:val="0"/>
          <w:sz w:val="16"/>
        </w:rPr>
        <w:t xml:space="preserve">, </w:t>
      </w:r>
      <w:r>
        <w:rPr>
          <w:b w:val="0"/>
          <w:i/>
          <w:sz w:val="16"/>
        </w:rPr>
        <w:t>8</w:t>
      </w:r>
      <w:r>
        <w:rPr>
          <w:b w:val="0"/>
          <w:i w:val="0"/>
          <w:sz w:val="16"/>
        </w:rPr>
        <w:t>, 2293–2303.</w:t>
      </w:r>
      <w:r>
        <w:rPr>
          <w:b w:val="0"/>
          <w:i w:val="0"/>
          <w:sz w:val="16"/>
        </w:rPr>
        <w:t xml:space="preserve"> [CrossRef]</w:t>
      </w:r>
    </w:p>
    <w:p>
      <w:pPr>
        <w:pStyle w:val="MDPI32textnoindent"/>
        <w:spacing w:line="240" w:lineRule="auto" w:after="40"/>
        <w:ind w:left="2948" w:hanging="340"/>
      </w:pPr>
      <w:bookmarkStart w:id="1040" w:name="_Ref_40"/>
      <w:r>
        <w:rPr>
          <w:b w:val="0"/>
          <w:sz w:val="16"/>
        </w:rPr>
        <w:t>40</w:t>
      </w:r>
      <w:bookmarkEnd w:id="1040"/>
      <w:r>
        <w:rPr>
          <w:sz w:val="16"/>
        </w:rPr>
        <w:t xml:space="preserve">. </w:t>
      </w:r>
      <w:r>
        <w:rPr>
          <w:b w:val="0"/>
          <w:i w:val="0"/>
          <w:sz w:val="16"/>
        </w:rPr>
        <w:t xml:space="preserve">Kellogg, K.C.; Valentine, M.A.; Christin, A. </w:t>
      </w:r>
      <w:r>
        <w:rPr>
          <w:b w:val="0"/>
          <w:i w:val="0"/>
          <w:sz w:val="16"/>
        </w:rPr>
        <w:t xml:space="preserve">Algorithms at Work: The New Contested Terrain of Control. </w:t>
      </w:r>
      <w:r>
        <w:rPr>
          <w:b w:val="0"/>
          <w:i/>
          <w:sz w:val="16"/>
        </w:rPr>
        <w:t xml:space="preserve">Acad. Manag. Ann. </w:t>
      </w:r>
      <w:r>
        <w:rPr>
          <w:b/>
          <w:i w:val="0"/>
          <w:sz w:val="16"/>
        </w:rPr>
        <w:t>2020</w:t>
      </w:r>
      <w:r>
        <w:rPr>
          <w:b w:val="0"/>
          <w:i w:val="0"/>
          <w:sz w:val="16"/>
        </w:rPr>
        <w:t xml:space="preserve">, </w:t>
      </w:r>
      <w:r>
        <w:rPr>
          <w:b w:val="0"/>
          <w:i/>
          <w:sz w:val="16"/>
        </w:rPr>
        <w:t>14</w:t>
      </w:r>
      <w:r>
        <w:rPr>
          <w:b w:val="0"/>
          <w:i w:val="0"/>
          <w:sz w:val="16"/>
        </w:rPr>
        <w:t>, 366–410.</w:t>
      </w:r>
      <w:r>
        <w:rPr>
          <w:b w:val="0"/>
          <w:i w:val="0"/>
          <w:sz w:val="16"/>
        </w:rPr>
        <w:t xml:space="preserve"> [CrossRef]</w:t>
      </w:r>
    </w:p>
    <w:p>
      <w:pPr>
        <w:pStyle w:val="MDPI32textnoindent"/>
        <w:spacing w:line="240" w:lineRule="auto" w:after="40"/>
        <w:ind w:left="2948" w:hanging="340"/>
      </w:pPr>
      <w:bookmarkStart w:id="1041" w:name="_Ref_41"/>
      <w:r>
        <w:rPr>
          <w:b w:val="0"/>
          <w:sz w:val="16"/>
        </w:rPr>
        <w:t>41</w:t>
      </w:r>
      <w:bookmarkEnd w:id="1041"/>
      <w:r>
        <w:rPr>
          <w:sz w:val="16"/>
        </w:rPr>
        <w:t xml:space="preserve">. </w:t>
      </w:r>
      <w:r>
        <w:rPr>
          <w:b w:val="0"/>
          <w:i w:val="0"/>
          <w:sz w:val="16"/>
        </w:rPr>
        <w:t xml:space="preserve">Levitt, B.; March, J.G. </w:t>
      </w:r>
      <w:r>
        <w:rPr>
          <w:b w:val="0"/>
          <w:i w:val="0"/>
          <w:sz w:val="16"/>
        </w:rPr>
        <w:t xml:space="preserve">Organizational Learning. </w:t>
      </w:r>
      <w:r>
        <w:rPr>
          <w:b w:val="0"/>
          <w:i/>
          <w:sz w:val="16"/>
        </w:rPr>
        <w:t xml:space="preserve">Annu. Rev. Sociol. </w:t>
      </w:r>
      <w:r>
        <w:rPr>
          <w:b/>
          <w:i w:val="0"/>
          <w:sz w:val="16"/>
        </w:rPr>
        <w:t>1988</w:t>
      </w:r>
      <w:r>
        <w:rPr>
          <w:b w:val="0"/>
          <w:i w:val="0"/>
          <w:sz w:val="16"/>
        </w:rPr>
        <w:t xml:space="preserve">, </w:t>
      </w:r>
      <w:r>
        <w:rPr>
          <w:b w:val="0"/>
          <w:i/>
          <w:sz w:val="16"/>
        </w:rPr>
        <w:t>14</w:t>
      </w:r>
      <w:r>
        <w:rPr>
          <w:b w:val="0"/>
          <w:i w:val="0"/>
          <w:sz w:val="16"/>
        </w:rPr>
        <w:t>, 319–340.</w:t>
      </w:r>
      <w:r>
        <w:rPr>
          <w:b w:val="0"/>
          <w:i w:val="0"/>
          <w:sz w:val="16"/>
        </w:rPr>
        <w:t xml:space="preserve"> [CrossRef]</w:t>
      </w:r>
    </w:p>
    <w:p>
      <w:pPr>
        <w:pStyle w:val="MDPI32textnoindent"/>
        <w:spacing w:line="240" w:lineRule="auto" w:after="40"/>
        <w:ind w:left="2948" w:hanging="340"/>
      </w:pPr>
      <w:bookmarkStart w:id="1042" w:name="_Ref_42"/>
      <w:r>
        <w:rPr>
          <w:b w:val="0"/>
          <w:sz w:val="16"/>
        </w:rPr>
        <w:t>42</w:t>
      </w:r>
      <w:bookmarkEnd w:id="1042"/>
      <w:r>
        <w:rPr>
          <w:sz w:val="16"/>
        </w:rPr>
        <w:t xml:space="preserve">. </w:t>
      </w:r>
      <w:r>
        <w:rPr>
          <w:b w:val="0"/>
          <w:i w:val="0"/>
          <w:sz w:val="16"/>
        </w:rPr>
        <w:t xml:space="preserve">March, J.G. </w:t>
      </w:r>
      <w:r>
        <w:rPr>
          <w:b w:val="0"/>
          <w:i w:val="0"/>
          <w:sz w:val="16"/>
        </w:rPr>
        <w:t xml:space="preserve">Exploration and Exploitation in Organizational Learning. </w:t>
      </w:r>
      <w:r>
        <w:rPr>
          <w:b w:val="0"/>
          <w:i/>
          <w:sz w:val="16"/>
        </w:rPr>
        <w:t xml:space="preserve">Organ. Sci. </w:t>
      </w:r>
      <w:r>
        <w:rPr>
          <w:b/>
          <w:i w:val="0"/>
          <w:sz w:val="16"/>
        </w:rPr>
        <w:t>1991</w:t>
      </w:r>
      <w:r>
        <w:rPr>
          <w:b w:val="0"/>
          <w:i w:val="0"/>
          <w:sz w:val="16"/>
        </w:rPr>
        <w:t xml:space="preserve">, </w:t>
      </w:r>
      <w:r>
        <w:rPr>
          <w:b w:val="0"/>
          <w:i/>
          <w:sz w:val="16"/>
        </w:rPr>
        <w:t>2</w:t>
      </w:r>
      <w:r>
        <w:rPr>
          <w:b w:val="0"/>
          <w:i w:val="0"/>
          <w:sz w:val="16"/>
        </w:rPr>
        <w:t>, 71–87.</w:t>
      </w:r>
      <w:r>
        <w:rPr>
          <w:b w:val="0"/>
          <w:i w:val="0"/>
          <w:sz w:val="16"/>
        </w:rPr>
        <w:t xml:space="preserve"> [CrossRef]</w:t>
      </w:r>
    </w:p>
    <w:p>
      <w:pPr>
        <w:pStyle w:val="MDPI32textnoindent"/>
        <w:spacing w:line="240" w:lineRule="auto" w:after="40"/>
        <w:ind w:left="2948" w:hanging="340"/>
      </w:pPr>
      <w:bookmarkStart w:id="1043" w:name="_Ref_43"/>
      <w:r>
        <w:rPr>
          <w:b w:val="0"/>
          <w:sz w:val="16"/>
        </w:rPr>
        <w:t>43</w:t>
      </w:r>
      <w:bookmarkEnd w:id="1043"/>
      <w:r>
        <w:rPr>
          <w:sz w:val="16"/>
        </w:rPr>
        <w:t xml:space="preserve">. </w:t>
      </w:r>
      <w:r>
        <w:rPr>
          <w:b w:val="0"/>
          <w:i w:val="0"/>
          <w:sz w:val="16"/>
        </w:rPr>
        <w:t xml:space="preserve">Nonaka, I. </w:t>
      </w:r>
      <w:r>
        <w:rPr>
          <w:b w:val="0"/>
          <w:i w:val="0"/>
          <w:sz w:val="16"/>
        </w:rPr>
        <w:t xml:space="preserve">A Dynamic Theory of Organizational Knowledge Creation. </w:t>
      </w:r>
      <w:r>
        <w:rPr>
          <w:b w:val="0"/>
          <w:i/>
          <w:sz w:val="16"/>
        </w:rPr>
        <w:t xml:space="preserve">Organ. Sci. </w:t>
      </w:r>
      <w:r>
        <w:rPr>
          <w:b/>
          <w:i w:val="0"/>
          <w:sz w:val="16"/>
        </w:rPr>
        <w:t>1994</w:t>
      </w:r>
      <w:r>
        <w:rPr>
          <w:b w:val="0"/>
          <w:i w:val="0"/>
          <w:sz w:val="16"/>
        </w:rPr>
        <w:t xml:space="preserve">, </w:t>
      </w:r>
      <w:r>
        <w:rPr>
          <w:b w:val="0"/>
          <w:i/>
          <w:sz w:val="16"/>
        </w:rPr>
        <w:t>5</w:t>
      </w:r>
      <w:r>
        <w:rPr>
          <w:b w:val="0"/>
          <w:i w:val="0"/>
          <w:sz w:val="16"/>
        </w:rPr>
        <w:t>, 14–37.</w:t>
      </w:r>
      <w:r>
        <w:rPr>
          <w:b w:val="0"/>
          <w:i w:val="0"/>
          <w:sz w:val="16"/>
        </w:rPr>
        <w:t xml:space="preserve"> [CrossRef]</w:t>
      </w:r>
    </w:p>
    <w:p>
      <w:pPr>
        <w:pStyle w:val="MDPI32textnoindent"/>
        <w:spacing w:line="240" w:lineRule="auto" w:after="40"/>
        <w:ind w:left="2948" w:hanging="340"/>
      </w:pPr>
      <w:bookmarkStart w:id="1044" w:name="_Ref_44"/>
      <w:r>
        <w:rPr>
          <w:b w:val="0"/>
          <w:sz w:val="16"/>
        </w:rPr>
        <w:t>44</w:t>
      </w:r>
      <w:bookmarkEnd w:id="1044"/>
      <w:r>
        <w:rPr>
          <w:sz w:val="16"/>
        </w:rPr>
        <w:t xml:space="preserve">. </w:t>
      </w:r>
      <w:r>
        <w:rPr>
          <w:b w:val="0"/>
          <w:i w:val="0"/>
          <w:sz w:val="16"/>
        </w:rPr>
        <w:t xml:space="preserve">Senge, P.M. </w:t>
      </w:r>
      <w:r>
        <w:rPr>
          <w:b w:val="0"/>
          <w:i/>
          <w:sz w:val="16"/>
        </w:rPr>
        <w:t>The Fifth Discipline: The Art and Practice of the Learning Organization</w:t>
      </w:r>
      <w:r>
        <w:rPr>
          <w:b w:val="0"/>
          <w:i w:val="0"/>
          <w:sz w:val="16"/>
        </w:rPr>
        <w:t xml:space="preserve">; </w:t>
      </w:r>
      <w:r>
        <w:rPr>
          <w:b w:val="0"/>
          <w:i w:val="0"/>
          <w:sz w:val="16"/>
        </w:rPr>
        <w:t>Doubleday: New York, NY, USA, 1990.</w:t>
      </w:r>
    </w:p>
    <w:p>
      <w:pPr>
        <w:pStyle w:val="MDPI32textnoindent"/>
        <w:spacing w:line="240" w:lineRule="auto" w:after="40"/>
        <w:ind w:left="2948" w:hanging="340"/>
      </w:pPr>
      <w:bookmarkStart w:id="1045" w:name="_Ref_45"/>
      <w:r>
        <w:rPr>
          <w:b w:val="0"/>
          <w:sz w:val="16"/>
        </w:rPr>
        <w:t>45</w:t>
      </w:r>
      <w:bookmarkEnd w:id="1045"/>
      <w:r>
        <w:rPr>
          <w:sz w:val="16"/>
        </w:rPr>
        <w:t xml:space="preserve">. </w:t>
      </w:r>
      <w:r>
        <w:rPr>
          <w:b w:val="0"/>
          <w:i w:val="0"/>
          <w:sz w:val="16"/>
        </w:rPr>
        <w:t xml:space="preserve">Arrow, K.J. </w:t>
      </w:r>
      <w:r>
        <w:rPr>
          <w:b w:val="0"/>
          <w:i w:val="0"/>
          <w:sz w:val="16"/>
        </w:rPr>
        <w:t xml:space="preserve">The Economic Implications of Learning by Doing. </w:t>
      </w:r>
      <w:r>
        <w:rPr>
          <w:b w:val="0"/>
          <w:i/>
          <w:sz w:val="16"/>
        </w:rPr>
        <w:t xml:space="preserve">Rev. Econ. Stud. </w:t>
      </w:r>
      <w:r>
        <w:rPr>
          <w:b/>
          <w:i w:val="0"/>
          <w:sz w:val="16"/>
        </w:rPr>
        <w:t>1962</w:t>
      </w:r>
      <w:r>
        <w:rPr>
          <w:b w:val="0"/>
          <w:i w:val="0"/>
          <w:sz w:val="16"/>
        </w:rPr>
        <w:t xml:space="preserve">, </w:t>
      </w:r>
      <w:r>
        <w:rPr>
          <w:b w:val="0"/>
          <w:i/>
          <w:sz w:val="16"/>
        </w:rPr>
        <w:t>29</w:t>
      </w:r>
      <w:r>
        <w:rPr>
          <w:b w:val="0"/>
          <w:i w:val="0"/>
          <w:sz w:val="16"/>
        </w:rPr>
        <w:t>, 155–173.</w:t>
      </w:r>
      <w:r>
        <w:rPr>
          <w:b w:val="0"/>
          <w:i w:val="0"/>
          <w:sz w:val="16"/>
        </w:rPr>
        <w:t xml:space="preserve"> [CrossRef]</w:t>
      </w:r>
    </w:p>
    <w:p>
      <w:pPr>
        <w:pStyle w:val="MDPI32textnoindent"/>
        <w:spacing w:line="240" w:lineRule="auto" w:after="40"/>
        <w:ind w:left="2948" w:hanging="340"/>
      </w:pPr>
      <w:bookmarkStart w:id="1046" w:name="_Ref_46"/>
      <w:r>
        <w:rPr>
          <w:b w:val="0"/>
          <w:sz w:val="16"/>
        </w:rPr>
        <w:t>46</w:t>
      </w:r>
      <w:bookmarkEnd w:id="1046"/>
      <w:r>
        <w:rPr>
          <w:sz w:val="16"/>
        </w:rPr>
        <w:t xml:space="preserve">. </w:t>
      </w:r>
      <w:r>
        <w:rPr>
          <w:b w:val="0"/>
          <w:i w:val="0"/>
          <w:sz w:val="16"/>
        </w:rPr>
        <w:t xml:space="preserve">Yang, B.; Sun, Y.; Zeng, Z.; Li, Q. </w:t>
      </w:r>
      <w:r>
        <w:rPr>
          <w:b w:val="0"/>
          <w:i w:val="0"/>
          <w:sz w:val="16"/>
        </w:rPr>
        <w:t xml:space="preserve">Deskilling, Reskilling, or Upskilling? Unpacking the Pathways of Student Adaptation to Generative Artificial Intelligence. </w:t>
      </w:r>
      <w:r>
        <w:rPr>
          <w:b w:val="0"/>
          <w:i/>
          <w:sz w:val="16"/>
        </w:rPr>
        <w:t xml:space="preserve">Int. J. Inf. Manag. </w:t>
      </w:r>
      <w:r>
        <w:rPr>
          <w:b/>
          <w:i w:val="0"/>
          <w:sz w:val="16"/>
        </w:rPr>
        <w:t>2026</w:t>
      </w:r>
      <w:r>
        <w:rPr>
          <w:b w:val="0"/>
          <w:i w:val="0"/>
          <w:sz w:val="16"/>
        </w:rPr>
        <w:t xml:space="preserve">, </w:t>
      </w:r>
      <w:r>
        <w:rPr>
          <w:b w:val="0"/>
          <w:i/>
          <w:sz w:val="16"/>
        </w:rPr>
        <w:t>87</w:t>
      </w:r>
      <w:r>
        <w:rPr>
          <w:b w:val="0"/>
          <w:i w:val="0"/>
          <w:sz w:val="16"/>
        </w:rPr>
        <w:t>, 103002.</w:t>
      </w:r>
      <w:r>
        <w:rPr>
          <w:b w:val="0"/>
          <w:i w:val="0"/>
          <w:sz w:val="16"/>
        </w:rPr>
        <w:t xml:space="preserve"> [CrossRef]</w:t>
      </w:r>
    </w:p>
    <w:p>
      <w:pPr>
        <w:pStyle w:val="MDPI32textnoindent"/>
        <w:spacing w:line="240" w:lineRule="auto" w:after="40"/>
        <w:ind w:left="2948" w:hanging="340"/>
      </w:pPr>
      <w:bookmarkStart w:id="1047" w:name="_Ref_47"/>
      <w:r>
        <w:rPr>
          <w:b w:val="0"/>
          <w:sz w:val="16"/>
        </w:rPr>
        <w:t>47</w:t>
      </w:r>
      <w:bookmarkEnd w:id="1047"/>
      <w:r>
        <w:rPr>
          <w:sz w:val="16"/>
        </w:rPr>
        <w:t xml:space="preserve">. </w:t>
      </w:r>
      <w:r>
        <w:rPr>
          <w:b w:val="0"/>
          <w:i w:val="0"/>
          <w:sz w:val="16"/>
        </w:rPr>
        <w:t xml:space="preserve">Cohen, W.M.; Levinthal, D.A. </w:t>
      </w:r>
      <w:r>
        <w:rPr>
          <w:b w:val="0"/>
          <w:i w:val="0"/>
          <w:sz w:val="16"/>
        </w:rPr>
        <w:t xml:space="preserve">Absorptive Capacity: A New Perspective on Learning and Innovation. </w:t>
      </w:r>
      <w:r>
        <w:rPr>
          <w:b w:val="0"/>
          <w:i/>
          <w:sz w:val="16"/>
        </w:rPr>
        <w:t xml:space="preserve">Adm. Sci. Q. </w:t>
      </w:r>
      <w:r>
        <w:rPr>
          <w:b/>
          <w:i w:val="0"/>
          <w:sz w:val="16"/>
        </w:rPr>
        <w:t>1990</w:t>
      </w:r>
      <w:r>
        <w:rPr>
          <w:b w:val="0"/>
          <w:i w:val="0"/>
          <w:sz w:val="16"/>
        </w:rPr>
        <w:t xml:space="preserve">, </w:t>
      </w:r>
      <w:r>
        <w:rPr>
          <w:b w:val="0"/>
          <w:i/>
          <w:sz w:val="16"/>
        </w:rPr>
        <w:t>35</w:t>
      </w:r>
      <w:r>
        <w:rPr>
          <w:b w:val="0"/>
          <w:i w:val="0"/>
          <w:sz w:val="16"/>
        </w:rPr>
        <w:t>, 128–152.</w:t>
      </w:r>
      <w:r>
        <w:rPr>
          <w:b w:val="0"/>
          <w:i w:val="0"/>
          <w:sz w:val="16"/>
        </w:rPr>
        <w:t xml:space="preserve"> [CrossRef]</w:t>
      </w:r>
    </w:p>
    <w:p>
      <w:pPr>
        <w:pStyle w:val="MDPI32textnoindent"/>
        <w:spacing w:line="240" w:lineRule="auto" w:after="40"/>
        <w:ind w:left="2948" w:hanging="340"/>
      </w:pPr>
      <w:bookmarkStart w:id="1048" w:name="_Ref_48"/>
      <w:r>
        <w:rPr>
          <w:b w:val="0"/>
          <w:sz w:val="16"/>
        </w:rPr>
        <w:t>48</w:t>
      </w:r>
      <w:bookmarkEnd w:id="1048"/>
      <w:r>
        <w:rPr>
          <w:sz w:val="16"/>
        </w:rPr>
        <w:t xml:space="preserve">. </w:t>
      </w:r>
      <w:r>
        <w:rPr>
          <w:b w:val="0"/>
          <w:i w:val="0"/>
          <w:sz w:val="16"/>
        </w:rPr>
        <w:t xml:space="preserve">Teece, D.J.; Pisano, G.; Shuen, A. </w:t>
      </w:r>
      <w:r>
        <w:rPr>
          <w:b w:val="0"/>
          <w:i w:val="0"/>
          <w:sz w:val="16"/>
        </w:rPr>
        <w:t xml:space="preserve">Dynamic Capabilities and Strategic Management. </w:t>
      </w:r>
      <w:r>
        <w:rPr>
          <w:b w:val="0"/>
          <w:i/>
          <w:sz w:val="16"/>
        </w:rPr>
        <w:t xml:space="preserve">Strateg. Manag. J. </w:t>
      </w:r>
      <w:r>
        <w:rPr>
          <w:b/>
          <w:i w:val="0"/>
          <w:sz w:val="16"/>
        </w:rPr>
        <w:t>1997</w:t>
      </w:r>
      <w:r>
        <w:rPr>
          <w:b w:val="0"/>
          <w:i w:val="0"/>
          <w:sz w:val="16"/>
        </w:rPr>
        <w:t xml:space="preserve">, </w:t>
      </w:r>
      <w:r>
        <w:rPr>
          <w:b w:val="0"/>
          <w:i/>
          <w:sz w:val="16"/>
        </w:rPr>
        <w:t>18</w:t>
      </w:r>
      <w:r>
        <w:rPr>
          <w:b w:val="0"/>
          <w:i w:val="0"/>
          <w:sz w:val="16"/>
        </w:rPr>
        <w:t>, 509–533.</w:t>
      </w:r>
      <w:r>
        <w:rPr>
          <w:b w:val="0"/>
          <w:i w:val="0"/>
          <w:sz w:val="16"/>
        </w:rPr>
        <w:t xml:space="preserve"> [CrossRef]</w:t>
      </w:r>
    </w:p>
    <w:p>
      <w:pPr>
        <w:pStyle w:val="MDPI32textnoindent"/>
        <w:spacing w:line="240" w:lineRule="auto" w:after="40"/>
        <w:ind w:left="2948" w:hanging="340"/>
      </w:pPr>
      <w:bookmarkStart w:id="1049" w:name="_Ref_49"/>
      <w:r>
        <w:rPr>
          <w:b w:val="0"/>
          <w:sz w:val="16"/>
        </w:rPr>
        <w:t>49</w:t>
      </w:r>
      <w:bookmarkEnd w:id="1049"/>
      <w:r>
        <w:rPr>
          <w:sz w:val="16"/>
        </w:rPr>
        <w:t xml:space="preserve">. </w:t>
      </w:r>
      <w:r>
        <w:rPr>
          <w:b w:val="0"/>
          <w:i w:val="0"/>
          <w:sz w:val="16"/>
        </w:rPr>
        <w:t xml:space="preserve">Nelson, R.R.; Winter, S.G. </w:t>
      </w:r>
      <w:r>
        <w:rPr>
          <w:b w:val="0"/>
          <w:i/>
          <w:sz w:val="16"/>
        </w:rPr>
        <w:t>An Evolutionary Theory of Economic Change</w:t>
      </w:r>
      <w:r>
        <w:rPr>
          <w:b w:val="0"/>
          <w:i w:val="0"/>
          <w:sz w:val="16"/>
        </w:rPr>
        <w:t xml:space="preserve">; </w:t>
      </w:r>
      <w:r>
        <w:rPr>
          <w:b w:val="0"/>
          <w:i w:val="0"/>
          <w:sz w:val="16"/>
        </w:rPr>
        <w:t>Belknap Press of Harvard University Press: Cambridge, MA, USA, 1982.</w:t>
      </w:r>
    </w:p>
    <w:p>
      <w:pPr>
        <w:pStyle w:val="MDPI32textnoindent"/>
        <w:spacing w:line="240" w:lineRule="auto" w:after="40"/>
        <w:ind w:left="2948" w:hanging="340"/>
      </w:pPr>
      <w:bookmarkStart w:id="1050" w:name="_Ref_50"/>
      <w:r>
        <w:rPr>
          <w:b w:val="0"/>
          <w:sz w:val="16"/>
        </w:rPr>
        <w:t>50</w:t>
      </w:r>
      <w:bookmarkEnd w:id="1050"/>
      <w:r>
        <w:rPr>
          <w:sz w:val="16"/>
        </w:rPr>
        <w:t xml:space="preserve">. </w:t>
      </w:r>
      <w:r>
        <w:rPr>
          <w:b w:val="0"/>
          <w:i w:val="0"/>
          <w:sz w:val="16"/>
        </w:rPr>
        <w:t xml:space="preserve">Oliva, R.; Sterman, J.D. </w:t>
      </w:r>
      <w:r>
        <w:rPr>
          <w:b w:val="0"/>
          <w:i w:val="0"/>
          <w:sz w:val="16"/>
        </w:rPr>
        <w:t xml:space="preserve">Cutting Corners and Working Overtime: Quality Erosion in the Service Industry. </w:t>
      </w:r>
      <w:r>
        <w:rPr>
          <w:b w:val="0"/>
          <w:i/>
          <w:sz w:val="16"/>
        </w:rPr>
        <w:t xml:space="preserve">Manag. Sci. </w:t>
      </w:r>
      <w:r>
        <w:rPr>
          <w:b/>
          <w:i w:val="0"/>
          <w:sz w:val="16"/>
        </w:rPr>
        <w:t>2001</w:t>
      </w:r>
      <w:r>
        <w:rPr>
          <w:b w:val="0"/>
          <w:i w:val="0"/>
          <w:sz w:val="16"/>
        </w:rPr>
        <w:t xml:space="preserve">, </w:t>
      </w:r>
      <w:r>
        <w:rPr>
          <w:b w:val="0"/>
          <w:i/>
          <w:sz w:val="16"/>
        </w:rPr>
        <w:t>47</w:t>
      </w:r>
      <w:r>
        <w:rPr>
          <w:b w:val="0"/>
          <w:i w:val="0"/>
          <w:sz w:val="16"/>
        </w:rPr>
        <w:t>, 894–914.</w:t>
      </w:r>
      <w:r>
        <w:rPr>
          <w:b w:val="0"/>
          <w:i w:val="0"/>
          <w:sz w:val="16"/>
        </w:rPr>
        <w:t xml:space="preserve"> [CrossRef]</w:t>
      </w:r>
    </w:p>
    <w:p>
      <w:pPr>
        <w:pStyle w:val="MDPI32textnoindent"/>
        <w:spacing w:line="240" w:lineRule="auto" w:after="40"/>
        <w:ind w:left="2948" w:hanging="340"/>
      </w:pPr>
      <w:bookmarkStart w:id="1051" w:name="_Ref_51"/>
      <w:r>
        <w:rPr>
          <w:b w:val="0"/>
          <w:sz w:val="16"/>
        </w:rPr>
        <w:t>51</w:t>
      </w:r>
      <w:bookmarkEnd w:id="1051"/>
      <w:r>
        <w:rPr>
          <w:sz w:val="16"/>
        </w:rPr>
        <w:t xml:space="preserve">. </w:t>
      </w:r>
      <w:r>
        <w:rPr>
          <w:b w:val="0"/>
          <w:i w:val="0"/>
          <w:sz w:val="16"/>
        </w:rPr>
        <w:t xml:space="preserve">Bostrom, R.P.; Heinen, J.S. </w:t>
      </w:r>
      <w:r>
        <w:rPr>
          <w:b w:val="0"/>
          <w:i w:val="0"/>
          <w:sz w:val="16"/>
        </w:rPr>
        <w:t xml:space="preserve">MIS Problems and Failures: A Socio-Technical Perspective. Part I: The Causes. </w:t>
      </w:r>
      <w:r>
        <w:rPr>
          <w:b w:val="0"/>
          <w:i/>
          <w:sz w:val="16"/>
        </w:rPr>
        <w:t xml:space="preserve">MIS Q. </w:t>
      </w:r>
      <w:r>
        <w:rPr>
          <w:b/>
          <w:i w:val="0"/>
          <w:sz w:val="16"/>
        </w:rPr>
        <w:t>1977</w:t>
      </w:r>
      <w:r>
        <w:rPr>
          <w:b w:val="0"/>
          <w:i w:val="0"/>
          <w:sz w:val="16"/>
        </w:rPr>
        <w:t xml:space="preserve">, </w:t>
      </w:r>
      <w:r>
        <w:rPr>
          <w:b w:val="0"/>
          <w:i/>
          <w:sz w:val="16"/>
        </w:rPr>
        <w:t>1</w:t>
      </w:r>
      <w:r>
        <w:rPr>
          <w:b w:val="0"/>
          <w:i w:val="0"/>
          <w:sz w:val="16"/>
        </w:rPr>
        <w:t>, 17–32.</w:t>
      </w:r>
      <w:r>
        <w:rPr>
          <w:b w:val="0"/>
          <w:i w:val="0"/>
          <w:sz w:val="16"/>
        </w:rPr>
        <w:t xml:space="preserve"> [CrossRef]</w:t>
      </w:r>
    </w:p>
    <w:p>
      <w:pPr>
        <w:pStyle w:val="MDPI32textnoindent"/>
        <w:spacing w:line="240" w:lineRule="auto" w:after="40"/>
        <w:ind w:left="2948" w:hanging="340"/>
      </w:pPr>
      <w:bookmarkStart w:id="1052" w:name="_Ref_52"/>
      <w:r>
        <w:rPr>
          <w:b w:val="0"/>
          <w:sz w:val="16"/>
        </w:rPr>
        <w:t>52</w:t>
      </w:r>
      <w:bookmarkEnd w:id="1052"/>
      <w:r>
        <w:rPr>
          <w:sz w:val="16"/>
        </w:rPr>
        <w:t xml:space="preserve">. </w:t>
      </w:r>
      <w:r>
        <w:rPr>
          <w:b w:val="0"/>
          <w:i w:val="0"/>
          <w:sz w:val="16"/>
        </w:rPr>
        <w:t xml:space="preserve">Sarker, S.; Chatterjee, S.; Xiao, X.; Elbanna, A. </w:t>
      </w:r>
      <w:r>
        <w:rPr>
          <w:b w:val="0"/>
          <w:i w:val="0"/>
          <w:sz w:val="16"/>
        </w:rPr>
        <w:t xml:space="preserve">The Sociotechnical Axis of Cohesion for the IS Discipline: Its Historical Legacy and Its Continued Relevance. </w:t>
      </w:r>
      <w:r>
        <w:rPr>
          <w:b w:val="0"/>
          <w:i/>
          <w:sz w:val="16"/>
        </w:rPr>
        <w:t xml:space="preserve">MIS Q. </w:t>
      </w:r>
      <w:r>
        <w:rPr>
          <w:b/>
          <w:i w:val="0"/>
          <w:sz w:val="16"/>
        </w:rPr>
        <w:t>2019</w:t>
      </w:r>
      <w:r>
        <w:rPr>
          <w:b w:val="0"/>
          <w:i w:val="0"/>
          <w:sz w:val="16"/>
        </w:rPr>
        <w:t xml:space="preserve">, </w:t>
      </w:r>
      <w:r>
        <w:rPr>
          <w:b w:val="0"/>
          <w:i/>
          <w:sz w:val="16"/>
        </w:rPr>
        <w:t>43</w:t>
      </w:r>
      <w:r>
        <w:rPr>
          <w:b w:val="0"/>
          <w:i w:val="0"/>
          <w:sz w:val="16"/>
        </w:rPr>
        <w:t>, 695–719.</w:t>
      </w:r>
      <w:r>
        <w:rPr>
          <w:b w:val="0"/>
          <w:i w:val="0"/>
          <w:sz w:val="16"/>
        </w:rPr>
        <w:t xml:space="preserve"> [CrossRef]</w:t>
      </w:r>
    </w:p>
    <w:p>
      <w:pPr>
        <w:pStyle w:val="MDPI32textnoindent"/>
        <w:spacing w:line="240" w:lineRule="auto" w:after="40"/>
        <w:ind w:left="2948" w:hanging="340"/>
      </w:pPr>
      <w:bookmarkStart w:id="1053" w:name="_Ref_53"/>
      <w:r>
        <w:rPr>
          <w:b w:val="0"/>
          <w:sz w:val="16"/>
        </w:rPr>
        <w:t>53</w:t>
      </w:r>
      <w:bookmarkEnd w:id="1053"/>
      <w:r>
        <w:rPr>
          <w:sz w:val="16"/>
        </w:rPr>
        <w:t xml:space="preserve">. </w:t>
      </w:r>
      <w:r>
        <w:rPr>
          <w:b w:val="0"/>
          <w:i w:val="0"/>
          <w:sz w:val="16"/>
        </w:rPr>
        <w:t xml:space="preserve">Janssen, M. </w:t>
      </w:r>
      <w:r>
        <w:rPr>
          <w:b w:val="0"/>
          <w:i w:val="0"/>
          <w:sz w:val="16"/>
        </w:rPr>
        <w:t xml:space="preserve">Responsible Governance of Generative AI: Conceptualizing GenAI as Complex Adaptive Systems. </w:t>
      </w:r>
      <w:r>
        <w:rPr>
          <w:b w:val="0"/>
          <w:i/>
          <w:sz w:val="16"/>
        </w:rPr>
        <w:t xml:space="preserve">Policy Soc. </w:t>
      </w:r>
      <w:r>
        <w:rPr>
          <w:b/>
          <w:i w:val="0"/>
          <w:sz w:val="16"/>
        </w:rPr>
        <w:t>2025</w:t>
      </w:r>
      <w:r>
        <w:rPr>
          <w:b w:val="0"/>
          <w:i w:val="0"/>
          <w:sz w:val="16"/>
        </w:rPr>
        <w:t xml:space="preserve">, </w:t>
      </w:r>
      <w:r>
        <w:rPr>
          <w:b w:val="0"/>
          <w:i/>
          <w:sz w:val="16"/>
        </w:rPr>
        <w:t>44</w:t>
      </w:r>
      <w:r>
        <w:rPr>
          <w:b w:val="0"/>
          <w:i w:val="0"/>
          <w:sz w:val="16"/>
        </w:rPr>
        <w:t>, 38–51.</w:t>
      </w:r>
      <w:r>
        <w:rPr>
          <w:b w:val="0"/>
          <w:i w:val="0"/>
          <w:sz w:val="16"/>
        </w:rPr>
        <w:t xml:space="preserve"> [CrossRef]</w:t>
      </w:r>
    </w:p>
    <w:p>
      <w:pPr>
        <w:pStyle w:val="MDPI32textnoindent"/>
        <w:spacing w:line="240" w:lineRule="auto" w:after="40"/>
        <w:ind w:left="2948" w:hanging="340"/>
      </w:pPr>
      <w:bookmarkStart w:id="1054" w:name="_Ref_54"/>
      <w:r>
        <w:rPr>
          <w:b w:val="0"/>
          <w:sz w:val="16"/>
        </w:rPr>
        <w:t>54</w:t>
      </w:r>
      <w:bookmarkEnd w:id="1054"/>
      <w:r>
        <w:rPr>
          <w:sz w:val="16"/>
        </w:rPr>
        <w:t xml:space="preserve">. </w:t>
      </w:r>
      <w:r>
        <w:rPr>
          <w:b w:val="0"/>
          <w:i w:val="0"/>
          <w:sz w:val="16"/>
        </w:rPr>
        <w:t xml:space="preserve">Dwivedi, Y.K.; Kshetri, N.; Hughes, L.; Slade, E.L.; Jeyaraj, A.; Kar, A.K.; Baabdullah, A.M.; Koohang, A.; Raghavan, V.; Ahuja, M.; et al. </w:t>
      </w:r>
      <w:r>
        <w:rPr>
          <w:b w:val="0"/>
          <w:i w:val="0"/>
          <w:sz w:val="16"/>
        </w:rPr>
        <w:t xml:space="preserve">Opinion Paper: “So What If ChatGPT Wrote It?” Multidisciplinary Perspectives on Opportunities, Challenges and Implications of Generative Conversational AI for Research, Practice and Policy. </w:t>
      </w:r>
      <w:r>
        <w:rPr>
          <w:b w:val="0"/>
          <w:i/>
          <w:sz w:val="16"/>
        </w:rPr>
        <w:t xml:space="preserve">Int. J. Inf. Manag. </w:t>
      </w:r>
      <w:r>
        <w:rPr>
          <w:b/>
          <w:i w:val="0"/>
          <w:sz w:val="16"/>
        </w:rPr>
        <w:t>2023</w:t>
      </w:r>
      <w:r>
        <w:rPr>
          <w:b w:val="0"/>
          <w:i w:val="0"/>
          <w:sz w:val="16"/>
        </w:rPr>
        <w:t xml:space="preserve">, </w:t>
      </w:r>
      <w:r>
        <w:rPr>
          <w:b w:val="0"/>
          <w:i/>
          <w:sz w:val="16"/>
        </w:rPr>
        <w:t>71</w:t>
      </w:r>
      <w:r>
        <w:rPr>
          <w:b w:val="0"/>
          <w:i w:val="0"/>
          <w:sz w:val="16"/>
        </w:rPr>
        <w:t>, 102642.</w:t>
      </w:r>
      <w:r>
        <w:rPr>
          <w:b w:val="0"/>
          <w:i w:val="0"/>
          <w:sz w:val="16"/>
        </w:rPr>
        <w:t xml:space="preserve"> [CrossRef]</w:t>
      </w:r>
    </w:p>
    <w:p>
      <w:pPr>
        <w:pStyle w:val="MDPI32textnoindent"/>
        <w:spacing w:line="240" w:lineRule="auto" w:after="40"/>
        <w:ind w:left="2948" w:hanging="340"/>
      </w:pPr>
      <w:bookmarkStart w:id="1055" w:name="_Ref_55"/>
      <w:r>
        <w:rPr>
          <w:b w:val="0"/>
          <w:sz w:val="16"/>
        </w:rPr>
        <w:t>55</w:t>
      </w:r>
      <w:bookmarkEnd w:id="1055"/>
      <w:r>
        <w:rPr>
          <w:sz w:val="16"/>
        </w:rPr>
        <w:t xml:space="preserve">. </w:t>
      </w:r>
      <w:r>
        <w:rPr>
          <w:b w:val="0"/>
          <w:i w:val="0"/>
          <w:sz w:val="16"/>
        </w:rPr>
        <w:t xml:space="preserve">Ashby, W.R. </w:t>
      </w:r>
      <w:r>
        <w:rPr>
          <w:b w:val="0"/>
          <w:i/>
          <w:sz w:val="16"/>
        </w:rPr>
        <w:t>An Introduction to Cybernetics</w:t>
      </w:r>
      <w:r>
        <w:rPr>
          <w:b w:val="0"/>
          <w:i w:val="0"/>
          <w:sz w:val="16"/>
        </w:rPr>
        <w:t xml:space="preserve">; </w:t>
      </w:r>
      <w:r>
        <w:rPr>
          <w:b w:val="0"/>
          <w:i w:val="0"/>
          <w:sz w:val="16"/>
        </w:rPr>
        <w:t>Chapman &amp; Hall: London, UK, 1956.</w:t>
      </w:r>
    </w:p>
    <w:p>
      <w:pPr>
        <w:pStyle w:val="MDPI32textnoindent"/>
        <w:spacing w:line="240" w:lineRule="auto" w:after="40"/>
        <w:ind w:left="2948" w:hanging="340"/>
      </w:pPr>
      <w:bookmarkStart w:id="1056" w:name="_Ref_56"/>
      <w:r>
        <w:rPr>
          <w:b w:val="0"/>
          <w:sz w:val="16"/>
        </w:rPr>
        <w:t>56</w:t>
      </w:r>
      <w:bookmarkEnd w:id="1056"/>
      <w:r>
        <w:rPr>
          <w:sz w:val="16"/>
        </w:rPr>
        <w:t xml:space="preserve">. </w:t>
      </w:r>
      <w:r>
        <w:rPr>
          <w:b w:val="0"/>
          <w:i w:val="0"/>
          <w:sz w:val="16"/>
        </w:rPr>
        <w:t xml:space="preserve">Beer, S. </w:t>
      </w:r>
      <w:r>
        <w:rPr>
          <w:b w:val="0"/>
          <w:i/>
          <w:sz w:val="16"/>
        </w:rPr>
        <w:t>Brain of the Firm</w:t>
      </w:r>
      <w:r>
        <w:rPr>
          <w:b w:val="0"/>
          <w:i w:val="0"/>
          <w:sz w:val="16"/>
        </w:rPr>
        <w:t xml:space="preserve">, 2nd ed.; </w:t>
      </w:r>
      <w:r>
        <w:rPr>
          <w:b w:val="0"/>
          <w:i w:val="0"/>
          <w:sz w:val="16"/>
        </w:rPr>
        <w:t>John Wiley &amp; Sons: Chichester, UK, 1981.</w:t>
      </w:r>
    </w:p>
    <w:p>
      <w:pPr>
        <w:pStyle w:val="MDPI32textnoindent"/>
        <w:spacing w:line="240" w:lineRule="auto" w:after="40"/>
        <w:ind w:left="2948" w:hanging="340"/>
      </w:pPr>
      <w:bookmarkStart w:id="1057" w:name="_Ref_57"/>
      <w:r>
        <w:rPr>
          <w:b w:val="0"/>
          <w:sz w:val="16"/>
        </w:rPr>
        <w:t>57</w:t>
      </w:r>
      <w:bookmarkEnd w:id="1057"/>
      <w:r>
        <w:rPr>
          <w:sz w:val="16"/>
        </w:rPr>
        <w:t xml:space="preserve">. </w:t>
      </w:r>
      <w:r>
        <w:rPr>
          <w:b w:val="0"/>
          <w:i w:val="0"/>
          <w:sz w:val="16"/>
        </w:rPr>
        <w:t xml:space="preserve">Sterman, J.D. </w:t>
      </w:r>
      <w:r>
        <w:rPr>
          <w:b w:val="0"/>
          <w:i w:val="0"/>
          <w:sz w:val="16"/>
        </w:rPr>
        <w:t xml:space="preserve">System Dynamics at Sixty: The Path Forward. </w:t>
      </w:r>
      <w:r>
        <w:rPr>
          <w:b w:val="0"/>
          <w:i/>
          <w:sz w:val="16"/>
        </w:rPr>
        <w:t xml:space="preserve">Syst. Dyn. Rev. </w:t>
      </w:r>
      <w:r>
        <w:rPr>
          <w:b/>
          <w:i w:val="0"/>
          <w:sz w:val="16"/>
        </w:rPr>
        <w:t>2018</w:t>
      </w:r>
      <w:r>
        <w:rPr>
          <w:b w:val="0"/>
          <w:i w:val="0"/>
          <w:sz w:val="16"/>
        </w:rPr>
        <w:t xml:space="preserve">, </w:t>
      </w:r>
      <w:r>
        <w:rPr>
          <w:b w:val="0"/>
          <w:i/>
          <w:sz w:val="16"/>
        </w:rPr>
        <w:t>34</w:t>
      </w:r>
      <w:r>
        <w:rPr>
          <w:b w:val="0"/>
          <w:i w:val="0"/>
          <w:sz w:val="16"/>
        </w:rPr>
        <w:t>, 5–47.</w:t>
      </w:r>
      <w:r>
        <w:rPr>
          <w:b w:val="0"/>
          <w:i w:val="0"/>
          <w:sz w:val="16"/>
        </w:rPr>
        <w:t xml:space="preserve"> [CrossRef]</w:t>
      </w:r>
    </w:p>
    <w:p>
      <w:pPr>
        <w:pStyle w:val="MDPI32textnoindent"/>
        <w:spacing w:line="240" w:lineRule="auto" w:after="40"/>
        <w:ind w:left="2948" w:hanging="340"/>
      </w:pPr>
      <w:bookmarkStart w:id="1058" w:name="_Ref_58"/>
      <w:r>
        <w:rPr>
          <w:b w:val="0"/>
          <w:sz w:val="16"/>
        </w:rPr>
        <w:t>58</w:t>
      </w:r>
      <w:bookmarkEnd w:id="1058"/>
      <w:r>
        <w:rPr>
          <w:sz w:val="16"/>
        </w:rPr>
        <w:t xml:space="preserve">. </w:t>
      </w:r>
      <w:r>
        <w:rPr>
          <w:b w:val="0"/>
          <w:i w:val="0"/>
          <w:sz w:val="16"/>
        </w:rPr>
        <w:t xml:space="preserve">Anderson, P. </w:t>
      </w:r>
      <w:r>
        <w:rPr>
          <w:b w:val="0"/>
          <w:i w:val="0"/>
          <w:sz w:val="16"/>
        </w:rPr>
        <w:t xml:space="preserve">Complexity Theory and Organization Science. </w:t>
      </w:r>
      <w:r>
        <w:rPr>
          <w:b w:val="0"/>
          <w:i/>
          <w:sz w:val="16"/>
        </w:rPr>
        <w:t xml:space="preserve">Organ. Sci. </w:t>
      </w:r>
      <w:r>
        <w:rPr>
          <w:b/>
          <w:i w:val="0"/>
          <w:sz w:val="16"/>
        </w:rPr>
        <w:t>1999</w:t>
      </w:r>
      <w:r>
        <w:rPr>
          <w:b w:val="0"/>
          <w:i w:val="0"/>
          <w:sz w:val="16"/>
        </w:rPr>
        <w:t xml:space="preserve">, </w:t>
      </w:r>
      <w:r>
        <w:rPr>
          <w:b w:val="0"/>
          <w:i/>
          <w:sz w:val="16"/>
        </w:rPr>
        <w:t>10</w:t>
      </w:r>
      <w:r>
        <w:rPr>
          <w:b w:val="0"/>
          <w:i w:val="0"/>
          <w:sz w:val="16"/>
        </w:rPr>
        <w:t>, 216–232.</w:t>
      </w:r>
      <w:r>
        <w:rPr>
          <w:b w:val="0"/>
          <w:i w:val="0"/>
          <w:sz w:val="16"/>
        </w:rPr>
        <w:t xml:space="preserve"> [CrossRef]</w:t>
      </w:r>
    </w:p>
    <w:p>
      <w:pPr>
        <w:pStyle w:val="MDPI32textnoindent"/>
        <w:spacing w:line="240" w:lineRule="auto" w:after="40"/>
        <w:ind w:left="2948" w:hanging="340"/>
      </w:pPr>
      <w:bookmarkStart w:id="1059" w:name="_Ref_59"/>
      <w:r>
        <w:rPr>
          <w:b w:val="0"/>
          <w:sz w:val="16"/>
        </w:rPr>
        <w:t>59</w:t>
      </w:r>
      <w:bookmarkEnd w:id="1059"/>
      <w:r>
        <w:rPr>
          <w:sz w:val="16"/>
        </w:rPr>
        <w:t xml:space="preserve">. </w:t>
      </w:r>
      <w:r>
        <w:rPr>
          <w:b w:val="0"/>
          <w:i w:val="0"/>
          <w:sz w:val="16"/>
        </w:rPr>
        <w:t xml:space="preserve">Meadows, D.H. </w:t>
      </w:r>
      <w:r>
        <w:rPr>
          <w:b w:val="0"/>
          <w:i/>
          <w:sz w:val="16"/>
        </w:rPr>
        <w:t>Thinking in Systems: A Primer</w:t>
      </w:r>
      <w:r>
        <w:rPr>
          <w:b w:val="0"/>
          <w:i w:val="0"/>
          <w:sz w:val="16"/>
        </w:rPr>
        <w:t xml:space="preserve">; </w:t>
      </w:r>
      <w:r>
        <w:rPr>
          <w:b w:val="0"/>
          <w:i w:val="0"/>
          <w:sz w:val="16"/>
        </w:rPr>
        <w:t>Chelsea Green Publishing: White River Junction, VT, USA, 2008.</w:t>
      </w:r>
    </w:p>
    <w:p>
      <w:pPr>
        <w:pStyle w:val="MDPI32textnoindent"/>
        <w:spacing w:line="240" w:lineRule="auto" w:after="40"/>
        <w:ind w:left="2948" w:hanging="340"/>
      </w:pPr>
      <w:bookmarkStart w:id="1060" w:name="_Ref_60"/>
      <w:r>
        <w:rPr>
          <w:b w:val="0"/>
          <w:sz w:val="16"/>
        </w:rPr>
        <w:t>60</w:t>
      </w:r>
      <w:bookmarkEnd w:id="1060"/>
      <w:r>
        <w:rPr>
          <w:sz w:val="16"/>
        </w:rPr>
        <w:t xml:space="preserve">. </w:t>
      </w:r>
      <w:r>
        <w:rPr>
          <w:b w:val="0"/>
          <w:i w:val="0"/>
          <w:sz w:val="16"/>
        </w:rPr>
        <w:t xml:space="preserve">Autor, D.H. </w:t>
      </w:r>
      <w:r>
        <w:rPr>
          <w:b w:val="0"/>
          <w:i w:val="0"/>
          <w:sz w:val="16"/>
        </w:rPr>
        <w:t xml:space="preserve">Why Are There Still So Many Jobs? The History and Future of Workplace Automation. </w:t>
      </w:r>
      <w:r>
        <w:rPr>
          <w:b w:val="0"/>
          <w:i/>
          <w:sz w:val="16"/>
        </w:rPr>
        <w:t xml:space="preserve">J. Econ. Perspect. </w:t>
      </w:r>
      <w:r>
        <w:rPr>
          <w:b/>
          <w:i w:val="0"/>
          <w:sz w:val="16"/>
        </w:rPr>
        <w:t>2015</w:t>
      </w:r>
      <w:r>
        <w:rPr>
          <w:b w:val="0"/>
          <w:i w:val="0"/>
          <w:sz w:val="16"/>
        </w:rPr>
        <w:t xml:space="preserve">, </w:t>
      </w:r>
      <w:r>
        <w:rPr>
          <w:b w:val="0"/>
          <w:i/>
          <w:sz w:val="16"/>
        </w:rPr>
        <w:t>29</w:t>
      </w:r>
      <w:r>
        <w:rPr>
          <w:b w:val="0"/>
          <w:i w:val="0"/>
          <w:sz w:val="16"/>
        </w:rPr>
        <w:t>, 3–30.</w:t>
      </w:r>
      <w:r>
        <w:rPr>
          <w:b w:val="0"/>
          <w:i w:val="0"/>
          <w:sz w:val="16"/>
        </w:rPr>
        <w:t xml:space="preserve"> [CrossRef]</w:t>
      </w:r>
    </w:p>
    <w:p>
      <w:pPr>
        <w:pStyle w:val="MDPI32textnoindent"/>
        <w:spacing w:line="240" w:lineRule="auto" w:after="40"/>
        <w:ind w:left="2948" w:hanging="340"/>
      </w:pPr>
      <w:bookmarkStart w:id="1061" w:name="_Ref_61"/>
      <w:r>
        <w:rPr>
          <w:b w:val="0"/>
          <w:sz w:val="16"/>
        </w:rPr>
        <w:t>61</w:t>
      </w:r>
      <w:bookmarkEnd w:id="1061"/>
      <w:r>
        <w:rPr>
          <w:sz w:val="16"/>
        </w:rPr>
        <w:t xml:space="preserve">. </w:t>
      </w:r>
      <w:r>
        <w:rPr>
          <w:b w:val="0"/>
          <w:i w:val="0"/>
          <w:sz w:val="16"/>
        </w:rPr>
        <w:t xml:space="preserve">Xue, F.; Jin, S. </w:t>
      </w:r>
      <w:r>
        <w:rPr>
          <w:b w:val="0"/>
          <w:i w:val="0"/>
          <w:sz w:val="16"/>
        </w:rPr>
        <w:t xml:space="preserve">Artificial Intelligence Adoption, Innovation Efficiency, and Governance Mechanisms: Evidence from China. </w:t>
      </w:r>
      <w:r>
        <w:rPr>
          <w:b w:val="0"/>
          <w:i/>
          <w:sz w:val="16"/>
        </w:rPr>
        <w:t xml:space="preserve">Systems </w:t>
      </w:r>
      <w:r>
        <w:rPr>
          <w:b/>
          <w:i w:val="0"/>
          <w:sz w:val="16"/>
        </w:rPr>
        <w:t>2025</w:t>
      </w:r>
      <w:r>
        <w:rPr>
          <w:b w:val="0"/>
          <w:i w:val="0"/>
          <w:sz w:val="16"/>
        </w:rPr>
        <w:t xml:space="preserve">, </w:t>
      </w:r>
      <w:r>
        <w:rPr>
          <w:b w:val="0"/>
          <w:i/>
          <w:sz w:val="16"/>
        </w:rPr>
        <w:t>13</w:t>
      </w:r>
      <w:r>
        <w:rPr>
          <w:b w:val="0"/>
          <w:i w:val="0"/>
          <w:sz w:val="16"/>
        </w:rPr>
        <w:t>, 1062.</w:t>
      </w:r>
      <w:r>
        <w:rPr>
          <w:b w:val="0"/>
          <w:i w:val="0"/>
          <w:sz w:val="16"/>
        </w:rPr>
        <w:t xml:space="preserve"> [CrossRef]</w:t>
      </w:r>
    </w:p>
    <w:p>
      <w:pPr>
        <w:pStyle w:val="MDPI32textnoindent"/>
        <w:spacing w:line="240" w:lineRule="auto" w:after="40"/>
        <w:ind w:left="2948" w:hanging="340"/>
      </w:pPr>
      <w:bookmarkStart w:id="1062" w:name="_Ref_62"/>
      <w:r>
        <w:rPr>
          <w:b w:val="0"/>
          <w:sz w:val="16"/>
        </w:rPr>
        <w:t>62</w:t>
      </w:r>
      <w:bookmarkEnd w:id="1062"/>
      <w:r>
        <w:rPr>
          <w:sz w:val="16"/>
        </w:rPr>
        <w:t xml:space="preserve">. </w:t>
      </w:r>
      <w:r>
        <w:rPr>
          <w:b w:val="0"/>
          <w:i w:val="0"/>
          <w:sz w:val="16"/>
        </w:rPr>
        <w:t xml:space="preserve">Xue, X.; Li, L.; Chen, J.; Luo, T. </w:t>
      </w:r>
      <w:r>
        <w:rPr>
          <w:b w:val="0"/>
          <w:i w:val="0"/>
          <w:sz w:val="16"/>
        </w:rPr>
        <w:t xml:space="preserve">How Does Digital Technology Innovation Quality Empower Corporate ESG Performance? The Roles of Digital Transformation and Digital Technology Diffusion. </w:t>
      </w:r>
      <w:r>
        <w:rPr>
          <w:b w:val="0"/>
          <w:i/>
          <w:sz w:val="16"/>
        </w:rPr>
        <w:t xml:space="preserve">Systems </w:t>
      </w:r>
      <w:r>
        <w:rPr>
          <w:b/>
          <w:i w:val="0"/>
          <w:sz w:val="16"/>
        </w:rPr>
        <w:t>2025</w:t>
      </w:r>
      <w:r>
        <w:rPr>
          <w:b w:val="0"/>
          <w:i w:val="0"/>
          <w:sz w:val="16"/>
        </w:rPr>
        <w:t xml:space="preserve">, </w:t>
      </w:r>
      <w:r>
        <w:rPr>
          <w:b w:val="0"/>
          <w:i/>
          <w:sz w:val="16"/>
        </w:rPr>
        <w:t>13</w:t>
      </w:r>
      <w:r>
        <w:rPr>
          <w:b w:val="0"/>
          <w:i w:val="0"/>
          <w:sz w:val="16"/>
        </w:rPr>
        <w:t>, 929.</w:t>
      </w:r>
      <w:r>
        <w:rPr>
          <w:b w:val="0"/>
          <w:i w:val="0"/>
          <w:sz w:val="16"/>
        </w:rPr>
        <w:t xml:space="preserve"> [CrossRef]</w:t>
      </w:r>
    </w:p>
    <w:sectPr w:rsidR="003D34A1" w:rsidRPr="00B86B71" w:rsidSect="00C245DC">
      <w:headerReference w:type="even" r:id="rId11"/>
      <w:headerReference w:type="default" r:id="rId12"/>
      <w:footerReference w:type="default" r:id="rId13"/>
      <w:headerReference w:type="first" r:id="rId14"/>
      <w:footerReference w:type="first" r:id="rId15"/>
      <w:type w:val="continuous"/>
      <w:pgSz w:w="11906" w:h="16838" w:code="9"/>
      <w:pgMar w:top="1417" w:right="720" w:bottom="907" w:left="720" w:header="720" w:footer="612" w:gutter="0"/>
      <w:lnNumType w:countBy="1" w:distance="255" w:restart="continuous"/>
      <w:pgNumType w:start="1"/>
      <w:cols w:space="425"/>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2C0D8D" w14:textId="77777777" w:rsidR="00042A41" w:rsidRPr="00FA5AAF" w:rsidRDefault="00042A41">
      <w:pPr>
        <w:spacing w:line="240" w:lineRule="auto"/>
      </w:pPr>
      <w:r w:rsidRPr="00FA5AAF">
        <w:separator/>
      </w:r>
    </w:p>
  </w:endnote>
  <w:endnote w:type="continuationSeparator" w:id="0">
    <w:p w14:paraId="0A21264B" w14:textId="77777777" w:rsidR="00042A41" w:rsidRPr="00FA5AAF" w:rsidRDefault="00042A41">
      <w:pPr>
        <w:spacing w:line="240" w:lineRule="auto"/>
      </w:pPr>
      <w:r w:rsidRPr="00FA5AA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等线">
    <w:altName w:val="DengXian"/>
    <w:panose1 w:val="02010600030101010101"/>
    <w:charset w:val="86"/>
    <w:family w:val="auto"/>
    <w:pitch w:val="variable"/>
    <w:sig w:usb0="A00002BF" w:usb1="38CF7CFA" w:usb2="00000016" w:usb3="00000000" w:csb0="0004000F" w:csb1="00000000"/>
  </w:font>
  <w:font w:name="URWPalladioL-Ital">
    <w:altName w:val="Yu Gothic"/>
    <w:panose1 w:val="00000000000000000000"/>
    <w:charset w:val="80"/>
    <w:family w:val="auto"/>
    <w:notTrueType/>
    <w:pitch w:val="default"/>
    <w:sig w:usb0="00000001" w:usb1="08070000" w:usb2="00000010" w:usb3="00000000" w:csb0="00020000"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723B7" w14:textId="77777777" w:rsidR="00697B5A" w:rsidRPr="00FA5AAF" w:rsidRDefault="00697B5A" w:rsidP="00697B5A">
    <w:pPr>
      <w:pStyle w:val="Footer"/>
      <w:spacing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C9B57" w14:textId="77777777" w:rsidR="00CF1526" w:rsidRPr="00FA5AAF" w:rsidRDefault="00CF1526" w:rsidP="00942152">
    <w:pPr>
      <w:pBdr>
        <w:top w:val="single" w:sz="4" w:space="0" w:color="000000"/>
      </w:pBdr>
      <w:tabs>
        <w:tab w:val="right" w:pos="8844"/>
      </w:tabs>
      <w:adjustRightInd w:val="0"/>
      <w:snapToGrid w:val="0"/>
      <w:spacing w:before="480" w:line="100" w:lineRule="exact"/>
      <w:jc w:val="left"/>
      <w:rPr>
        <w:i/>
        <w:sz w:val="16"/>
        <w:szCs w:val="16"/>
      </w:rPr>
    </w:pPr>
  </w:p>
  <w:p w14:paraId="2F5022B6" w14:textId="22010ACB" w:rsidR="00697B5A" w:rsidRPr="00FA5AAF" w:rsidRDefault="00697B5A" w:rsidP="007E21E9">
    <w:pPr>
      <w:tabs>
        <w:tab w:val="right" w:pos="10466"/>
      </w:tabs>
      <w:adjustRightInd w:val="0"/>
      <w:snapToGrid w:val="0"/>
      <w:spacing w:line="240" w:lineRule="auto"/>
      <w:rPr>
        <w:sz w:val="16"/>
        <w:szCs w:val="16"/>
      </w:rPr>
    </w:pPr>
    <w:r w:rsidRPr="00FA5AAF">
      <w:rPr>
        <w:i/>
        <w:sz w:val="16"/>
        <w:szCs w:val="16"/>
      </w:rPr>
      <w:t xml:space="preserve">Systems </w:t>
    </w:r>
    <w:r w:rsidR="00C245DC" w:rsidRPr="00FA5AAF">
      <w:rPr>
        <w:b/>
        <w:bCs/>
        <w:iCs/>
        <w:sz w:val="16"/>
        <w:szCs w:val="16"/>
      </w:rPr>
      <w:t>2025</w:t>
    </w:r>
    <w:r w:rsidR="00C047A0" w:rsidRPr="00FA5AAF">
      <w:rPr>
        <w:bCs/>
        <w:iCs/>
        <w:sz w:val="16"/>
        <w:szCs w:val="16"/>
      </w:rPr>
      <w:t>,</w:t>
    </w:r>
    <w:r w:rsidR="00C245DC" w:rsidRPr="00FA5AAF">
      <w:rPr>
        <w:bCs/>
        <w:i/>
        <w:iCs/>
        <w:sz w:val="16"/>
        <w:szCs w:val="16"/>
      </w:rPr>
      <w:t xml:space="preserve"> 13</w:t>
    </w:r>
    <w:r w:rsidR="00C047A0" w:rsidRPr="00FA5AAF">
      <w:rPr>
        <w:bCs/>
        <w:iCs/>
        <w:sz w:val="16"/>
        <w:szCs w:val="16"/>
      </w:rPr>
      <w:t xml:space="preserve">, </w:t>
    </w:r>
    <w:r w:rsidR="005F1025" w:rsidRPr="00FA5AAF">
      <w:rPr>
        <w:bCs/>
        <w:iCs/>
        <w:sz w:val="16"/>
        <w:szCs w:val="16"/>
      </w:rPr>
      <w:t>x</w:t>
    </w:r>
    <w:r w:rsidR="007E21E9" w:rsidRPr="00FA5AAF">
      <w:rPr>
        <w:sz w:val="16"/>
        <w:szCs w:val="16"/>
      </w:rPr>
      <w:tab/>
    </w:r>
    <w:r w:rsidR="00C245DC" w:rsidRPr="00FA5AAF">
      <w:rPr>
        <w:sz w:val="16"/>
        <w:szCs w:val="16"/>
      </w:rPr>
      <w:t>https://doi.org/10.3390/xxxxx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F28F93" w14:textId="77777777" w:rsidR="00042A41" w:rsidRPr="00FA5AAF" w:rsidRDefault="00042A41">
      <w:pPr>
        <w:spacing w:line="240" w:lineRule="auto"/>
      </w:pPr>
      <w:r w:rsidRPr="00FA5AAF">
        <w:separator/>
      </w:r>
    </w:p>
  </w:footnote>
  <w:footnote w:type="continuationSeparator" w:id="0">
    <w:p w14:paraId="571C0C7B" w14:textId="77777777" w:rsidR="00042A41" w:rsidRPr="00FA5AAF" w:rsidRDefault="00042A41">
      <w:pPr>
        <w:spacing w:line="240" w:lineRule="auto"/>
      </w:pPr>
      <w:r w:rsidRPr="00FA5AAF">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89A58" w14:textId="77777777" w:rsidR="00697B5A" w:rsidRPr="00FA5AAF" w:rsidRDefault="00697B5A" w:rsidP="00697B5A">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740F5" w14:textId="333822ED" w:rsidR="00CF1526" w:rsidRPr="00FA5AAF" w:rsidRDefault="00697B5A" w:rsidP="007E21E9">
    <w:pPr>
      <w:tabs>
        <w:tab w:val="right" w:pos="10466"/>
      </w:tabs>
      <w:adjustRightInd w:val="0"/>
      <w:snapToGrid w:val="0"/>
      <w:spacing w:line="240" w:lineRule="auto"/>
      <w:rPr>
        <w:sz w:val="16"/>
      </w:rPr>
    </w:pPr>
    <w:r w:rsidRPr="00FA5AAF">
      <w:rPr>
        <w:i/>
        <w:sz w:val="16"/>
      </w:rPr>
      <w:t xml:space="preserve">Systems </w:t>
    </w:r>
    <w:r w:rsidR="00C245DC" w:rsidRPr="00FA5AAF">
      <w:rPr>
        <w:b/>
        <w:sz w:val="16"/>
      </w:rPr>
      <w:t>2025</w:t>
    </w:r>
    <w:r w:rsidR="00C047A0" w:rsidRPr="00FA5AAF">
      <w:rPr>
        <w:sz w:val="16"/>
      </w:rPr>
      <w:t>,</w:t>
    </w:r>
    <w:r w:rsidR="00C245DC" w:rsidRPr="00FA5AAF">
      <w:rPr>
        <w:i/>
        <w:sz w:val="16"/>
      </w:rPr>
      <w:t xml:space="preserve"> 13</w:t>
    </w:r>
    <w:r w:rsidR="005F1025" w:rsidRPr="00FA5AAF">
      <w:rPr>
        <w:sz w:val="16"/>
      </w:rPr>
      <w:t xml:space="preserve">, x </w:t>
    </w:r>
    <w:r w:rsidR="00C245DC" w:rsidRPr="00FA5AAF">
      <w:rPr>
        <w:sz w:val="16"/>
      </w:rPr>
      <w:t>FOR PEER REVIEW</w:t>
    </w:r>
    <w:r w:rsidR="00C245DC" w:rsidRPr="00FA5AAF">
      <w:rPr>
        <w:sz w:val="16"/>
      </w:rPr>
      <w:ptab w:relativeTo="margin" w:alignment="right" w:leader="none"/>
    </w:r>
    <w:r w:rsidR="00C245DC" w:rsidRPr="00FA5AAF">
      <w:rPr>
        <w:sz w:val="16"/>
      </w:rPr>
      <w:fldChar w:fldCharType="begin"/>
    </w:r>
    <w:r w:rsidR="00C245DC" w:rsidRPr="00FA5AAF">
      <w:rPr>
        <w:sz w:val="16"/>
      </w:rPr>
      <w:instrText xml:space="preserve"> PAGE   \* MERGEFORMAT </w:instrText>
    </w:r>
    <w:r w:rsidR="00C245DC" w:rsidRPr="00FA5AAF">
      <w:rPr>
        <w:sz w:val="16"/>
      </w:rPr>
      <w:fldChar w:fldCharType="separate"/>
    </w:r>
    <w:r w:rsidR="00C245DC" w:rsidRPr="00FA5AAF">
      <w:rPr>
        <w:sz w:val="16"/>
      </w:rPr>
      <w:t>2</w:t>
    </w:r>
    <w:r w:rsidR="00C245DC" w:rsidRPr="00FA5AAF">
      <w:rPr>
        <w:sz w:val="16"/>
      </w:rPr>
      <w:fldChar w:fldCharType="end"/>
    </w:r>
    <w:r w:rsidR="00C245DC" w:rsidRPr="00FA5AAF">
      <w:rPr>
        <w:sz w:val="16"/>
      </w:rPr>
      <w:t xml:space="preserve"> of </w:t>
    </w:r>
    <w:r w:rsidR="00C245DC" w:rsidRPr="00FA5AAF">
      <w:rPr>
        <w:sz w:val="16"/>
      </w:rPr>
      <w:fldChar w:fldCharType="begin"/>
    </w:r>
    <w:r w:rsidR="00C245DC" w:rsidRPr="00FA5AAF">
      <w:rPr>
        <w:sz w:val="16"/>
      </w:rPr>
      <w:instrText xml:space="preserve"> NUMPAGES   \* MERGEFORMAT </w:instrText>
    </w:r>
    <w:r w:rsidR="00C245DC" w:rsidRPr="00FA5AAF">
      <w:rPr>
        <w:sz w:val="16"/>
      </w:rPr>
      <w:fldChar w:fldCharType="separate"/>
    </w:r>
    <w:r w:rsidR="00C245DC" w:rsidRPr="00FA5AAF">
      <w:rPr>
        <w:sz w:val="16"/>
      </w:rPr>
      <w:t>8</w:t>
    </w:r>
    <w:r w:rsidR="00C245DC" w:rsidRPr="00FA5AAF">
      <w:rPr>
        <w:sz w:val="16"/>
      </w:rPr>
      <w:fldChar w:fldCharType="end"/>
    </w:r>
  </w:p>
  <w:p w14:paraId="2153CD40" w14:textId="77777777" w:rsidR="00697B5A" w:rsidRPr="00FA5AAF" w:rsidRDefault="00697B5A" w:rsidP="00942152">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7" w:type="dxa"/>
      <w:tblCellMar>
        <w:left w:w="0" w:type="dxa"/>
        <w:right w:w="0" w:type="dxa"/>
      </w:tblCellMar>
      <w:tblLook w:val="04A0" w:firstRow="1" w:lastRow="0" w:firstColumn="1" w:lastColumn="0" w:noHBand="0" w:noVBand="1"/>
    </w:tblPr>
    <w:tblGrid>
      <w:gridCol w:w="3679"/>
      <w:gridCol w:w="4535"/>
      <w:gridCol w:w="2273"/>
    </w:tblGrid>
    <w:tr w:rsidR="00CF1526" w:rsidRPr="00FA5AAF" w14:paraId="64528AE3" w14:textId="77777777" w:rsidTr="003D5EB7">
      <w:trPr>
        <w:trHeight w:val="686"/>
      </w:trPr>
      <w:tc>
        <w:tcPr>
          <w:tcW w:w="3679" w:type="dxa"/>
          <w:shd w:val="clear" w:color="auto" w:fill="auto"/>
          <w:vAlign w:val="center"/>
        </w:tcPr>
        <w:p w14:paraId="17A05555" w14:textId="19B635A0" w:rsidR="00CF1526" w:rsidRPr="00FA5AAF" w:rsidRDefault="00686F99" w:rsidP="007E21E9">
          <w:pPr>
            <w:pStyle w:val="Header"/>
            <w:pBdr>
              <w:bottom w:val="none" w:sz="0" w:space="0" w:color="auto"/>
            </w:pBdr>
            <w:jc w:val="left"/>
            <w:rPr>
              <w:rFonts w:eastAsia="等线"/>
              <w:b/>
              <w:bCs/>
            </w:rPr>
          </w:pPr>
          <w:r w:rsidRPr="00FA5AAF">
            <w:rPr>
              <w:rFonts w:eastAsia="等线"/>
              <w:b/>
              <w:bCs/>
              <w:noProof/>
            </w:rPr>
            <w:drawing>
              <wp:inline distT="0" distB="0" distL="0" distR="0" wp14:anchorId="7E33E9A7" wp14:editId="320F0D53">
                <wp:extent cx="1210817" cy="432000"/>
                <wp:effectExtent l="0" t="0" r="8890" b="6350"/>
                <wp:docPr id="1563321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21446" name=""/>
                        <pic:cNvPicPr/>
                      </pic:nvPicPr>
                      <pic:blipFill>
                        <a:blip r:embed="rId1"/>
                        <a:stretch>
                          <a:fillRect/>
                        </a:stretch>
                      </pic:blipFill>
                      <pic:spPr>
                        <a:xfrm>
                          <a:off x="0" y="0"/>
                          <a:ext cx="1210817" cy="432000"/>
                        </a:xfrm>
                        <a:prstGeom prst="rect">
                          <a:avLst/>
                        </a:prstGeom>
                      </pic:spPr>
                    </pic:pic>
                  </a:graphicData>
                </a:graphic>
              </wp:inline>
            </w:drawing>
          </w:r>
        </w:p>
      </w:tc>
      <w:tc>
        <w:tcPr>
          <w:tcW w:w="4535" w:type="dxa"/>
          <w:shd w:val="clear" w:color="auto" w:fill="auto"/>
          <w:vAlign w:val="center"/>
        </w:tcPr>
        <w:p w14:paraId="7CF66176" w14:textId="77777777" w:rsidR="00CF1526" w:rsidRPr="00FA5AAF" w:rsidRDefault="00CF1526" w:rsidP="007E21E9">
          <w:pPr>
            <w:pStyle w:val="Header"/>
            <w:pBdr>
              <w:bottom w:val="none" w:sz="0" w:space="0" w:color="auto"/>
            </w:pBdr>
            <w:rPr>
              <w:rFonts w:eastAsia="等线"/>
              <w:b/>
              <w:bCs/>
            </w:rPr>
          </w:pPr>
        </w:p>
      </w:tc>
      <w:tc>
        <w:tcPr>
          <w:tcW w:w="2273" w:type="dxa"/>
          <w:shd w:val="clear" w:color="auto" w:fill="auto"/>
          <w:vAlign w:val="center"/>
        </w:tcPr>
        <w:p w14:paraId="1305E5EE" w14:textId="25C19A66" w:rsidR="00CF1526" w:rsidRPr="00FA5AAF" w:rsidRDefault="003D5EB7" w:rsidP="003D5EB7">
          <w:pPr>
            <w:pStyle w:val="Header"/>
            <w:pBdr>
              <w:bottom w:val="none" w:sz="0" w:space="0" w:color="auto"/>
            </w:pBdr>
            <w:jc w:val="right"/>
            <w:rPr>
              <w:rFonts w:eastAsia="等线"/>
              <w:b/>
              <w:bCs/>
            </w:rPr>
          </w:pPr>
          <w:r w:rsidRPr="00FA5AAF">
            <w:rPr>
              <w:rFonts w:eastAsia="等线"/>
              <w:b/>
              <w:bCs/>
              <w:noProof/>
            </w:rPr>
            <w:drawing>
              <wp:inline distT="0" distB="0" distL="0" distR="0" wp14:anchorId="0F4CF8B9" wp14:editId="58D9554F">
                <wp:extent cx="540000" cy="360000"/>
                <wp:effectExtent l="0" t="0" r="0" b="2540"/>
                <wp:docPr id="815455501" name="Picture 1"/>
                <wp:cNvGraphicFramePr/>
                <a:graphic xmlns:a="http://schemas.openxmlformats.org/drawingml/2006/main">
                  <a:graphicData uri="http://schemas.openxmlformats.org/drawingml/2006/picture">
                    <pic:pic xmlns:pic="http://schemas.openxmlformats.org/drawingml/2006/picture">
                      <pic:nvPicPr>
                        <pic:cNvPr id="815455501" name=""/>
                        <pic:cNvPicPr/>
                      </pic:nvPicPr>
                      <pic:blipFill>
                        <a:blip r:embed="rId2"/>
                        <a:stretch>
                          <a:fillRect/>
                        </a:stretch>
                      </pic:blipFill>
                      <pic:spPr>
                        <a:xfrm>
                          <a:off x="0" y="0"/>
                          <a:ext cx="540000" cy="360000"/>
                        </a:xfrm>
                        <a:prstGeom prst="rect">
                          <a:avLst/>
                        </a:prstGeom>
                      </pic:spPr>
                    </pic:pic>
                  </a:graphicData>
                </a:graphic>
              </wp:inline>
            </w:drawing>
          </w:r>
        </w:p>
      </w:tc>
    </w:tr>
  </w:tbl>
  <w:p w14:paraId="4DA725D8" w14:textId="77777777" w:rsidR="00697B5A" w:rsidRPr="00FA5AAF" w:rsidRDefault="00697B5A" w:rsidP="00C245DC">
    <w:pPr>
      <w:pBdr>
        <w:bottom w:val="single" w:sz="4" w:space="1" w:color="000000"/>
      </w:pBdr>
      <w:adjustRightInd w:val="0"/>
      <w:snapToGrid w:val="0"/>
      <w:spacing w:before="120"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E1431"/>
    <w:multiLevelType w:val="hybridMultilevel"/>
    <w:tmpl w:val="A61AAF98"/>
    <w:lvl w:ilvl="0" w:tplc="D848CE30">
      <w:start w:val="1"/>
      <w:numFmt w:val="decimal"/>
      <w:lvlRestart w:val="0"/>
      <w:pStyle w:val="MDPI8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B468F5"/>
    <w:multiLevelType w:val="hybridMultilevel"/>
    <w:tmpl w:val="E7903E34"/>
    <w:lvl w:ilvl="0" w:tplc="2A78C5DA">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0C6F5D"/>
    <w:multiLevelType w:val="hybridMultilevel"/>
    <w:tmpl w:val="8BFE0D56"/>
    <w:lvl w:ilvl="0" w:tplc="CCCE9BD4">
      <w:start w:val="1"/>
      <w:numFmt w:val="bullet"/>
      <w:lvlRestart w:val="0"/>
      <w:lvlText w:val=""/>
      <w:lvlJc w:val="left"/>
      <w:pPr>
        <w:ind w:left="3033" w:hanging="425"/>
      </w:pPr>
      <w:rPr>
        <w:rFonts w:ascii="Symbol" w:hAnsi="Symbol" w:hint="defaul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3"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5"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7" w15:restartNumberingAfterBreak="0">
    <w:nsid w:val="42114A6C"/>
    <w:multiLevelType w:val="hybridMultilevel"/>
    <w:tmpl w:val="CC4E641A"/>
    <w:lvl w:ilvl="0" w:tplc="3F1A14D6">
      <w:start w:val="1"/>
      <w:numFmt w:val="decimal"/>
      <w:lvlRestart w:val="0"/>
      <w:pStyle w:val="MDPI71footnotes"/>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4075B53"/>
    <w:multiLevelType w:val="hybridMultilevel"/>
    <w:tmpl w:val="A0DCA02E"/>
    <w:lvl w:ilvl="0" w:tplc="5CB0595C">
      <w:start w:val="1"/>
      <w:numFmt w:val="decimal"/>
      <w:lvlRestart w:val="0"/>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10"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5DC474D"/>
    <w:multiLevelType w:val="hybridMultilevel"/>
    <w:tmpl w:val="92AEC3E0"/>
    <w:lvl w:ilvl="0" w:tplc="C7E4EB54">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num w:numId="1" w16cid:durableId="142891102">
    <w:abstractNumId w:val="4"/>
  </w:num>
  <w:num w:numId="2" w16cid:durableId="948045547">
    <w:abstractNumId w:val="6"/>
  </w:num>
  <w:num w:numId="3" w16cid:durableId="1557161254">
    <w:abstractNumId w:val="3"/>
  </w:num>
  <w:num w:numId="4" w16cid:durableId="206609931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01730135">
    <w:abstractNumId w:val="5"/>
  </w:num>
  <w:num w:numId="6" w16cid:durableId="685132415">
    <w:abstractNumId w:val="9"/>
  </w:num>
  <w:num w:numId="7" w16cid:durableId="1862694624">
    <w:abstractNumId w:val="2"/>
  </w:num>
  <w:num w:numId="8" w16cid:durableId="1063598598">
    <w:abstractNumId w:val="9"/>
  </w:num>
  <w:num w:numId="9" w16cid:durableId="1656185621">
    <w:abstractNumId w:val="2"/>
  </w:num>
  <w:num w:numId="10" w16cid:durableId="2055427729">
    <w:abstractNumId w:val="9"/>
  </w:num>
  <w:num w:numId="11" w16cid:durableId="589847698">
    <w:abstractNumId w:val="2"/>
  </w:num>
  <w:num w:numId="12" w16cid:durableId="1759599816">
    <w:abstractNumId w:val="10"/>
  </w:num>
  <w:num w:numId="13" w16cid:durableId="624196927">
    <w:abstractNumId w:val="9"/>
  </w:num>
  <w:num w:numId="14" w16cid:durableId="17394898">
    <w:abstractNumId w:val="2"/>
  </w:num>
  <w:num w:numId="15" w16cid:durableId="2087678822">
    <w:abstractNumId w:val="1"/>
  </w:num>
  <w:num w:numId="16" w16cid:durableId="1671523435">
    <w:abstractNumId w:val="8"/>
  </w:num>
  <w:num w:numId="17" w16cid:durableId="1772772747">
    <w:abstractNumId w:val="0"/>
  </w:num>
  <w:num w:numId="18" w16cid:durableId="146285709">
    <w:abstractNumId w:val="9"/>
  </w:num>
  <w:num w:numId="19" w16cid:durableId="773982015">
    <w:abstractNumId w:val="2"/>
  </w:num>
  <w:num w:numId="20" w16cid:durableId="2070960159">
    <w:abstractNumId w:val="1"/>
  </w:num>
  <w:num w:numId="21" w16cid:durableId="1475757333">
    <w:abstractNumId w:val="7"/>
  </w:num>
  <w:num w:numId="22" w16cid:durableId="577398895">
    <w:abstractNumId w:val="11"/>
  </w:num>
  <w:num w:numId="23" w16cid:durableId="18912593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241"/>
    <w:rsid w:val="00024355"/>
    <w:rsid w:val="000273DF"/>
    <w:rsid w:val="00030C02"/>
    <w:rsid w:val="00042A41"/>
    <w:rsid w:val="00052E90"/>
    <w:rsid w:val="000724B2"/>
    <w:rsid w:val="00096207"/>
    <w:rsid w:val="000B02FD"/>
    <w:rsid w:val="000B1763"/>
    <w:rsid w:val="000E5122"/>
    <w:rsid w:val="000F06FD"/>
    <w:rsid w:val="00107006"/>
    <w:rsid w:val="001566B5"/>
    <w:rsid w:val="00173241"/>
    <w:rsid w:val="001807D0"/>
    <w:rsid w:val="001A3141"/>
    <w:rsid w:val="001A4946"/>
    <w:rsid w:val="001B15BB"/>
    <w:rsid w:val="001B1E4C"/>
    <w:rsid w:val="001B3476"/>
    <w:rsid w:val="001C4F5D"/>
    <w:rsid w:val="001D3F55"/>
    <w:rsid w:val="001E2AEB"/>
    <w:rsid w:val="001F333C"/>
    <w:rsid w:val="001F6B2A"/>
    <w:rsid w:val="00212227"/>
    <w:rsid w:val="0021537E"/>
    <w:rsid w:val="00217EE2"/>
    <w:rsid w:val="0024581C"/>
    <w:rsid w:val="00274866"/>
    <w:rsid w:val="00290CA2"/>
    <w:rsid w:val="00291165"/>
    <w:rsid w:val="00295161"/>
    <w:rsid w:val="002B4C82"/>
    <w:rsid w:val="002C420F"/>
    <w:rsid w:val="002D0DC4"/>
    <w:rsid w:val="003212F5"/>
    <w:rsid w:val="003234A8"/>
    <w:rsid w:val="00326141"/>
    <w:rsid w:val="0033365D"/>
    <w:rsid w:val="0033394C"/>
    <w:rsid w:val="00386F7E"/>
    <w:rsid w:val="003A5C3C"/>
    <w:rsid w:val="003C7481"/>
    <w:rsid w:val="003D34A1"/>
    <w:rsid w:val="003D5EB7"/>
    <w:rsid w:val="003E1CB9"/>
    <w:rsid w:val="003F37F7"/>
    <w:rsid w:val="00401D30"/>
    <w:rsid w:val="00402B74"/>
    <w:rsid w:val="00402BA1"/>
    <w:rsid w:val="00411E95"/>
    <w:rsid w:val="0042259B"/>
    <w:rsid w:val="00463FB0"/>
    <w:rsid w:val="004701FA"/>
    <w:rsid w:val="00473F73"/>
    <w:rsid w:val="0048675C"/>
    <w:rsid w:val="00491A38"/>
    <w:rsid w:val="004A44EE"/>
    <w:rsid w:val="004C2D9F"/>
    <w:rsid w:val="004D586B"/>
    <w:rsid w:val="004E1514"/>
    <w:rsid w:val="004E661E"/>
    <w:rsid w:val="0052050E"/>
    <w:rsid w:val="005352E0"/>
    <w:rsid w:val="00545B32"/>
    <w:rsid w:val="005546D2"/>
    <w:rsid w:val="00567F4C"/>
    <w:rsid w:val="005778BD"/>
    <w:rsid w:val="005944E0"/>
    <w:rsid w:val="00597CEF"/>
    <w:rsid w:val="005B6B9B"/>
    <w:rsid w:val="005C2797"/>
    <w:rsid w:val="005C4752"/>
    <w:rsid w:val="005D49F7"/>
    <w:rsid w:val="005E64C3"/>
    <w:rsid w:val="005F1025"/>
    <w:rsid w:val="00602843"/>
    <w:rsid w:val="006060F0"/>
    <w:rsid w:val="00621CD0"/>
    <w:rsid w:val="00631236"/>
    <w:rsid w:val="00662367"/>
    <w:rsid w:val="00667908"/>
    <w:rsid w:val="0068146A"/>
    <w:rsid w:val="00682756"/>
    <w:rsid w:val="0068346F"/>
    <w:rsid w:val="00686F99"/>
    <w:rsid w:val="00691935"/>
    <w:rsid w:val="00692393"/>
    <w:rsid w:val="00692EF9"/>
    <w:rsid w:val="00696B45"/>
    <w:rsid w:val="00696F7D"/>
    <w:rsid w:val="0069792F"/>
    <w:rsid w:val="00697B5A"/>
    <w:rsid w:val="006A501D"/>
    <w:rsid w:val="006A61B7"/>
    <w:rsid w:val="006C34CE"/>
    <w:rsid w:val="006F3EB8"/>
    <w:rsid w:val="00700834"/>
    <w:rsid w:val="00706180"/>
    <w:rsid w:val="00711C35"/>
    <w:rsid w:val="0072104A"/>
    <w:rsid w:val="007267C3"/>
    <w:rsid w:val="00726AE9"/>
    <w:rsid w:val="00745775"/>
    <w:rsid w:val="00746DB9"/>
    <w:rsid w:val="00752DC1"/>
    <w:rsid w:val="0075693E"/>
    <w:rsid w:val="00787A94"/>
    <w:rsid w:val="007A45A6"/>
    <w:rsid w:val="007A5599"/>
    <w:rsid w:val="007C63CB"/>
    <w:rsid w:val="007E21E9"/>
    <w:rsid w:val="008046B5"/>
    <w:rsid w:val="00825361"/>
    <w:rsid w:val="00826DC7"/>
    <w:rsid w:val="00844CCF"/>
    <w:rsid w:val="00852894"/>
    <w:rsid w:val="00853F7A"/>
    <w:rsid w:val="00855A5A"/>
    <w:rsid w:val="00860B4F"/>
    <w:rsid w:val="00862970"/>
    <w:rsid w:val="00865AC6"/>
    <w:rsid w:val="00880CDC"/>
    <w:rsid w:val="00894AF0"/>
    <w:rsid w:val="008B2F77"/>
    <w:rsid w:val="008B355C"/>
    <w:rsid w:val="00906CDA"/>
    <w:rsid w:val="00920CE2"/>
    <w:rsid w:val="00931D46"/>
    <w:rsid w:val="00933543"/>
    <w:rsid w:val="00942152"/>
    <w:rsid w:val="009711A9"/>
    <w:rsid w:val="00973C3F"/>
    <w:rsid w:val="00974BF0"/>
    <w:rsid w:val="00991250"/>
    <w:rsid w:val="0099645E"/>
    <w:rsid w:val="009F65D2"/>
    <w:rsid w:val="009F70E6"/>
    <w:rsid w:val="009F7EF7"/>
    <w:rsid w:val="00A0209A"/>
    <w:rsid w:val="00A0510E"/>
    <w:rsid w:val="00A27049"/>
    <w:rsid w:val="00A50BAC"/>
    <w:rsid w:val="00A62098"/>
    <w:rsid w:val="00A87F05"/>
    <w:rsid w:val="00A96919"/>
    <w:rsid w:val="00AB1C83"/>
    <w:rsid w:val="00AB2CFC"/>
    <w:rsid w:val="00AB7F9D"/>
    <w:rsid w:val="00AC011A"/>
    <w:rsid w:val="00AD0917"/>
    <w:rsid w:val="00AE3076"/>
    <w:rsid w:val="00AE78A6"/>
    <w:rsid w:val="00AF4572"/>
    <w:rsid w:val="00B227AE"/>
    <w:rsid w:val="00B3089C"/>
    <w:rsid w:val="00B44A3E"/>
    <w:rsid w:val="00B50D0A"/>
    <w:rsid w:val="00B5395F"/>
    <w:rsid w:val="00B619EF"/>
    <w:rsid w:val="00B70A81"/>
    <w:rsid w:val="00B831DB"/>
    <w:rsid w:val="00B86B71"/>
    <w:rsid w:val="00B97843"/>
    <w:rsid w:val="00BA0752"/>
    <w:rsid w:val="00BA697E"/>
    <w:rsid w:val="00BB4ECE"/>
    <w:rsid w:val="00BB65AA"/>
    <w:rsid w:val="00BC1DAF"/>
    <w:rsid w:val="00BD0190"/>
    <w:rsid w:val="00BD78F6"/>
    <w:rsid w:val="00BE46B3"/>
    <w:rsid w:val="00BF2449"/>
    <w:rsid w:val="00BF5B29"/>
    <w:rsid w:val="00BF72BA"/>
    <w:rsid w:val="00C047A0"/>
    <w:rsid w:val="00C12FD6"/>
    <w:rsid w:val="00C20ADD"/>
    <w:rsid w:val="00C245DC"/>
    <w:rsid w:val="00C2479E"/>
    <w:rsid w:val="00C51301"/>
    <w:rsid w:val="00C551F8"/>
    <w:rsid w:val="00C57C44"/>
    <w:rsid w:val="00C77DFC"/>
    <w:rsid w:val="00CB1365"/>
    <w:rsid w:val="00CD2C47"/>
    <w:rsid w:val="00CD4E06"/>
    <w:rsid w:val="00CE1FFF"/>
    <w:rsid w:val="00CE47B8"/>
    <w:rsid w:val="00CF1526"/>
    <w:rsid w:val="00D0346E"/>
    <w:rsid w:val="00D04039"/>
    <w:rsid w:val="00D21345"/>
    <w:rsid w:val="00D22698"/>
    <w:rsid w:val="00D42C10"/>
    <w:rsid w:val="00D474EE"/>
    <w:rsid w:val="00D552C0"/>
    <w:rsid w:val="00D63E61"/>
    <w:rsid w:val="00D802CB"/>
    <w:rsid w:val="00DD53BE"/>
    <w:rsid w:val="00DD6B43"/>
    <w:rsid w:val="00DE5229"/>
    <w:rsid w:val="00E03F3D"/>
    <w:rsid w:val="00E10DAA"/>
    <w:rsid w:val="00E2035E"/>
    <w:rsid w:val="00E56996"/>
    <w:rsid w:val="00E74221"/>
    <w:rsid w:val="00EA1995"/>
    <w:rsid w:val="00EA2E33"/>
    <w:rsid w:val="00EB578D"/>
    <w:rsid w:val="00EB627A"/>
    <w:rsid w:val="00EC3E5C"/>
    <w:rsid w:val="00ED31D0"/>
    <w:rsid w:val="00F06AB4"/>
    <w:rsid w:val="00F073E1"/>
    <w:rsid w:val="00F10D3F"/>
    <w:rsid w:val="00F147BC"/>
    <w:rsid w:val="00F179A9"/>
    <w:rsid w:val="00F34FEE"/>
    <w:rsid w:val="00F358F1"/>
    <w:rsid w:val="00F3641D"/>
    <w:rsid w:val="00F40B07"/>
    <w:rsid w:val="00F47333"/>
    <w:rsid w:val="00F50D7B"/>
    <w:rsid w:val="00F51ED6"/>
    <w:rsid w:val="00F5210F"/>
    <w:rsid w:val="00F8722C"/>
    <w:rsid w:val="00FA5AAF"/>
    <w:rsid w:val="00FD300C"/>
    <w:rsid w:val="00FD4B6A"/>
    <w:rsid w:val="00FE2998"/>
    <w:rsid w:val="00FE3D1A"/>
    <w:rsid w:val="00FF03E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5782C9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4A1"/>
    <w:pPr>
      <w:spacing w:line="280" w:lineRule="atLeast"/>
      <w:jc w:val="both"/>
    </w:pPr>
    <w:rPr>
      <w:rFonts w:ascii="Palatino Linotype" w:hAnsi="Palatino Linotype"/>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DPI11articletype">
    <w:name w:val="MDPI_1.1_article_type"/>
    <w:next w:val="Normal"/>
    <w:qFormat/>
    <w:rsid w:val="003D34A1"/>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Normal"/>
    <w:qFormat/>
    <w:rsid w:val="003D34A1"/>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Normal"/>
    <w:qFormat/>
    <w:rsid w:val="003D34A1"/>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Normal"/>
    <w:next w:val="Normal"/>
    <w:qFormat/>
    <w:rsid w:val="003D34A1"/>
    <w:pPr>
      <w:adjustRightInd w:val="0"/>
      <w:snapToGrid w:val="0"/>
      <w:spacing w:line="240" w:lineRule="atLeast"/>
      <w:ind w:right="113"/>
      <w:jc w:val="left"/>
    </w:pPr>
    <w:rPr>
      <w:rFonts w:eastAsia="Times New Roman"/>
      <w:sz w:val="14"/>
      <w:lang w:eastAsia="de-DE" w:bidi="en-US"/>
    </w:rPr>
  </w:style>
  <w:style w:type="paragraph" w:customStyle="1" w:styleId="MDPI16affiliation">
    <w:name w:val="MDPI_1.6_affiliation"/>
    <w:qFormat/>
    <w:rsid w:val="003D34A1"/>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Normal"/>
    <w:qFormat/>
    <w:rsid w:val="003D34A1"/>
    <w:pPr>
      <w:adjustRightInd w:val="0"/>
      <w:snapToGrid w:val="0"/>
      <w:spacing w:before="240" w:after="120" w:line="280" w:lineRule="atLeast"/>
      <w:ind w:left="2608"/>
      <w:jc w:val="both"/>
    </w:pPr>
    <w:rPr>
      <w:rFonts w:ascii="Palatino Linotype" w:eastAsia="Times New Roman" w:hAnsi="Palatino Linotype"/>
      <w:color w:val="000000"/>
      <w:szCs w:val="22"/>
      <w:lang w:eastAsia="de-DE" w:bidi="en-US"/>
    </w:rPr>
  </w:style>
  <w:style w:type="paragraph" w:customStyle="1" w:styleId="MDPI18keywords">
    <w:name w:val="MDPI_1.8_keywords"/>
    <w:next w:val="Normal"/>
    <w:qFormat/>
    <w:rsid w:val="003D34A1"/>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19line">
    <w:name w:val="MDPI_1.9_line"/>
    <w:qFormat/>
    <w:rsid w:val="003D34A1"/>
    <w:pPr>
      <w:pBdr>
        <w:bottom w:val="single" w:sz="6" w:space="1" w:color="auto"/>
      </w:pBdr>
      <w:adjustRightInd w:val="0"/>
      <w:snapToGrid w:val="0"/>
      <w:spacing w:after="480" w:line="280" w:lineRule="atLeast"/>
      <w:ind w:left="2608"/>
      <w:jc w:val="both"/>
    </w:pPr>
    <w:rPr>
      <w:rFonts w:ascii="Palatino Linotype" w:eastAsia="Times New Roman" w:hAnsi="Palatino Linotype" w:cs="Cordia New"/>
      <w:color w:val="000000"/>
      <w:szCs w:val="24"/>
      <w:lang w:eastAsia="de-DE" w:bidi="en-US"/>
    </w:rPr>
  </w:style>
  <w:style w:type="table" w:customStyle="1" w:styleId="Mdeck5tablebodythreelines">
    <w:name w:val="M_deck_5_table_body_three_lines"/>
    <w:basedOn w:val="TableNormal"/>
    <w:uiPriority w:val="99"/>
    <w:rsid w:val="00173241"/>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leGrid">
    <w:name w:val="Table Grid"/>
    <w:basedOn w:val="TableNormal"/>
    <w:uiPriority w:val="59"/>
    <w:rsid w:val="003D34A1"/>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3D34A1"/>
    <w:pPr>
      <w:tabs>
        <w:tab w:val="center" w:pos="4153"/>
        <w:tab w:val="right" w:pos="8306"/>
      </w:tabs>
      <w:snapToGrid w:val="0"/>
      <w:spacing w:line="240" w:lineRule="atLeast"/>
    </w:pPr>
    <w:rPr>
      <w:szCs w:val="18"/>
    </w:rPr>
  </w:style>
  <w:style w:type="character" w:customStyle="1" w:styleId="FooterChar">
    <w:name w:val="Footer Char"/>
    <w:link w:val="Footer"/>
    <w:uiPriority w:val="99"/>
    <w:rsid w:val="003D34A1"/>
    <w:rPr>
      <w:rFonts w:ascii="Palatino Linotype" w:hAnsi="Palatino Linotype"/>
      <w:noProof/>
      <w:color w:val="000000"/>
      <w:szCs w:val="18"/>
    </w:rPr>
  </w:style>
  <w:style w:type="paragraph" w:styleId="Header">
    <w:name w:val="header"/>
    <w:basedOn w:val="Normal"/>
    <w:link w:val="HeaderChar"/>
    <w:uiPriority w:val="99"/>
    <w:rsid w:val="003D34A1"/>
    <w:pPr>
      <w:pBdr>
        <w:bottom w:val="single" w:sz="6" w:space="1" w:color="auto"/>
      </w:pBdr>
      <w:tabs>
        <w:tab w:val="center" w:pos="4153"/>
        <w:tab w:val="right" w:pos="8306"/>
      </w:tabs>
      <w:snapToGrid w:val="0"/>
      <w:spacing w:line="240" w:lineRule="atLeast"/>
      <w:jc w:val="center"/>
    </w:pPr>
    <w:rPr>
      <w:szCs w:val="18"/>
    </w:rPr>
  </w:style>
  <w:style w:type="character" w:customStyle="1" w:styleId="HeaderChar">
    <w:name w:val="Header Char"/>
    <w:link w:val="Header"/>
    <w:uiPriority w:val="99"/>
    <w:rsid w:val="003D34A1"/>
    <w:rPr>
      <w:rFonts w:ascii="Palatino Linotype" w:hAnsi="Palatino Linotype"/>
      <w:noProof/>
      <w:color w:val="000000"/>
      <w:szCs w:val="18"/>
    </w:rPr>
  </w:style>
  <w:style w:type="paragraph" w:customStyle="1" w:styleId="MDPI32textnoindent">
    <w:name w:val="MDPI_3.2_text_no_indent"/>
    <w:basedOn w:val="MDPI31text"/>
    <w:qFormat/>
    <w:rsid w:val="003D34A1"/>
    <w:pPr>
      <w:ind w:firstLine="0"/>
    </w:pPr>
  </w:style>
  <w:style w:type="paragraph" w:customStyle="1" w:styleId="MDPI31text">
    <w:name w:val="MDPI_3.1_text"/>
    <w:qFormat/>
    <w:rsid w:val="00BA0752"/>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3textspaceafter">
    <w:name w:val="MDPI_3.3_text_space_after"/>
    <w:qFormat/>
    <w:rsid w:val="003D34A1"/>
    <w:pPr>
      <w:adjustRightInd w:val="0"/>
      <w:snapToGrid w:val="0"/>
      <w:spacing w:after="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4textspacebefore">
    <w:name w:val="MDPI_3.4_text_space_before"/>
    <w:qFormat/>
    <w:rsid w:val="003D34A1"/>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rsid w:val="003D34A1"/>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rsid w:val="003D34A1"/>
    <w:pPr>
      <w:adjustRightInd w:val="0"/>
      <w:snapToGrid w:val="0"/>
      <w:spacing w:before="12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rsid w:val="00A96919"/>
    <w:pPr>
      <w:numPr>
        <w:numId w:val="22"/>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A96919"/>
    <w:pPr>
      <w:numPr>
        <w:numId w:val="20"/>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3D34A1"/>
    <w:pPr>
      <w:adjustRightInd w:val="0"/>
      <w:snapToGrid w:val="0"/>
      <w:spacing w:before="120" w:after="120" w:line="28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3D34A1"/>
    <w:pPr>
      <w:spacing w:before="120" w:after="120" w:line="280" w:lineRule="atLeast"/>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3D34A1"/>
    <w:pPr>
      <w:adjustRightInd w:val="0"/>
      <w:snapToGrid w:val="0"/>
      <w:spacing w:before="240" w:after="120"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rsid w:val="000B1763"/>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next w:val="MDPI31text"/>
    <w:qFormat/>
    <w:rsid w:val="003D34A1"/>
    <w:pPr>
      <w:adjustRightInd w:val="0"/>
      <w:snapToGrid w:val="0"/>
      <w:spacing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3D34A1"/>
    <w:pPr>
      <w:adjustRightInd w:val="0"/>
      <w:snapToGrid w:val="0"/>
      <w:spacing w:before="120" w:after="240" w:line="280" w:lineRule="atLeast"/>
      <w:ind w:left="2608"/>
      <w:jc w:val="both"/>
    </w:pPr>
    <w:rPr>
      <w:rFonts w:ascii="Palatino Linotype" w:eastAsia="Times New Roman" w:hAnsi="Palatino Linotype"/>
      <w:color w:val="000000"/>
      <w:sz w:val="18"/>
      <w:lang w:eastAsia="de-DE" w:bidi="en-US"/>
    </w:rPr>
  </w:style>
  <w:style w:type="paragraph" w:customStyle="1" w:styleId="MDPI52figure">
    <w:name w:val="MDPI_5.2_figure"/>
    <w:qFormat/>
    <w:rsid w:val="003D34A1"/>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82theorem">
    <w:name w:val="MDPI_8.2_theorem"/>
    <w:qFormat/>
    <w:rsid w:val="003D34A1"/>
    <w:pPr>
      <w:adjustRightInd w:val="0"/>
      <w:snapToGrid w:val="0"/>
      <w:spacing w:line="280" w:lineRule="atLeast"/>
      <w:ind w:left="2608"/>
      <w:jc w:val="both"/>
    </w:pPr>
    <w:rPr>
      <w:rFonts w:ascii="Palatino Linotype" w:eastAsia="Times New Roman" w:hAnsi="Palatino Linotype"/>
      <w:i/>
      <w:snapToGrid w:val="0"/>
      <w:color w:val="000000"/>
      <w:szCs w:val="22"/>
      <w:lang w:eastAsia="de-DE" w:bidi="en-US"/>
    </w:rPr>
  </w:style>
  <w:style w:type="paragraph" w:customStyle="1" w:styleId="MDPI83proof">
    <w:name w:val="MDPI_8.3_proof"/>
    <w:qFormat/>
    <w:rsid w:val="003D34A1"/>
    <w:pPr>
      <w:adjustRightInd w:val="0"/>
      <w:snapToGrid w:val="0"/>
      <w:spacing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23heading3">
    <w:name w:val="MDPI_2.3_heading3"/>
    <w:qFormat/>
    <w:rsid w:val="003D34A1"/>
    <w:pPr>
      <w:adjustRightInd w:val="0"/>
      <w:snapToGrid w:val="0"/>
      <w:spacing w:before="60" w:after="60" w:line="280" w:lineRule="atLeast"/>
      <w:ind w:left="2608"/>
      <w:outlineLvl w:val="2"/>
    </w:pPr>
    <w:rPr>
      <w:rFonts w:ascii="Palatino Linotype" w:eastAsia="Times New Roman" w:hAnsi="Palatino Linotype"/>
      <w:snapToGrid w:val="0"/>
      <w:color w:val="000000"/>
      <w:szCs w:val="22"/>
      <w:lang w:eastAsia="de-DE" w:bidi="en-US"/>
    </w:rPr>
  </w:style>
  <w:style w:type="paragraph" w:customStyle="1" w:styleId="MDPI21heading1">
    <w:name w:val="MDPI_2.1_heading1"/>
    <w:qFormat/>
    <w:rsid w:val="003D34A1"/>
    <w:pPr>
      <w:adjustRightInd w:val="0"/>
      <w:snapToGrid w:val="0"/>
      <w:spacing w:before="240" w:after="60" w:line="280" w:lineRule="atLeast"/>
      <w:ind w:left="2608"/>
      <w:outlineLvl w:val="0"/>
    </w:pPr>
    <w:rPr>
      <w:rFonts w:ascii="Palatino Linotype" w:eastAsia="Times New Roman" w:hAnsi="Palatino Linotype"/>
      <w:b/>
      <w:snapToGrid w:val="0"/>
      <w:color w:val="000000"/>
      <w:sz w:val="24"/>
      <w:szCs w:val="22"/>
      <w:lang w:eastAsia="de-DE" w:bidi="en-US"/>
    </w:rPr>
  </w:style>
  <w:style w:type="paragraph" w:customStyle="1" w:styleId="MDPI22heading2">
    <w:name w:val="MDPI_2.2_heading2"/>
    <w:qFormat/>
    <w:rsid w:val="003D34A1"/>
    <w:pPr>
      <w:adjustRightInd w:val="0"/>
      <w:snapToGrid w:val="0"/>
      <w:spacing w:before="60" w:after="60" w:line="280" w:lineRule="atLeast"/>
      <w:ind w:left="2608"/>
      <w:outlineLvl w:val="1"/>
    </w:pPr>
    <w:rPr>
      <w:rFonts w:ascii="Palatino Linotype" w:eastAsia="Times New Roman" w:hAnsi="Palatino Linotype"/>
      <w:i/>
      <w:noProof/>
      <w:snapToGrid w:val="0"/>
      <w:color w:val="000000"/>
      <w:szCs w:val="22"/>
      <w:lang w:eastAsia="de-DE" w:bidi="en-US"/>
    </w:rPr>
  </w:style>
  <w:style w:type="paragraph" w:customStyle="1" w:styleId="MDPI81references">
    <w:name w:val="MDPI_8.1_references"/>
    <w:qFormat/>
    <w:rsid w:val="00682756"/>
    <w:pPr>
      <w:numPr>
        <w:numId w:val="23"/>
      </w:numPr>
      <w:adjustRightInd w:val="0"/>
      <w:snapToGrid w:val="0"/>
      <w:spacing w:line="280" w:lineRule="atLeast"/>
      <w:jc w:val="both"/>
    </w:pPr>
    <w:rPr>
      <w:rFonts w:ascii="Palatino Linotype" w:eastAsia="Times New Roman" w:hAnsi="Palatino Linotype"/>
      <w:color w:val="000000"/>
      <w:sz w:val="18"/>
      <w:lang w:eastAsia="de-DE" w:bidi="en-US"/>
    </w:rPr>
  </w:style>
  <w:style w:type="paragraph" w:styleId="BalloonText">
    <w:name w:val="Balloon Text"/>
    <w:basedOn w:val="Normal"/>
    <w:link w:val="BalloonTextChar"/>
    <w:uiPriority w:val="99"/>
    <w:rsid w:val="003D34A1"/>
    <w:rPr>
      <w:rFonts w:cs="Tahoma"/>
      <w:szCs w:val="18"/>
    </w:rPr>
  </w:style>
  <w:style w:type="character" w:customStyle="1" w:styleId="BalloonTextChar">
    <w:name w:val="Balloon Text Char"/>
    <w:link w:val="BalloonText"/>
    <w:uiPriority w:val="99"/>
    <w:rsid w:val="003D34A1"/>
    <w:rPr>
      <w:rFonts w:ascii="Palatino Linotype" w:hAnsi="Palatino Linotype" w:cs="Tahoma"/>
      <w:noProof/>
      <w:color w:val="000000"/>
      <w:szCs w:val="18"/>
    </w:rPr>
  </w:style>
  <w:style w:type="character" w:styleId="LineNumber">
    <w:name w:val="line number"/>
    <w:uiPriority w:val="99"/>
    <w:rsid w:val="00030C02"/>
    <w:rPr>
      <w:rFonts w:ascii="Palatino Linotype" w:hAnsi="Palatino Linotype"/>
      <w:sz w:val="16"/>
    </w:rPr>
  </w:style>
  <w:style w:type="table" w:customStyle="1" w:styleId="MDPI41threelinetable">
    <w:name w:val="MDPI_4.1_three_line_table"/>
    <w:basedOn w:val="TableNormal"/>
    <w:uiPriority w:val="99"/>
    <w:rsid w:val="003D34A1"/>
    <w:pPr>
      <w:adjustRightInd w:val="0"/>
      <w:snapToGrid w:val="0"/>
      <w:spacing w:line="280" w:lineRule="atLeast"/>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Hyperlink">
    <w:name w:val="Hyperlink"/>
    <w:uiPriority w:val="99"/>
    <w:rsid w:val="003D34A1"/>
    <w:rPr>
      <w:color w:val="0000FF"/>
      <w:u w:val="single"/>
    </w:rPr>
  </w:style>
  <w:style w:type="character" w:styleId="UnresolvedMention">
    <w:name w:val="Unresolved Mention"/>
    <w:uiPriority w:val="99"/>
    <w:semiHidden/>
    <w:unhideWhenUsed/>
    <w:rsid w:val="00EA2E33"/>
    <w:rPr>
      <w:color w:val="605E5C"/>
      <w:shd w:val="clear" w:color="auto" w:fill="E1DFDD"/>
    </w:rPr>
  </w:style>
  <w:style w:type="table" w:styleId="PlainTable4">
    <w:name w:val="Plain Table 4"/>
    <w:basedOn w:val="TableNormal"/>
    <w:uiPriority w:val="44"/>
    <w:rsid w:val="00C047A0"/>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61citation">
    <w:name w:val="MDPI_6.1_citation"/>
    <w:qFormat/>
    <w:rsid w:val="003D34A1"/>
    <w:pPr>
      <w:adjustRightInd w:val="0"/>
      <w:snapToGrid w:val="0"/>
      <w:spacing w:before="120" w:after="120" w:line="240" w:lineRule="atLeast"/>
      <w:ind w:right="113"/>
    </w:pPr>
    <w:rPr>
      <w:rFonts w:ascii="Palatino Linotype" w:hAnsi="Palatino Linotype" w:cs="Cordia New"/>
      <w:sz w:val="14"/>
      <w:szCs w:val="22"/>
    </w:rPr>
  </w:style>
  <w:style w:type="paragraph" w:customStyle="1" w:styleId="MDPI62backmatter">
    <w:name w:val="MDPI_6.2_back_matter"/>
    <w:qFormat/>
    <w:rsid w:val="003D34A1"/>
    <w:pPr>
      <w:adjustRightInd w:val="0"/>
      <w:snapToGrid w:val="0"/>
      <w:spacing w:after="120" w:line="280" w:lineRule="atLeast"/>
      <w:ind w:left="2608"/>
      <w:jc w:val="both"/>
    </w:pPr>
    <w:rPr>
      <w:rFonts w:ascii="Palatino Linotype" w:eastAsia="Times New Roman" w:hAnsi="Palatino Linotype"/>
      <w:snapToGrid w:val="0"/>
      <w:color w:val="000000"/>
      <w:sz w:val="18"/>
      <w:lang w:eastAsia="en-US" w:bidi="en-US"/>
    </w:rPr>
  </w:style>
  <w:style w:type="paragraph" w:customStyle="1" w:styleId="MDPI63notes">
    <w:name w:val="MDPI_6.3_notes"/>
    <w:qFormat/>
    <w:rsid w:val="003D34A1"/>
    <w:pPr>
      <w:adjustRightInd w:val="0"/>
      <w:snapToGrid w:val="0"/>
      <w:spacing w:before="240" w:line="280" w:lineRule="atLeast"/>
      <w:jc w:val="both"/>
    </w:pPr>
    <w:rPr>
      <w:rFonts w:ascii="Palatino Linotype" w:hAnsi="Palatino Linotype"/>
      <w:snapToGrid w:val="0"/>
      <w:color w:val="000000"/>
      <w:sz w:val="18"/>
      <w:lang w:eastAsia="en-US" w:bidi="en-US"/>
    </w:rPr>
  </w:style>
  <w:style w:type="paragraph" w:customStyle="1" w:styleId="MDPI15academiceditor">
    <w:name w:val="MDPI_1.5_academic_editor"/>
    <w:qFormat/>
    <w:rsid w:val="001F6B2A"/>
    <w:pPr>
      <w:adjustRightInd w:val="0"/>
      <w:snapToGrid w:val="0"/>
      <w:spacing w:before="120" w:line="240" w:lineRule="atLeast"/>
      <w:ind w:right="113"/>
    </w:pPr>
    <w:rPr>
      <w:rFonts w:ascii="Palatino Linotype" w:eastAsia="Times New Roman" w:hAnsi="Palatino Linotype"/>
      <w:color w:val="000000"/>
      <w:sz w:val="14"/>
      <w:szCs w:val="22"/>
      <w:lang w:eastAsia="de-DE" w:bidi="en-US"/>
    </w:rPr>
  </w:style>
  <w:style w:type="paragraph" w:customStyle="1" w:styleId="MDPI411onetablecaption">
    <w:name w:val="MDPI_4.1.1_one_table_caption"/>
    <w:qFormat/>
    <w:rsid w:val="003D34A1"/>
    <w:pPr>
      <w:adjustRightInd w:val="0"/>
      <w:snapToGrid w:val="0"/>
      <w:spacing w:before="240" w:after="120" w:line="280" w:lineRule="atLeast"/>
      <w:jc w:val="center"/>
    </w:pPr>
    <w:rPr>
      <w:rFonts w:ascii="Palatino Linotype" w:hAnsi="Palatino Linotype" w:cs="Cordia New"/>
      <w:noProof/>
      <w:color w:val="000000"/>
      <w:sz w:val="18"/>
      <w:szCs w:val="22"/>
      <w:lang w:bidi="en-US"/>
    </w:rPr>
  </w:style>
  <w:style w:type="paragraph" w:customStyle="1" w:styleId="MDPI511onefigurecaption">
    <w:name w:val="MDPI_5.1.1_one_figure_caption"/>
    <w:qFormat/>
    <w:rsid w:val="003D34A1"/>
    <w:pPr>
      <w:adjustRightInd w:val="0"/>
      <w:snapToGrid w:val="0"/>
      <w:spacing w:before="240" w:after="120" w:line="280" w:lineRule="atLeast"/>
      <w:jc w:val="center"/>
    </w:pPr>
    <w:rPr>
      <w:rFonts w:ascii="Palatino Linotype" w:hAnsi="Palatino Linotype"/>
      <w:noProof/>
      <w:color w:val="000000"/>
      <w:sz w:val="18"/>
      <w:lang w:bidi="en-US"/>
    </w:rPr>
  </w:style>
  <w:style w:type="paragraph" w:customStyle="1" w:styleId="MDPI72copyright">
    <w:name w:val="MDPI_7.2_copyright"/>
    <w:qFormat/>
    <w:rsid w:val="00E10DAA"/>
    <w:pPr>
      <w:adjustRightInd w:val="0"/>
      <w:snapToGrid w:val="0"/>
      <w:spacing w:before="120" w:line="240" w:lineRule="atLeast"/>
      <w:ind w:right="113"/>
    </w:pPr>
    <w:rPr>
      <w:rFonts w:ascii="Palatino Linotype" w:eastAsia="Times New Roman" w:hAnsi="Palatino Linotype"/>
      <w:noProof/>
      <w:snapToGrid w:val="0"/>
      <w:color w:val="000000"/>
      <w:sz w:val="14"/>
      <w:lang w:val="en-GB" w:eastAsia="en-GB"/>
    </w:rPr>
  </w:style>
  <w:style w:type="table" w:customStyle="1" w:styleId="MDPItable">
    <w:name w:val="MDPI_table"/>
    <w:basedOn w:val="TableNormal"/>
    <w:uiPriority w:val="99"/>
    <w:rsid w:val="003D34A1"/>
    <w:rPr>
      <w:rFonts w:ascii="Palatino Linotype" w:hAnsi="Palatino Linotype"/>
      <w:color w:val="000000"/>
      <w:lang w:val="en-CA" w:eastAsia="en-US"/>
    </w:rPr>
    <w:tblPr>
      <w:tblCellMar>
        <w:left w:w="0" w:type="dxa"/>
        <w:right w:w="0" w:type="dxa"/>
      </w:tblCellMar>
    </w:tblPr>
  </w:style>
  <w:style w:type="character" w:customStyle="1" w:styleId="apple-converted-space">
    <w:name w:val="apple-converted-space"/>
    <w:rsid w:val="003D34A1"/>
  </w:style>
  <w:style w:type="paragraph" w:styleId="Bibliography">
    <w:name w:val="Bibliography"/>
    <w:basedOn w:val="Normal"/>
    <w:next w:val="Normal"/>
    <w:uiPriority w:val="37"/>
    <w:semiHidden/>
    <w:unhideWhenUsed/>
    <w:rsid w:val="003D34A1"/>
  </w:style>
  <w:style w:type="paragraph" w:styleId="BodyText">
    <w:name w:val="Body Text"/>
    <w:link w:val="BodyTextChar"/>
    <w:rsid w:val="003D34A1"/>
    <w:pPr>
      <w:spacing w:after="120" w:line="340" w:lineRule="atLeast"/>
      <w:jc w:val="both"/>
    </w:pPr>
    <w:rPr>
      <w:rFonts w:ascii="Palatino Linotype" w:hAnsi="Palatino Linotype"/>
      <w:color w:val="000000"/>
      <w:sz w:val="24"/>
      <w:lang w:eastAsia="de-DE"/>
    </w:rPr>
  </w:style>
  <w:style w:type="character" w:customStyle="1" w:styleId="BodyTextChar">
    <w:name w:val="Body Text Char"/>
    <w:link w:val="BodyText"/>
    <w:rsid w:val="003D34A1"/>
    <w:rPr>
      <w:rFonts w:ascii="Palatino Linotype" w:hAnsi="Palatino Linotype"/>
      <w:color w:val="000000"/>
      <w:sz w:val="24"/>
      <w:lang w:eastAsia="de-DE"/>
    </w:rPr>
  </w:style>
  <w:style w:type="character" w:styleId="CommentReference">
    <w:name w:val="annotation reference"/>
    <w:rsid w:val="003D34A1"/>
    <w:rPr>
      <w:sz w:val="21"/>
      <w:szCs w:val="21"/>
    </w:rPr>
  </w:style>
  <w:style w:type="paragraph" w:styleId="CommentText">
    <w:name w:val="annotation text"/>
    <w:basedOn w:val="Normal"/>
    <w:link w:val="CommentTextChar"/>
    <w:rsid w:val="003D34A1"/>
  </w:style>
  <w:style w:type="character" w:customStyle="1" w:styleId="CommentTextChar">
    <w:name w:val="Comment Text Char"/>
    <w:link w:val="CommentText"/>
    <w:rsid w:val="003D34A1"/>
    <w:rPr>
      <w:rFonts w:ascii="Palatino Linotype" w:hAnsi="Palatino Linotype"/>
      <w:noProof/>
      <w:color w:val="000000"/>
    </w:rPr>
  </w:style>
  <w:style w:type="paragraph" w:styleId="CommentSubject">
    <w:name w:val="annotation subject"/>
    <w:basedOn w:val="CommentText"/>
    <w:next w:val="CommentText"/>
    <w:link w:val="CommentSubjectChar"/>
    <w:rsid w:val="003D34A1"/>
    <w:rPr>
      <w:b/>
      <w:bCs/>
    </w:rPr>
  </w:style>
  <w:style w:type="character" w:customStyle="1" w:styleId="CommentSubjectChar">
    <w:name w:val="Comment Subject Char"/>
    <w:link w:val="CommentSubject"/>
    <w:rsid w:val="003D34A1"/>
    <w:rPr>
      <w:rFonts w:ascii="Palatino Linotype" w:hAnsi="Palatino Linotype"/>
      <w:b/>
      <w:bCs/>
      <w:noProof/>
      <w:color w:val="000000"/>
    </w:rPr>
  </w:style>
  <w:style w:type="character" w:styleId="EndnoteReference">
    <w:name w:val="endnote reference"/>
    <w:rsid w:val="003D34A1"/>
    <w:rPr>
      <w:vertAlign w:val="superscript"/>
    </w:rPr>
  </w:style>
  <w:style w:type="paragraph" w:styleId="EndnoteText">
    <w:name w:val="endnote text"/>
    <w:basedOn w:val="Normal"/>
    <w:link w:val="EndnoteTextChar"/>
    <w:semiHidden/>
    <w:unhideWhenUsed/>
    <w:rsid w:val="003D34A1"/>
    <w:pPr>
      <w:spacing w:line="240" w:lineRule="auto"/>
    </w:pPr>
  </w:style>
  <w:style w:type="character" w:customStyle="1" w:styleId="EndnoteTextChar">
    <w:name w:val="Endnote Text Char"/>
    <w:link w:val="EndnoteText"/>
    <w:semiHidden/>
    <w:rsid w:val="003D34A1"/>
    <w:rPr>
      <w:rFonts w:ascii="Palatino Linotype" w:hAnsi="Palatino Linotype"/>
      <w:noProof/>
      <w:color w:val="000000"/>
    </w:rPr>
  </w:style>
  <w:style w:type="character" w:styleId="FollowedHyperlink">
    <w:name w:val="FollowedHyperlink"/>
    <w:rsid w:val="003D34A1"/>
    <w:rPr>
      <w:color w:val="954F72"/>
      <w:u w:val="single"/>
    </w:rPr>
  </w:style>
  <w:style w:type="paragraph" w:styleId="FootnoteText">
    <w:name w:val="footnote text"/>
    <w:basedOn w:val="Normal"/>
    <w:link w:val="FootnoteTextChar"/>
    <w:semiHidden/>
    <w:unhideWhenUsed/>
    <w:rsid w:val="003D34A1"/>
    <w:pPr>
      <w:spacing w:line="240" w:lineRule="auto"/>
    </w:pPr>
  </w:style>
  <w:style w:type="character" w:customStyle="1" w:styleId="FootnoteTextChar">
    <w:name w:val="Footnote Text Char"/>
    <w:link w:val="FootnoteText"/>
    <w:semiHidden/>
    <w:rsid w:val="003D34A1"/>
    <w:rPr>
      <w:rFonts w:ascii="Palatino Linotype" w:hAnsi="Palatino Linotype"/>
      <w:noProof/>
      <w:color w:val="000000"/>
    </w:rPr>
  </w:style>
  <w:style w:type="paragraph" w:styleId="NormalWeb">
    <w:name w:val="Normal (Web)"/>
    <w:basedOn w:val="Normal"/>
    <w:uiPriority w:val="99"/>
    <w:rsid w:val="003D34A1"/>
    <w:rPr>
      <w:szCs w:val="24"/>
    </w:rPr>
  </w:style>
  <w:style w:type="paragraph" w:customStyle="1" w:styleId="MsoFootnoteText0">
    <w:name w:val="MsoFootnoteText"/>
    <w:basedOn w:val="NormalWeb"/>
    <w:qFormat/>
    <w:rsid w:val="003D34A1"/>
    <w:rPr>
      <w:rFonts w:ascii="Times New Roman" w:hAnsi="Times New Roman"/>
    </w:rPr>
  </w:style>
  <w:style w:type="character" w:styleId="PageNumber">
    <w:name w:val="page number"/>
    <w:rsid w:val="003D34A1"/>
  </w:style>
  <w:style w:type="character" w:styleId="PlaceholderText">
    <w:name w:val="Placeholder Text"/>
    <w:uiPriority w:val="99"/>
    <w:semiHidden/>
    <w:rsid w:val="003D34A1"/>
    <w:rPr>
      <w:color w:val="808080"/>
    </w:rPr>
  </w:style>
  <w:style w:type="paragraph" w:customStyle="1" w:styleId="MDPI71footnotes">
    <w:name w:val="MDPI_7.1_footnotes"/>
    <w:qFormat/>
    <w:rsid w:val="00F358F1"/>
    <w:pPr>
      <w:numPr>
        <w:numId w:val="21"/>
      </w:numPr>
      <w:adjustRightInd w:val="0"/>
      <w:snapToGrid w:val="0"/>
      <w:spacing w:line="280" w:lineRule="atLeast"/>
    </w:pPr>
    <w:rPr>
      <w:rFonts w:ascii="Palatino Linotype" w:eastAsiaTheme="minorEastAsia" w:hAnsi="Palatino Linotype"/>
      <w:noProof/>
      <w:color w:val="000000"/>
      <w:sz w:val="18"/>
    </w:rPr>
  </w:style>
  <w:style w:type="character" w:styleId="Strong">
    <w:name w:val="Strong"/>
    <w:basedOn w:val="DefaultParagraphFont"/>
    <w:uiPriority w:val="22"/>
    <w:qFormat/>
    <w:rsid w:val="001C4F5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iso-8859-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img.mdpi.org/data/contributor-role-instruction.pdf"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1"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systems-template.dot</Template>
  <TotalTime>1</TotalTime>
  <Pages>6</Pages>
  <Words>2274</Words>
  <Characters>12077</Characters>
  <Application>Microsoft Office Word</Application>
  <DocSecurity>0</DocSecurity>
  <Lines>287</Lines>
  <Paragraphs>191</Paragraphs>
  <ScaleCrop>false</ScaleCrop>
  <HeadingPairs>
    <vt:vector size="2" baseType="variant">
      <vt:variant>
        <vt:lpstr>Title</vt:lpstr>
      </vt:variant>
      <vt:variant>
        <vt:i4>1</vt:i4>
      </vt:variant>
    </vt:vector>
  </HeadingPairs>
  <TitlesOfParts>
    <vt:vector size="1" baseType="lpstr">
      <vt:lpstr>Type of the Paper (Article</vt:lpstr>
    </vt:vector>
  </TitlesOfParts>
  <Company/>
  <LinksUpToDate>false</LinksUpToDate>
  <CharactersWithSpaces>14160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MDPI</dc:creator>
  <cp:keywords/>
  <dc:description/>
  <cp:lastModifiedBy>MDPI</cp:lastModifiedBy>
  <cp:revision>4</cp:revision>
  <dcterms:created xsi:type="dcterms:W3CDTF">2025-06-13T06:12:00Z</dcterms:created>
  <dcterms:modified xsi:type="dcterms:W3CDTF">2025-06-17T06:48:00Z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5470e00577bbcda9f6f0393045ea6a6a1d505038b62b8a58bba9ca28bce24e25</vt:lpwstr>
  </property>
</Properties>
</file>