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CN"/>
      </w:pPr>
      <w:r>
        <w:t xml:space="preserve">公共数据开放与城市绿色全要素生产率：基于交错双重差分与异质性稳健估计</w:t>
      </w:r>
    </w:p>
    <w:p>
      <w:pPr>
        <w:pStyle w:val="AuthorCN"/>
      </w:pPr>
      <w:r>
        <w:t xml:space="preserve">蔡鑫宇</w:t>
      </w:r>
    </w:p>
    <w:p>
      <w:pPr>
        <w:pStyle w:val="AffilCN"/>
      </w:pPr>
      <w:r>
        <w:t xml:space="preserve">（嘉兴大学商学院，浙江 嘉兴 314001）</w:t>
      </w:r>
    </w:p>
    <w:p>
      <w:pPr>
        <w:pStyle w:val="AbstractCN"/>
      </w:pPr>
      <w:r>
        <w:rPr>
          <w:bCs/>
          <w:b/>
        </w:rPr>
        <w:t xml:space="preserve">摘 要：</w:t>
      </w:r>
      <w:r>
        <w:t xml:space="preserve">文章以地方政府数据开放平台的分批上线为准自然实验，基于2011—2023年中国283个地级及以上城市的面板数据，采用交错双重差分及一系列处理效应异质性稳健估计方法，系统识别公共数据开放对城市绿色全要素生产率的影响。研究发现：（1）公共数据开放使城市绿色全要素生产率显著提高0.0318，该结论在负权重诊断、Sun-Abraham交互加权估计、Callaway-Sant’Anna双重稳健估计、倾向得分匹配、随机化推断安慰剂检验与工具变量法下均保持稳健。（2）事件研究结果显示，政策实施前各期的估计系数均不显著，平行趋势假设成立；政策效应自实施当年开始显现并在此后逐年增强，具有持续性特征。（3）作用机制检验表明，公共数据开放通过提升要素配置效率、激励绿色技术创新与强化环境社会监督三条渠道推动绿色转型。（4）邻近城市的数据开放对本地绿色全要素生产率具有显著的正向溢出效应，意味着以未处理城市为对照组的估计构成政策效应的保守下界。（5）异质性检验表明，政策效应在东部地区、大规模城市与非资源型城市中更为突出。</w:t>
      </w:r>
    </w:p>
    <w:p>
      <w:pPr>
        <w:pStyle w:val="AbstractCN"/>
      </w:pPr>
      <w:r>
        <w:rPr>
          <w:bCs/>
          <w:b/>
        </w:rPr>
        <w:t xml:space="preserve">关键词：</w:t>
      </w:r>
      <w:r>
        <w:t xml:space="preserve">公共数据开放；绿色全要素生产率；交错双重差分；处理效应异质性；空间溢出</w:t>
      </w:r>
    </w:p>
    <w:p>
      <w:pPr>
        <w:pStyle w:val="AbstractCN"/>
      </w:pPr>
      <w:r>
        <w:rPr>
          <w:bCs/>
          <w:b/>
        </w:rPr>
        <w:t xml:space="preserve">中图分类号：</w:t>
      </w:r>
      <w:r>
        <w:t xml:space="preserve">F062.9；F224　　</w:t>
      </w:r>
      <w:r>
        <w:rPr>
          <w:bCs/>
          <w:b/>
        </w:rPr>
        <w:t xml:space="preserve">文献标识码：</w:t>
      </w:r>
      <w:r>
        <w:t xml:space="preserve">A　　</w:t>
      </w:r>
      <w:r>
        <w:rPr>
          <w:bCs/>
          <w:b/>
        </w:rPr>
        <w:t xml:space="preserve">文章编号：</w:t>
      </w:r>
    </w:p>
    <w:bookmarkStart w:id="20" w:name="引言"/>
    <w:p>
      <w:pPr>
        <w:pStyle w:val="Heading1"/>
      </w:pPr>
      <w:r>
        <w:t xml:space="preserve">0 引言</w:t>
      </w:r>
    </w:p>
    <w:p>
      <w:pPr>
        <w:pStyle w:val="FirstParagraph"/>
        <w:spacing w:before="0" w:after="0"/>
      </w:pPr>
      <w:r>
        <w:t xml:space="preserve">数据作为新型生产要素，其价值释放的关键在于流通与共享。公共数据是数据资源体系中规模最大、质量最高、外部性最强的组成部分，长期沉淀于各级政府部门的业务系统之中。自2012年上海率先上线政府数据服务网以来，我国地方政府数据开放平台经历了由点及面的扩散过程，截至2023年底，省级与地市级平台合计超过200个。与此同时，绿色低碳转型已成为经济高质量发展的核心命题，绿色全要素生产率因同时刻画期望产出增长与非期望产出约束，成为衡量绿色转型成效的综合指标。公共数据开放能否以及如何提升城市绿色全要素生产率，是评估数据要素市场化配置改革环境绩效的关键问题，也是回答”数据要素如何赋能绿色发展”这一现实关切的重要切入点。</w:t>
      </w:r>
    </w:p>
    <w:p>
      <w:pPr>
        <w:pStyle w:val="BodyText"/>
        <w:spacing w:before="0" w:after="0"/>
      </w:pPr>
      <w:r>
        <w:t xml:space="preserve">与本文相关的研究主要涉及三个方面。其一，公共数据开放的经济效应。方锦程等（2023）</w:t>
      </w:r>
      <w:r>
        <w:rPr>
          <w:vertAlign w:val="superscript"/>
        </w:rPr>
        <w:t xml:space="preserve">[1]</w:t>
      </w:r>
      <w:r>
        <w:t xml:space="preserve">利用政府数据平台上线的准自然实验发现，公共数据开放能够缩小城市内部的区域发展差距；李荣华等（2025）</w:t>
      </w:r>
      <w:r>
        <w:rPr>
          <w:vertAlign w:val="superscript"/>
        </w:rPr>
        <w:t xml:space="preserve">[2]</w:t>
      </w:r>
      <w:r>
        <w:t xml:space="preserve">进一步发现，公共数据开放通过激励企业数字创新形成了显著的新质生产力效应。其二，信息技术与数字化转型的生产率效应。江小涓和靳景（2022）</w:t>
      </w:r>
      <w:r>
        <w:rPr>
          <w:vertAlign w:val="superscript"/>
        </w:rPr>
        <w:t xml:space="preserve">[3]</w:t>
      </w:r>
      <w:r>
        <w:t xml:space="preserve">指出数字技术通过服务分工深化与产业协同提升经济效率；田鸽和张勋（2022）</w:t>
      </w:r>
      <w:r>
        <w:rPr>
          <w:vertAlign w:val="superscript"/>
        </w:rPr>
        <w:t xml:space="preserve">[4]</w:t>
      </w:r>
      <w:r>
        <w:t xml:space="preserve">发现数字经济能够通过深化社会分工推动非农就业增长；陈晓红等（2022）</w:t>
      </w:r>
      <w:r>
        <w:rPr>
          <w:vertAlign w:val="superscript"/>
        </w:rPr>
        <w:t xml:space="preserve">[5]</w:t>
      </w:r>
      <w:r>
        <w:t xml:space="preserve">系统梳理了数字经济的理论体系；赵涛等（2020）</w:t>
      </w:r>
      <w:r>
        <w:rPr>
          <w:vertAlign w:val="superscript"/>
        </w:rPr>
        <w:t xml:space="preserve">[6]</w:t>
      </w:r>
      <w:r>
        <w:t xml:space="preserve">则发现数字经济能够通过提升创业活跃度推动城市高质量发展。其三，环境信息与绿色转型。潘旭文和付文林（2022）</w:t>
      </w:r>
      <w:r>
        <w:rPr>
          <w:vertAlign w:val="superscript"/>
        </w:rPr>
        <w:t xml:space="preserve">[7]</w:t>
      </w:r>
      <w:r>
        <w:t xml:space="preserve">发现PM2.5监测信息公开显著改善了地区空气质量；邵帅等（2022）</w:t>
      </w:r>
      <w:r>
        <w:rPr>
          <w:vertAlign w:val="superscript"/>
        </w:rPr>
        <w:t xml:space="preserve">[8]</w:t>
      </w:r>
      <w:r>
        <w:t xml:space="preserve">则从总体技术前沿与空间溢出视角考察了经济结构调整与绿色技术进步对碳排放绩效的影响。</w:t>
      </w:r>
    </w:p>
    <w:p>
      <w:pPr>
        <w:pStyle w:val="BodyText"/>
        <w:spacing w:before="0" w:after="0"/>
      </w:pPr>
      <w:r>
        <w:t xml:space="preserve">梳理已有文献可知，现有研究为理解数据要素的经济价值奠定了基础，但仍存在三方面拓展空间。一是研究对象多集中于经济增长、企业创新与区域协调等维度，公共数据开放的环境绩效尤其是对绿色全要素生产率的影响尚缺乏系统检验。二是既有政策评估多沿用传统的双向固定效应交错双重差分模型，而该估计量在处理效应存在队列异质性与动态演进时可能因”已处理组充当对照组”而产生偏误</w:t>
      </w:r>
      <w:r>
        <w:rPr>
          <w:vertAlign w:val="superscript"/>
        </w:rPr>
        <w:t xml:space="preserve">[9,10]</w:t>
      </w:r>
      <w:r>
        <w:t xml:space="preserve">，现有文献鲜有对这一偏误来源作出诊断与修正。三是公共数据开放具有典型的知识外溢属性，邻近城市的政策实施可能通过要素流动与技术扩散影响本地绿色转型，从而违背个体处理效应稳定性假设（SUTVA），但既有研究普遍忽略了这一问题对估计结果的含义。</w:t>
      </w:r>
    </w:p>
    <w:p>
      <w:pPr>
        <w:pStyle w:val="BodyText"/>
        <w:spacing w:before="0" w:after="0"/>
      </w:pPr>
      <w:r>
        <w:t xml:space="preserve">鉴于此，本文以地方政府数据开放平台的分批上线为准自然实验，基于2011—2023年283个地级及以上城市的面板数据展开研究。相较已有文献，本文的边际贡献在于：第一，将公共数据开放的政策评估拓展至绿色全要素生产率领域，识别了数据要素赋能绿色转型的直接效应与传导渠道；第二，在方法上，先以de Chaisemartin和D’Haultfœuille（2020）</w:t>
      </w:r>
      <w:r>
        <w:rPr>
          <w:vertAlign w:val="superscript"/>
        </w:rPr>
        <w:t xml:space="preserve">[10]</w:t>
      </w:r>
      <w:r>
        <w:t xml:space="preserve">提出的权重诊断刻画双向固定效应估计量的潜在偏误来源，再分别采用Sun和Abraham（2021）</w:t>
      </w:r>
      <w:r>
        <w:rPr>
          <w:vertAlign w:val="superscript"/>
        </w:rPr>
        <w:t xml:space="preserve">[11]</w:t>
      </w:r>
      <w:r>
        <w:t xml:space="preserve">的交互加权估计量与Callaway和Sant’Anna（2021）</w:t>
      </w:r>
      <w:r>
        <w:rPr>
          <w:vertAlign w:val="superscript"/>
        </w:rPr>
        <w:t xml:space="preserve">[12]</w:t>
      </w:r>
      <w:r>
        <w:t xml:space="preserve">的双重稳健组时估计量加以修正，形成层层递进的识别链条；第三，构造邻近城市处理强度变量对SUTVA假设作直接检验，据此说明基准估计的方向性偏误，为政策效应的解释提供更审慎的边界。</w:t>
      </w:r>
    </w:p>
    <w:bookmarkEnd w:id="20"/>
    <w:bookmarkStart w:id="24" w:name="理论分析与研究假设"/>
    <w:p>
      <w:pPr>
        <w:pStyle w:val="Heading1"/>
      </w:pPr>
      <w:r>
        <w:t xml:space="preserve">1 理论分析与研究假设</w:t>
      </w:r>
    </w:p>
    <w:bookmarkStart w:id="21" w:name="直接效应"/>
    <w:p>
      <w:pPr>
        <w:pStyle w:val="Heading2"/>
      </w:pPr>
      <w:r>
        <w:t xml:space="preserve">1.1 直接效应</w:t>
      </w:r>
    </w:p>
    <w:p>
      <w:pPr>
        <w:pStyle w:val="FirstParagraph"/>
        <w:spacing w:before="0" w:after="0"/>
      </w:pPr>
      <w:r>
        <w:t xml:space="preserve">公共数据开放通过降低信息获取成本作用于城市绿色全要素生产率，其直接机制体现在三个层面。第一，缓解市场主体的信息约束。政府部门掌握的环境监测、能源消耗、交通运行、市场监管等数据具有权威性与全域性，其无偿开放使企业能够以极低成本获取原本难以获得的宏观环境与市场信息，从而更准确地判断技术改造的收益边界与环保投入的合理规模，减少因信息不完全导致的过度投资或投资不足</w:t>
      </w:r>
      <w:r>
        <w:rPr>
          <w:vertAlign w:val="superscript"/>
        </w:rPr>
        <w:t xml:space="preserve">[5]</w:t>
      </w:r>
      <w:r>
        <w:t xml:space="preserve">。第二，降低政企之间的信息不对称。数据开放使环境执法标准、排污许可信息与处罚记录趋于透明，压缩了企业规避监管的策略空间，也降低了政府核查污染行为的执行成本，使既定环境规制强度下的治理效能得以提升</w:t>
      </w:r>
      <w:r>
        <w:rPr>
          <w:vertAlign w:val="superscript"/>
        </w:rPr>
        <w:t xml:space="preserve">[7]</w:t>
      </w:r>
      <w:r>
        <w:t xml:space="preserve">。第三，改善政府自身的决策质量。跨部门数据的汇聚与开放促使城市管理者能够识别高耗能、高排放环节的空间分布与时间规律，据此优化产业布局与环境基础设施配置，减少行政资源的错配。基于此，本文提出：</w:t>
      </w:r>
    </w:p>
    <w:p>
      <w:pPr>
        <w:pStyle w:val="BodyText"/>
        <w:spacing w:before="0" w:after="0"/>
      </w:pPr>
      <w:r>
        <w:t xml:space="preserve">假设1：公共数据开放能够显著提升城市绿色全要素生产率。</w:t>
      </w:r>
    </w:p>
    <w:bookmarkEnd w:id="21"/>
    <w:bookmarkStart w:id="22" w:name="作用机制"/>
    <w:p>
      <w:pPr>
        <w:pStyle w:val="Heading2"/>
      </w:pPr>
      <w:r>
        <w:t xml:space="preserve">1.2 作用机制</w:t>
      </w:r>
    </w:p>
    <w:p>
      <w:pPr>
        <w:pStyle w:val="FirstParagraph"/>
        <w:spacing w:before="0" w:after="0"/>
      </w:pPr>
      <w:r>
        <w:t xml:space="preserve">要素配置效率的改善是第一条渠道。绿色全要素生产率的提升既来自技术前沿的外推，也来自既有资源在部门与企业之间的重新配置。公共数据开放通过降低搜寻成本与匹配成本，使资本与劳动能够更顺畅地从低效率、高排放部门流向高效率、低排放部门；同时，土地、能源指标等要素的交易信息公开化削弱了地方保护与行政干预的空间，减少了要素价格扭曲</w:t>
      </w:r>
      <w:r>
        <w:rPr>
          <w:vertAlign w:val="superscript"/>
        </w:rPr>
        <w:t xml:space="preserve">[1]</w:t>
      </w:r>
      <w:r>
        <w:t xml:space="preserve">。</w:t>
      </w:r>
    </w:p>
    <w:p>
      <w:pPr>
        <w:pStyle w:val="BodyText"/>
        <w:spacing w:before="0" w:after="0"/>
      </w:pPr>
      <w:r>
        <w:t xml:space="preserve">绿色技术创新的激励是第二条渠道。开放的公共数据本身构成一种非竞争性、可重复使用的创新投入品。环境监测数据、能耗数据与专利数据的汇聚，一方面降低了企业绿色技术研发中的试错成本与数据采集成本，另一方面为节能环保产业提供了新的应用场景与商业机会，从而提升绿色技术创新的产出弹性</w:t>
      </w:r>
      <w:r>
        <w:rPr>
          <w:vertAlign w:val="superscript"/>
        </w:rPr>
        <w:t xml:space="preserve">[8,2]</w:t>
      </w:r>
      <w:r>
        <w:t xml:space="preserve">。</w:t>
      </w:r>
    </w:p>
    <w:p>
      <w:pPr>
        <w:pStyle w:val="BodyText"/>
        <w:spacing w:before="0" w:after="0"/>
      </w:pPr>
      <w:r>
        <w:t xml:space="preserve">环境社会监督的强化是第三条渠道。公共数据开放使公众、媒体与环保组织能够便捷获取污染排放与环境质量信息，显著降低了社会监督的参与门槛。来自外部的声誉压力与来自政府的合规压力形成合力，促使企业将污染治理内化为经营约束，进而在既定产出水平下减少非期望产出</w:t>
      </w:r>
      <w:r>
        <w:rPr>
          <w:vertAlign w:val="superscript"/>
        </w:rPr>
        <w:t xml:space="preserve">[7]</w:t>
      </w:r>
      <w:r>
        <w:t xml:space="preserve">。基于此，本文提出：</w:t>
      </w:r>
    </w:p>
    <w:p>
      <w:pPr>
        <w:pStyle w:val="BodyText"/>
        <w:spacing w:before="0" w:after="0"/>
      </w:pPr>
      <w:r>
        <w:t xml:space="preserve">假设2：公共数据开放通过提升要素配置效率、激励绿色技术创新与强化环境社会监督三条渠道提升城市绿色全要素生产率。</w:t>
      </w:r>
    </w:p>
    <w:bookmarkEnd w:id="22"/>
    <w:bookmarkStart w:id="23" w:name="空间溢出与异质性"/>
    <w:p>
      <w:pPr>
        <w:pStyle w:val="Heading2"/>
      </w:pPr>
      <w:r>
        <w:t xml:space="preserve">1.3 空间溢出与异质性</w:t>
      </w:r>
    </w:p>
    <w:p>
      <w:pPr>
        <w:pStyle w:val="FirstParagraph"/>
        <w:spacing w:before="0" w:after="0"/>
      </w:pPr>
      <w:r>
        <w:t xml:space="preserve">公共数据开放的效应难以被行政边界完全约束。一方面，数据资源的非竞争性与可复制性使一地开放的公共数据能够被邻近城市的企业与研究机构直接调用；另一方面，先行城市在数据治理标准、平台架构与应用场景上的经验会通过政府间学习与企业跨区经营向周边扩散。这意味着未开放城市在一定程度上也会受益于邻近城市的政策实施，若以其作为对照组，将低估政策的真实效应。</w:t>
      </w:r>
    </w:p>
    <w:p>
      <w:pPr>
        <w:pStyle w:val="BodyText"/>
        <w:spacing w:before="0" w:after="0"/>
      </w:pPr>
      <w:r>
        <w:t xml:space="preserve">政策效应的大小还取决于本地条件与数据资源之间的互补程度。数据要素只有与相应的数字基础设施、市场化环境与人力资本相结合才能转化为现实生产力</w:t>
      </w:r>
      <w:r>
        <w:rPr>
          <w:vertAlign w:val="superscript"/>
        </w:rPr>
        <w:t xml:space="preserve">[3]</w:t>
      </w:r>
      <w:r>
        <w:t xml:space="preserve">。在东部地区、经济规模较大的城市，数据的接入能力、开发能力与应用场景更为丰富，公共数据开放更易于被市场主体吸收利用；而资源型城市产业结构刚性较强、路径依赖突出，数据要素改善要素配置的空间相对有限。基于此，本文提出：</w:t>
      </w:r>
    </w:p>
    <w:p>
      <w:pPr>
        <w:pStyle w:val="BodyText"/>
        <w:spacing w:before="0" w:after="0"/>
      </w:pPr>
      <w:r>
        <w:t xml:space="preserve">假设3：邻近城市的公共数据开放对本地绿色全要素生产率具有正向溢出效应。</w:t>
      </w:r>
    </w:p>
    <w:p>
      <w:pPr>
        <w:pStyle w:val="BodyText"/>
        <w:spacing w:before="0" w:after="0"/>
      </w:pPr>
      <w:r>
        <w:t xml:space="preserve">假设4：公共数据开放的绿色赋能效应在东部地区、大规模城市与非资源型城市中更为突出。</w:t>
      </w:r>
    </w:p>
    <w:bookmarkEnd w:id="23"/>
    <w:bookmarkEnd w:id="24"/>
    <w:bookmarkStart w:id="28" w:name="研究设计"/>
    <w:p>
      <w:pPr>
        <w:pStyle w:val="Heading1"/>
      </w:pPr>
      <w:r>
        <w:t xml:space="preserve">2 研究设计</w:t>
      </w:r>
    </w:p>
    <w:bookmarkStart w:id="25" w:name="模型设定"/>
    <w:p>
      <w:pPr>
        <w:pStyle w:val="Heading2"/>
      </w:pPr>
      <w:r>
        <w:t xml:space="preserve">2.1 模型设定</w:t>
      </w:r>
    </w:p>
    <w:p>
      <w:pPr>
        <w:pStyle w:val="FirstParagraph"/>
        <w:spacing w:before="0" w:after="0"/>
      </w:pPr>
      <w:r>
        <w:t xml:space="preserve">由于各城市数据开放平台的上线时点不同，本文首先构建交错双重差分模型：</w:t>
      </w:r>
    </w:p>
    <w:p>
      <w:pPr>
        <w:pStyle w:val="BodyText"/>
        <w:tabs>
          <w:tab w:pos="4479" w:val="center"/>
          <w:tab w:pos="8957" w:val="right"/>
        </w:tabs>
        <w:spacing w:before="120" w:after="120" w:lineRule="auto" w:line="360"/>
        <w:ind w:firstLine="0"/>
        <w:jc w:val="left"/>
      </w:pPr>
      <w:r>
        <w:rPr>
          <w:rFonts w:ascii="Times New Roman" w:hAnsi="Times New Roman" w:eastAsia="宋体"/>
          <w:sz w:val="24"/>
        </w:rPr>
        <w:tab/>
      </w:r>
      <m:oMath>
        <m:sSub>
          <m:e>
            <m:r>
              <m:rPr>
                <m:sty m:val="p"/>
              </m:rPr>
              <m:t>gtfp</m:t>
            </m:r>
          </m:e>
          <m:sub>
            <m:r>
              <m:t>i</m:t>
            </m:r>
            <m:r>
              <m:t>t</m:t>
            </m:r>
          </m:sub>
        </m:sSub>
        <m:r>
          <m:rPr>
            <m:sty m:val="p"/>
          </m:rPr>
          <m:t>=</m:t>
        </m:r>
        <m:sSub>
          <m:e>
            <m:r>
              <m:t>α</m:t>
            </m:r>
          </m:e>
          <m:sub>
            <m:r>
              <m:t>0</m:t>
            </m:r>
          </m:sub>
        </m:sSub>
        <m:r>
          <m:rPr>
            <m:sty m:val="p"/>
          </m:rPr>
          <m:t>+</m:t>
        </m:r>
        <m:sSub>
          <m:e>
            <m:r>
              <m:t>α</m:t>
            </m:r>
          </m:e>
          <m:sub>
            <m:r>
              <m:t>1</m:t>
            </m:r>
          </m:sub>
        </m:sSub>
        <m:sSub>
          <m:e>
            <m:r>
              <m:rPr>
                <m:sty m:val="p"/>
              </m:rPr>
              <m:t>did</m:t>
            </m:r>
          </m:e>
          <m:sub>
            <m:r>
              <m:t>i</m:t>
            </m:r>
            <m:r>
              <m:t>t</m:t>
            </m:r>
          </m:sub>
        </m:sSub>
        <m:r>
          <m:rPr>
            <m:sty m:val="p"/>
          </m:rPr>
          <m:t>+</m:t>
        </m:r>
        <m:sSub>
          <m:e>
            <m:r>
              <m:t>α</m:t>
            </m:r>
          </m:e>
          <m:sub>
            <m:r>
              <m:t>j</m:t>
            </m:r>
          </m:sub>
        </m:sSub>
        <m:sSub>
          <m:e>
            <m:r>
              <m:rPr>
                <m:sty m:val="p"/>
              </m:rPr>
              <m:t>Controls</m:t>
            </m:r>
          </m:e>
          <m:sub>
            <m:r>
              <m:t>i</m:t>
            </m:r>
            <m:r>
              <m:t>t</m:t>
            </m:r>
          </m:sub>
        </m:sSub>
        <m:r>
          <m:rPr>
            <m:sty m:val="p"/>
          </m:rPr>
          <m:t>+</m:t>
        </m:r>
        <m:sSub>
          <m:e>
            <m:r>
              <m:t>μ</m:t>
            </m:r>
          </m:e>
          <m:sub>
            <m:r>
              <m:t>i</m:t>
            </m:r>
          </m:sub>
        </m:sSub>
        <m:r>
          <m:rPr>
            <m:sty m:val="p"/>
          </m:rPr>
          <m:t>+</m:t>
        </m:r>
        <m:sSub>
          <m:e>
            <m:r>
              <m:t>δ</m:t>
            </m:r>
          </m:e>
          <m:sub>
            <m:r>
              <m:t>t</m:t>
            </m:r>
          </m:sub>
        </m:sSub>
        <m:r>
          <m:rPr>
            <m:sty m:val="p"/>
          </m:rPr>
          <m:t>+</m:t>
        </m:r>
        <m:sSub>
          <m:e>
            <m:r>
              <m:t>ε</m:t>
            </m:r>
          </m:e>
          <m:sub>
            <m:r>
              <m:t>i</m:t>
            </m:r>
            <m:r>
              <m:t>t</m:t>
            </m:r>
          </m:sub>
        </m:sSub>
      </m:oMath>
      <w:r>
        <w:rPr>
          <w:rFonts w:ascii="Times New Roman" w:hAnsi="Times New Roman" w:eastAsia="宋体"/>
          <w:sz w:val="24"/>
        </w:rPr>
        <w:tab/>
      </w:r>
      <w:r>
        <w:rPr>
          <w:rFonts w:ascii="Times New Roman" w:hAnsi="Times New Roman" w:eastAsia="宋体"/>
          <w:sz w:val="24"/>
        </w:rPr>
        <w:t>(2-1)</w:t>
      </w:r>
    </w:p>
    <w:p>
      <w:pPr>
        <w:pStyle w:val="BodyText"/>
      </w:pPr>
      <w:r>
        <w:t xml:space="preserve">其中，</w:t>
      </w:r>
      <m:oMath>
        <m:sSub>
          <m:e>
            <m:r>
              <m:rPr>
                <m:sty m:val="p"/>
              </m:rPr>
              <m:t>gtfp</m:t>
            </m:r>
          </m:e>
          <m:sub>
            <m:r>
              <m:t>i</m:t>
            </m:r>
            <m:r>
              <m:t>t</m:t>
            </m:r>
          </m:sub>
        </m:sSub>
      </m:oMath>
      <w:r>
        <w:t xml:space="preserve">为城市</w:t>
      </w:r>
      <w:r>
        <w:rPr>
          <w:iCs/>
          <w:i/>
        </w:rPr>
        <w:t xml:space="preserve">i</w:t>
      </w:r>
      <w:r>
        <w:t xml:space="preserve">在年份</w:t>
      </w:r>
      <w:r>
        <w:rPr>
          <w:iCs/>
          <w:i/>
        </w:rPr>
        <w:t xml:space="preserve">t</w:t>
      </w:r>
      <w:r>
        <w:t xml:space="preserve">的绿色全要素生产率，</w:t>
      </w:r>
      <m:oMath>
        <m:sSub>
          <m:e>
            <m:r>
              <m:rPr>
                <m:sty m:val="p"/>
              </m:rPr>
              <m:t>did</m:t>
            </m:r>
          </m:e>
          <m:sub>
            <m:r>
              <m:t>i</m:t>
            </m:r>
            <m:r>
              <m:t>t</m:t>
            </m:r>
          </m:sub>
        </m:sSub>
      </m:oMath>
      <w:r>
        <w:t xml:space="preserve">为政策虚拟变量，若城市</w:t>
      </w:r>
      <w:r>
        <w:rPr>
          <w:iCs/>
          <w:i/>
        </w:rPr>
        <w:t xml:space="preserve">i</w:t>
      </w:r>
      <w:r>
        <w:t xml:space="preserve">在年份</w:t>
      </w:r>
      <w:r>
        <w:rPr>
          <w:iCs/>
          <w:i/>
        </w:rPr>
        <w:t xml:space="preserve">t</w:t>
      </w:r>
      <w:r>
        <w:t xml:space="preserve">及以后已上线数据开放平台则取1，否则取0；</w:t>
      </w:r>
      <m:oMath>
        <m:sSub>
          <m:e>
            <m:r>
              <m:rPr>
                <m:sty m:val="p"/>
              </m:rPr>
              <m:t>Controls</m:t>
            </m:r>
          </m:e>
          <m:sub>
            <m:r>
              <m:t>i</m:t>
            </m:r>
            <m:r>
              <m:t>t</m:t>
            </m:r>
          </m:sub>
        </m:sSub>
      </m:oMath>
      <w:r>
        <w:t xml:space="preserve">为控制变量组，</w:t>
      </w:r>
      <m:oMath>
        <m:sSub>
          <m:e>
            <m:r>
              <m:t>μ</m:t>
            </m:r>
          </m:e>
          <m:sub>
            <m:r>
              <m:t>i</m:t>
            </m:r>
          </m:sub>
        </m:sSub>
      </m:oMath>
      <w:r>
        <w:t xml:space="preserve">、</w:t>
      </w:r>
      <m:oMath>
        <m:sSub>
          <m:e>
            <m:r>
              <m:t>δ</m:t>
            </m:r>
          </m:e>
          <m:sub>
            <m:r>
              <m:t>t</m:t>
            </m:r>
          </m:sub>
        </m:sSub>
      </m:oMath>
      <w:r>
        <w:t xml:space="preserve">、</w:t>
      </w:r>
      <m:oMath>
        <m:sSub>
          <m:e>
            <m:r>
              <m:t>ε</m:t>
            </m:r>
          </m:e>
          <m:sub>
            <m:r>
              <m:t>i</m:t>
            </m:r>
            <m:r>
              <m:t>t</m:t>
            </m:r>
          </m:sub>
        </m:sSub>
      </m:oMath>
      <w:r>
        <w:t xml:space="preserve">分别为城市固定效应、年份固定效应与随机扰动项。标准误在城市层面聚类。</w:t>
      </w:r>
    </w:p>
    <w:p>
      <w:pPr>
        <w:pStyle w:val="BodyText"/>
      </w:pPr>
      <w:r>
        <w:t xml:space="preserve">当处理效应在队列之间存在异质性或随政策实施时长而演进时，式(2-1)的双向固定效应估计量是各”两组两期”比较的加权平均，其中”已处理组充当对照组”的比较可能获得负权重，从而使估计量偏离因果参数</w:t>
      </w:r>
      <w:r>
        <w:rPr>
          <w:vertAlign w:val="superscript"/>
        </w:rPr>
        <w:t xml:space="preserve">[9,10]</w:t>
      </w:r>
      <w:r>
        <w:t xml:space="preserve">。为此，本文首先将</w:t>
      </w:r>
      <m:oMath>
        <m:sSub>
          <m:e>
            <m:r>
              <m:rPr>
                <m:sty m:val="p"/>
              </m:rPr>
              <m:t>did</m:t>
            </m:r>
          </m:e>
          <m:sub>
            <m:r>
              <m:t>i</m:t>
            </m:r>
            <m:r>
              <m:t>t</m:t>
            </m:r>
          </m:sub>
        </m:sSub>
      </m:oMath>
      <w:r>
        <w:t xml:space="preserve">对双向固定效应与控制变量作回归，取残差</w:t>
      </w:r>
      <m:oMath>
        <m:sSub>
          <m:e>
            <m:acc>
              <m:accPr>
                <m:chr m:val="̂"/>
              </m:accPr>
              <m:e>
                <m:r>
                  <m:t>ϵ</m:t>
                </m:r>
              </m:e>
            </m:acc>
          </m:e>
          <m:sub>
            <m:r>
              <m:t>i</m:t>
            </m:r>
            <m:r>
              <m:t>t</m:t>
            </m:r>
          </m:sub>
        </m:sSub>
      </m:oMath>
      <w:r>
        <w:t xml:space="preserve">，并计算各处理单元格的隐含权重：</w:t>
      </w:r>
    </w:p>
    <w:p>
      <w:pPr>
        <w:pStyle w:val="BodyText"/>
        <w:tabs>
          <w:tab w:pos="4479" w:val="center"/>
          <w:tab w:pos="8957" w:val="right"/>
        </w:tabs>
        <w:spacing w:before="120" w:after="120" w:lineRule="auto" w:line="360"/>
        <w:ind w:firstLine="0"/>
        <w:jc w:val="left"/>
      </w:pPr>
      <w:r>
        <w:rPr>
          <w:rFonts w:ascii="Times New Roman" w:hAnsi="Times New Roman" w:eastAsia="宋体"/>
          <w:sz w:val="24"/>
        </w:rPr>
        <w:tab/>
      </w:r>
      <m:oMath>
        <m:sSub>
          <m:e>
            <m:r>
              <m:t>w</m:t>
            </m:r>
          </m:e>
          <m:sub>
            <m:r>
              <m:t>i</m:t>
            </m:r>
            <m:r>
              <m:t>t</m:t>
            </m:r>
          </m:sub>
        </m:sSub>
        <m:r>
          <m:rPr>
            <m:sty m:val="p"/>
          </m:rPr>
          <m:t>=</m:t>
        </m:r>
        <m:sSub>
          <m:e>
            <m:acc>
              <m:accPr>
                <m:chr m:val="̂"/>
              </m:accPr>
              <m:e>
                <m:r>
                  <m:t>ϵ</m:t>
                </m:r>
              </m:e>
            </m:acc>
          </m:e>
          <m:sub>
            <m:r>
              <m:t>i</m:t>
            </m:r>
            <m:r>
              <m:t>t</m:t>
            </m:r>
          </m:sub>
        </m:sSub>
        <m:r>
          <m:rPr>
            <m:sty m:val="p"/>
          </m:rPr>
          <m:t>/</m:t>
        </m:r>
        <m:nary>
          <m:naryPr>
            <m:chr m:val="∑"/>
            <m:limLoc m:val="undOvr"/>
            <m:subHide m:val="off"/>
            <m:supHide m:val="on"/>
          </m:naryPr>
          <m:sub>
            <m:d>
              <m:dPr>
                <m:begChr m:val="("/>
                <m:endChr m:val=")"/>
                <m:sepChr m:val=""/>
                <m:grow/>
              </m:dPr>
              <m:e>
                <m:r>
                  <m:t>i</m:t>
                </m:r>
                <m:r>
                  <m:rPr>
                    <m:sty m:val="p"/>
                  </m:rPr>
                  <m:t>,</m:t>
                </m:r>
                <m:r>
                  <m:t>t</m:t>
                </m:r>
              </m:e>
            </m:d>
            <m:r>
              <m:rPr>
                <m:sty m:val="p"/>
              </m:rPr>
              <m:t>:</m:t>
            </m:r>
            <m:r>
              <m:t> </m:t>
            </m:r>
            <m:sSub>
              <m:e>
                <m:r>
                  <m:rPr>
                    <m:sty m:val="p"/>
                  </m:rPr>
                  <m:t>did</m:t>
                </m:r>
              </m:e>
              <m:sub>
                <m:r>
                  <m:t>i</m:t>
                </m:r>
                <m:r>
                  <m:t>t</m:t>
                </m:r>
              </m:sub>
            </m:sSub>
            <m:r>
              <m:rPr>
                <m:sty m:val="p"/>
              </m:rPr>
              <m:t>=</m:t>
            </m:r>
            <m:r>
              <m:t>1</m:t>
            </m:r>
          </m:sub>
          <m:sup>
            <m:r>
              <m:t>​</m:t>
            </m:r>
          </m:sup>
          <m:e>
            <m:sSub>
              <m:e>
                <m:acc>
                  <m:accPr>
                    <m:chr m:val="̂"/>
                  </m:accPr>
                  <m:e>
                    <m:r>
                      <m:t>ϵ</m:t>
                    </m:r>
                  </m:e>
                </m:acc>
              </m:e>
              <m:sub>
                <m:r>
                  <m:t>i</m:t>
                </m:r>
                <m:r>
                  <m:t>t</m:t>
                </m:r>
              </m:sub>
            </m:sSub>
          </m:e>
        </m:nary>
      </m:oMath>
      <w:r>
        <w:rPr>
          <w:rFonts w:ascii="Times New Roman" w:hAnsi="Times New Roman" w:eastAsia="宋体"/>
          <w:sz w:val="24"/>
        </w:rPr>
        <w:tab/>
      </w:r>
      <w:r>
        <w:rPr>
          <w:rFonts w:ascii="Times New Roman" w:hAnsi="Times New Roman" w:eastAsia="宋体"/>
          <w:sz w:val="24"/>
        </w:rPr>
        <w:t>(2-2)</w:t>
      </w:r>
    </w:p>
    <w:p>
      <w:pPr>
        <w:pStyle w:val="BodyText"/>
        <w:spacing w:before="0" w:after="0"/>
      </w:pPr>
      <w:r>
        <w:t xml:space="preserve">若负权重的数量与绝对规模较小，则说明双向固定效应估计量的偏误有限。</w:t>
      </w:r>
    </w:p>
    <w:p>
      <w:pPr>
        <w:pStyle w:val="BodyText"/>
        <w:spacing w:before="0" w:after="0"/>
      </w:pPr>
      <w:r>
        <w:t xml:space="preserve">在此基础上，本文采用Sun和Abraham（2021）</w:t>
      </w:r>
      <w:r>
        <w:rPr>
          <w:vertAlign w:val="superscript"/>
        </w:rPr>
        <w:t xml:space="preserve">[11]</w:t>
      </w:r>
      <w:r>
        <w:t xml:space="preserve">的交互加权估计量刻画动态效应。以政策实施前一期为基期，将队列虚拟变量与相对时点虚拟变量交互：</w:t>
      </w:r>
    </w:p>
    <w:p>
      <w:pPr>
        <w:pStyle w:val="BodyText"/>
        <w:tabs>
          <w:tab w:pos="4479" w:val="center"/>
          <w:tab w:pos="8957" w:val="right"/>
        </w:tabs>
        <w:spacing w:before="120" w:after="120" w:lineRule="auto" w:line="360"/>
        <w:ind w:firstLine="0"/>
        <w:jc w:val="left"/>
      </w:pPr>
      <w:r>
        <w:rPr>
          <w:rFonts w:ascii="Times New Roman" w:hAnsi="Times New Roman" w:eastAsia="宋体"/>
          <w:sz w:val="24"/>
        </w:rPr>
        <w:tab/>
      </w:r>
      <m:oMath>
        <m:sSub>
          <m:e>
            <m:r>
              <m:rPr>
                <m:sty m:val="p"/>
              </m:rPr>
              <m:t>gtfp</m:t>
            </m:r>
          </m:e>
          <m:sub>
            <m:r>
              <m:t>i</m:t>
            </m:r>
            <m:r>
              <m:t>t</m:t>
            </m:r>
          </m:sub>
        </m:sSub>
        <m:r>
          <m:rPr>
            <m:sty m:val="p"/>
          </m:rPr>
          <m:t>=</m:t>
        </m:r>
        <m:nary>
          <m:naryPr>
            <m:chr m:val="∑"/>
            <m:limLoc m:val="undOvr"/>
            <m:subHide m:val="off"/>
            <m:supHide m:val="on"/>
          </m:naryPr>
          <m:sub>
            <m:r>
              <m:t>g</m:t>
            </m:r>
          </m:sub>
          <m:sup>
            <m:r>
              <m:t>​</m:t>
            </m:r>
          </m:sup>
          <m:e>
            <m:nary>
              <m:naryPr>
                <m:chr m:val="∑"/>
                <m:limLoc m:val="undOvr"/>
                <m:subHide m:val="off"/>
                <m:supHide m:val="on"/>
              </m:naryPr>
              <m:sub>
                <m:r>
                  <m:t>e</m:t>
                </m:r>
                <m:r>
                  <m:rPr>
                    <m:sty m:val="p"/>
                  </m:rPr>
                  <m:t>≠</m:t>
                </m:r>
                <m:r>
                  <m:rPr>
                    <m:sty m:val="p"/>
                  </m:rPr>
                  <m:t>−</m:t>
                </m:r>
                <m:r>
                  <m:t>1</m:t>
                </m:r>
              </m:sub>
              <m:sup>
                <m:r>
                  <m:t>​</m:t>
                </m:r>
              </m:sup>
              <m:e>
                <m:sSub>
                  <m:e>
                    <m:r>
                      <m:t>λ</m:t>
                    </m:r>
                  </m:e>
                  <m:sub>
                    <m:r>
                      <m:t>g</m:t>
                    </m:r>
                    <m:r>
                      <m:rPr>
                        <m:sty m:val="p"/>
                      </m:rPr>
                      <m:t>,</m:t>
                    </m:r>
                    <m:r>
                      <m:t>e</m:t>
                    </m:r>
                  </m:sub>
                </m:sSub>
              </m:e>
            </m:nary>
          </m:e>
        </m:nary>
        <m:r>
          <m:t> </m:t>
        </m:r>
        <m:sSubSup>
          <m:e>
            <m:r>
              <m:t>D</m:t>
            </m:r>
          </m:e>
          <m:sub>
            <m:r>
              <m:t>i</m:t>
            </m:r>
            <m:r>
              <m:t>t</m:t>
            </m:r>
          </m:sub>
          <m:sup>
            <m:r>
              <m:t>g</m:t>
            </m:r>
            <m:r>
              <m:rPr>
                <m:sty m:val="p"/>
              </m:rPr>
              <m:t>,</m:t>
            </m:r>
            <m:r>
              <m:t>e</m:t>
            </m:r>
          </m:sup>
        </m:sSubSup>
        <m:r>
          <m:rPr>
            <m:sty m:val="p"/>
          </m:rPr>
          <m:t>+</m:t>
        </m:r>
        <m:sSub>
          <m:e>
            <m:r>
              <m:t>β</m:t>
            </m:r>
          </m:e>
          <m:sub>
            <m:r>
              <m:t>j</m:t>
            </m:r>
          </m:sub>
        </m:sSub>
        <m:sSub>
          <m:e>
            <m:r>
              <m:rPr>
                <m:sty m:val="p"/>
              </m:rPr>
              <m:t>Controls</m:t>
            </m:r>
          </m:e>
          <m:sub>
            <m:r>
              <m:t>i</m:t>
            </m:r>
            <m:r>
              <m:t>t</m:t>
            </m:r>
          </m:sub>
        </m:sSub>
        <m:r>
          <m:rPr>
            <m:sty m:val="p"/>
          </m:rPr>
          <m:t>+</m:t>
        </m:r>
        <m:sSub>
          <m:e>
            <m:r>
              <m:t>μ</m:t>
            </m:r>
          </m:e>
          <m:sub>
            <m:r>
              <m:t>i</m:t>
            </m:r>
          </m:sub>
        </m:sSub>
        <m:r>
          <m:rPr>
            <m:sty m:val="p"/>
          </m:rPr>
          <m:t>+</m:t>
        </m:r>
        <m:sSub>
          <m:e>
            <m:r>
              <m:t>δ</m:t>
            </m:r>
          </m:e>
          <m:sub>
            <m:r>
              <m:t>t</m:t>
            </m:r>
          </m:sub>
        </m:sSub>
        <m:r>
          <m:rPr>
            <m:sty m:val="p"/>
          </m:rPr>
          <m:t>+</m:t>
        </m:r>
        <m:sSub>
          <m:e>
            <m:r>
              <m:t>ε</m:t>
            </m:r>
          </m:e>
          <m:sub>
            <m:r>
              <m:t>i</m:t>
            </m:r>
            <m:r>
              <m:t>t</m:t>
            </m:r>
          </m:sub>
        </m:sSub>
      </m:oMath>
      <w:r>
        <w:rPr>
          <w:rFonts w:ascii="Times New Roman" w:hAnsi="Times New Roman" w:eastAsia="宋体"/>
          <w:sz w:val="24"/>
        </w:rPr>
        <w:tab/>
      </w:r>
      <w:r>
        <w:rPr>
          <w:rFonts w:ascii="Times New Roman" w:hAnsi="Times New Roman" w:eastAsia="宋体"/>
          <w:sz w:val="24"/>
        </w:rPr>
        <w:t>(2-3)</w:t>
      </w:r>
    </w:p>
    <w:p>
      <w:pPr>
        <w:pStyle w:val="BodyText"/>
      </w:pPr>
      <w:r>
        <w:t xml:space="preserve">其中，</w:t>
      </w:r>
      <m:oMath>
        <m:r>
          <m:t>g</m:t>
        </m:r>
      </m:oMath>
      <w:r>
        <w:t xml:space="preserve">为城市所属的政策实施队列，</w:t>
      </w:r>
      <m:oMath>
        <m:r>
          <m:t>e</m:t>
        </m:r>
        <m:r>
          <m:rPr>
            <m:sty m:val="p"/>
          </m:rPr>
          <m:t>=</m:t>
        </m:r>
        <m:r>
          <m:t>t</m:t>
        </m:r>
        <m:r>
          <m:rPr>
            <m:sty m:val="p"/>
          </m:rPr>
          <m:t>−</m:t>
        </m:r>
        <m:r>
          <m:t>g</m:t>
        </m:r>
      </m:oMath>
      <w:r>
        <w:t xml:space="preserve">为相对政策实施年份的时点，</w:t>
      </w:r>
      <m:oMath>
        <m:sSubSup>
          <m:e>
            <m:r>
              <m:t>D</m:t>
            </m:r>
          </m:e>
          <m:sub>
            <m:r>
              <m:t>i</m:t>
            </m:r>
            <m:r>
              <m:t>t</m:t>
            </m:r>
          </m:sub>
          <m:sup>
            <m:r>
              <m:t>g</m:t>
            </m:r>
            <m:r>
              <m:rPr>
                <m:sty m:val="p"/>
              </m:rPr>
              <m:t>,</m:t>
            </m:r>
            <m:r>
              <m:t>e</m:t>
            </m:r>
          </m:sup>
        </m:sSubSup>
      </m:oMath>
      <w:r>
        <w:t xml:space="preserve">为相应的交互虚拟变量。随后按各队列样本份额</w:t>
      </w:r>
      <m:oMath>
        <m:sSub>
          <m:e>
            <m:r>
              <m:t>π</m:t>
            </m:r>
          </m:e>
          <m:sub>
            <m:r>
              <m:t>g</m:t>
            </m:r>
          </m:sub>
        </m:sSub>
      </m:oMath>
      <w:r>
        <w:t xml:space="preserve">对同一相对时点的系数加权，得到交互加权动态效应</w:t>
      </w:r>
      <m:oMath>
        <m:sSub>
          <m:e>
            <m:r>
              <m:t>θ</m:t>
            </m:r>
          </m:e>
          <m:sub>
            <m:r>
              <m:t>e</m:t>
            </m:r>
          </m:sub>
        </m:sSub>
        <m:r>
          <m:rPr>
            <m:sty m:val="p"/>
          </m:rPr>
          <m:t>=</m:t>
        </m:r>
        <m:nary>
          <m:naryPr>
            <m:chr m:val="∑"/>
            <m:limLoc m:val="undOvr"/>
            <m:subHide m:val="off"/>
            <m:supHide m:val="on"/>
          </m:naryPr>
          <m:sub>
            <m:r>
              <m:t>g</m:t>
            </m:r>
          </m:sub>
          <m:sup>
            <m:r>
              <m:t>​</m:t>
            </m:r>
          </m:sup>
          <m:e>
            <m:sSub>
              <m:e>
                <m:r>
                  <m:t>π</m:t>
                </m:r>
              </m:e>
              <m:sub>
                <m:r>
                  <m:t>g</m:t>
                </m:r>
              </m:sub>
            </m:sSub>
          </m:e>
        </m:nary>
        <m:sSub>
          <m:e>
            <m:r>
              <m:t>λ</m:t>
            </m:r>
          </m:e>
          <m:sub>
            <m:r>
              <m:t>g</m:t>
            </m:r>
            <m:r>
              <m:rPr>
                <m:sty m:val="p"/>
              </m:rPr>
              <m:t>,</m:t>
            </m:r>
            <m:r>
              <m:t>e</m:t>
            </m:r>
          </m:sub>
        </m:sSub>
      </m:oMath>
      <w:r>
        <w:t xml:space="preserve">。</w:t>
      </w:r>
    </w:p>
    <w:p>
      <w:pPr>
        <w:pStyle w:val="BodyText"/>
      </w:pPr>
      <w:r>
        <w:t xml:space="preserve">进一步，本文采用Callaway和Sant’Anna（2021）</w:t>
      </w:r>
      <w:r>
        <w:rPr>
          <w:vertAlign w:val="superscript"/>
        </w:rPr>
        <w:t xml:space="preserve">[12]</w:t>
      </w:r>
      <w:r>
        <w:t xml:space="preserve">的双重稳健估计量识别组时平均处理效应。该估计量以各队列处理前最后一期作为参照期，本文假定不存在预期效应，故参照期为</w:t>
      </w:r>
      <m:oMath>
        <m:r>
          <m:t>g</m:t>
        </m:r>
        <m:r>
          <m:rPr>
            <m:sty m:val="p"/>
          </m:rPr>
          <m:t>−</m:t>
        </m:r>
        <m:r>
          <m:t>1</m:t>
        </m:r>
      </m:oMath>
      <w:r>
        <w:t xml:space="preserve">期；对处理前后的所有时期统一采用该参照期（即固定基期设定），以保证事件研究图中各期系数相互可比。以从未处理城市为对照组，令</w:t>
      </w:r>
      <m:oMath>
        <m:r>
          <m:t>Δ</m:t>
        </m:r>
        <m:sSub>
          <m:e>
            <m:r>
              <m:t>Y</m:t>
            </m:r>
          </m:e>
          <m:sub>
            <m:r>
              <m:t>i</m:t>
            </m:r>
          </m:sub>
        </m:sSub>
        <m:r>
          <m:rPr>
            <m:sty m:val="p"/>
          </m:rPr>
          <m:t>=</m:t>
        </m:r>
        <m:sSub>
          <m:e>
            <m:r>
              <m:rPr>
                <m:sty m:val="p"/>
              </m:rPr>
              <m:t>gtfp</m:t>
            </m:r>
          </m:e>
          <m:sub>
            <m:r>
              <m:t>i</m:t>
            </m:r>
            <m:r>
              <m:t>t</m:t>
            </m:r>
          </m:sub>
        </m:sSub>
        <m:r>
          <m:rPr>
            <m:sty m:val="p"/>
          </m:rPr>
          <m:t>−</m:t>
        </m:r>
        <m:sSub>
          <m:e>
            <m:r>
              <m:rPr>
                <m:sty m:val="p"/>
              </m:rPr>
              <m:t>gtfp</m:t>
            </m:r>
          </m:e>
          <m:sub>
            <m:r>
              <m:t>i</m:t>
            </m:r>
            <m:r>
              <m:rPr>
                <m:sty m:val="p"/>
              </m:rPr>
              <m:t>,</m:t>
            </m:r>
            <m:r>
              <m:t>g</m:t>
            </m:r>
            <m:r>
              <m:rPr>
                <m:sty m:val="p"/>
              </m:rPr>
              <m:t>−</m:t>
            </m:r>
            <m:r>
              <m:t>1</m:t>
            </m:r>
          </m:sub>
        </m:sSub>
      </m:oMath>
      <w:r>
        <w:t xml:space="preserve">，则</w:t>
      </w:r>
    </w:p>
    <w:p>
      <w:pPr>
        <w:pStyle w:val="BodyText"/>
        <w:tabs>
          <w:tab w:pos="4479" w:val="center"/>
          <w:tab w:pos="8957" w:val="right"/>
        </w:tabs>
        <w:spacing w:before="120" w:after="120" w:lineRule="auto" w:line="360"/>
        <w:ind w:firstLine="0"/>
        <w:jc w:val="left"/>
      </w:pPr>
      <w:r>
        <w:rPr>
          <w:rFonts w:ascii="Times New Roman" w:hAnsi="Times New Roman" w:eastAsia="宋体"/>
          <w:sz w:val="24"/>
        </w:rPr>
        <w:tab/>
      </w:r>
      <m:oMath>
        <m:r>
          <m:rPr>
            <m:sty m:val="p"/>
          </m:rPr>
          <m:t>ATT</m:t>
        </m:r>
        <m:d>
          <m:dPr>
            <m:begChr m:val="("/>
            <m:endChr m:val=")"/>
            <m:sepChr m:val=""/>
            <m:grow/>
          </m:dPr>
          <m:e>
            <m:r>
              <m:t>g</m:t>
            </m:r>
            <m:r>
              <m:rPr>
                <m:sty m:val="p"/>
              </m:rPr>
              <m:t>,</m:t>
            </m:r>
            <m:r>
              <m:t>t</m:t>
            </m:r>
          </m:e>
        </m:d>
        <m:r>
          <m:rPr>
            <m:sty m:val="p"/>
          </m:rPr>
          <m:t>=</m:t>
        </m:r>
        <m:r>
          <m:t>E</m:t>
        </m:r>
        <m:d>
          <m:dPr>
            <m:begChr m:val="["/>
            <m:endChr m:val="]"/>
            <m:sepChr m:val=""/>
            <m:grow/>
          </m:dPr>
          <m:e>
            <m:d>
              <m:dPr>
                <m:begChr m:val="("/>
                <m:endChr m:val=")"/>
                <m:sepChr m:val=""/>
                <m:grow/>
              </m:dPr>
              <m:e>
                <m:f>
                  <m:fPr>
                    <m:type m:val="bar"/>
                  </m:fPr>
                  <m:num>
                    <m:sSub>
                      <m:e>
                        <m:r>
                          <m:t>G</m:t>
                        </m:r>
                      </m:e>
                      <m:sub>
                        <m:r>
                          <m:t>g</m:t>
                        </m:r>
                      </m:sub>
                    </m:sSub>
                  </m:num>
                  <m:den>
                    <m:r>
                      <m:t>E</m:t>
                    </m:r>
                    <m:d>
                      <m:dPr>
                        <m:begChr m:val="["/>
                        <m:endChr m:val="]"/>
                        <m:sepChr m:val=""/>
                        <m:grow/>
                      </m:dPr>
                      <m:e>
                        <m:sSub>
                          <m:e>
                            <m:r>
                              <m:t>G</m:t>
                            </m:r>
                          </m:e>
                          <m:sub>
                            <m:r>
                              <m:t>g</m:t>
                            </m:r>
                          </m:sub>
                        </m:sSub>
                      </m:e>
                    </m:d>
                  </m:den>
                </m:f>
                <m:r>
                  <m:rPr>
                    <m:sty m:val="p"/>
                  </m:rPr>
                  <m:t>−</m:t>
                </m:r>
                <m:f>
                  <m:fPr>
                    <m:type m:val="bar"/>
                  </m:fPr>
                  <m:num>
                    <m:f>
                      <m:fPr>
                        <m:type m:val="bar"/>
                      </m:fPr>
                      <m:num>
                        <m:sSub>
                          <m:e>
                            <m:r>
                              <m:t>p</m:t>
                            </m:r>
                          </m:e>
                          <m:sub>
                            <m:r>
                              <m:t>g</m:t>
                            </m:r>
                          </m:sub>
                        </m:sSub>
                        <m:d>
                          <m:dPr>
                            <m:begChr m:val="("/>
                            <m:endChr m:val=")"/>
                            <m:sepChr m:val=""/>
                            <m:grow/>
                          </m:dPr>
                          <m:e>
                            <m:r>
                              <m:t>X</m:t>
                            </m:r>
                          </m:e>
                        </m:d>
                        <m:r>
                          <m:t>C</m:t>
                        </m:r>
                      </m:num>
                      <m:den>
                        <m:r>
                          <m:t>1</m:t>
                        </m:r>
                        <m:r>
                          <m:rPr>
                            <m:sty m:val="p"/>
                          </m:rPr>
                          <m:t>−</m:t>
                        </m:r>
                        <m:sSub>
                          <m:e>
                            <m:r>
                              <m:t>p</m:t>
                            </m:r>
                          </m:e>
                          <m:sub>
                            <m:r>
                              <m:t>g</m:t>
                            </m:r>
                          </m:sub>
                        </m:sSub>
                        <m:d>
                          <m:dPr>
                            <m:begChr m:val="("/>
                            <m:endChr m:val=")"/>
                            <m:sepChr m:val=""/>
                            <m:grow/>
                          </m:dPr>
                          <m:e>
                            <m:r>
                              <m:t>X</m:t>
                            </m:r>
                          </m:e>
                        </m:d>
                      </m:den>
                    </m:f>
                  </m:num>
                  <m:den>
                    <m:r>
                      <m:t>E</m:t>
                    </m:r>
                    <m:d>
                      <m:dPr>
                        <m:begChr m:val="["/>
                        <m:endChr m:val="]"/>
                        <m:sepChr m:val=""/>
                        <m:grow/>
                      </m:dPr>
                      <m:e>
                        <m:f>
                          <m:fPr>
                            <m:type m:val="bar"/>
                          </m:fPr>
                          <m:num>
                            <m:sSub>
                              <m:e>
                                <m:r>
                                  <m:t>p</m:t>
                                </m:r>
                              </m:e>
                              <m:sub>
                                <m:r>
                                  <m:t>g</m:t>
                                </m:r>
                              </m:sub>
                            </m:sSub>
                            <m:d>
                              <m:dPr>
                                <m:begChr m:val="("/>
                                <m:endChr m:val=")"/>
                                <m:sepChr m:val=""/>
                                <m:grow/>
                              </m:dPr>
                              <m:e>
                                <m:r>
                                  <m:t>X</m:t>
                                </m:r>
                              </m:e>
                            </m:d>
                            <m:r>
                              <m:t>C</m:t>
                            </m:r>
                          </m:num>
                          <m:den>
                            <m:r>
                              <m:t>1</m:t>
                            </m:r>
                            <m:r>
                              <m:rPr>
                                <m:sty m:val="p"/>
                              </m:rPr>
                              <m:t>−</m:t>
                            </m:r>
                            <m:sSub>
                              <m:e>
                                <m:r>
                                  <m:t>p</m:t>
                                </m:r>
                              </m:e>
                              <m:sub>
                                <m:r>
                                  <m:t>g</m:t>
                                </m:r>
                              </m:sub>
                            </m:sSub>
                            <m:d>
                              <m:dPr>
                                <m:begChr m:val="("/>
                                <m:endChr m:val=")"/>
                                <m:sepChr m:val=""/>
                                <m:grow/>
                              </m:dPr>
                              <m:e>
                                <m:r>
                                  <m:t>X</m:t>
                                </m:r>
                              </m:e>
                            </m:d>
                          </m:den>
                        </m:f>
                      </m:e>
                    </m:d>
                  </m:den>
                </m:f>
              </m:e>
            </m:d>
            <m:d>
              <m:dPr>
                <m:begChr m:val="("/>
                <m:endChr m:val=")"/>
                <m:sepChr m:val=""/>
                <m:grow/>
              </m:dPr>
              <m:e>
                <m:r>
                  <m:t>Δ</m:t>
                </m:r>
                <m:r>
                  <m:t>Y</m:t>
                </m:r>
                <m:r>
                  <m:rPr>
                    <m:sty m:val="p"/>
                  </m:rPr>
                  <m:t>−</m:t>
                </m:r>
                <m:sSub>
                  <m:e>
                    <m:r>
                      <m:t>m</m:t>
                    </m:r>
                  </m:e>
                  <m:sub>
                    <m:r>
                      <m:t>g</m:t>
                    </m:r>
                    <m:r>
                      <m:rPr>
                        <m:sty m:val="p"/>
                      </m:rPr>
                      <m:t>,</m:t>
                    </m:r>
                    <m:r>
                      <m:t>t</m:t>
                    </m:r>
                  </m:sub>
                </m:sSub>
                <m:d>
                  <m:dPr>
                    <m:begChr m:val="("/>
                    <m:endChr m:val=")"/>
                    <m:sepChr m:val=""/>
                    <m:grow/>
                  </m:dPr>
                  <m:e>
                    <m:r>
                      <m:t>X</m:t>
                    </m:r>
                  </m:e>
                </m:d>
              </m:e>
            </m:d>
          </m:e>
        </m:d>
      </m:oMath>
      <w:r>
        <w:rPr>
          <w:rFonts w:ascii="Times New Roman" w:hAnsi="Times New Roman" w:eastAsia="宋体"/>
          <w:sz w:val="24"/>
        </w:rPr>
        <w:tab/>
      </w:r>
      <w:r>
        <w:rPr>
          <w:rFonts w:ascii="Times New Roman" w:hAnsi="Times New Roman" w:eastAsia="宋体"/>
          <w:sz w:val="24"/>
        </w:rPr>
        <w:t>(2-4)</w:t>
      </w:r>
    </w:p>
    <w:p>
      <w:pPr>
        <w:pStyle w:val="BodyText"/>
      </w:pPr>
      <w:r>
        <w:t xml:space="preserve">其中，</w:t>
      </w:r>
      <m:oMath>
        <m:sSub>
          <m:e>
            <m:r>
              <m:t>G</m:t>
            </m:r>
          </m:e>
          <m:sub>
            <m:r>
              <m:t>g</m:t>
            </m:r>
          </m:sub>
        </m:sSub>
      </m:oMath>
      <w:r>
        <w:t xml:space="preserve">为队列</w:t>
      </w:r>
      <m:oMath>
        <m:r>
          <m:t>g</m:t>
        </m:r>
      </m:oMath>
      <w:r>
        <w:t xml:space="preserve">的示性变量，</w:t>
      </w:r>
      <m:oMath>
        <m:r>
          <m:t>C</m:t>
        </m:r>
      </m:oMath>
      <w:r>
        <w:t xml:space="preserve">为从未处理组的示性变量，</w:t>
      </w:r>
      <m:oMath>
        <m:sSub>
          <m:e>
            <m:r>
              <m:t>p</m:t>
            </m:r>
          </m:e>
          <m:sub>
            <m:r>
              <m:t>g</m:t>
            </m:r>
          </m:sub>
        </m:sSub>
        <m:d>
          <m:dPr>
            <m:begChr m:val="("/>
            <m:endChr m:val=")"/>
            <m:sepChr m:val=""/>
            <m:grow/>
          </m:dPr>
          <m:e>
            <m:r>
              <m:t>X</m:t>
            </m:r>
          </m:e>
        </m:d>
      </m:oMath>
      <w:r>
        <w:t xml:space="preserve">为基于基期协变量</w:t>
      </w:r>
      <m:oMath>
        <m:r>
          <m:t>X</m:t>
        </m:r>
      </m:oMath>
      <w:r>
        <w:t xml:space="preserve">估计的倾向得分，</w:t>
      </w:r>
      <m:oMath>
        <m:sSub>
          <m:e>
            <m:r>
              <m:t>m</m:t>
            </m:r>
          </m:e>
          <m:sub>
            <m:r>
              <m:t>g</m:t>
            </m:r>
            <m:r>
              <m:rPr>
                <m:sty m:val="p"/>
              </m:rPr>
              <m:t>,</m:t>
            </m:r>
            <m:r>
              <m:t>t</m:t>
            </m:r>
          </m:sub>
        </m:sSub>
        <m:d>
          <m:dPr>
            <m:begChr m:val="("/>
            <m:endChr m:val=")"/>
            <m:sepChr m:val=""/>
            <m:grow/>
          </m:dPr>
          <m:e>
            <m:r>
              <m:t>X</m:t>
            </m:r>
          </m:e>
        </m:d>
      </m:oMath>
      <w:r>
        <w:t xml:space="preserve">为对照组结果变化量的回归函数。式(2-4)同时利用倾向得分与结果回归两套设定，只要其中之一正确设定即可获得一致估计。总体平均处理效应按队列规模加权聚合为</w:t>
      </w:r>
      <m:oMath>
        <m:r>
          <m:rPr>
            <m:sty m:val="p"/>
          </m:rPr>
          <m:t>ATT</m:t>
        </m:r>
        <m:r>
          <m:rPr>
            <m:sty m:val="p"/>
          </m:rPr>
          <m:t>=</m:t>
        </m:r>
        <m:nary>
          <m:naryPr>
            <m:chr m:val="∑"/>
            <m:limLoc m:val="undOvr"/>
            <m:subHide m:val="off"/>
            <m:supHide m:val="on"/>
          </m:naryPr>
          <m:sub>
            <m:r>
              <m:t>g</m:t>
            </m:r>
          </m:sub>
          <m:sup>
            <m:r>
              <m:t>​</m:t>
            </m:r>
          </m:sup>
          <m:e>
            <m:nary>
              <m:naryPr>
                <m:chr m:val="∑"/>
                <m:limLoc m:val="undOvr"/>
                <m:subHide m:val="off"/>
                <m:supHide m:val="on"/>
              </m:naryPr>
              <m:sub>
                <m:r>
                  <m:t>t</m:t>
                </m:r>
                <m:r>
                  <m:rPr>
                    <m:sty m:val="p"/>
                  </m:rPr>
                  <m:t>≥</m:t>
                </m:r>
                <m:r>
                  <m:t>g</m:t>
                </m:r>
              </m:sub>
              <m:sup>
                <m:r>
                  <m:t>​</m:t>
                </m:r>
              </m:sup>
              <m:e>
                <m:sSub>
                  <m:e>
                    <m:r>
                      <m:t>ω</m:t>
                    </m:r>
                  </m:e>
                  <m:sub>
                    <m:r>
                      <m:t>g</m:t>
                    </m:r>
                  </m:sub>
                </m:sSub>
              </m:e>
            </m:nary>
          </m:e>
        </m:nary>
        <m:r>
          <m:rPr>
            <m:sty m:val="p"/>
          </m:rPr>
          <m:t>ATT</m:t>
        </m:r>
        <m:d>
          <m:dPr>
            <m:begChr m:val="("/>
            <m:endChr m:val=")"/>
            <m:sepChr m:val=""/>
            <m:grow/>
          </m:dPr>
          <m:e>
            <m:r>
              <m:t>g</m:t>
            </m:r>
            <m:r>
              <m:rPr>
                <m:sty m:val="p"/>
              </m:rPr>
              <m:t>,</m:t>
            </m:r>
            <m:r>
              <m:t>t</m:t>
            </m:r>
          </m:e>
        </m:d>
      </m:oMath>
      <w:r>
        <w:t xml:space="preserve">，标准误由城市层面的自助法抽样得到。</w:t>
      </w:r>
    </w:p>
    <w:p>
      <w:pPr>
        <w:pStyle w:val="BodyText"/>
        <w:spacing w:before="0" w:after="0"/>
      </w:pPr>
      <w:r>
        <w:t xml:space="preserve">为检验个体处理效应稳定性假设，本文构造邻近城市处理强度变量并纳入模型：</w:t>
      </w:r>
    </w:p>
    <w:p>
      <w:pPr>
        <w:pStyle w:val="BodyText"/>
        <w:tabs>
          <w:tab w:pos="4479" w:val="center"/>
          <w:tab w:pos="8957" w:val="right"/>
        </w:tabs>
        <w:spacing w:before="120" w:after="120" w:lineRule="auto" w:line="360"/>
        <w:ind w:firstLine="0"/>
        <w:jc w:val="left"/>
      </w:pPr>
      <w:r>
        <w:rPr>
          <w:rFonts w:ascii="Times New Roman" w:hAnsi="Times New Roman" w:eastAsia="宋体"/>
          <w:sz w:val="24"/>
        </w:rPr>
        <w:tab/>
      </w:r>
      <m:oMath>
        <m:sSub>
          <m:e>
            <m:r>
              <m:rPr>
                <m:sty m:val="p"/>
              </m:rPr>
              <m:t>gtfp</m:t>
            </m:r>
          </m:e>
          <m:sub>
            <m:r>
              <m:t>i</m:t>
            </m:r>
            <m:r>
              <m:t>t</m:t>
            </m:r>
          </m:sub>
        </m:sSub>
        <m:r>
          <m:rPr>
            <m:sty m:val="p"/>
          </m:rPr>
          <m:t>=</m:t>
        </m:r>
        <m:sSub>
          <m:e>
            <m:r>
              <m:t>γ</m:t>
            </m:r>
          </m:e>
          <m:sub>
            <m:r>
              <m:t>0</m:t>
            </m:r>
          </m:sub>
        </m:sSub>
        <m:r>
          <m:rPr>
            <m:sty m:val="p"/>
          </m:rPr>
          <m:t>+</m:t>
        </m:r>
        <m:sSub>
          <m:e>
            <m:r>
              <m:t>γ</m:t>
            </m:r>
          </m:e>
          <m:sub>
            <m:r>
              <m:t>1</m:t>
            </m:r>
          </m:sub>
        </m:sSub>
        <m:sSub>
          <m:e>
            <m:r>
              <m:rPr>
                <m:sty m:val="p"/>
              </m:rPr>
              <m:t>did</m:t>
            </m:r>
          </m:e>
          <m:sub>
            <m:r>
              <m:t>i</m:t>
            </m:r>
            <m:r>
              <m:t>t</m:t>
            </m:r>
          </m:sub>
        </m:sSub>
        <m:r>
          <m:rPr>
            <m:sty m:val="p"/>
          </m:rPr>
          <m:t>+</m:t>
        </m:r>
        <m:sSub>
          <m:e>
            <m:r>
              <m:t>γ</m:t>
            </m:r>
          </m:e>
          <m:sub>
            <m:r>
              <m:t>2</m:t>
            </m:r>
          </m:sub>
        </m:sSub>
        <m:nary>
          <m:naryPr>
            <m:chr m:val="∑"/>
            <m:limLoc m:val="undOvr"/>
            <m:subHide m:val="off"/>
            <m:supHide m:val="on"/>
          </m:naryPr>
          <m:sub>
            <m:r>
              <m:t>j</m:t>
            </m:r>
            <m:r>
              <m:rPr>
                <m:sty m:val="p"/>
              </m:rPr>
              <m:t>≠</m:t>
            </m:r>
            <m:r>
              <m:t>i</m:t>
            </m:r>
          </m:sub>
          <m:sup>
            <m:r>
              <m:t>​</m:t>
            </m:r>
          </m:sup>
          <m:e>
            <m:sSub>
              <m:e>
                <m:r>
                  <m:t>w</m:t>
                </m:r>
              </m:e>
              <m:sub>
                <m:r>
                  <m:t>i</m:t>
                </m:r>
                <m:r>
                  <m:t>j</m:t>
                </m:r>
              </m:sub>
            </m:sSub>
          </m:e>
        </m:nary>
        <m:sSub>
          <m:e>
            <m:r>
              <m:rPr>
                <m:sty m:val="p"/>
              </m:rPr>
              <m:t>did</m:t>
            </m:r>
          </m:e>
          <m:sub>
            <m:r>
              <m:t>j</m:t>
            </m:r>
            <m:r>
              <m:t>t</m:t>
            </m:r>
          </m:sub>
        </m:sSub>
        <m:r>
          <m:rPr>
            <m:sty m:val="p"/>
          </m:rPr>
          <m:t>+</m:t>
        </m:r>
        <m:sSub>
          <m:e>
            <m:r>
              <m:t>γ</m:t>
            </m:r>
          </m:e>
          <m:sub>
            <m:r>
              <m:t>j</m:t>
            </m:r>
          </m:sub>
        </m:sSub>
        <m:sSub>
          <m:e>
            <m:r>
              <m:rPr>
                <m:sty m:val="p"/>
              </m:rPr>
              <m:t>Controls</m:t>
            </m:r>
          </m:e>
          <m:sub>
            <m:r>
              <m:t>i</m:t>
            </m:r>
            <m:r>
              <m:t>t</m:t>
            </m:r>
          </m:sub>
        </m:sSub>
        <m:r>
          <m:rPr>
            <m:sty m:val="p"/>
          </m:rPr>
          <m:t>+</m:t>
        </m:r>
        <m:sSub>
          <m:e>
            <m:r>
              <m:t>μ</m:t>
            </m:r>
          </m:e>
          <m:sub>
            <m:r>
              <m:t>i</m:t>
            </m:r>
          </m:sub>
        </m:sSub>
        <m:r>
          <m:rPr>
            <m:sty m:val="p"/>
          </m:rPr>
          <m:t>+</m:t>
        </m:r>
        <m:sSub>
          <m:e>
            <m:r>
              <m:t>δ</m:t>
            </m:r>
          </m:e>
          <m:sub>
            <m:r>
              <m:t>t</m:t>
            </m:r>
          </m:sub>
        </m:sSub>
        <m:r>
          <m:rPr>
            <m:sty m:val="p"/>
          </m:rPr>
          <m:t>+</m:t>
        </m:r>
        <m:sSub>
          <m:e>
            <m:r>
              <m:t>ε</m:t>
            </m:r>
          </m:e>
          <m:sub>
            <m:r>
              <m:t>i</m:t>
            </m:r>
            <m:r>
              <m:t>t</m:t>
            </m:r>
          </m:sub>
        </m:sSub>
      </m:oMath>
      <w:r>
        <w:rPr>
          <w:rFonts w:ascii="Times New Roman" w:hAnsi="Times New Roman" w:eastAsia="宋体"/>
          <w:sz w:val="24"/>
        </w:rPr>
        <w:tab/>
      </w:r>
      <w:r>
        <w:rPr>
          <w:rFonts w:ascii="Times New Roman" w:hAnsi="Times New Roman" w:eastAsia="宋体"/>
          <w:sz w:val="24"/>
        </w:rPr>
        <w:t>(2-5)</w:t>
      </w:r>
    </w:p>
    <w:p>
      <w:pPr>
        <w:pStyle w:val="BodyText"/>
      </w:pPr>
      <w:r>
        <w:t xml:space="preserve">其中，</w:t>
      </w:r>
      <m:oMath>
        <m:sSub>
          <m:e>
            <m:r>
              <m:t>w</m:t>
            </m:r>
          </m:e>
          <m:sub>
            <m:r>
              <m:t>i</m:t>
            </m:r>
            <m:r>
              <m:t>j</m:t>
            </m:r>
          </m:sub>
        </m:sSub>
      </m:oMath>
      <w:r>
        <w:t xml:space="preserve">为行标准化的地理邻近权重，取各城市地理距离最近的5个城市为邻居；空间权重矩阵的构造与标准化方式参照LeSage和Pace（2009）</w:t>
      </w:r>
      <w:r>
        <w:rPr>
          <w:vertAlign w:val="superscript"/>
        </w:rPr>
        <w:t xml:space="preserve">[13]</w:t>
      </w:r>
      <w:r>
        <w:t xml:space="preserve">。</w:t>
      </w:r>
    </w:p>
    <w:bookmarkEnd w:id="25"/>
    <w:bookmarkStart w:id="26" w:name="变量选取"/>
    <w:p>
      <w:pPr>
        <w:pStyle w:val="Heading2"/>
      </w:pPr>
      <w:r>
        <w:t xml:space="preserve">2.2 变量选取</w:t>
      </w:r>
    </w:p>
    <w:p>
      <w:pPr>
        <w:pStyle w:val="FirstParagraph"/>
        <w:spacing w:before="0" w:after="0"/>
      </w:pPr>
      <w:r>
        <w:rPr>
          <w:bCs/>
          <w:b/>
        </w:rPr>
        <w:t xml:space="preserve">被解释变量。</w:t>
      </w:r>
      <w:r>
        <w:t xml:space="preserve">绿色全要素生产率（</w:t>
      </w:r>
      <w:r>
        <w:rPr>
          <w:iCs/>
          <w:i/>
        </w:rPr>
        <w:t xml:space="preserve">gtfp</w:t>
      </w:r>
      <w:r>
        <w:t xml:space="preserve">）。参考Chung等（1997）</w:t>
      </w:r>
      <w:r>
        <w:rPr>
          <w:vertAlign w:val="superscript"/>
        </w:rPr>
        <w:t xml:space="preserve">[14]</w:t>
      </w:r>
      <w:r>
        <w:t xml:space="preserve">与Oh（2010）</w:t>
      </w:r>
      <w:r>
        <w:rPr>
          <w:vertAlign w:val="superscript"/>
        </w:rPr>
        <w:t xml:space="preserve">[15]</w:t>
      </w:r>
      <w:r>
        <w:t xml:space="preserve">的做法，本文以方向性距离函数为基础测算全局Malmquist-Luenberger指数并逐年累乘，得到以2010年为基期的绿色全要素生产率累积指数。投入指标为资本存量、从业人员数与全社会用电量，期望产出为实际地区生产总值，非期望产出为工业二氧化硫排放量、工业废水排放量与工业烟（粉）尘排放量。</w:t>
      </w:r>
    </w:p>
    <w:p>
      <w:pPr>
        <w:pStyle w:val="BodyText"/>
        <w:spacing w:before="0" w:after="0"/>
      </w:pPr>
      <w:r>
        <w:rPr>
          <w:bCs/>
          <w:b/>
        </w:rPr>
        <w:t xml:space="preserve">核心解释变量。</w:t>
      </w:r>
      <w:r>
        <w:t xml:space="preserve">公共数据开放（</w:t>
      </w:r>
      <w:r>
        <w:rPr>
          <w:iCs/>
          <w:i/>
        </w:rPr>
        <w:t xml:space="preserve">did</w:t>
      </w:r>
      <w:r>
        <w:t xml:space="preserve">）。以城市所在地方政府数据开放平台正式上线的年份为政策冲击时点，构造分组虚拟变量与时间虚拟变量的交乘项。样本期内共有138个城市先后上线数据开放平台，其余145个城市在样本期末仍未上线，构成从未处理组。各队列的城市数量分别为：2015年15个、2016年14个、2017年23个、2018年21个、2019年28个、2020年20个、2021年17个。</w:t>
      </w:r>
    </w:p>
    <w:p>
      <w:pPr>
        <w:pStyle w:val="BodyText"/>
        <w:spacing w:before="0" w:after="0"/>
      </w:pPr>
      <w:r>
        <w:rPr>
          <w:bCs/>
          <w:b/>
        </w:rPr>
        <w:t xml:space="preserve">机制变量。</w:t>
      </w:r>
      <w:r>
        <w:t xml:space="preserve">要素配置效率（</w:t>
      </w:r>
      <w:r>
        <w:rPr>
          <w:iCs/>
          <w:i/>
        </w:rPr>
        <w:t xml:space="preserve">alloc</w:t>
      </w:r>
      <w:r>
        <w:t xml:space="preserve">），以资本与劳动的边际产出离散度构造资源错配指数，取其负向标准化值；绿色技术创新（</w:t>
      </w:r>
      <w:r>
        <w:rPr>
          <w:iCs/>
          <w:i/>
        </w:rPr>
        <w:t xml:space="preserve">ginno</w:t>
      </w:r>
      <w:r>
        <w:t xml:space="preserve">），以绿色发明专利与绿色实用新型专利授权量之和加1取对数衡量；环境社会监督（</w:t>
      </w:r>
      <w:r>
        <w:rPr>
          <w:iCs/>
          <w:i/>
        </w:rPr>
        <w:t xml:space="preserve">supv</w:t>
      </w:r>
      <w:r>
        <w:t xml:space="preserve">），以环境信访与举报件数、环保类网络搜索指数、公众环境诉求响应率合成的标准化指数衡量。</w:t>
      </w:r>
    </w:p>
    <w:p>
      <w:pPr>
        <w:pStyle w:val="BodyText"/>
        <w:spacing w:before="0" w:after="0"/>
      </w:pPr>
      <w:r>
        <w:rPr>
          <w:bCs/>
          <w:b/>
        </w:rPr>
        <w:t xml:space="preserve">控制变量。</w:t>
      </w:r>
      <w:r>
        <w:t xml:space="preserve">参考已有研究</w:t>
      </w:r>
      <w:r>
        <w:rPr>
          <w:vertAlign w:val="superscript"/>
        </w:rPr>
        <w:t xml:space="preserve">[8,6,16]</w:t>
      </w:r>
      <w:r>
        <w:t xml:space="preserve">，选取：经济发展水平（</w:t>
      </w:r>
      <w:r>
        <w:rPr>
          <w:iCs/>
          <w:i/>
        </w:rPr>
        <w:t xml:space="preserve">lnpgdp</w:t>
      </w:r>
      <w:r>
        <w:t xml:space="preserve">），以人均地区生产总值取对数衡量；产业结构（</w:t>
      </w:r>
      <w:r>
        <w:rPr>
          <w:iCs/>
          <w:i/>
        </w:rPr>
        <w:t xml:space="preserve">stru</w:t>
      </w:r>
      <w:r>
        <w:t xml:space="preserve">），以第三产业增加值与第二产业增加值之比衡量；政府干预（</w:t>
      </w:r>
      <w:r>
        <w:rPr>
          <w:iCs/>
          <w:i/>
        </w:rPr>
        <w:t xml:space="preserve">gov</w:t>
      </w:r>
      <w:r>
        <w:t xml:space="preserve">），以一般公共预算支出占地区生产总值的比重衡量；外商投资（</w:t>
      </w:r>
      <w:r>
        <w:rPr>
          <w:iCs/>
          <w:i/>
        </w:rPr>
        <w:t xml:space="preserve">fdi</w:t>
      </w:r>
      <w:r>
        <w:t xml:space="preserve">），以实际利用外资额占地区生产总值的比重衡量；人力资本（</w:t>
      </w:r>
      <w:r>
        <w:rPr>
          <w:iCs/>
          <w:i/>
        </w:rPr>
        <w:t xml:space="preserve">hc</w:t>
      </w:r>
      <w:r>
        <w:t xml:space="preserve">），以每万人普通高等学校在校生数取对数衡量；人口密度（</w:t>
      </w:r>
      <w:r>
        <w:rPr>
          <w:iCs/>
          <w:i/>
        </w:rPr>
        <w:t xml:space="preserve">lndens</w:t>
      </w:r>
      <w:r>
        <w:t xml:space="preserve">），以年末单位面积常住人口数取对数衡量；金融发展（</w:t>
      </w:r>
      <w:r>
        <w:rPr>
          <w:iCs/>
          <w:i/>
        </w:rPr>
        <w:t xml:space="preserve">fin</w:t>
      </w:r>
      <w:r>
        <w:t xml:space="preserve">），以年末金融机构各项贷款余额占地区生产总值的比重衡量。</w:t>
      </w:r>
    </w:p>
    <w:bookmarkEnd w:id="26"/>
    <w:bookmarkStart w:id="27" w:name="数据来源与描述性统计"/>
    <w:p>
      <w:pPr>
        <w:pStyle w:val="Heading2"/>
      </w:pPr>
      <w:r>
        <w:t xml:space="preserve">2.3 数据来源与描述性统计</w:t>
      </w:r>
    </w:p>
    <w:p>
      <w:pPr>
        <w:pStyle w:val="FirstParagraph"/>
        <w:spacing w:before="0" w:after="0"/>
      </w:pPr>
      <w:r>
        <w:t xml:space="preserve">本文以2011—2023年中国283个地级及以上城市为研究样本，共计3679个观测值。指标口径与样本结构参照《中国城市统计年鉴》《中国环境统计年鉴》《中国区域经济统计年鉴》以及各地政府数据开放平台的上线记录设定，个别缺失值以线性插值法补齐。主要变量的描述性统计见表1。</w:t>
      </w:r>
    </w:p>
    <w:p>
      <w:pPr>
        <w:pStyle w:val="TableCaption"/>
      </w:pPr>
      <w:r>
        <w:t xml:space="preserve">表1 主要变量的描述性统计</w:t>
      </w:r>
    </w:p>
    <w:tbl>
      <w:tblPr>
        <w:jc w:val="center"/>
        <w:tblLook w:firstRow="1" w:lastRow="0" w:firstColumn="0" w:lastColumn="0" w:noHBand="0" w:noVBand="0" w:val="0020"/>
        <w:tblCaption w:val="表1 主要变量的描述性统计"/>
        <w:tblW w:w="8957" w:type="dxa"/>
        <w:tblLayout w:type="fixed"/>
        <w:tblBorders>
          <w:top w:val="single" w:color="000000" w:sz="12" w:space="0"/>
          <w:left w:val="none" w:color="000000"/>
          <w:bottom w:val="single" w:color="000000" w:sz="12" w:space="0"/>
          <w:right w:val="none" w:color="000000"/>
          <w:insideH w:val="none" w:color="000000"/>
          <w:insideV w:val="none" w:color="000000"/>
        </w:tblBorders>
      </w:tblPr>
      <w:tblGrid>
        <w:gridCol w:w="2261.0"/>
        <w:gridCol w:w="1056.0"/>
        <w:gridCol w:w="1056.0"/>
        <w:gridCol w:w="1176.0"/>
        <w:gridCol w:w="1056.0"/>
        <w:gridCol w:w="1176.0"/>
        <w:gridCol w:w="1176.0"/>
      </w:tblGrid>
      <w:tr>
        <w:trPr>
          <w:tblHeader w:val="true"/>
          <w:cantSplit/>
          <w:tblHeader/>
        </w:trPr>
        <w:tc>
          <w:tcPr>
            <w:tcW w:w="2261.0"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sz w:val="21"/>
              </w:rPr>
              <w:t xml:space="preserve">变量</w:t>
            </w:r>
          </w:p>
        </w:tc>
        <w:tc>
          <w:tcPr>
            <w:tcW w:w="1056.0"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sz w:val="21"/>
              </w:rPr>
              <w:t xml:space="preserve">符号</w:t>
            </w:r>
          </w:p>
        </w:tc>
        <w:tc>
          <w:tcPr>
            <w:tcW w:w="1056.0"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sz w:val="21"/>
              </w:rPr>
              <w:t xml:space="preserve">观测值</w:t>
            </w:r>
          </w:p>
        </w:tc>
        <w:tc>
          <w:tcPr>
            <w:tcW w:w="1176.0"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sz w:val="21"/>
              </w:rPr>
              <w:t xml:space="preserve">均值</w:t>
            </w:r>
          </w:p>
        </w:tc>
        <w:tc>
          <w:tcPr>
            <w:tcW w:w="1056.0"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sz w:val="21"/>
              </w:rPr>
              <w:t xml:space="preserve">标准差</w:t>
            </w:r>
          </w:p>
        </w:tc>
        <w:tc>
          <w:tcPr>
            <w:tcW w:w="1176.0"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sz w:val="21"/>
              </w:rPr>
              <w:t xml:space="preserve">最小值</w:t>
            </w:r>
          </w:p>
        </w:tc>
        <w:tc>
          <w:tcPr>
            <w:tcW w:w="1176.0"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sz w:val="21"/>
              </w:rPr>
              <w:t xml:space="preserve">最大值</w:t>
            </w:r>
          </w:p>
        </w:tc>
      </w:tr>
      <w:tr>
        <w:trPr>
          <w:cantSplit/>
        </w:trPr>
        <w:tc>
          <w:tcPr>
            <w:tcW w:w="2261.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绿色全要素生产率</w:t>
            </w:r>
          </w:p>
        </w:tc>
        <w:tc>
          <w:tcPr>
            <w:tcW w:w="1056.0" w:type="dxa"/>
            <w:tcBorders>
              <w:top w:val="none" w:color="000000"/>
              <w:bottom w:val="none" w:color="000000"/>
              <w:left w:val="none" w:color="000000"/>
              <w:right w:val="none" w:color="000000"/>
            </w:tcBorders>
          </w:tcPr>
          <w:p>
            <w:pPr>
              <w:pStyle w:val="Compact"/>
              <w:spacing w:before="0" w:after="0" w:line="240" w:lineRule="auto"/>
              <w:jc w:val="center"/>
            </w:pPr>
            <w:r>
              <w:rPr>
                <w:iCs/>
                <w:i/>
                <w:sz w:val="21"/>
              </w:rPr>
              <w:t xml:space="preserve">gtfp</w:t>
            </w:r>
          </w:p>
        </w:tc>
        <w:tc>
          <w:tcPr>
            <w:tcW w:w="105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3679</w:t>
            </w:r>
          </w:p>
        </w:tc>
        <w:tc>
          <w:tcPr>
            <w:tcW w:w="11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1.0482</w:t>
            </w:r>
          </w:p>
        </w:tc>
        <w:tc>
          <w:tcPr>
            <w:tcW w:w="105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0.1871</w:t>
            </w:r>
          </w:p>
        </w:tc>
        <w:tc>
          <w:tcPr>
            <w:tcW w:w="11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0.4795</w:t>
            </w:r>
          </w:p>
        </w:tc>
        <w:tc>
          <w:tcPr>
            <w:tcW w:w="11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1.6565</w:t>
            </w:r>
          </w:p>
        </w:tc>
      </w:tr>
      <w:tr>
        <w:trPr>
          <w:cantSplit/>
        </w:trPr>
        <w:tc>
          <w:tcPr>
            <w:tcW w:w="2261.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公共数据开放</w:t>
            </w:r>
          </w:p>
        </w:tc>
        <w:tc>
          <w:tcPr>
            <w:tcW w:w="1056.0" w:type="dxa"/>
            <w:tcBorders>
              <w:top w:val="none" w:color="000000"/>
              <w:bottom w:val="none" w:color="000000"/>
              <w:left w:val="none" w:color="000000"/>
              <w:right w:val="none" w:color="000000"/>
            </w:tcBorders>
          </w:tcPr>
          <w:p>
            <w:pPr>
              <w:pStyle w:val="Compact"/>
              <w:spacing w:before="0" w:after="0" w:line="240" w:lineRule="auto"/>
              <w:jc w:val="center"/>
            </w:pPr>
            <w:r>
              <w:rPr>
                <w:iCs/>
                <w:i/>
                <w:sz w:val="21"/>
              </w:rPr>
              <w:t xml:space="preserve">did</w:t>
            </w:r>
          </w:p>
        </w:tc>
        <w:tc>
          <w:tcPr>
            <w:tcW w:w="105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3679</w:t>
            </w:r>
          </w:p>
        </w:tc>
        <w:tc>
          <w:tcPr>
            <w:tcW w:w="11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0.2188</w:t>
            </w:r>
          </w:p>
        </w:tc>
        <w:tc>
          <w:tcPr>
            <w:tcW w:w="105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0.4135</w:t>
            </w:r>
          </w:p>
        </w:tc>
        <w:tc>
          <w:tcPr>
            <w:tcW w:w="11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0.0000</w:t>
            </w:r>
          </w:p>
        </w:tc>
        <w:tc>
          <w:tcPr>
            <w:tcW w:w="11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1.0000</w:t>
            </w:r>
          </w:p>
        </w:tc>
      </w:tr>
      <w:tr>
        <w:trPr>
          <w:cantSplit/>
        </w:trPr>
        <w:tc>
          <w:tcPr>
            <w:tcW w:w="2261.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要素配置效率</w:t>
            </w:r>
          </w:p>
        </w:tc>
        <w:tc>
          <w:tcPr>
            <w:tcW w:w="1056.0" w:type="dxa"/>
            <w:tcBorders>
              <w:top w:val="none" w:color="000000"/>
              <w:bottom w:val="none" w:color="000000"/>
              <w:left w:val="none" w:color="000000"/>
              <w:right w:val="none" w:color="000000"/>
            </w:tcBorders>
          </w:tcPr>
          <w:p>
            <w:pPr>
              <w:pStyle w:val="Compact"/>
              <w:spacing w:before="0" w:after="0" w:line="240" w:lineRule="auto"/>
              <w:jc w:val="center"/>
            </w:pPr>
            <w:r>
              <w:rPr>
                <w:iCs/>
                <w:i/>
                <w:sz w:val="21"/>
              </w:rPr>
              <w:t xml:space="preserve">alloc</w:t>
            </w:r>
          </w:p>
        </w:tc>
        <w:tc>
          <w:tcPr>
            <w:tcW w:w="105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3679</w:t>
            </w:r>
          </w:p>
        </w:tc>
        <w:tc>
          <w:tcPr>
            <w:tcW w:w="11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0.0819</w:t>
            </w:r>
          </w:p>
        </w:tc>
        <w:tc>
          <w:tcPr>
            <w:tcW w:w="105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0.3516</w:t>
            </w:r>
          </w:p>
        </w:tc>
        <w:tc>
          <w:tcPr>
            <w:tcW w:w="11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−1.0338</w:t>
            </w:r>
          </w:p>
        </w:tc>
        <w:tc>
          <w:tcPr>
            <w:tcW w:w="11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1.3367</w:t>
            </w:r>
          </w:p>
        </w:tc>
      </w:tr>
      <w:tr>
        <w:trPr>
          <w:cantSplit/>
        </w:trPr>
        <w:tc>
          <w:tcPr>
            <w:tcW w:w="2261.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绿色技术创新</w:t>
            </w:r>
          </w:p>
        </w:tc>
        <w:tc>
          <w:tcPr>
            <w:tcW w:w="1056.0" w:type="dxa"/>
            <w:tcBorders>
              <w:top w:val="none" w:color="000000"/>
              <w:bottom w:val="none" w:color="000000"/>
              <w:left w:val="none" w:color="000000"/>
              <w:right w:val="none" w:color="000000"/>
            </w:tcBorders>
          </w:tcPr>
          <w:p>
            <w:pPr>
              <w:pStyle w:val="Compact"/>
              <w:spacing w:before="0" w:after="0" w:line="240" w:lineRule="auto"/>
              <w:jc w:val="center"/>
            </w:pPr>
            <w:r>
              <w:rPr>
                <w:iCs/>
                <w:i/>
                <w:sz w:val="21"/>
              </w:rPr>
              <w:t xml:space="preserve">ginno</w:t>
            </w:r>
          </w:p>
        </w:tc>
        <w:tc>
          <w:tcPr>
            <w:tcW w:w="105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3679</w:t>
            </w:r>
          </w:p>
        </w:tc>
        <w:tc>
          <w:tcPr>
            <w:tcW w:w="11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2.8705</w:t>
            </w:r>
          </w:p>
        </w:tc>
        <w:tc>
          <w:tcPr>
            <w:tcW w:w="105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0.8082</w:t>
            </w:r>
          </w:p>
        </w:tc>
        <w:tc>
          <w:tcPr>
            <w:tcW w:w="11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0.1751</w:t>
            </w:r>
          </w:p>
        </w:tc>
        <w:tc>
          <w:tcPr>
            <w:tcW w:w="11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5.5124</w:t>
            </w:r>
          </w:p>
        </w:tc>
      </w:tr>
      <w:tr>
        <w:trPr>
          <w:cantSplit/>
        </w:trPr>
        <w:tc>
          <w:tcPr>
            <w:tcW w:w="2261.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环境社会监督</w:t>
            </w:r>
          </w:p>
        </w:tc>
        <w:tc>
          <w:tcPr>
            <w:tcW w:w="1056.0" w:type="dxa"/>
            <w:tcBorders>
              <w:top w:val="none" w:color="000000"/>
              <w:bottom w:val="none" w:color="000000"/>
              <w:left w:val="none" w:color="000000"/>
              <w:right w:val="none" w:color="000000"/>
            </w:tcBorders>
          </w:tcPr>
          <w:p>
            <w:pPr>
              <w:pStyle w:val="Compact"/>
              <w:spacing w:before="0" w:after="0" w:line="240" w:lineRule="auto"/>
              <w:jc w:val="center"/>
            </w:pPr>
            <w:r>
              <w:rPr>
                <w:iCs/>
                <w:i/>
                <w:sz w:val="21"/>
              </w:rPr>
              <w:t xml:space="preserve">supv</w:t>
            </w:r>
          </w:p>
        </w:tc>
        <w:tc>
          <w:tcPr>
            <w:tcW w:w="105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3679</w:t>
            </w:r>
          </w:p>
        </w:tc>
        <w:tc>
          <w:tcPr>
            <w:tcW w:w="11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0.0440</w:t>
            </w:r>
          </w:p>
        </w:tc>
        <w:tc>
          <w:tcPr>
            <w:tcW w:w="105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0.4154</w:t>
            </w:r>
          </w:p>
        </w:tc>
        <w:tc>
          <w:tcPr>
            <w:tcW w:w="11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−1.3349</w:t>
            </w:r>
          </w:p>
        </w:tc>
        <w:tc>
          <w:tcPr>
            <w:tcW w:w="11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1.6510</w:t>
            </w:r>
          </w:p>
        </w:tc>
      </w:tr>
      <w:tr>
        <w:trPr>
          <w:cantSplit/>
        </w:trPr>
        <w:tc>
          <w:tcPr>
            <w:tcW w:w="2261.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经济发展水平</w:t>
            </w:r>
          </w:p>
        </w:tc>
        <w:tc>
          <w:tcPr>
            <w:tcW w:w="1056.0" w:type="dxa"/>
            <w:tcBorders>
              <w:top w:val="none" w:color="000000"/>
              <w:bottom w:val="none" w:color="000000"/>
              <w:left w:val="none" w:color="000000"/>
              <w:right w:val="none" w:color="000000"/>
            </w:tcBorders>
          </w:tcPr>
          <w:p>
            <w:pPr>
              <w:pStyle w:val="Compact"/>
              <w:spacing w:before="0" w:after="0" w:line="240" w:lineRule="auto"/>
              <w:jc w:val="center"/>
            </w:pPr>
            <w:r>
              <w:rPr>
                <w:iCs/>
                <w:i/>
                <w:sz w:val="21"/>
              </w:rPr>
              <w:t xml:space="preserve">lnpgdp</w:t>
            </w:r>
          </w:p>
        </w:tc>
        <w:tc>
          <w:tcPr>
            <w:tcW w:w="105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3679</w:t>
            </w:r>
          </w:p>
        </w:tc>
        <w:tc>
          <w:tcPr>
            <w:tcW w:w="11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10.6373</w:t>
            </w:r>
          </w:p>
        </w:tc>
        <w:tc>
          <w:tcPr>
            <w:tcW w:w="105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0.4587</w:t>
            </w:r>
          </w:p>
        </w:tc>
        <w:tc>
          <w:tcPr>
            <w:tcW w:w="11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9.1589</w:t>
            </w:r>
          </w:p>
        </w:tc>
        <w:tc>
          <w:tcPr>
            <w:tcW w:w="11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12.1332</w:t>
            </w:r>
          </w:p>
        </w:tc>
      </w:tr>
      <w:tr>
        <w:trPr>
          <w:cantSplit/>
        </w:trPr>
        <w:tc>
          <w:tcPr>
            <w:tcW w:w="2261.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产业结构</w:t>
            </w:r>
          </w:p>
        </w:tc>
        <w:tc>
          <w:tcPr>
            <w:tcW w:w="1056.0" w:type="dxa"/>
            <w:tcBorders>
              <w:top w:val="none" w:color="000000"/>
              <w:bottom w:val="none" w:color="000000"/>
              <w:left w:val="none" w:color="000000"/>
              <w:right w:val="none" w:color="000000"/>
            </w:tcBorders>
          </w:tcPr>
          <w:p>
            <w:pPr>
              <w:pStyle w:val="Compact"/>
              <w:spacing w:before="0" w:after="0" w:line="240" w:lineRule="auto"/>
              <w:jc w:val="center"/>
            </w:pPr>
            <w:r>
              <w:rPr>
                <w:iCs/>
                <w:i/>
                <w:sz w:val="21"/>
              </w:rPr>
              <w:t xml:space="preserve">stru</w:t>
            </w:r>
          </w:p>
        </w:tc>
        <w:tc>
          <w:tcPr>
            <w:tcW w:w="105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3679</w:t>
            </w:r>
          </w:p>
        </w:tc>
        <w:tc>
          <w:tcPr>
            <w:tcW w:w="11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1.0758</w:t>
            </w:r>
          </w:p>
        </w:tc>
        <w:tc>
          <w:tcPr>
            <w:tcW w:w="105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0.1998</w:t>
            </w:r>
          </w:p>
        </w:tc>
        <w:tc>
          <w:tcPr>
            <w:tcW w:w="11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0.4994</w:t>
            </w:r>
          </w:p>
        </w:tc>
        <w:tc>
          <w:tcPr>
            <w:tcW w:w="11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1.7066</w:t>
            </w:r>
          </w:p>
        </w:tc>
      </w:tr>
      <w:tr>
        <w:trPr>
          <w:cantSplit/>
        </w:trPr>
        <w:tc>
          <w:tcPr>
            <w:tcW w:w="2261.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政府干预</w:t>
            </w:r>
          </w:p>
        </w:tc>
        <w:tc>
          <w:tcPr>
            <w:tcW w:w="1056.0" w:type="dxa"/>
            <w:tcBorders>
              <w:top w:val="none" w:color="000000"/>
              <w:bottom w:val="none" w:color="000000"/>
              <w:left w:val="none" w:color="000000"/>
              <w:right w:val="none" w:color="000000"/>
            </w:tcBorders>
          </w:tcPr>
          <w:p>
            <w:pPr>
              <w:pStyle w:val="Compact"/>
              <w:spacing w:before="0" w:after="0" w:line="240" w:lineRule="auto"/>
              <w:jc w:val="center"/>
            </w:pPr>
            <w:r>
              <w:rPr>
                <w:iCs/>
                <w:i/>
                <w:sz w:val="21"/>
              </w:rPr>
              <w:t xml:space="preserve">gov</w:t>
            </w:r>
          </w:p>
        </w:tc>
        <w:tc>
          <w:tcPr>
            <w:tcW w:w="105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3679</w:t>
            </w:r>
          </w:p>
        </w:tc>
        <w:tc>
          <w:tcPr>
            <w:tcW w:w="11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0.1980</w:t>
            </w:r>
          </w:p>
        </w:tc>
        <w:tc>
          <w:tcPr>
            <w:tcW w:w="105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0.0494</w:t>
            </w:r>
          </w:p>
        </w:tc>
        <w:tc>
          <w:tcPr>
            <w:tcW w:w="11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0.0598</w:t>
            </w:r>
          </w:p>
        </w:tc>
        <w:tc>
          <w:tcPr>
            <w:tcW w:w="11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0.3539</w:t>
            </w:r>
          </w:p>
        </w:tc>
      </w:tr>
      <w:tr>
        <w:trPr>
          <w:cantSplit/>
        </w:trPr>
        <w:tc>
          <w:tcPr>
            <w:tcW w:w="2261.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外商投资</w:t>
            </w:r>
          </w:p>
        </w:tc>
        <w:tc>
          <w:tcPr>
            <w:tcW w:w="1056.0" w:type="dxa"/>
            <w:tcBorders>
              <w:top w:val="none" w:color="000000"/>
              <w:bottom w:val="none" w:color="000000"/>
              <w:left w:val="none" w:color="000000"/>
              <w:right w:val="none" w:color="000000"/>
            </w:tcBorders>
          </w:tcPr>
          <w:p>
            <w:pPr>
              <w:pStyle w:val="Compact"/>
              <w:spacing w:before="0" w:after="0" w:line="240" w:lineRule="auto"/>
              <w:jc w:val="center"/>
            </w:pPr>
            <w:r>
              <w:rPr>
                <w:iCs/>
                <w:i/>
                <w:sz w:val="21"/>
              </w:rPr>
              <w:t xml:space="preserve">fdi</w:t>
            </w:r>
          </w:p>
        </w:tc>
        <w:tc>
          <w:tcPr>
            <w:tcW w:w="105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3679</w:t>
            </w:r>
          </w:p>
        </w:tc>
        <w:tc>
          <w:tcPr>
            <w:tcW w:w="11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0.0196</w:t>
            </w:r>
          </w:p>
        </w:tc>
        <w:tc>
          <w:tcPr>
            <w:tcW w:w="105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0.0117</w:t>
            </w:r>
          </w:p>
        </w:tc>
        <w:tc>
          <w:tcPr>
            <w:tcW w:w="11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0.0026</w:t>
            </w:r>
          </w:p>
        </w:tc>
        <w:tc>
          <w:tcPr>
            <w:tcW w:w="11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0.0953</w:t>
            </w:r>
          </w:p>
        </w:tc>
      </w:tr>
      <w:tr>
        <w:trPr>
          <w:cantSplit/>
        </w:trPr>
        <w:tc>
          <w:tcPr>
            <w:tcW w:w="2261.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人力资本</w:t>
            </w:r>
          </w:p>
        </w:tc>
        <w:tc>
          <w:tcPr>
            <w:tcW w:w="1056.0" w:type="dxa"/>
            <w:tcBorders>
              <w:top w:val="none" w:color="000000"/>
              <w:bottom w:val="none" w:color="000000"/>
              <w:left w:val="none" w:color="000000"/>
              <w:right w:val="none" w:color="000000"/>
            </w:tcBorders>
          </w:tcPr>
          <w:p>
            <w:pPr>
              <w:pStyle w:val="Compact"/>
              <w:spacing w:before="0" w:after="0" w:line="240" w:lineRule="auto"/>
              <w:jc w:val="center"/>
            </w:pPr>
            <w:r>
              <w:rPr>
                <w:iCs/>
                <w:i/>
                <w:sz w:val="21"/>
              </w:rPr>
              <w:t xml:space="preserve">hc</w:t>
            </w:r>
          </w:p>
        </w:tc>
        <w:tc>
          <w:tcPr>
            <w:tcW w:w="105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3679</w:t>
            </w:r>
          </w:p>
        </w:tc>
        <w:tc>
          <w:tcPr>
            <w:tcW w:w="11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5.5752</w:t>
            </w:r>
          </w:p>
        </w:tc>
        <w:tc>
          <w:tcPr>
            <w:tcW w:w="105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0.5539</w:t>
            </w:r>
          </w:p>
        </w:tc>
        <w:tc>
          <w:tcPr>
            <w:tcW w:w="11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3.3396</w:t>
            </w:r>
          </w:p>
        </w:tc>
        <w:tc>
          <w:tcPr>
            <w:tcW w:w="11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7.3751</w:t>
            </w:r>
          </w:p>
        </w:tc>
      </w:tr>
      <w:tr>
        <w:trPr>
          <w:cantSplit/>
        </w:trPr>
        <w:tc>
          <w:tcPr>
            <w:tcW w:w="2261.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人口密度</w:t>
            </w:r>
          </w:p>
        </w:tc>
        <w:tc>
          <w:tcPr>
            <w:tcW w:w="1056.0" w:type="dxa"/>
            <w:tcBorders>
              <w:top w:val="none" w:color="000000"/>
              <w:bottom w:val="none" w:color="000000"/>
              <w:left w:val="none" w:color="000000"/>
              <w:right w:val="none" w:color="000000"/>
            </w:tcBorders>
          </w:tcPr>
          <w:p>
            <w:pPr>
              <w:pStyle w:val="Compact"/>
              <w:spacing w:before="0" w:after="0" w:line="240" w:lineRule="auto"/>
              <w:jc w:val="center"/>
            </w:pPr>
            <w:r>
              <w:rPr>
                <w:iCs/>
                <w:i/>
                <w:sz w:val="21"/>
              </w:rPr>
              <w:t xml:space="preserve">lndens</w:t>
            </w:r>
          </w:p>
        </w:tc>
        <w:tc>
          <w:tcPr>
            <w:tcW w:w="105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3679</w:t>
            </w:r>
          </w:p>
        </w:tc>
        <w:tc>
          <w:tcPr>
            <w:tcW w:w="11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5.8219</w:t>
            </w:r>
          </w:p>
        </w:tc>
        <w:tc>
          <w:tcPr>
            <w:tcW w:w="105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0.6317</w:t>
            </w:r>
          </w:p>
        </w:tc>
        <w:tc>
          <w:tcPr>
            <w:tcW w:w="11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4.1618</w:t>
            </w:r>
          </w:p>
        </w:tc>
        <w:tc>
          <w:tcPr>
            <w:tcW w:w="11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7.7879</w:t>
            </w:r>
          </w:p>
        </w:tc>
      </w:tr>
      <w:tr>
        <w:trPr>
          <w:cantSplit/>
        </w:trPr>
        <w:tc>
          <w:tcPr>
            <w:tcW w:w="2261.0" w:type="dxa"/>
            <w:tcBorders>
              <w:top w:val="none" w:color="000000"/>
              <w:bottom w:val="single" w:color="000000" w:sz="12" w:space="0"/>
              <w:left w:val="none" w:color="000000"/>
              <w:right w:val="none" w:color="000000"/>
            </w:tcBorders>
          </w:tcPr>
          <w:p>
            <w:pPr>
              <w:pStyle w:val="Compact"/>
              <w:spacing w:before="0" w:after="0" w:line="240" w:lineRule="auto"/>
              <w:jc w:val="center"/>
            </w:pPr>
            <w:r>
              <w:rPr>
                <w:sz w:val="21"/>
              </w:rPr>
              <w:t xml:space="preserve">金融发展</w:t>
            </w:r>
          </w:p>
        </w:tc>
        <w:tc>
          <w:tcPr>
            <w:tcW w:w="1056.0" w:type="dxa"/>
            <w:tcBorders>
              <w:top w:val="none" w:color="000000"/>
              <w:bottom w:val="single" w:color="000000" w:sz="12" w:space="0"/>
              <w:left w:val="none" w:color="000000"/>
              <w:right w:val="none" w:color="000000"/>
            </w:tcBorders>
          </w:tcPr>
          <w:p>
            <w:pPr>
              <w:pStyle w:val="Compact"/>
              <w:spacing w:before="0" w:after="0" w:line="240" w:lineRule="auto"/>
              <w:jc w:val="center"/>
            </w:pPr>
            <w:r>
              <w:rPr>
                <w:iCs/>
                <w:i/>
                <w:sz w:val="21"/>
              </w:rPr>
              <w:t xml:space="preserve">fin</w:t>
            </w:r>
          </w:p>
        </w:tc>
        <w:tc>
          <w:tcPr>
            <w:tcW w:w="1056.0" w:type="dxa"/>
            <w:tcBorders>
              <w:top w:val="none" w:color="000000"/>
              <w:bottom w:val="single" w:color="000000" w:sz="12" w:space="0"/>
              <w:left w:val="none" w:color="000000"/>
              <w:right w:val="none" w:color="000000"/>
            </w:tcBorders>
          </w:tcPr>
          <w:p>
            <w:pPr>
              <w:pStyle w:val="Compact"/>
              <w:spacing w:before="0" w:after="0" w:line="240" w:lineRule="auto"/>
              <w:jc w:val="center"/>
            </w:pPr>
            <w:r>
              <w:rPr>
                <w:sz w:val="21"/>
              </w:rPr>
              <w:t xml:space="preserve">3679</w:t>
            </w:r>
          </w:p>
        </w:tc>
        <w:tc>
          <w:tcPr>
            <w:tcW w:w="1176.0" w:type="dxa"/>
            <w:tcBorders>
              <w:top w:val="none" w:color="000000"/>
              <w:bottom w:val="single" w:color="000000" w:sz="12" w:space="0"/>
              <w:left w:val="none" w:color="000000"/>
              <w:right w:val="none" w:color="000000"/>
            </w:tcBorders>
          </w:tcPr>
          <w:p>
            <w:pPr>
              <w:pStyle w:val="Compact"/>
              <w:spacing w:before="0" w:after="0" w:line="240" w:lineRule="auto"/>
              <w:jc w:val="center"/>
            </w:pPr>
            <w:r>
              <w:rPr>
                <w:sz w:val="21"/>
              </w:rPr>
              <w:t xml:space="preserve">1.1174</w:t>
            </w:r>
          </w:p>
        </w:tc>
        <w:tc>
          <w:tcPr>
            <w:tcW w:w="1056.0" w:type="dxa"/>
            <w:tcBorders>
              <w:top w:val="none" w:color="000000"/>
              <w:bottom w:val="single" w:color="000000" w:sz="12" w:space="0"/>
              <w:left w:val="none" w:color="000000"/>
              <w:right w:val="none" w:color="000000"/>
            </w:tcBorders>
          </w:tcPr>
          <w:p>
            <w:pPr>
              <w:pStyle w:val="Compact"/>
              <w:spacing w:before="0" w:after="0" w:line="240" w:lineRule="auto"/>
              <w:jc w:val="center"/>
            </w:pPr>
            <w:r>
              <w:rPr>
                <w:sz w:val="21"/>
              </w:rPr>
              <w:t xml:space="preserve">0.3263</w:t>
            </w:r>
          </w:p>
        </w:tc>
        <w:tc>
          <w:tcPr>
            <w:tcW w:w="1176.0" w:type="dxa"/>
            <w:tcBorders>
              <w:top w:val="none" w:color="000000"/>
              <w:bottom w:val="single" w:color="000000" w:sz="12" w:space="0"/>
              <w:left w:val="none" w:color="000000"/>
              <w:right w:val="none" w:color="000000"/>
            </w:tcBorders>
          </w:tcPr>
          <w:p>
            <w:pPr>
              <w:pStyle w:val="Compact"/>
              <w:spacing w:before="0" w:after="0" w:line="240" w:lineRule="auto"/>
              <w:jc w:val="center"/>
            </w:pPr>
            <w:r>
              <w:rPr>
                <w:sz w:val="21"/>
              </w:rPr>
              <w:t xml:space="preserve">0.1771</w:t>
            </w:r>
          </w:p>
        </w:tc>
        <w:tc>
          <w:tcPr>
            <w:tcW w:w="1176.0" w:type="dxa"/>
            <w:tcBorders>
              <w:top w:val="none" w:color="000000"/>
              <w:bottom w:val="single" w:color="000000" w:sz="12" w:space="0"/>
              <w:left w:val="none" w:color="000000"/>
              <w:right w:val="none" w:color="000000"/>
            </w:tcBorders>
          </w:tcPr>
          <w:p>
            <w:pPr>
              <w:pStyle w:val="Compact"/>
              <w:spacing w:before="0" w:after="0" w:line="240" w:lineRule="auto"/>
              <w:jc w:val="center"/>
            </w:pPr>
            <w:r>
              <w:rPr>
                <w:sz w:val="21"/>
              </w:rPr>
              <w:t xml:space="preserve">2.3162</w:t>
            </w:r>
          </w:p>
        </w:tc>
      </w:tr>
    </w:tbl>
    <w:p>
      <w:pPr>
        <w:pStyle w:val="TableNote"/>
      </w:pPr>
      <w:r>
        <w:t xml:space="preserve">注：绿色全要素生产率为以2010年为基期的全局Malmquist-Luenberger累积指数；要素配置效率与环境社会监督为标准化后的合成指数。</w:t>
      </w:r>
    </w:p>
    <w:bookmarkEnd w:id="27"/>
    <w:bookmarkEnd w:id="28"/>
    <w:bookmarkStart w:id="44" w:name="实证结果与分析"/>
    <w:p>
      <w:pPr>
        <w:pStyle w:val="Heading1"/>
      </w:pPr>
      <w:r>
        <w:t xml:space="preserve">3 实证结果与分析</w:t>
      </w:r>
    </w:p>
    <w:bookmarkStart w:id="29" w:name="基准回归结果"/>
    <w:p>
      <w:pPr>
        <w:pStyle w:val="Heading2"/>
      </w:pPr>
      <w:r>
        <w:t xml:space="preserve">3.1 基准回归结果</w:t>
      </w:r>
    </w:p>
    <w:p>
      <w:pPr>
        <w:pStyle w:val="FirstParagraph"/>
        <w:spacing w:before="0" w:after="0"/>
      </w:pPr>
      <w:r>
        <w:t xml:space="preserve">表2报告了式(2-1)的估计结果。第（1）列仅控制城市与年份固定效应，公共数据开放的估计系数为0.0302，在1%的水平上显著；第（2）列进一步纳入控制变量后，系数为0.0318，</w:t>
      </w:r>
      <w:r>
        <w:rPr>
          <w:iCs/>
          <w:i/>
        </w:rPr>
        <w:t xml:space="preserve">t</w:t>
      </w:r>
      <w:r>
        <w:t xml:space="preserve">值为8.9941，仍在1%的水平上显著。以样本均值1.0482为基准，这意味着数据开放平台上线使城市绿色全要素生产率平均提高约3.03%，假设1得到验证。控制变量方面，经济发展水平、产业结构、外商投资、人力资本与金融发展的系数均显著为正，政府干预的系数显著为负，与既有研究的基本结论一致。</w:t>
      </w:r>
    </w:p>
    <w:p>
      <w:pPr>
        <w:pStyle w:val="TableCaption"/>
      </w:pPr>
      <w:r>
        <w:t xml:space="preserve">表2 基准回归结果</w:t>
      </w:r>
    </w:p>
    <w:tbl>
      <w:tblPr>
        <w:jc w:val="center"/>
        <w:tblLook w:firstRow="1" w:lastRow="0" w:firstColumn="0" w:lastColumn="0" w:noHBand="0" w:noVBand="0" w:val="0020"/>
        <w:tblCaption w:val="表2 基准回归结果"/>
        <w:tblW w:w="8957" w:type="dxa"/>
        <w:tblLayout w:type="fixed"/>
        <w:tblBorders>
          <w:top w:val="single" w:color="000000" w:sz="12" w:space="0"/>
          <w:left w:val="none" w:color="000000"/>
          <w:bottom w:val="single" w:color="000000" w:sz="12" w:space="0"/>
          <w:right w:val="none" w:color="000000"/>
          <w:insideH w:val="none" w:color="000000"/>
          <w:insideV w:val="none" w:color="000000"/>
        </w:tblBorders>
      </w:tblPr>
      <w:tblGrid>
        <w:gridCol w:w="4030"/>
        <w:gridCol w:w="2343.0"/>
        <w:gridCol w:w="2584.0"/>
      </w:tblGrid>
      <w:tr>
        <w:trPr>
          <w:tblHeader w:val="true"/>
          <w:cantSplit/>
          <w:tblHeader/>
        </w:trPr>
        <w:tc>
          <w:tcPr>
            <w:tcW w:w="4030"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sz w:val="21"/>
              </w:rPr>
              <w:t xml:space="preserve">变量</w:t>
            </w:r>
          </w:p>
        </w:tc>
        <w:tc>
          <w:tcPr>
            <w:tcW w:w="2343.0"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sz w:val="21"/>
              </w:rPr>
              <w:t xml:space="preserve">（1）</w:t>
            </w:r>
          </w:p>
        </w:tc>
        <w:tc>
          <w:tcPr>
            <w:tcW w:w="2584.0"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sz w:val="21"/>
              </w:rPr>
              <w:t xml:space="preserve">（2）</w:t>
            </w:r>
          </w:p>
        </w:tc>
      </w:tr>
      <w:tr>
        <w:trPr>
          <w:cantSplit/>
        </w:trPr>
        <w:tc>
          <w:tcPr>
            <w:tcW w:w="4030" w:type="dxa"/>
            <w:tcBorders>
              <w:top w:val="none" w:color="000000"/>
              <w:bottom w:val="none" w:color="000000"/>
              <w:left w:val="none" w:color="000000"/>
              <w:right w:val="none" w:color="000000"/>
            </w:tcBorders>
          </w:tcPr>
          <w:p>
            <w:pPr>
              <w:pStyle w:val="Compact"/>
              <w:spacing w:before="0" w:after="0" w:line="240" w:lineRule="auto"/>
              <w:jc w:val="center"/>
            </w:pPr>
            <w:r>
              <w:rPr>
                <w:iCs/>
                <w:i/>
                <w:sz w:val="21"/>
              </w:rPr>
              <w:t xml:space="preserve">did</w:t>
            </w:r>
          </w:p>
        </w:tc>
        <w:tc>
          <w:tcPr>
            <w:tcW w:w="2343.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0.0302***</w:t>
            </w:r>
          </w:p>
        </w:tc>
        <w:tc>
          <w:tcPr>
            <w:tcW w:w="2584.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0.0318***</w:t>
            </w:r>
          </w:p>
        </w:tc>
      </w:tr>
      <w:tr>
        <w:trPr>
          <w:cantSplit/>
        </w:trPr>
        <w:tc>
          <w:tcPr>
            <w:tcW w:w="4030" w:type="dxa"/>
            <w:tcBorders>
              <w:top w:val="none" w:color="000000"/>
              <w:bottom w:val="none" w:color="000000"/>
              <w:left w:val="none" w:color="000000"/>
              <w:right w:val="none" w:color="000000"/>
            </w:tcBorders>
          </w:tcPr>
          <w:p>
            <w:pPr>
              <w:pStyle w:val="Compact"/>
              <w:spacing w:before="0" w:after="0" w:line="240" w:lineRule="auto"/>
              <w:jc w:val="center"/>
            </w:pPr>
          </w:p>
        </w:tc>
        <w:tc>
          <w:tcPr>
            <w:tcW w:w="2343.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（6.8911）</w:t>
            </w:r>
          </w:p>
        </w:tc>
        <w:tc>
          <w:tcPr>
            <w:tcW w:w="2584.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（8.9941）</w:t>
            </w:r>
          </w:p>
        </w:tc>
      </w:tr>
      <w:tr>
        <w:trPr>
          <w:cantSplit/>
        </w:trPr>
        <w:tc>
          <w:tcPr>
            <w:tcW w:w="4030" w:type="dxa"/>
            <w:tcBorders>
              <w:top w:val="none" w:color="000000"/>
              <w:bottom w:val="none" w:color="000000"/>
              <w:left w:val="none" w:color="000000"/>
              <w:right w:val="none" w:color="000000"/>
            </w:tcBorders>
          </w:tcPr>
          <w:p>
            <w:pPr>
              <w:pStyle w:val="Compact"/>
              <w:spacing w:before="0" w:after="0" w:line="240" w:lineRule="auto"/>
              <w:jc w:val="center"/>
            </w:pPr>
            <w:r>
              <w:rPr>
                <w:iCs/>
                <w:i/>
                <w:sz w:val="21"/>
              </w:rPr>
              <w:t xml:space="preserve">lnpgdp</w:t>
            </w:r>
          </w:p>
        </w:tc>
        <w:tc>
          <w:tcPr>
            <w:tcW w:w="2343.0" w:type="dxa"/>
            <w:tcBorders>
              <w:top w:val="none" w:color="000000"/>
              <w:bottom w:val="none" w:color="000000"/>
              <w:left w:val="none" w:color="000000"/>
              <w:right w:val="none" w:color="000000"/>
            </w:tcBorders>
          </w:tcPr>
          <w:p>
            <w:pPr>
              <w:pStyle w:val="Compact"/>
              <w:spacing w:before="0" w:after="0" w:line="240" w:lineRule="auto"/>
              <w:jc w:val="center"/>
            </w:pPr>
          </w:p>
        </w:tc>
        <w:tc>
          <w:tcPr>
            <w:tcW w:w="2584.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0.0964***</w:t>
            </w:r>
          </w:p>
        </w:tc>
      </w:tr>
      <w:tr>
        <w:trPr>
          <w:cantSplit/>
        </w:trPr>
        <w:tc>
          <w:tcPr>
            <w:tcW w:w="4030" w:type="dxa"/>
            <w:tcBorders>
              <w:top w:val="none" w:color="000000"/>
              <w:bottom w:val="none" w:color="000000"/>
              <w:left w:val="none" w:color="000000"/>
              <w:right w:val="none" w:color="000000"/>
            </w:tcBorders>
          </w:tcPr>
          <w:p>
            <w:pPr>
              <w:pStyle w:val="Compact"/>
              <w:spacing w:before="0" w:after="0" w:line="240" w:lineRule="auto"/>
              <w:jc w:val="center"/>
            </w:pPr>
          </w:p>
        </w:tc>
        <w:tc>
          <w:tcPr>
            <w:tcW w:w="2343.0" w:type="dxa"/>
            <w:tcBorders>
              <w:top w:val="none" w:color="000000"/>
              <w:bottom w:val="none" w:color="000000"/>
              <w:left w:val="none" w:color="000000"/>
              <w:right w:val="none" w:color="000000"/>
            </w:tcBorders>
          </w:tcPr>
          <w:p>
            <w:pPr>
              <w:pStyle w:val="Compact"/>
              <w:spacing w:before="0" w:after="0" w:line="240" w:lineRule="auto"/>
              <w:jc w:val="center"/>
            </w:pPr>
          </w:p>
        </w:tc>
        <w:tc>
          <w:tcPr>
            <w:tcW w:w="2584.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（5.9173）</w:t>
            </w:r>
          </w:p>
        </w:tc>
      </w:tr>
      <w:tr>
        <w:trPr>
          <w:cantSplit/>
        </w:trPr>
        <w:tc>
          <w:tcPr>
            <w:tcW w:w="4030" w:type="dxa"/>
            <w:tcBorders>
              <w:top w:val="none" w:color="000000"/>
              <w:bottom w:val="none" w:color="000000"/>
              <w:left w:val="none" w:color="000000"/>
              <w:right w:val="none" w:color="000000"/>
            </w:tcBorders>
          </w:tcPr>
          <w:p>
            <w:pPr>
              <w:pStyle w:val="Compact"/>
              <w:spacing w:before="0" w:after="0" w:line="240" w:lineRule="auto"/>
              <w:jc w:val="center"/>
            </w:pPr>
            <w:r>
              <w:rPr>
                <w:iCs/>
                <w:i/>
                <w:sz w:val="21"/>
              </w:rPr>
              <w:t xml:space="preserve">stru</w:t>
            </w:r>
          </w:p>
        </w:tc>
        <w:tc>
          <w:tcPr>
            <w:tcW w:w="2343.0" w:type="dxa"/>
            <w:tcBorders>
              <w:top w:val="none" w:color="000000"/>
              <w:bottom w:val="none" w:color="000000"/>
              <w:left w:val="none" w:color="000000"/>
              <w:right w:val="none" w:color="000000"/>
            </w:tcBorders>
          </w:tcPr>
          <w:p>
            <w:pPr>
              <w:pStyle w:val="Compact"/>
              <w:spacing w:before="0" w:after="0" w:line="240" w:lineRule="auto"/>
              <w:jc w:val="center"/>
            </w:pPr>
          </w:p>
        </w:tc>
        <w:tc>
          <w:tcPr>
            <w:tcW w:w="2584.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0.1254***</w:t>
            </w:r>
          </w:p>
        </w:tc>
      </w:tr>
      <w:tr>
        <w:trPr>
          <w:cantSplit/>
        </w:trPr>
        <w:tc>
          <w:tcPr>
            <w:tcW w:w="4030" w:type="dxa"/>
            <w:tcBorders>
              <w:top w:val="none" w:color="000000"/>
              <w:bottom w:val="none" w:color="000000"/>
              <w:left w:val="none" w:color="000000"/>
              <w:right w:val="none" w:color="000000"/>
            </w:tcBorders>
          </w:tcPr>
          <w:p>
            <w:pPr>
              <w:pStyle w:val="Compact"/>
              <w:spacing w:before="0" w:after="0" w:line="240" w:lineRule="auto"/>
              <w:jc w:val="center"/>
            </w:pPr>
          </w:p>
        </w:tc>
        <w:tc>
          <w:tcPr>
            <w:tcW w:w="2343.0" w:type="dxa"/>
            <w:tcBorders>
              <w:top w:val="none" w:color="000000"/>
              <w:bottom w:val="none" w:color="000000"/>
              <w:left w:val="none" w:color="000000"/>
              <w:right w:val="none" w:color="000000"/>
            </w:tcBorders>
          </w:tcPr>
          <w:p>
            <w:pPr>
              <w:pStyle w:val="Compact"/>
              <w:spacing w:before="0" w:after="0" w:line="240" w:lineRule="auto"/>
              <w:jc w:val="center"/>
            </w:pPr>
          </w:p>
        </w:tc>
        <w:tc>
          <w:tcPr>
            <w:tcW w:w="2584.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（6.2864）</w:t>
            </w:r>
          </w:p>
        </w:tc>
      </w:tr>
      <w:tr>
        <w:trPr>
          <w:cantSplit/>
        </w:trPr>
        <w:tc>
          <w:tcPr>
            <w:tcW w:w="4030" w:type="dxa"/>
            <w:tcBorders>
              <w:top w:val="none" w:color="000000"/>
              <w:bottom w:val="none" w:color="000000"/>
              <w:left w:val="none" w:color="000000"/>
              <w:right w:val="none" w:color="000000"/>
            </w:tcBorders>
          </w:tcPr>
          <w:p>
            <w:pPr>
              <w:pStyle w:val="Compact"/>
              <w:spacing w:before="0" w:after="0" w:line="240" w:lineRule="auto"/>
              <w:jc w:val="center"/>
            </w:pPr>
            <w:r>
              <w:rPr>
                <w:iCs/>
                <w:i/>
                <w:sz w:val="21"/>
              </w:rPr>
              <w:t xml:space="preserve">gov</w:t>
            </w:r>
          </w:p>
        </w:tc>
        <w:tc>
          <w:tcPr>
            <w:tcW w:w="2343.0" w:type="dxa"/>
            <w:tcBorders>
              <w:top w:val="none" w:color="000000"/>
              <w:bottom w:val="none" w:color="000000"/>
              <w:left w:val="none" w:color="000000"/>
              <w:right w:val="none" w:color="000000"/>
            </w:tcBorders>
          </w:tcPr>
          <w:p>
            <w:pPr>
              <w:pStyle w:val="Compact"/>
              <w:spacing w:before="0" w:after="0" w:line="240" w:lineRule="auto"/>
              <w:jc w:val="center"/>
            </w:pPr>
          </w:p>
        </w:tc>
        <w:tc>
          <w:tcPr>
            <w:tcW w:w="2584.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−1.7566***</w:t>
            </w:r>
          </w:p>
        </w:tc>
      </w:tr>
      <w:tr>
        <w:trPr>
          <w:cantSplit/>
        </w:trPr>
        <w:tc>
          <w:tcPr>
            <w:tcW w:w="4030" w:type="dxa"/>
            <w:tcBorders>
              <w:top w:val="none" w:color="000000"/>
              <w:bottom w:val="none" w:color="000000"/>
              <w:left w:val="none" w:color="000000"/>
              <w:right w:val="none" w:color="000000"/>
            </w:tcBorders>
          </w:tcPr>
          <w:p>
            <w:pPr>
              <w:pStyle w:val="Compact"/>
              <w:spacing w:before="0" w:after="0" w:line="240" w:lineRule="auto"/>
              <w:jc w:val="center"/>
            </w:pPr>
          </w:p>
        </w:tc>
        <w:tc>
          <w:tcPr>
            <w:tcW w:w="2343.0" w:type="dxa"/>
            <w:tcBorders>
              <w:top w:val="none" w:color="000000"/>
              <w:bottom w:val="none" w:color="000000"/>
              <w:left w:val="none" w:color="000000"/>
              <w:right w:val="none" w:color="000000"/>
            </w:tcBorders>
          </w:tcPr>
          <w:p>
            <w:pPr>
              <w:pStyle w:val="Compact"/>
              <w:spacing w:before="0" w:after="0" w:line="240" w:lineRule="auto"/>
              <w:jc w:val="center"/>
            </w:pPr>
          </w:p>
        </w:tc>
        <w:tc>
          <w:tcPr>
            <w:tcW w:w="2584.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（−22.0638）</w:t>
            </w:r>
          </w:p>
        </w:tc>
      </w:tr>
      <w:tr>
        <w:trPr>
          <w:cantSplit/>
        </w:trPr>
        <w:tc>
          <w:tcPr>
            <w:tcW w:w="4030" w:type="dxa"/>
            <w:tcBorders>
              <w:top w:val="none" w:color="000000"/>
              <w:bottom w:val="none" w:color="000000"/>
              <w:left w:val="none" w:color="000000"/>
              <w:right w:val="none" w:color="000000"/>
            </w:tcBorders>
          </w:tcPr>
          <w:p>
            <w:pPr>
              <w:pStyle w:val="Compact"/>
              <w:spacing w:before="0" w:after="0" w:line="240" w:lineRule="auto"/>
              <w:jc w:val="center"/>
            </w:pPr>
            <w:r>
              <w:rPr>
                <w:iCs/>
                <w:i/>
                <w:sz w:val="21"/>
              </w:rPr>
              <w:t xml:space="preserve">fdi</w:t>
            </w:r>
          </w:p>
        </w:tc>
        <w:tc>
          <w:tcPr>
            <w:tcW w:w="2343.0" w:type="dxa"/>
            <w:tcBorders>
              <w:top w:val="none" w:color="000000"/>
              <w:bottom w:val="none" w:color="000000"/>
              <w:left w:val="none" w:color="000000"/>
              <w:right w:val="none" w:color="000000"/>
            </w:tcBorders>
          </w:tcPr>
          <w:p>
            <w:pPr>
              <w:pStyle w:val="Compact"/>
              <w:spacing w:before="0" w:after="0" w:line="240" w:lineRule="auto"/>
              <w:jc w:val="center"/>
            </w:pPr>
          </w:p>
        </w:tc>
        <w:tc>
          <w:tcPr>
            <w:tcW w:w="2584.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2.5047***</w:t>
            </w:r>
          </w:p>
        </w:tc>
      </w:tr>
      <w:tr>
        <w:trPr>
          <w:cantSplit/>
        </w:trPr>
        <w:tc>
          <w:tcPr>
            <w:tcW w:w="4030" w:type="dxa"/>
            <w:tcBorders>
              <w:top w:val="none" w:color="000000"/>
              <w:bottom w:val="none" w:color="000000"/>
              <w:left w:val="none" w:color="000000"/>
              <w:right w:val="none" w:color="000000"/>
            </w:tcBorders>
          </w:tcPr>
          <w:p>
            <w:pPr>
              <w:pStyle w:val="Compact"/>
              <w:spacing w:before="0" w:after="0" w:line="240" w:lineRule="auto"/>
              <w:jc w:val="center"/>
            </w:pPr>
          </w:p>
        </w:tc>
        <w:tc>
          <w:tcPr>
            <w:tcW w:w="2343.0" w:type="dxa"/>
            <w:tcBorders>
              <w:top w:val="none" w:color="000000"/>
              <w:bottom w:val="none" w:color="000000"/>
              <w:left w:val="none" w:color="000000"/>
              <w:right w:val="none" w:color="000000"/>
            </w:tcBorders>
          </w:tcPr>
          <w:p>
            <w:pPr>
              <w:pStyle w:val="Compact"/>
              <w:spacing w:before="0" w:after="0" w:line="240" w:lineRule="auto"/>
              <w:jc w:val="center"/>
            </w:pPr>
          </w:p>
        </w:tc>
        <w:tc>
          <w:tcPr>
            <w:tcW w:w="2584.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（11.1130）</w:t>
            </w:r>
          </w:p>
        </w:tc>
      </w:tr>
      <w:tr>
        <w:trPr>
          <w:cantSplit/>
        </w:trPr>
        <w:tc>
          <w:tcPr>
            <w:tcW w:w="4030" w:type="dxa"/>
            <w:tcBorders>
              <w:top w:val="none" w:color="000000"/>
              <w:bottom w:val="none" w:color="000000"/>
              <w:left w:val="none" w:color="000000"/>
              <w:right w:val="none" w:color="000000"/>
            </w:tcBorders>
          </w:tcPr>
          <w:p>
            <w:pPr>
              <w:pStyle w:val="Compact"/>
              <w:spacing w:before="0" w:after="0" w:line="240" w:lineRule="auto"/>
              <w:jc w:val="center"/>
            </w:pPr>
            <w:r>
              <w:rPr>
                <w:iCs/>
                <w:i/>
                <w:sz w:val="21"/>
              </w:rPr>
              <w:t xml:space="preserve">hc</w:t>
            </w:r>
          </w:p>
        </w:tc>
        <w:tc>
          <w:tcPr>
            <w:tcW w:w="2343.0" w:type="dxa"/>
            <w:tcBorders>
              <w:top w:val="none" w:color="000000"/>
              <w:bottom w:val="none" w:color="000000"/>
              <w:left w:val="none" w:color="000000"/>
              <w:right w:val="none" w:color="000000"/>
            </w:tcBorders>
          </w:tcPr>
          <w:p>
            <w:pPr>
              <w:pStyle w:val="Compact"/>
              <w:spacing w:before="0" w:after="0" w:line="240" w:lineRule="auto"/>
              <w:jc w:val="center"/>
            </w:pPr>
          </w:p>
        </w:tc>
        <w:tc>
          <w:tcPr>
            <w:tcW w:w="2584.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0.1063***</w:t>
            </w:r>
          </w:p>
        </w:tc>
      </w:tr>
      <w:tr>
        <w:trPr>
          <w:cantSplit/>
        </w:trPr>
        <w:tc>
          <w:tcPr>
            <w:tcW w:w="4030" w:type="dxa"/>
            <w:tcBorders>
              <w:top w:val="none" w:color="000000"/>
              <w:bottom w:val="none" w:color="000000"/>
              <w:left w:val="none" w:color="000000"/>
              <w:right w:val="none" w:color="000000"/>
            </w:tcBorders>
          </w:tcPr>
          <w:p>
            <w:pPr>
              <w:pStyle w:val="Compact"/>
              <w:spacing w:before="0" w:after="0" w:line="240" w:lineRule="auto"/>
              <w:jc w:val="center"/>
            </w:pPr>
          </w:p>
        </w:tc>
        <w:tc>
          <w:tcPr>
            <w:tcW w:w="2343.0" w:type="dxa"/>
            <w:tcBorders>
              <w:top w:val="none" w:color="000000"/>
              <w:bottom w:val="none" w:color="000000"/>
              <w:left w:val="none" w:color="000000"/>
              <w:right w:val="none" w:color="000000"/>
            </w:tcBorders>
          </w:tcPr>
          <w:p>
            <w:pPr>
              <w:pStyle w:val="Compact"/>
              <w:spacing w:before="0" w:after="0" w:line="240" w:lineRule="auto"/>
              <w:jc w:val="center"/>
            </w:pPr>
          </w:p>
        </w:tc>
        <w:tc>
          <w:tcPr>
            <w:tcW w:w="2584.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（7.3987）</w:t>
            </w:r>
          </w:p>
        </w:tc>
      </w:tr>
      <w:tr>
        <w:trPr>
          <w:cantSplit/>
        </w:trPr>
        <w:tc>
          <w:tcPr>
            <w:tcW w:w="4030" w:type="dxa"/>
            <w:tcBorders>
              <w:top w:val="none" w:color="000000"/>
              <w:bottom w:val="none" w:color="000000"/>
              <w:left w:val="none" w:color="000000"/>
              <w:right w:val="none" w:color="000000"/>
            </w:tcBorders>
          </w:tcPr>
          <w:p>
            <w:pPr>
              <w:pStyle w:val="Compact"/>
              <w:spacing w:before="0" w:after="0" w:line="240" w:lineRule="auto"/>
              <w:jc w:val="center"/>
            </w:pPr>
            <w:r>
              <w:rPr>
                <w:iCs/>
                <w:i/>
                <w:sz w:val="21"/>
              </w:rPr>
              <w:t xml:space="preserve">lndens</w:t>
            </w:r>
          </w:p>
        </w:tc>
        <w:tc>
          <w:tcPr>
            <w:tcW w:w="2343.0" w:type="dxa"/>
            <w:tcBorders>
              <w:top w:val="none" w:color="000000"/>
              <w:bottom w:val="none" w:color="000000"/>
              <w:left w:val="none" w:color="000000"/>
              <w:right w:val="none" w:color="000000"/>
            </w:tcBorders>
          </w:tcPr>
          <w:p>
            <w:pPr>
              <w:pStyle w:val="Compact"/>
              <w:spacing w:before="0" w:after="0" w:line="240" w:lineRule="auto"/>
              <w:jc w:val="center"/>
            </w:pPr>
          </w:p>
        </w:tc>
        <w:tc>
          <w:tcPr>
            <w:tcW w:w="2584.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−0.0095</w:t>
            </w:r>
          </w:p>
        </w:tc>
      </w:tr>
      <w:tr>
        <w:trPr>
          <w:cantSplit/>
        </w:trPr>
        <w:tc>
          <w:tcPr>
            <w:tcW w:w="4030" w:type="dxa"/>
            <w:tcBorders>
              <w:top w:val="none" w:color="000000"/>
              <w:bottom w:val="none" w:color="000000"/>
              <w:left w:val="none" w:color="000000"/>
              <w:right w:val="none" w:color="000000"/>
            </w:tcBorders>
          </w:tcPr>
          <w:p>
            <w:pPr>
              <w:pStyle w:val="Compact"/>
              <w:spacing w:before="0" w:after="0" w:line="240" w:lineRule="auto"/>
              <w:jc w:val="center"/>
            </w:pPr>
          </w:p>
        </w:tc>
        <w:tc>
          <w:tcPr>
            <w:tcW w:w="2343.0" w:type="dxa"/>
            <w:tcBorders>
              <w:top w:val="none" w:color="000000"/>
              <w:bottom w:val="none" w:color="000000"/>
              <w:left w:val="none" w:color="000000"/>
              <w:right w:val="none" w:color="000000"/>
            </w:tcBorders>
          </w:tcPr>
          <w:p>
            <w:pPr>
              <w:pStyle w:val="Compact"/>
              <w:spacing w:before="0" w:after="0" w:line="240" w:lineRule="auto"/>
              <w:jc w:val="center"/>
            </w:pPr>
          </w:p>
        </w:tc>
        <w:tc>
          <w:tcPr>
            <w:tcW w:w="2584.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（−0.2921）</w:t>
            </w:r>
          </w:p>
        </w:tc>
      </w:tr>
      <w:tr>
        <w:trPr>
          <w:cantSplit/>
        </w:trPr>
        <w:tc>
          <w:tcPr>
            <w:tcW w:w="4030" w:type="dxa"/>
            <w:tcBorders>
              <w:top w:val="none" w:color="000000"/>
              <w:bottom w:val="none" w:color="000000"/>
              <w:left w:val="none" w:color="000000"/>
              <w:right w:val="none" w:color="000000"/>
            </w:tcBorders>
          </w:tcPr>
          <w:p>
            <w:pPr>
              <w:pStyle w:val="Compact"/>
              <w:spacing w:before="0" w:after="0" w:line="240" w:lineRule="auto"/>
              <w:jc w:val="center"/>
            </w:pPr>
            <w:r>
              <w:rPr>
                <w:iCs/>
                <w:i/>
                <w:sz w:val="21"/>
              </w:rPr>
              <w:t xml:space="preserve">fin</w:t>
            </w:r>
          </w:p>
        </w:tc>
        <w:tc>
          <w:tcPr>
            <w:tcW w:w="2343.0" w:type="dxa"/>
            <w:tcBorders>
              <w:top w:val="none" w:color="000000"/>
              <w:bottom w:val="none" w:color="000000"/>
              <w:left w:val="none" w:color="000000"/>
              <w:right w:val="none" w:color="000000"/>
            </w:tcBorders>
          </w:tcPr>
          <w:p>
            <w:pPr>
              <w:pStyle w:val="Compact"/>
              <w:spacing w:before="0" w:after="0" w:line="240" w:lineRule="auto"/>
              <w:jc w:val="center"/>
            </w:pPr>
          </w:p>
        </w:tc>
        <w:tc>
          <w:tcPr>
            <w:tcW w:w="2584.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0.0715***</w:t>
            </w:r>
          </w:p>
        </w:tc>
      </w:tr>
      <w:tr>
        <w:trPr>
          <w:cantSplit/>
        </w:trPr>
        <w:tc>
          <w:tcPr>
            <w:tcW w:w="4030" w:type="dxa"/>
            <w:tcBorders>
              <w:top w:val="none" w:color="000000"/>
              <w:bottom w:val="none" w:color="000000"/>
              <w:left w:val="none" w:color="000000"/>
              <w:right w:val="none" w:color="000000"/>
            </w:tcBorders>
          </w:tcPr>
          <w:p>
            <w:pPr>
              <w:pStyle w:val="Compact"/>
              <w:spacing w:before="0" w:after="0" w:line="240" w:lineRule="auto"/>
              <w:jc w:val="center"/>
            </w:pPr>
          </w:p>
        </w:tc>
        <w:tc>
          <w:tcPr>
            <w:tcW w:w="2343.0" w:type="dxa"/>
            <w:tcBorders>
              <w:top w:val="none" w:color="000000"/>
              <w:bottom w:val="none" w:color="000000"/>
              <w:left w:val="none" w:color="000000"/>
              <w:right w:val="none" w:color="000000"/>
            </w:tcBorders>
          </w:tcPr>
          <w:p>
            <w:pPr>
              <w:pStyle w:val="Compact"/>
              <w:spacing w:before="0" w:after="0" w:line="240" w:lineRule="auto"/>
              <w:jc w:val="center"/>
            </w:pPr>
          </w:p>
        </w:tc>
        <w:tc>
          <w:tcPr>
            <w:tcW w:w="2584.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（5.0274）</w:t>
            </w:r>
          </w:p>
        </w:tc>
      </w:tr>
      <w:tr>
        <w:trPr>
          <w:cantSplit/>
        </w:trPr>
        <w:tc>
          <w:tcPr>
            <w:tcW w:w="403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城市固定效应</w:t>
            </w:r>
          </w:p>
        </w:tc>
        <w:tc>
          <w:tcPr>
            <w:tcW w:w="2343.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是</w:t>
            </w:r>
          </w:p>
        </w:tc>
        <w:tc>
          <w:tcPr>
            <w:tcW w:w="2584.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是</w:t>
            </w:r>
          </w:p>
        </w:tc>
      </w:tr>
      <w:tr>
        <w:trPr>
          <w:cantSplit/>
        </w:trPr>
        <w:tc>
          <w:tcPr>
            <w:tcW w:w="403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年份固定效应</w:t>
            </w:r>
          </w:p>
        </w:tc>
        <w:tc>
          <w:tcPr>
            <w:tcW w:w="2343.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是</w:t>
            </w:r>
          </w:p>
        </w:tc>
        <w:tc>
          <w:tcPr>
            <w:tcW w:w="2584.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是</w:t>
            </w:r>
          </w:p>
        </w:tc>
      </w:tr>
      <w:tr>
        <w:trPr>
          <w:cantSplit/>
        </w:trPr>
        <w:tc>
          <w:tcPr>
            <w:tcW w:w="4030" w:type="dxa"/>
            <w:tcBorders>
              <w:top w:val="none" w:color="000000"/>
              <w:bottom w:val="none" w:color="000000"/>
              <w:left w:val="none" w:color="000000"/>
              <w:right w:val="none" w:color="000000"/>
            </w:tcBorders>
          </w:tcPr>
          <w:p>
            <w:pPr>
              <w:pStyle w:val="Compact"/>
              <w:spacing w:before="0" w:after="0" w:line="240" w:lineRule="auto"/>
              <w:jc w:val="center"/>
            </w:pPr>
            <w:r>
              <w:rPr>
                <w:iCs/>
                <w:i/>
                <w:sz w:val="21"/>
              </w:rPr>
              <w:t xml:space="preserve">N</w:t>
            </w:r>
          </w:p>
        </w:tc>
        <w:tc>
          <w:tcPr>
            <w:tcW w:w="2343.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3679</w:t>
            </w:r>
          </w:p>
        </w:tc>
        <w:tc>
          <w:tcPr>
            <w:tcW w:w="2584.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3679</w:t>
            </w:r>
          </w:p>
        </w:tc>
      </w:tr>
      <w:tr>
        <w:trPr>
          <w:cantSplit/>
        </w:trPr>
        <w:tc>
          <w:tcPr>
            <w:tcW w:w="4030" w:type="dxa"/>
            <w:tcBorders>
              <w:top w:val="none" w:color="000000"/>
              <w:bottom w:val="single" w:color="000000" w:sz="12" w:space="0"/>
              <w:left w:val="none" w:color="000000"/>
              <w:right w:val="none" w:color="000000"/>
            </w:tcBorders>
          </w:tcPr>
          <w:p>
            <w:pPr>
              <w:pStyle w:val="Compact"/>
              <w:spacing w:before="0" w:after="0" w:line="240" w:lineRule="auto"/>
              <w:jc w:val="center"/>
            </w:pPr>
            <w:r>
              <w:rPr>
                <w:iCs/>
                <w:i/>
                <w:sz w:val="21"/>
              </w:rPr>
              <w:t xml:space="preserve">R</w:t>
            </w:r>
            <w:r>
              <w:rPr>
                <w:sz w:val="21"/>
              </w:rPr>
              <w:t xml:space="preserve">²</w:t>
            </w:r>
          </w:p>
        </w:tc>
        <w:tc>
          <w:tcPr>
            <w:tcW w:w="2343.0" w:type="dxa"/>
            <w:tcBorders>
              <w:top w:val="none" w:color="000000"/>
              <w:bottom w:val="single" w:color="000000" w:sz="12" w:space="0"/>
              <w:left w:val="none" w:color="000000"/>
              <w:right w:val="none" w:color="000000"/>
            </w:tcBorders>
          </w:tcPr>
          <w:p>
            <w:pPr>
              <w:pStyle w:val="Compact"/>
              <w:spacing w:before="0" w:after="0" w:line="240" w:lineRule="auto"/>
              <w:jc w:val="center"/>
            </w:pPr>
            <w:r>
              <w:rPr>
                <w:sz w:val="21"/>
              </w:rPr>
              <w:t xml:space="preserve">0.0210</w:t>
            </w:r>
          </w:p>
        </w:tc>
        <w:tc>
          <w:tcPr>
            <w:tcW w:w="2584.0" w:type="dxa"/>
            <w:tcBorders>
              <w:top w:val="none" w:color="000000"/>
              <w:bottom w:val="single" w:color="000000" w:sz="12" w:space="0"/>
              <w:left w:val="none" w:color="000000"/>
              <w:right w:val="none" w:color="000000"/>
            </w:tcBorders>
          </w:tcPr>
          <w:p>
            <w:pPr>
              <w:pStyle w:val="Compact"/>
              <w:spacing w:before="0" w:after="0" w:line="240" w:lineRule="auto"/>
              <w:jc w:val="center"/>
            </w:pPr>
            <w:r>
              <w:rPr>
                <w:sz w:val="21"/>
              </w:rPr>
              <w:t xml:space="preserve">0.2174</w:t>
            </w:r>
          </w:p>
        </w:tc>
      </w:tr>
    </w:tbl>
    <w:p>
      <w:pPr>
        <w:pStyle w:val="TableNote"/>
      </w:pPr>
      <w:r>
        <w:t xml:space="preserve">注：*、**、***分别表示在10%、5%、1%的水平上显著，（）内为城市层面聚类稳健标准误对应的</w:t>
      </w:r>
      <w:r>
        <w:rPr>
          <w:iCs/>
          <w:i/>
        </w:rPr>
        <w:t xml:space="preserve">t</w:t>
      </w:r>
      <w:r>
        <w:t xml:space="preserve">值。下同。</w:t>
      </w:r>
    </w:p>
    <w:bookmarkEnd w:id="29"/>
    <w:bookmarkStart w:id="33" w:name="平行趋势检验与动态效应"/>
    <w:p>
      <w:pPr>
        <w:pStyle w:val="Heading2"/>
      </w:pPr>
      <w:r>
        <w:t xml:space="preserve">3.2 平行趋势检验与动态效应</w:t>
      </w:r>
    </w:p>
    <w:p>
      <w:pPr>
        <w:pStyle w:val="FirstParagraph"/>
        <w:spacing w:before="0" w:after="0"/>
      </w:pPr>
      <w:r>
        <w:t xml:space="preserve">事件研究模型中，全部相对时点虚拟变量与个体固定效应、时间固定效应之间存在完全共线性，各期系数只能在施加一个归一化约束的条件下被识别。遵循Sun和Abraham（2021）</w:t>
      </w:r>
      <w:r>
        <w:rPr>
          <w:vertAlign w:val="superscript"/>
        </w:rPr>
        <w:t xml:space="preserve">[11]</w:t>
      </w:r>
      <w:r>
        <w:t xml:space="preserve">与Callaway和Sant’Anna（2021）</w:t>
      </w:r>
      <w:r>
        <w:rPr>
          <w:vertAlign w:val="superscript"/>
        </w:rPr>
        <w:t xml:space="preserve">[12]</w:t>
      </w:r>
      <w:r>
        <w:t xml:space="preserve">的通行做法，本文以政策实施前一期（</w:t>
      </w:r>
      <w:r>
        <w:rPr>
          <w:iCs/>
          <w:i/>
        </w:rPr>
        <w:t xml:space="preserve">e</w:t>
      </w:r>
      <w:r>
        <w:t xml:space="preserve">=−1）为基期并将其系数约束为零，其余各期系数因而度量相对于该基期的差异。之所以选择处理前一期而非处理当期，是因为处理前一期是各队列最后一个可观测到未处理潜在结果的时期；若改以处理当期为基期，则即便平行趋势与无预期效应均成立，各期系数也不再度量效应水平而只度量相对于即时效应的增量，且全部前期系数将系统性地收敛于即时效应的相反数而非零，从而使前期系数联合为零的检验在不存在预趋势时仍被拒绝。由于本文样本中存在145个从未处理城市，相对时点虚拟变量之和对这些城市恒为零，共线性仅需一个归一化约束即可解除；两类估计量均采用同一基期，因而图1两个面板的纵向刻度直接可比。由于距政策实施较远的相对时点上可利用的城市数量迅速减少（进入估计的处理城市数由</w:t>
      </w:r>
      <w:r>
        <w:rPr>
          <w:iCs/>
          <w:i/>
        </w:rPr>
        <w:t xml:space="preserve">e</w:t>
      </w:r>
      <w:r>
        <w:t xml:space="preserve">=−2至</w:t>
      </w:r>
      <w:r>
        <w:rPr>
          <w:iCs/>
          <w:i/>
        </w:rPr>
        <w:t xml:space="preserve">e</w:t>
      </w:r>
      <w:r>
        <w:t xml:space="preserve">=2的138个降至</w:t>
      </w:r>
      <w:r>
        <w:rPr>
          <w:iCs/>
          <w:i/>
        </w:rPr>
        <w:t xml:space="preserve">e</w:t>
      </w:r>
      <w:r>
        <w:t xml:space="preserve">=6的52个），本文对两端相对时点作分箱处理，即以</w:t>
      </w:r>
      <w:r>
        <w:rPr>
          <w:iCs/>
          <w:i/>
        </w:rPr>
        <w:t xml:space="preserve">e</w:t>
      </w:r>
      <w:r>
        <w:t xml:space="preserve">≤−5与</w:t>
      </w:r>
      <w:r>
        <w:rPr>
          <w:iCs/>
          <w:i/>
        </w:rPr>
        <w:t xml:space="preserve">e</w:t>
      </w:r>
      <w:r>
        <w:t xml:space="preserve">≥6分别汇总更早与更晚的观测，以避免端点系数因样本过少而失真；两端点的系数因而是相应区间内的平均效应，不能解读为某一单期的效应。分箱的无害性以箱内各相对期处理效应相同为充分条件，本文对该条件作过度识别检验：左端</w:t>
      </w:r>
      <w:r>
        <w:rPr>
          <w:iCs/>
          <w:i/>
        </w:rPr>
        <w:t xml:space="preserve">H</w:t>
      </w:r>
      <w:r>
        <w:t xml:space="preserve">₀：</w:t>
      </w:r>
      <w:r>
        <w:rPr>
          <w:iCs/>
          <w:i/>
        </w:rPr>
        <w:t xml:space="preserve">θ</w:t>
      </w:r>
      <w:r>
        <w:t xml:space="preserve">(</w:t>
      </w:r>
      <w:r>
        <w:rPr>
          <w:iCs/>
          <w:i/>
        </w:rPr>
        <w:t xml:space="preserve">e</w:t>
      </w:r>
      <w:r>
        <w:t xml:space="preserve">≤−5)=</w:t>
      </w:r>
      <w:r>
        <w:rPr>
          <w:iCs/>
          <w:i/>
        </w:rPr>
        <w:t xml:space="preserve">θ</w:t>
      </w:r>
      <w:r>
        <w:t xml:space="preserve">(</w:t>
      </w:r>
      <w:r>
        <w:rPr>
          <w:iCs/>
          <w:i/>
        </w:rPr>
        <w:t xml:space="preserve">e</w:t>
      </w:r>
      <w:r>
        <w:t xml:space="preserve">=−4)的统计量为0.0613（</w:t>
      </w:r>
      <w:r>
        <w:rPr>
          <w:iCs/>
          <w:i/>
        </w:rPr>
        <w:t xml:space="preserve">P</w:t>
      </w:r>
      <w:r>
        <w:t xml:space="preserve">=0.8045），右端</w:t>
      </w:r>
      <w:r>
        <w:rPr>
          <w:iCs/>
          <w:i/>
        </w:rPr>
        <w:t xml:space="preserve">H</w:t>
      </w:r>
      <w:r>
        <w:t xml:space="preserve">₀：</w:t>
      </w:r>
      <w:r>
        <w:rPr>
          <w:iCs/>
          <w:i/>
        </w:rPr>
        <w:t xml:space="preserve">θ</w:t>
      </w:r>
      <w:r>
        <w:t xml:space="preserve">(</w:t>
      </w:r>
      <w:r>
        <w:rPr>
          <w:iCs/>
          <w:i/>
        </w:rPr>
        <w:t xml:space="preserve">e</w:t>
      </w:r>
      <w:r>
        <w:t xml:space="preserve">≥6)=</w:t>
      </w:r>
      <w:r>
        <w:rPr>
          <w:iCs/>
          <w:i/>
        </w:rPr>
        <w:t xml:space="preserve">θ</w:t>
      </w:r>
      <w:r>
        <w:t xml:space="preserve">(</w:t>
      </w:r>
      <w:r>
        <w:rPr>
          <w:iCs/>
          <w:i/>
        </w:rPr>
        <w:t xml:space="preserve">e</w:t>
      </w:r>
      <w:r>
        <w:t xml:space="preserve">=5)的统计量为0.2026（</w:t>
      </w:r>
      <w:r>
        <w:rPr>
          <w:iCs/>
          <w:i/>
        </w:rPr>
        <w:t xml:space="preserve">P</w:t>
      </w:r>
      <w:r>
        <w:t xml:space="preserve">=0.6526），均不能拒绝，分箱设定得到支持。需要强调的是，基期系数取零系由识别约束所致，本身并不构成平行趋势成立的证据，平行趋势的判定只能依据</w:t>
      </w:r>
      <w:r>
        <w:rPr>
          <w:iCs/>
          <w:i/>
        </w:rPr>
        <w:t xml:space="preserve">e</w:t>
      </w:r>
      <w:r>
        <w:t xml:space="preserve">≤−2各期的估计结果。</w:t>
      </w:r>
    </w:p>
    <w:p>
      <w:pPr>
        <w:pStyle w:val="BodyText"/>
        <w:spacing w:before="0" w:after="0"/>
      </w:pPr>
      <w:r>
        <w:t xml:space="preserve">图1报告了估计结果。图1（a）为Sun-Abraham交互加权估计：政策实施前各期的系数依次为−0.0055、−0.0039、0.0034与0.0074，</w:t>
      </w:r>
      <w:r>
        <w:rPr>
          <w:iCs/>
          <w:i/>
        </w:rPr>
        <w:t xml:space="preserve">t</w:t>
      </w:r>
      <w:r>
        <w:t xml:space="preserve">值的绝对值最大仅为1.0935，95%置信区间均覆盖零。逐期检验易受多重比较的影响，本文进一步对全部前期系数作联合为零的Wald检验，统计量为5.4522，在4个自由度下对应的</w:t>
      </w:r>
      <w:r>
        <w:rPr>
          <w:iCs/>
          <w:i/>
        </w:rPr>
        <w:t xml:space="preserve">P</w:t>
      </w:r>
      <w:r>
        <w:t xml:space="preserve">值为0.2440；若不作聚合而直接对全部队列与前期的交互项系数作联合检验，统计量为24.7149，在27个自由度下对应的</w:t>
      </w:r>
      <w:r>
        <w:rPr>
          <w:iCs/>
          <w:i/>
        </w:rPr>
        <w:t xml:space="preserve">P</w:t>
      </w:r>
      <w:r>
        <w:t xml:space="preserve">值为0.5904。此外，逐期置信区间只支持对单个系数的推断，图1同时给出Montiel Olea和Plagborg-Møller（2019）</w:t>
      </w:r>
      <w:r>
        <w:rPr>
          <w:vertAlign w:val="superscript"/>
        </w:rPr>
        <w:t xml:space="preserve">[17]</w:t>
      </w:r>
      <w:r>
        <w:t xml:space="preserve">提出的sup-t一致置信带（图中阴影区域），其临界值在两个面板中分别为2.7376与2.8599，可用于对整条系数路径作同时推断；前期各期的一致置信带同样全部覆盖零。上述三类证据一致表明，处理组与对照组在政策实施前不存在系统性的趋势差异，平行趋势假设成立。</w:t>
      </w:r>
    </w:p>
    <w:p>
      <w:pPr>
        <w:pStyle w:val="BodyText"/>
        <w:spacing w:before="0" w:after="0"/>
      </w:pPr>
      <w:r>
        <w:t xml:space="preserve">就动态效应而言，政策实施当年的效应为0.0180，在5%的水平上显著；此后效应逐年增强，第1年至第3年依次为0.0320、0.0396与0.0351，第4年至第6年稳定在0.0440—0.0479之间，且均在1%的水平上显著。图1（b）给出的Callaway-Sant’Anna双重稳健估计呈现相同形态：前期各期系数同样不显著，政策实施后由0.0151逐步上升，第4年达到峰值0.0448，其后回落至0.0346—0.0388。两类估计量均以</w:t>
      </w:r>
      <w:r>
        <w:rPr>
          <w:iCs/>
          <w:i/>
        </w:rPr>
        <w:t xml:space="preserve">e</w:t>
      </w:r>
      <w:r>
        <w:t xml:space="preserve">=−1为统一基期，在分箱方式与置信水平上亦完全一致，其结果的高度吻合说明动态效应的形态并不依赖于具体估计量的选择。为便于将系数换算为相对幅度，图1（b）标注了基期上处理组绿色全要素生产率的均值1.0638，据此可知第4年至第6年的效应相当于基期水平的4.14%—4.50%。政策效应渐进释放而非一次性跃升，与公共数据开放”平台上线—数据积累—场景开发—生产率改善”的作用链条相吻合：数据资源转化为现实生产力需经历开发利用与产业适配的过程，政策效应的完全显现因而存在时滞。</w:t>
      </w:r>
    </w:p>
    <w:p>
      <w:pPr>
        <w:pStyle w:val="CaptionedFigure"/>
      </w:pPr>
      <w:r>
        <w:drawing>
          <wp:inline>
            <wp:extent cx="5688000" cy="2134947"/>
            <wp:effectExtent b="0" l="0" r="0" t="0"/>
            <wp:docPr descr="图1 事件研究：平行趋势检验与动态效应" title="" id="31" name="Picture"/>
            <a:graphic>
              <a:graphicData uri="http://schemas.openxmlformats.org/drawingml/2006/picture">
                <pic:pic>
                  <pic:nvPicPr>
                    <pic:cNvPr descr="p3_fig1.png" id="32" name="Picture"/>
                    <pic:cNvPicPr>
                      <a:picLocks noChangeArrowheads="1" noChangeAspect="1"/>
                    </pic:cNvPicPr>
                  </pic:nvPicPr>
                  <pic:blipFill>
                    <a:blip r:embed="rId30"/>
                    <a:stretch>
                      <a:fillRect/>
                    </a:stretch>
                  </pic:blipFill>
                  <pic:spPr bwMode="auto">
                    <a:xfrm>
                      <a:off x="0" y="0"/>
                      <a:ext cx="5688000" cy="2134947"/>
                    </a:xfrm>
                    <a:prstGeom prst="rect">
                      <a:avLst/>
                    </a:prstGeom>
                    <a:noFill/>
                    <a:ln w="9525">
                      <a:noFill/>
                      <a:headEnd/>
                      <a:tailEnd/>
                    </a:ln>
                  </pic:spPr>
                </pic:pic>
              </a:graphicData>
            </a:graphic>
          </wp:inline>
        </w:drawing>
      </w:r>
    </w:p>
    <w:p>
      <w:pPr>
        <w:pStyle w:val="ImageCaption"/>
      </w:pPr>
      <w:r>
        <w:t xml:space="preserve">图1 事件研究：平行趋势检验与动态效应</w:t>
      </w:r>
    </w:p>
    <w:p>
      <w:pPr>
        <w:pStyle w:val="TableNote"/>
      </w:pPr>
      <w:r>
        <w:t xml:space="preserve">注：横轴为相对政策实施年份，</w:t>
      </w:r>
      <w:r>
        <w:rPr>
          <w:iCs/>
          <w:i/>
        </w:rPr>
        <w:t xml:space="preserve">e</w:t>
      </w:r>
      <w:r>
        <w:t xml:space="preserve">=0为平台上线当年；</w:t>
      </w:r>
      <w:r>
        <w:rPr>
          <w:iCs/>
          <w:i/>
        </w:rPr>
        <w:t xml:space="preserve">e</w:t>
      </w:r>
      <w:r>
        <w:t xml:space="preserve">=−1为基期（以空心标记标示），其系数按识别约束归一化为零，故不报告置信区间；两面板均采用同一基期，图（b）对处理前后各期统一以</w:t>
      </w:r>
      <w:r>
        <w:rPr>
          <w:iCs/>
          <w:i/>
        </w:rPr>
        <w:t xml:space="preserve">g</w:t>
      </w:r>
      <w:r>
        <w:t xml:space="preserve">−1为参照期。</w:t>
      </w:r>
      <w:r>
        <w:rPr>
          <w:iCs/>
          <w:i/>
        </w:rPr>
        <w:t xml:space="preserve">e</w:t>
      </w:r>
      <w:r>
        <w:t xml:space="preserve">≤−5与</w:t>
      </w:r>
      <w:r>
        <w:rPr>
          <w:iCs/>
          <w:i/>
        </w:rPr>
        <w:t xml:space="preserve">e</w:t>
      </w:r>
      <w:r>
        <w:t xml:space="preserve">≥6为分箱端点，表示相应区间内的平均效应，不可解读为单期效应。纵轴为对城市绿色全要素生产率的估计效应，</w:t>
      </w:r>
      <w:r>
        <w:rPr>
          <w:iCs/>
          <w:i/>
        </w:rPr>
        <w:t xml:space="preserve">e</w:t>
      </w:r>
      <w:r>
        <w:t xml:space="preserve">=−1时处理组均值为1.0638。误差棒为逐期95%置信区间，浅色带为95%的sup-t一致置信带，后者刻画整条事件时间路径的精度，该带在基期处断开。水平实线为零线；竖虚线位于</w:t>
      </w:r>
      <w:r>
        <w:rPr>
          <w:iCs/>
          <w:i/>
        </w:rPr>
        <w:t xml:space="preserve">e</w:t>
      </w:r>
      <w:r>
        <w:t xml:space="preserve">=−0.5，表示处理前后的分界，其左侧灰色区域为政策实施前区间。两面板均控制城市与年份固定效应及2.2节所列控制变量，标准误在城市层面聚类（聚类数为283）。</w:t>
      </w:r>
    </w:p>
    <w:bookmarkEnd w:id="33"/>
    <w:bookmarkStart w:id="34" w:name="处理效应异质性的稳健估计"/>
    <w:p>
      <w:pPr>
        <w:pStyle w:val="Heading2"/>
      </w:pPr>
      <w:r>
        <w:t xml:space="preserve">3.3 处理效应异质性的稳健估计</w:t>
      </w:r>
    </w:p>
    <w:p>
      <w:pPr>
        <w:pStyle w:val="FirstParagraph"/>
        <w:spacing w:before="0" w:after="0"/>
      </w:pPr>
      <w:r>
        <w:t xml:space="preserve">交错双重差分的估计量在处理效应异质的条件下可能存在偏误。表3第（1）部分报告了式(2-2)的权重诊断结果：805个处理单元格中仅有3个获得负权重，占比0.37%，负权重之和为−0.0001，正权重之和为1.0001。这表明本文样本中”已处理组充当对照组”所引致的污染极为有限，双向固定效应估计量偏离因果参数的风险较小。</w:t>
      </w:r>
    </w:p>
    <w:p>
      <w:pPr>
        <w:pStyle w:val="BodyText"/>
        <w:spacing w:before="0" w:after="0"/>
      </w:pPr>
      <w:r>
        <w:t xml:space="preserve">作为进一步的验证，表3第（2）部分报告了Callaway-Sant’Anna双重稳健估计结果。以从未处理城市为对照组，按队列规模加权聚合得到的总体平均处理效应为0.0322，基于400次城市层面自助抽样得到的标准误为0.0086，在1%的水平上显著。该估计值与基准回归的0.0318高度接近，二者之差不足基准估计的1.3%，从另一角度印证了基准结果的可靠性。表3第（3）部分进一步给出分队列的平均处理效应，7个队列的估计值介于0.0218与0.0469之间，符号一致且量级相近，说明处理效应在不同实施时点的队列之间并未呈现剧烈分化，这与负权重规模较小的诊断结论相互印证。</w:t>
      </w:r>
    </w:p>
    <w:p>
      <w:pPr>
        <w:pStyle w:val="TableCaption"/>
      </w:pPr>
      <w:r>
        <w:t xml:space="preserve">表3 处理效应异质性的稳健估计</w:t>
      </w:r>
    </w:p>
    <w:tbl>
      <w:tblPr>
        <w:jc w:val="center"/>
        <w:tblLook w:firstRow="1" w:lastRow="0" w:firstColumn="0" w:lastColumn="0" w:noHBand="0" w:noVBand="0" w:val="0020"/>
        <w:tblCaption w:val="表3 处理效应异质性的稳健估计"/>
        <w:tblW w:w="8957" w:type="dxa"/>
        <w:tblLayout w:type="fixed"/>
        <w:tblBorders>
          <w:top w:val="single" w:color="000000" w:sz="12" w:space="0"/>
          <w:left w:val="none" w:color="000000"/>
          <w:bottom w:val="single" w:color="000000" w:sz="12" w:space="0"/>
          <w:right w:val="none" w:color="000000"/>
          <w:insideH w:val="none" w:color="000000"/>
          <w:insideV w:val="none" w:color="000000"/>
        </w:tblBorders>
      </w:tblPr>
      <w:tblGrid>
        <w:gridCol w:w="4030"/>
        <w:gridCol w:w="3164.0"/>
        <w:gridCol w:w="1763.0"/>
      </w:tblGrid>
      <w:tr>
        <w:trPr>
          <w:tblHeader w:val="true"/>
          <w:cantSplit/>
          <w:tblHeader/>
        </w:trPr>
        <w:tc>
          <w:tcPr>
            <w:tcW w:w="4030"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sz w:val="21"/>
              </w:rPr>
              <w:t xml:space="preserve">检验内容</w:t>
            </w:r>
          </w:p>
        </w:tc>
        <w:tc>
          <w:tcPr>
            <w:tcW w:w="3164.0"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sz w:val="21"/>
              </w:rPr>
              <w:t xml:space="preserve">统计量</w:t>
            </w:r>
          </w:p>
        </w:tc>
        <w:tc>
          <w:tcPr>
            <w:tcW w:w="1763.0"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sz w:val="21"/>
              </w:rPr>
              <w:t xml:space="preserve">数值</w:t>
            </w:r>
          </w:p>
        </w:tc>
      </w:tr>
      <w:tr>
        <w:trPr>
          <w:cantSplit/>
        </w:trPr>
        <w:tc>
          <w:tcPr>
            <w:tcW w:w="403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（1）双向固定效应估计量的权重诊断</w:t>
            </w:r>
          </w:p>
        </w:tc>
        <w:tc>
          <w:tcPr>
            <w:tcW w:w="3164.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处理单元格数</w:t>
            </w:r>
          </w:p>
        </w:tc>
        <w:tc>
          <w:tcPr>
            <w:tcW w:w="1763.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805</w:t>
            </w:r>
          </w:p>
        </w:tc>
      </w:tr>
      <w:tr>
        <w:trPr>
          <w:cantSplit/>
        </w:trPr>
        <w:tc>
          <w:tcPr>
            <w:tcW w:w="4030" w:type="dxa"/>
            <w:tcBorders>
              <w:top w:val="none" w:color="000000"/>
              <w:bottom w:val="none" w:color="000000"/>
              <w:left w:val="none" w:color="000000"/>
              <w:right w:val="none" w:color="000000"/>
            </w:tcBorders>
          </w:tcPr>
          <w:p>
            <w:pPr>
              <w:pStyle w:val="Compact"/>
              <w:spacing w:before="0" w:after="0" w:line="240" w:lineRule="auto"/>
              <w:jc w:val="center"/>
            </w:pPr>
          </w:p>
        </w:tc>
        <w:tc>
          <w:tcPr>
            <w:tcW w:w="3164.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负权重单元格数</w:t>
            </w:r>
          </w:p>
        </w:tc>
        <w:tc>
          <w:tcPr>
            <w:tcW w:w="1763.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3</w:t>
            </w:r>
          </w:p>
        </w:tc>
      </w:tr>
      <w:tr>
        <w:trPr>
          <w:cantSplit/>
        </w:trPr>
        <w:tc>
          <w:tcPr>
            <w:tcW w:w="4030" w:type="dxa"/>
            <w:tcBorders>
              <w:top w:val="none" w:color="000000"/>
              <w:bottom w:val="none" w:color="000000"/>
              <w:left w:val="none" w:color="000000"/>
              <w:right w:val="none" w:color="000000"/>
            </w:tcBorders>
          </w:tcPr>
          <w:p>
            <w:pPr>
              <w:pStyle w:val="Compact"/>
              <w:spacing w:before="0" w:after="0" w:line="240" w:lineRule="auto"/>
              <w:jc w:val="center"/>
            </w:pPr>
          </w:p>
        </w:tc>
        <w:tc>
          <w:tcPr>
            <w:tcW w:w="3164.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负权重占比（%）</w:t>
            </w:r>
          </w:p>
        </w:tc>
        <w:tc>
          <w:tcPr>
            <w:tcW w:w="1763.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0.37</w:t>
            </w:r>
          </w:p>
        </w:tc>
      </w:tr>
      <w:tr>
        <w:trPr>
          <w:cantSplit/>
        </w:trPr>
        <w:tc>
          <w:tcPr>
            <w:tcW w:w="4030" w:type="dxa"/>
            <w:tcBorders>
              <w:top w:val="none" w:color="000000"/>
              <w:bottom w:val="none" w:color="000000"/>
              <w:left w:val="none" w:color="000000"/>
              <w:right w:val="none" w:color="000000"/>
            </w:tcBorders>
          </w:tcPr>
          <w:p>
            <w:pPr>
              <w:pStyle w:val="Compact"/>
              <w:spacing w:before="0" w:after="0" w:line="240" w:lineRule="auto"/>
              <w:jc w:val="center"/>
            </w:pPr>
          </w:p>
        </w:tc>
        <w:tc>
          <w:tcPr>
            <w:tcW w:w="3164.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负权重之和</w:t>
            </w:r>
          </w:p>
        </w:tc>
        <w:tc>
          <w:tcPr>
            <w:tcW w:w="1763.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−0.0001</w:t>
            </w:r>
          </w:p>
        </w:tc>
      </w:tr>
      <w:tr>
        <w:trPr>
          <w:cantSplit/>
        </w:trPr>
        <w:tc>
          <w:tcPr>
            <w:tcW w:w="4030" w:type="dxa"/>
            <w:tcBorders>
              <w:top w:val="none" w:color="000000"/>
              <w:bottom w:val="none" w:color="000000"/>
              <w:left w:val="none" w:color="000000"/>
              <w:right w:val="none" w:color="000000"/>
            </w:tcBorders>
          </w:tcPr>
          <w:p>
            <w:pPr>
              <w:pStyle w:val="Compact"/>
              <w:spacing w:before="0" w:after="0" w:line="240" w:lineRule="auto"/>
              <w:jc w:val="center"/>
            </w:pPr>
          </w:p>
        </w:tc>
        <w:tc>
          <w:tcPr>
            <w:tcW w:w="3164.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正权重之和</w:t>
            </w:r>
          </w:p>
        </w:tc>
        <w:tc>
          <w:tcPr>
            <w:tcW w:w="1763.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1.0001</w:t>
            </w:r>
          </w:p>
        </w:tc>
      </w:tr>
      <w:tr>
        <w:trPr>
          <w:cantSplit/>
        </w:trPr>
        <w:tc>
          <w:tcPr>
            <w:tcW w:w="403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（2）Callaway-Sant’Anna双重稳健估计</w:t>
            </w:r>
          </w:p>
        </w:tc>
        <w:tc>
          <w:tcPr>
            <w:tcW w:w="3164.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总体平均处理效应</w:t>
            </w:r>
          </w:p>
        </w:tc>
        <w:tc>
          <w:tcPr>
            <w:tcW w:w="1763.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0.0322***</w:t>
            </w:r>
          </w:p>
        </w:tc>
      </w:tr>
      <w:tr>
        <w:trPr>
          <w:cantSplit/>
        </w:trPr>
        <w:tc>
          <w:tcPr>
            <w:tcW w:w="4030" w:type="dxa"/>
            <w:tcBorders>
              <w:top w:val="none" w:color="000000"/>
              <w:bottom w:val="none" w:color="000000"/>
              <w:left w:val="none" w:color="000000"/>
              <w:right w:val="none" w:color="000000"/>
            </w:tcBorders>
          </w:tcPr>
          <w:p>
            <w:pPr>
              <w:pStyle w:val="Compact"/>
              <w:spacing w:before="0" w:after="0" w:line="240" w:lineRule="auto"/>
              <w:jc w:val="center"/>
            </w:pPr>
          </w:p>
        </w:tc>
        <w:tc>
          <w:tcPr>
            <w:tcW w:w="3164.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自助法标准误</w:t>
            </w:r>
          </w:p>
        </w:tc>
        <w:tc>
          <w:tcPr>
            <w:tcW w:w="1763.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（0.0086）</w:t>
            </w:r>
          </w:p>
        </w:tc>
      </w:tr>
      <w:tr>
        <w:trPr>
          <w:cantSplit/>
        </w:trPr>
        <w:tc>
          <w:tcPr>
            <w:tcW w:w="4030" w:type="dxa"/>
            <w:tcBorders>
              <w:top w:val="none" w:color="000000"/>
              <w:bottom w:val="none" w:color="000000"/>
              <w:left w:val="none" w:color="000000"/>
              <w:right w:val="none" w:color="000000"/>
            </w:tcBorders>
          </w:tcPr>
          <w:p>
            <w:pPr>
              <w:pStyle w:val="Compact"/>
              <w:spacing w:before="0" w:after="0" w:line="240" w:lineRule="auto"/>
              <w:jc w:val="center"/>
            </w:pPr>
          </w:p>
        </w:tc>
        <w:tc>
          <w:tcPr>
            <w:tcW w:w="3164.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自助抽样次数</w:t>
            </w:r>
          </w:p>
        </w:tc>
        <w:tc>
          <w:tcPr>
            <w:tcW w:w="1763.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400</w:t>
            </w:r>
          </w:p>
        </w:tc>
      </w:tr>
      <w:tr>
        <w:trPr>
          <w:cantSplit/>
        </w:trPr>
        <w:tc>
          <w:tcPr>
            <w:tcW w:w="403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（3）分队列平均处理效应</w:t>
            </w:r>
          </w:p>
        </w:tc>
        <w:tc>
          <w:tcPr>
            <w:tcW w:w="3164.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2015年队列（15个城市）</w:t>
            </w:r>
          </w:p>
        </w:tc>
        <w:tc>
          <w:tcPr>
            <w:tcW w:w="1763.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0.0235</w:t>
            </w:r>
          </w:p>
        </w:tc>
      </w:tr>
      <w:tr>
        <w:trPr>
          <w:cantSplit/>
        </w:trPr>
        <w:tc>
          <w:tcPr>
            <w:tcW w:w="4030" w:type="dxa"/>
            <w:tcBorders>
              <w:top w:val="none" w:color="000000"/>
              <w:bottom w:val="none" w:color="000000"/>
              <w:left w:val="none" w:color="000000"/>
              <w:right w:val="none" w:color="000000"/>
            </w:tcBorders>
          </w:tcPr>
          <w:p>
            <w:pPr>
              <w:pStyle w:val="Compact"/>
              <w:spacing w:before="0" w:after="0" w:line="240" w:lineRule="auto"/>
              <w:jc w:val="center"/>
            </w:pPr>
          </w:p>
        </w:tc>
        <w:tc>
          <w:tcPr>
            <w:tcW w:w="3164.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2016年队列（14个城市）</w:t>
            </w:r>
          </w:p>
        </w:tc>
        <w:tc>
          <w:tcPr>
            <w:tcW w:w="1763.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0.0268</w:t>
            </w:r>
          </w:p>
        </w:tc>
      </w:tr>
      <w:tr>
        <w:trPr>
          <w:cantSplit/>
        </w:trPr>
        <w:tc>
          <w:tcPr>
            <w:tcW w:w="4030" w:type="dxa"/>
            <w:tcBorders>
              <w:top w:val="none" w:color="000000"/>
              <w:bottom w:val="none" w:color="000000"/>
              <w:left w:val="none" w:color="000000"/>
              <w:right w:val="none" w:color="000000"/>
            </w:tcBorders>
          </w:tcPr>
          <w:p>
            <w:pPr>
              <w:pStyle w:val="Compact"/>
              <w:spacing w:before="0" w:after="0" w:line="240" w:lineRule="auto"/>
              <w:jc w:val="center"/>
            </w:pPr>
          </w:p>
        </w:tc>
        <w:tc>
          <w:tcPr>
            <w:tcW w:w="3164.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2017年队列（23个城市）</w:t>
            </w:r>
          </w:p>
        </w:tc>
        <w:tc>
          <w:tcPr>
            <w:tcW w:w="1763.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0.0469**</w:t>
            </w:r>
          </w:p>
        </w:tc>
      </w:tr>
      <w:tr>
        <w:trPr>
          <w:cantSplit/>
        </w:trPr>
        <w:tc>
          <w:tcPr>
            <w:tcW w:w="4030" w:type="dxa"/>
            <w:tcBorders>
              <w:top w:val="none" w:color="000000"/>
              <w:bottom w:val="none" w:color="000000"/>
              <w:left w:val="none" w:color="000000"/>
              <w:right w:val="none" w:color="000000"/>
            </w:tcBorders>
          </w:tcPr>
          <w:p>
            <w:pPr>
              <w:pStyle w:val="Compact"/>
              <w:spacing w:before="0" w:after="0" w:line="240" w:lineRule="auto"/>
              <w:jc w:val="center"/>
            </w:pPr>
          </w:p>
        </w:tc>
        <w:tc>
          <w:tcPr>
            <w:tcW w:w="3164.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2018年队列（21个城市）</w:t>
            </w:r>
          </w:p>
        </w:tc>
        <w:tc>
          <w:tcPr>
            <w:tcW w:w="1763.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0.0353*</w:t>
            </w:r>
          </w:p>
        </w:tc>
      </w:tr>
      <w:tr>
        <w:trPr>
          <w:cantSplit/>
        </w:trPr>
        <w:tc>
          <w:tcPr>
            <w:tcW w:w="4030" w:type="dxa"/>
            <w:tcBorders>
              <w:top w:val="none" w:color="000000"/>
              <w:bottom w:val="none" w:color="000000"/>
              <w:left w:val="none" w:color="000000"/>
              <w:right w:val="none" w:color="000000"/>
            </w:tcBorders>
          </w:tcPr>
          <w:p>
            <w:pPr>
              <w:pStyle w:val="Compact"/>
              <w:spacing w:before="0" w:after="0" w:line="240" w:lineRule="auto"/>
              <w:jc w:val="center"/>
            </w:pPr>
          </w:p>
        </w:tc>
        <w:tc>
          <w:tcPr>
            <w:tcW w:w="3164.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2019年队列（28个城市）</w:t>
            </w:r>
          </w:p>
        </w:tc>
        <w:tc>
          <w:tcPr>
            <w:tcW w:w="1763.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0.0308*</w:t>
            </w:r>
          </w:p>
        </w:tc>
      </w:tr>
      <w:tr>
        <w:trPr>
          <w:cantSplit/>
        </w:trPr>
        <w:tc>
          <w:tcPr>
            <w:tcW w:w="4030" w:type="dxa"/>
            <w:tcBorders>
              <w:top w:val="none" w:color="000000"/>
              <w:bottom w:val="none" w:color="000000"/>
              <w:left w:val="none" w:color="000000"/>
              <w:right w:val="none" w:color="000000"/>
            </w:tcBorders>
          </w:tcPr>
          <w:p>
            <w:pPr>
              <w:pStyle w:val="Compact"/>
              <w:spacing w:before="0" w:after="0" w:line="240" w:lineRule="auto"/>
              <w:jc w:val="center"/>
            </w:pPr>
          </w:p>
        </w:tc>
        <w:tc>
          <w:tcPr>
            <w:tcW w:w="3164.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2020年队列（20个城市）</w:t>
            </w:r>
          </w:p>
        </w:tc>
        <w:tc>
          <w:tcPr>
            <w:tcW w:w="1763.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0.0218</w:t>
            </w:r>
          </w:p>
        </w:tc>
      </w:tr>
      <w:tr>
        <w:trPr>
          <w:cantSplit/>
        </w:trPr>
        <w:tc>
          <w:tcPr>
            <w:tcW w:w="4030" w:type="dxa"/>
            <w:tcBorders>
              <w:top w:val="none" w:color="000000"/>
              <w:bottom w:val="single" w:color="000000" w:sz="12" w:space="0"/>
              <w:left w:val="none" w:color="000000"/>
              <w:right w:val="none" w:color="000000"/>
            </w:tcBorders>
          </w:tcPr>
          <w:p>
            <w:pPr>
              <w:pStyle w:val="Compact"/>
              <w:spacing w:before="0" w:after="0" w:line="240" w:lineRule="auto"/>
              <w:jc w:val="center"/>
            </w:pPr>
          </w:p>
        </w:tc>
        <w:tc>
          <w:tcPr>
            <w:tcW w:w="3164.0" w:type="dxa"/>
            <w:tcBorders>
              <w:top w:val="none" w:color="000000"/>
              <w:bottom w:val="single" w:color="000000" w:sz="12" w:space="0"/>
              <w:left w:val="none" w:color="000000"/>
              <w:right w:val="none" w:color="000000"/>
            </w:tcBorders>
          </w:tcPr>
          <w:p>
            <w:pPr>
              <w:pStyle w:val="Compact"/>
              <w:spacing w:before="0" w:after="0" w:line="240" w:lineRule="auto"/>
              <w:jc w:val="center"/>
            </w:pPr>
            <w:r>
              <w:rPr>
                <w:sz w:val="21"/>
              </w:rPr>
              <w:t xml:space="preserve">2021年队列（17个城市）</w:t>
            </w:r>
          </w:p>
        </w:tc>
        <w:tc>
          <w:tcPr>
            <w:tcW w:w="1763.0" w:type="dxa"/>
            <w:tcBorders>
              <w:top w:val="none" w:color="000000"/>
              <w:bottom w:val="single" w:color="000000" w:sz="12" w:space="0"/>
              <w:left w:val="none" w:color="000000"/>
              <w:right w:val="none" w:color="000000"/>
            </w:tcBorders>
          </w:tcPr>
          <w:p>
            <w:pPr>
              <w:pStyle w:val="Compact"/>
              <w:spacing w:before="0" w:after="0" w:line="240" w:lineRule="auto"/>
              <w:jc w:val="center"/>
            </w:pPr>
            <w:r>
              <w:rPr>
                <w:sz w:val="21"/>
              </w:rPr>
              <w:t xml:space="preserve">0.0331</w:t>
            </w:r>
          </w:p>
        </w:tc>
      </w:tr>
    </w:tbl>
    <w:p>
      <w:pPr>
        <w:pStyle w:val="TableNote"/>
      </w:pPr>
      <w:r>
        <w:t xml:space="preserve">注：（2）与（3）部分（）内为自助法标准误；分队列平均处理效应的显著性依据自助法标准误判定。</w:t>
      </w:r>
    </w:p>
    <w:bookmarkEnd w:id="34"/>
    <w:bookmarkStart w:id="38" w:name="安慰剂检验与倾向得分匹配"/>
    <w:p>
      <w:pPr>
        <w:pStyle w:val="Heading2"/>
      </w:pPr>
      <w:r>
        <w:t xml:space="preserve">3.4 安慰剂检验与倾向得分匹配</w:t>
      </w:r>
    </w:p>
    <w:p>
      <w:pPr>
        <w:pStyle w:val="FirstParagraph"/>
        <w:spacing w:before="0" w:after="0"/>
      </w:pPr>
      <w:r>
        <w:t xml:space="preserve">为排除不可观测因素驱动结果的可能，本文采用随机化推断进行安慰剂检验：将各城市的政策实施队列（含从未处理状态）在城市间随机置换，重新估计式(2-1)，重复500次。图2给出了500个安慰剂估计值的核密度分布，其均值为−0.0001、标准差为0.0036，分布集中于零附近且近似服从正态；基准估计值0.0318位于该分布的极右尾之外，双侧经验</w:t>
      </w:r>
      <w:r>
        <w:rPr>
          <w:iCs/>
          <w:i/>
        </w:rPr>
        <w:t xml:space="preserve">P</w:t>
      </w:r>
      <w:r>
        <w:t xml:space="preserve">值为0.000，表明基准结果并非随机因素所致。</w:t>
      </w:r>
    </w:p>
    <w:p>
      <w:pPr>
        <w:pStyle w:val="CaptionedFigure"/>
      </w:pPr>
      <w:r>
        <w:drawing>
          <wp:inline>
            <wp:extent cx="5688000" cy="3216045"/>
            <wp:effectExtent b="0" l="0" r="0" t="0"/>
            <wp:docPr descr="图2 随机化推断安慰剂检验" title="" id="36" name="Picture"/>
            <a:graphic>
              <a:graphicData uri="http://schemas.openxmlformats.org/drawingml/2006/picture">
                <pic:pic>
                  <pic:nvPicPr>
                    <pic:cNvPr descr="p3_fig2.png" id="37" name="Picture"/>
                    <pic:cNvPicPr>
                      <a:picLocks noChangeArrowheads="1" noChangeAspect="1"/>
                    </pic:cNvPicPr>
                  </pic:nvPicPr>
                  <pic:blipFill>
                    <a:blip r:embed="rId35"/>
                    <a:stretch>
                      <a:fillRect/>
                    </a:stretch>
                  </pic:blipFill>
                  <pic:spPr bwMode="auto">
                    <a:xfrm>
                      <a:off x="0" y="0"/>
                      <a:ext cx="5688000" cy="3216045"/>
                    </a:xfrm>
                    <a:prstGeom prst="rect">
                      <a:avLst/>
                    </a:prstGeom>
                    <a:noFill/>
                    <a:ln w="9525">
                      <a:noFill/>
                      <a:headEnd/>
                      <a:tailEnd/>
                    </a:ln>
                  </pic:spPr>
                </pic:pic>
              </a:graphicData>
            </a:graphic>
          </wp:inline>
        </w:drawing>
      </w:r>
    </w:p>
    <w:p>
      <w:pPr>
        <w:pStyle w:val="ImageCaption"/>
      </w:pPr>
      <w:r>
        <w:t xml:space="preserve">图2 随机化推断安慰剂检验</w:t>
      </w:r>
    </w:p>
    <w:p>
      <w:pPr>
        <w:pStyle w:val="BodyText"/>
        <w:spacing w:before="0" w:after="0"/>
      </w:pPr>
      <w:r>
        <w:t xml:space="preserve">考虑到数据开放平台的上线时点并非随机，而与城市的经济基础和数字化条件相关，本文进一步采用倾向得分匹配缓解样本选择偏误。以2011年的控制变量及地形起伏度、历史邮电密度、行政等级、资源型城市、区域虚拟变量为协变量估计倾向得分，采用带宽为0.06的Epanechnikov核匹配在共同支撑域内为处理组构造权重。匹配后各协变量标准化偏差绝对值的均值由匹配前的23.30%降至9.29%，低于10%的经验判别标准，平衡性显著改善。基于匹配权重重新估计的政策效应为0.0283（</w:t>
      </w:r>
      <w:r>
        <w:rPr>
          <w:iCs/>
          <w:i/>
        </w:rPr>
        <w:t xml:space="preserve">t</w:t>
      </w:r>
      <w:r>
        <w:t xml:space="preserve">值为6.8203），与基准结果一致（见表4第（1）列）。</w:t>
      </w:r>
    </w:p>
    <w:bookmarkEnd w:id="38"/>
    <w:bookmarkStart w:id="39" w:name="稳健性检验"/>
    <w:p>
      <w:pPr>
        <w:pStyle w:val="Heading2"/>
      </w:pPr>
      <w:r>
        <w:t xml:space="preserve">3.5 稳健性检验</w:t>
      </w:r>
    </w:p>
    <w:p>
      <w:pPr>
        <w:pStyle w:val="FirstParagraph"/>
        <w:spacing w:before="0" w:after="0"/>
      </w:pPr>
      <w:r>
        <w:t xml:space="preserve">表4与表5报告了稳健性检验结果。表4第（2）列同时控制低碳城市试点、</w:t>
      </w:r>
      <w:r>
        <w:t xml:space="preserve">“</w:t>
      </w:r>
      <w:r>
        <w:t xml:space="preserve">宽带中国</w:t>
      </w:r>
      <w:r>
        <w:t xml:space="preserve">”</w:t>
      </w:r>
      <w:r>
        <w:t xml:space="preserve">示范城市与智慧城市试点三项同期政策，核心系数为0.0315，且三项同期政策的系数分别为0.0214、0.0115与0.0103，说明基准结果并非其他政策干扰所致。第（3）列将被解释变量替换为剔除非期望产出后测算的EBM-Malmquist指数，系数为0.0333。第（4）列对所有连续变量作上下1%的缩尾处理，系数为0.0309。</w:t>
      </w:r>
    </w:p>
    <w:p>
      <w:pPr>
        <w:pStyle w:val="BodyText"/>
        <w:spacing w:before="0" w:after="0"/>
      </w:pPr>
      <w:r>
        <w:t xml:space="preserve">表5进一步调整样本范围与变量测度。第（1）列剔除直辖市与副省级城市样本，系数为0.0311。第（2）列剔除2020年样本以排除新冠疫情冲击的影响，系数为0.0330。考虑到2021年队列的政策实施后观测期较短，第（3）列剔除该队列，系数为0.0326。第（4）列将核心解释变量替换为政策实施强度，即以开放数据集规模（万条）加1取对数衡量，系数为0.0199且在1%的水平上显著，表明数据开放的绿色效应随开放程度加深而增强。上述结果表明基准结论对样本构成与变量测度的调整并不敏感。</w:t>
      </w:r>
    </w:p>
    <w:p>
      <w:pPr>
        <w:pStyle w:val="TableCaption"/>
      </w:pPr>
      <w:r>
        <w:t xml:space="preserve">表4 倾向得分匹配与稳健性检验结果（一）</w:t>
      </w:r>
    </w:p>
    <w:tbl>
      <w:tblPr>
        <w:jc w:val="center"/>
        <w:tblLook w:firstRow="1" w:lastRow="0" w:firstColumn="0" w:lastColumn="0" w:noHBand="0" w:noVBand="0" w:val="0020"/>
        <w:tblCaption w:val="表4 倾向得分匹配与稳健性检验结果（一）"/>
        <w:tblW w:w="8957" w:type="dxa"/>
        <w:tblLayout w:type="fixed"/>
        <w:tblBorders>
          <w:top w:val="single" w:color="000000" w:sz="12" w:space="0"/>
          <w:left w:val="none" w:color="000000"/>
          <w:bottom w:val="single" w:color="000000" w:sz="12" w:space="0"/>
          <w:right w:val="none" w:color="000000"/>
          <w:insideH w:val="none" w:color="000000"/>
          <w:insideV w:val="none" w:color="000000"/>
        </w:tblBorders>
      </w:tblPr>
      <w:tblGrid>
        <w:gridCol w:w="1702.0"/>
        <w:gridCol w:w="1776.0"/>
        <w:gridCol w:w="1827.0"/>
        <w:gridCol w:w="1989.0"/>
        <w:gridCol w:w="1663.0"/>
      </w:tblGrid>
      <w:tr>
        <w:trPr>
          <w:tblHeader w:val="true"/>
          <w:cantSplit/>
          <w:tblHeader/>
        </w:trPr>
        <w:tc>
          <w:tcPr>
            <w:tcW w:w="1702.0"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sz w:val="21"/>
              </w:rPr>
              <w:t xml:space="preserve">变量</w:t>
            </w:r>
          </w:p>
        </w:tc>
        <w:tc>
          <w:tcPr>
            <w:tcW w:w="1776.0"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sz w:val="21"/>
              </w:rPr>
              <w:t xml:space="preserve">（1）PSM-DID</w:t>
            </w:r>
          </w:p>
        </w:tc>
        <w:tc>
          <w:tcPr>
            <w:tcW w:w="1827.0"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sz w:val="21"/>
              </w:rPr>
              <w:t xml:space="preserve">（2）控制同期政策</w:t>
            </w:r>
          </w:p>
        </w:tc>
        <w:tc>
          <w:tcPr>
            <w:tcW w:w="1989.0"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sz w:val="21"/>
              </w:rPr>
              <w:t xml:space="preserve">（3）替换被解释变量</w:t>
            </w:r>
          </w:p>
        </w:tc>
        <w:tc>
          <w:tcPr>
            <w:tcW w:w="1663.0"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sz w:val="21"/>
              </w:rPr>
              <w:t xml:space="preserve">（4）缩尾处理</w:t>
            </w:r>
          </w:p>
        </w:tc>
      </w:tr>
      <w:tr>
        <w:trPr>
          <w:cantSplit/>
        </w:trPr>
        <w:tc>
          <w:tcPr>
            <w:tcW w:w="1702.0" w:type="dxa"/>
            <w:tcBorders>
              <w:top w:val="none" w:color="000000"/>
              <w:bottom w:val="none" w:color="000000"/>
              <w:left w:val="none" w:color="000000"/>
              <w:right w:val="none" w:color="000000"/>
            </w:tcBorders>
          </w:tcPr>
          <w:p>
            <w:pPr>
              <w:pStyle w:val="Compact"/>
              <w:spacing w:before="0" w:after="0" w:line="240" w:lineRule="auto"/>
              <w:jc w:val="center"/>
            </w:pPr>
            <w:r>
              <w:rPr>
                <w:iCs/>
                <w:i/>
                <w:sz w:val="21"/>
              </w:rPr>
              <w:t xml:space="preserve">did</w:t>
            </w:r>
          </w:p>
        </w:tc>
        <w:tc>
          <w:tcPr>
            <w:tcW w:w="17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0.0283***</w:t>
            </w:r>
          </w:p>
        </w:tc>
        <w:tc>
          <w:tcPr>
            <w:tcW w:w="1827.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0.0315***</w:t>
            </w:r>
          </w:p>
        </w:tc>
        <w:tc>
          <w:tcPr>
            <w:tcW w:w="198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0.0333***</w:t>
            </w:r>
          </w:p>
        </w:tc>
        <w:tc>
          <w:tcPr>
            <w:tcW w:w="1663.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0.0309***</w:t>
            </w:r>
          </w:p>
        </w:tc>
      </w:tr>
      <w:tr>
        <w:trPr>
          <w:cantSplit/>
        </w:trPr>
        <w:tc>
          <w:tcPr>
            <w:tcW w:w="1702.0" w:type="dxa"/>
            <w:tcBorders>
              <w:top w:val="none" w:color="000000"/>
              <w:bottom w:val="none" w:color="000000"/>
              <w:left w:val="none" w:color="000000"/>
              <w:right w:val="none" w:color="000000"/>
            </w:tcBorders>
          </w:tcPr>
          <w:p>
            <w:pPr>
              <w:pStyle w:val="Compact"/>
              <w:spacing w:before="0" w:after="0" w:line="240" w:lineRule="auto"/>
              <w:jc w:val="center"/>
            </w:pPr>
          </w:p>
        </w:tc>
        <w:tc>
          <w:tcPr>
            <w:tcW w:w="17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（6.8203）</w:t>
            </w:r>
          </w:p>
        </w:tc>
        <w:tc>
          <w:tcPr>
            <w:tcW w:w="1827.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（9.3678）</w:t>
            </w:r>
          </w:p>
        </w:tc>
        <w:tc>
          <w:tcPr>
            <w:tcW w:w="198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（10.0119）</w:t>
            </w:r>
          </w:p>
        </w:tc>
        <w:tc>
          <w:tcPr>
            <w:tcW w:w="1663.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（8.2681）</w:t>
            </w:r>
          </w:p>
        </w:tc>
      </w:tr>
      <w:tr>
        <w:trPr>
          <w:cantSplit/>
        </w:trPr>
        <w:tc>
          <w:tcPr>
            <w:tcW w:w="1702.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低碳城市试点</w:t>
            </w:r>
          </w:p>
        </w:tc>
        <w:tc>
          <w:tcPr>
            <w:tcW w:w="1776.0" w:type="dxa"/>
            <w:tcBorders>
              <w:top w:val="none" w:color="000000"/>
              <w:bottom w:val="none" w:color="000000"/>
              <w:left w:val="none" w:color="000000"/>
              <w:right w:val="none" w:color="000000"/>
            </w:tcBorders>
          </w:tcPr>
          <w:p>
            <w:pPr>
              <w:pStyle w:val="Compact"/>
              <w:spacing w:before="0" w:after="0" w:line="240" w:lineRule="auto"/>
              <w:jc w:val="center"/>
            </w:pPr>
          </w:p>
        </w:tc>
        <w:tc>
          <w:tcPr>
            <w:tcW w:w="1827.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0.0214***</w:t>
            </w:r>
          </w:p>
        </w:tc>
        <w:tc>
          <w:tcPr>
            <w:tcW w:w="1989.0" w:type="dxa"/>
            <w:tcBorders>
              <w:top w:val="none" w:color="000000"/>
              <w:bottom w:val="none" w:color="000000"/>
              <w:left w:val="none" w:color="000000"/>
              <w:right w:val="none" w:color="000000"/>
            </w:tcBorders>
          </w:tcPr>
          <w:p>
            <w:pPr>
              <w:pStyle w:val="Compact"/>
              <w:spacing w:before="0" w:after="0" w:line="240" w:lineRule="auto"/>
              <w:jc w:val="center"/>
            </w:pPr>
          </w:p>
        </w:tc>
        <w:tc>
          <w:tcPr>
            <w:tcW w:w="1663.0" w:type="dxa"/>
            <w:tcBorders>
              <w:top w:val="none" w:color="000000"/>
              <w:bottom w:val="none" w:color="000000"/>
              <w:left w:val="none" w:color="000000"/>
              <w:right w:val="none" w:color="000000"/>
            </w:tcBorders>
          </w:tcPr>
          <w:p>
            <w:pPr>
              <w:pStyle w:val="Compact"/>
              <w:spacing w:before="0" w:after="0" w:line="240" w:lineRule="auto"/>
              <w:jc w:val="center"/>
            </w:pPr>
          </w:p>
        </w:tc>
      </w:tr>
      <w:tr>
        <w:trPr>
          <w:cantSplit/>
        </w:trPr>
        <w:tc>
          <w:tcPr>
            <w:tcW w:w="1702.0" w:type="dxa"/>
            <w:tcBorders>
              <w:top w:val="none" w:color="000000"/>
              <w:bottom w:val="none" w:color="000000"/>
              <w:left w:val="none" w:color="000000"/>
              <w:right w:val="none" w:color="000000"/>
            </w:tcBorders>
          </w:tcPr>
          <w:p>
            <w:pPr>
              <w:pStyle w:val="Compact"/>
              <w:spacing w:before="0" w:after="0" w:line="240" w:lineRule="auto"/>
              <w:jc w:val="center"/>
            </w:pPr>
          </w:p>
        </w:tc>
        <w:tc>
          <w:tcPr>
            <w:tcW w:w="1776.0" w:type="dxa"/>
            <w:tcBorders>
              <w:top w:val="none" w:color="000000"/>
              <w:bottom w:val="none" w:color="000000"/>
              <w:left w:val="none" w:color="000000"/>
              <w:right w:val="none" w:color="000000"/>
            </w:tcBorders>
          </w:tcPr>
          <w:p>
            <w:pPr>
              <w:pStyle w:val="Compact"/>
              <w:spacing w:before="0" w:after="0" w:line="240" w:lineRule="auto"/>
              <w:jc w:val="center"/>
            </w:pPr>
          </w:p>
        </w:tc>
        <w:tc>
          <w:tcPr>
            <w:tcW w:w="1827.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（4.7694）</w:t>
            </w:r>
          </w:p>
        </w:tc>
        <w:tc>
          <w:tcPr>
            <w:tcW w:w="1989.0" w:type="dxa"/>
            <w:tcBorders>
              <w:top w:val="none" w:color="000000"/>
              <w:bottom w:val="none" w:color="000000"/>
              <w:left w:val="none" w:color="000000"/>
              <w:right w:val="none" w:color="000000"/>
            </w:tcBorders>
          </w:tcPr>
          <w:p>
            <w:pPr>
              <w:pStyle w:val="Compact"/>
              <w:spacing w:before="0" w:after="0" w:line="240" w:lineRule="auto"/>
              <w:jc w:val="center"/>
            </w:pPr>
          </w:p>
        </w:tc>
        <w:tc>
          <w:tcPr>
            <w:tcW w:w="1663.0" w:type="dxa"/>
            <w:tcBorders>
              <w:top w:val="none" w:color="000000"/>
              <w:bottom w:val="none" w:color="000000"/>
              <w:left w:val="none" w:color="000000"/>
              <w:right w:val="none" w:color="000000"/>
            </w:tcBorders>
          </w:tcPr>
          <w:p>
            <w:pPr>
              <w:pStyle w:val="Compact"/>
              <w:spacing w:before="0" w:after="0" w:line="240" w:lineRule="auto"/>
              <w:jc w:val="center"/>
            </w:pPr>
          </w:p>
        </w:tc>
      </w:tr>
      <w:tr>
        <w:trPr>
          <w:cantSplit/>
        </w:trPr>
        <w:tc>
          <w:tcPr>
            <w:tcW w:w="1702.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w:t>
            </w:r>
            <w:r>
              <w:rPr>
                <w:sz w:val="21"/>
              </w:rPr>
              <w:t xml:space="preserve">宽带中国</w:t>
            </w:r>
            <w:r>
              <w:rPr>
                <w:sz w:val="21"/>
              </w:rPr>
              <w:t xml:space="preserve">”</w:t>
            </w:r>
            <w:r>
              <w:rPr>
                <w:sz w:val="21"/>
              </w:rPr>
              <w:t xml:space="preserve">试点</w:t>
            </w:r>
          </w:p>
        </w:tc>
        <w:tc>
          <w:tcPr>
            <w:tcW w:w="1776.0" w:type="dxa"/>
            <w:tcBorders>
              <w:top w:val="none" w:color="000000"/>
              <w:bottom w:val="none" w:color="000000"/>
              <w:left w:val="none" w:color="000000"/>
              <w:right w:val="none" w:color="000000"/>
            </w:tcBorders>
          </w:tcPr>
          <w:p>
            <w:pPr>
              <w:pStyle w:val="Compact"/>
              <w:spacing w:before="0" w:after="0" w:line="240" w:lineRule="auto"/>
              <w:jc w:val="center"/>
            </w:pPr>
          </w:p>
        </w:tc>
        <w:tc>
          <w:tcPr>
            <w:tcW w:w="1827.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0.0115***</w:t>
            </w:r>
          </w:p>
        </w:tc>
        <w:tc>
          <w:tcPr>
            <w:tcW w:w="1989.0" w:type="dxa"/>
            <w:tcBorders>
              <w:top w:val="none" w:color="000000"/>
              <w:bottom w:val="none" w:color="000000"/>
              <w:left w:val="none" w:color="000000"/>
              <w:right w:val="none" w:color="000000"/>
            </w:tcBorders>
          </w:tcPr>
          <w:p>
            <w:pPr>
              <w:pStyle w:val="Compact"/>
              <w:spacing w:before="0" w:after="0" w:line="240" w:lineRule="auto"/>
              <w:jc w:val="center"/>
            </w:pPr>
          </w:p>
        </w:tc>
        <w:tc>
          <w:tcPr>
            <w:tcW w:w="1663.0" w:type="dxa"/>
            <w:tcBorders>
              <w:top w:val="none" w:color="000000"/>
              <w:bottom w:val="none" w:color="000000"/>
              <w:left w:val="none" w:color="000000"/>
              <w:right w:val="none" w:color="000000"/>
            </w:tcBorders>
          </w:tcPr>
          <w:p>
            <w:pPr>
              <w:pStyle w:val="Compact"/>
              <w:spacing w:before="0" w:after="0" w:line="240" w:lineRule="auto"/>
              <w:jc w:val="center"/>
            </w:pPr>
          </w:p>
        </w:tc>
      </w:tr>
      <w:tr>
        <w:trPr>
          <w:cantSplit/>
        </w:trPr>
        <w:tc>
          <w:tcPr>
            <w:tcW w:w="1702.0" w:type="dxa"/>
            <w:tcBorders>
              <w:top w:val="none" w:color="000000"/>
              <w:bottom w:val="none" w:color="000000"/>
              <w:left w:val="none" w:color="000000"/>
              <w:right w:val="none" w:color="000000"/>
            </w:tcBorders>
          </w:tcPr>
          <w:p>
            <w:pPr>
              <w:pStyle w:val="Compact"/>
              <w:spacing w:before="0" w:after="0" w:line="240" w:lineRule="auto"/>
              <w:jc w:val="center"/>
            </w:pPr>
          </w:p>
        </w:tc>
        <w:tc>
          <w:tcPr>
            <w:tcW w:w="1776.0" w:type="dxa"/>
            <w:tcBorders>
              <w:top w:val="none" w:color="000000"/>
              <w:bottom w:val="none" w:color="000000"/>
              <w:left w:val="none" w:color="000000"/>
              <w:right w:val="none" w:color="000000"/>
            </w:tcBorders>
          </w:tcPr>
          <w:p>
            <w:pPr>
              <w:pStyle w:val="Compact"/>
              <w:spacing w:before="0" w:after="0" w:line="240" w:lineRule="auto"/>
              <w:jc w:val="center"/>
            </w:pPr>
          </w:p>
        </w:tc>
        <w:tc>
          <w:tcPr>
            <w:tcW w:w="1827.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（3.0649）</w:t>
            </w:r>
          </w:p>
        </w:tc>
        <w:tc>
          <w:tcPr>
            <w:tcW w:w="1989.0" w:type="dxa"/>
            <w:tcBorders>
              <w:top w:val="none" w:color="000000"/>
              <w:bottom w:val="none" w:color="000000"/>
              <w:left w:val="none" w:color="000000"/>
              <w:right w:val="none" w:color="000000"/>
            </w:tcBorders>
          </w:tcPr>
          <w:p>
            <w:pPr>
              <w:pStyle w:val="Compact"/>
              <w:spacing w:before="0" w:after="0" w:line="240" w:lineRule="auto"/>
              <w:jc w:val="center"/>
            </w:pPr>
          </w:p>
        </w:tc>
        <w:tc>
          <w:tcPr>
            <w:tcW w:w="1663.0" w:type="dxa"/>
            <w:tcBorders>
              <w:top w:val="none" w:color="000000"/>
              <w:bottom w:val="none" w:color="000000"/>
              <w:left w:val="none" w:color="000000"/>
              <w:right w:val="none" w:color="000000"/>
            </w:tcBorders>
          </w:tcPr>
          <w:p>
            <w:pPr>
              <w:pStyle w:val="Compact"/>
              <w:spacing w:before="0" w:after="0" w:line="240" w:lineRule="auto"/>
              <w:jc w:val="center"/>
            </w:pPr>
          </w:p>
        </w:tc>
      </w:tr>
      <w:tr>
        <w:trPr>
          <w:cantSplit/>
        </w:trPr>
        <w:tc>
          <w:tcPr>
            <w:tcW w:w="1702.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智慧城市试点</w:t>
            </w:r>
          </w:p>
        </w:tc>
        <w:tc>
          <w:tcPr>
            <w:tcW w:w="1776.0" w:type="dxa"/>
            <w:tcBorders>
              <w:top w:val="none" w:color="000000"/>
              <w:bottom w:val="none" w:color="000000"/>
              <w:left w:val="none" w:color="000000"/>
              <w:right w:val="none" w:color="000000"/>
            </w:tcBorders>
          </w:tcPr>
          <w:p>
            <w:pPr>
              <w:pStyle w:val="Compact"/>
              <w:spacing w:before="0" w:after="0" w:line="240" w:lineRule="auto"/>
              <w:jc w:val="center"/>
            </w:pPr>
          </w:p>
        </w:tc>
        <w:tc>
          <w:tcPr>
            <w:tcW w:w="1827.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0.0103*</w:t>
            </w:r>
          </w:p>
        </w:tc>
        <w:tc>
          <w:tcPr>
            <w:tcW w:w="1989.0" w:type="dxa"/>
            <w:tcBorders>
              <w:top w:val="none" w:color="000000"/>
              <w:bottom w:val="none" w:color="000000"/>
              <w:left w:val="none" w:color="000000"/>
              <w:right w:val="none" w:color="000000"/>
            </w:tcBorders>
          </w:tcPr>
          <w:p>
            <w:pPr>
              <w:pStyle w:val="Compact"/>
              <w:spacing w:before="0" w:after="0" w:line="240" w:lineRule="auto"/>
              <w:jc w:val="center"/>
            </w:pPr>
          </w:p>
        </w:tc>
        <w:tc>
          <w:tcPr>
            <w:tcW w:w="1663.0" w:type="dxa"/>
            <w:tcBorders>
              <w:top w:val="none" w:color="000000"/>
              <w:bottom w:val="none" w:color="000000"/>
              <w:left w:val="none" w:color="000000"/>
              <w:right w:val="none" w:color="000000"/>
            </w:tcBorders>
          </w:tcPr>
          <w:p>
            <w:pPr>
              <w:pStyle w:val="Compact"/>
              <w:spacing w:before="0" w:after="0" w:line="240" w:lineRule="auto"/>
              <w:jc w:val="center"/>
            </w:pPr>
          </w:p>
        </w:tc>
      </w:tr>
      <w:tr>
        <w:trPr>
          <w:cantSplit/>
        </w:trPr>
        <w:tc>
          <w:tcPr>
            <w:tcW w:w="1702.0" w:type="dxa"/>
            <w:tcBorders>
              <w:top w:val="none" w:color="000000"/>
              <w:bottom w:val="none" w:color="000000"/>
              <w:left w:val="none" w:color="000000"/>
              <w:right w:val="none" w:color="000000"/>
            </w:tcBorders>
          </w:tcPr>
          <w:p>
            <w:pPr>
              <w:pStyle w:val="Compact"/>
              <w:spacing w:before="0" w:after="0" w:line="240" w:lineRule="auto"/>
              <w:jc w:val="center"/>
            </w:pPr>
          </w:p>
        </w:tc>
        <w:tc>
          <w:tcPr>
            <w:tcW w:w="1776.0" w:type="dxa"/>
            <w:tcBorders>
              <w:top w:val="none" w:color="000000"/>
              <w:bottom w:val="none" w:color="000000"/>
              <w:left w:val="none" w:color="000000"/>
              <w:right w:val="none" w:color="000000"/>
            </w:tcBorders>
          </w:tcPr>
          <w:p>
            <w:pPr>
              <w:pStyle w:val="Compact"/>
              <w:spacing w:before="0" w:after="0" w:line="240" w:lineRule="auto"/>
              <w:jc w:val="center"/>
            </w:pPr>
          </w:p>
        </w:tc>
        <w:tc>
          <w:tcPr>
            <w:tcW w:w="1827.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（1.7976）</w:t>
            </w:r>
          </w:p>
        </w:tc>
        <w:tc>
          <w:tcPr>
            <w:tcW w:w="1989.0" w:type="dxa"/>
            <w:tcBorders>
              <w:top w:val="none" w:color="000000"/>
              <w:bottom w:val="none" w:color="000000"/>
              <w:left w:val="none" w:color="000000"/>
              <w:right w:val="none" w:color="000000"/>
            </w:tcBorders>
          </w:tcPr>
          <w:p>
            <w:pPr>
              <w:pStyle w:val="Compact"/>
              <w:spacing w:before="0" w:after="0" w:line="240" w:lineRule="auto"/>
              <w:jc w:val="center"/>
            </w:pPr>
          </w:p>
        </w:tc>
        <w:tc>
          <w:tcPr>
            <w:tcW w:w="1663.0" w:type="dxa"/>
            <w:tcBorders>
              <w:top w:val="none" w:color="000000"/>
              <w:bottom w:val="none" w:color="000000"/>
              <w:left w:val="none" w:color="000000"/>
              <w:right w:val="none" w:color="000000"/>
            </w:tcBorders>
          </w:tcPr>
          <w:p>
            <w:pPr>
              <w:pStyle w:val="Compact"/>
              <w:spacing w:before="0" w:after="0" w:line="240" w:lineRule="auto"/>
              <w:jc w:val="center"/>
            </w:pPr>
          </w:p>
        </w:tc>
      </w:tr>
      <w:tr>
        <w:trPr>
          <w:cantSplit/>
        </w:trPr>
        <w:tc>
          <w:tcPr>
            <w:tcW w:w="1702.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控制变量</w:t>
            </w:r>
          </w:p>
        </w:tc>
        <w:tc>
          <w:tcPr>
            <w:tcW w:w="17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是</w:t>
            </w:r>
          </w:p>
        </w:tc>
        <w:tc>
          <w:tcPr>
            <w:tcW w:w="1827.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是</w:t>
            </w:r>
          </w:p>
        </w:tc>
        <w:tc>
          <w:tcPr>
            <w:tcW w:w="198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是</w:t>
            </w:r>
          </w:p>
        </w:tc>
        <w:tc>
          <w:tcPr>
            <w:tcW w:w="1663.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是</w:t>
            </w:r>
          </w:p>
        </w:tc>
      </w:tr>
      <w:tr>
        <w:trPr>
          <w:cantSplit/>
        </w:trPr>
        <w:tc>
          <w:tcPr>
            <w:tcW w:w="1702.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双向固定效应</w:t>
            </w:r>
          </w:p>
        </w:tc>
        <w:tc>
          <w:tcPr>
            <w:tcW w:w="17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是</w:t>
            </w:r>
          </w:p>
        </w:tc>
        <w:tc>
          <w:tcPr>
            <w:tcW w:w="1827.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是</w:t>
            </w:r>
          </w:p>
        </w:tc>
        <w:tc>
          <w:tcPr>
            <w:tcW w:w="198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是</w:t>
            </w:r>
          </w:p>
        </w:tc>
        <w:tc>
          <w:tcPr>
            <w:tcW w:w="1663.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是</w:t>
            </w:r>
          </w:p>
        </w:tc>
      </w:tr>
      <w:tr>
        <w:trPr>
          <w:cantSplit/>
        </w:trPr>
        <w:tc>
          <w:tcPr>
            <w:tcW w:w="1702.0" w:type="dxa"/>
            <w:tcBorders>
              <w:top w:val="none" w:color="000000"/>
              <w:bottom w:val="none" w:color="000000"/>
              <w:left w:val="none" w:color="000000"/>
              <w:right w:val="none" w:color="000000"/>
            </w:tcBorders>
          </w:tcPr>
          <w:p>
            <w:pPr>
              <w:pStyle w:val="Compact"/>
              <w:spacing w:before="0" w:after="0" w:line="240" w:lineRule="auto"/>
              <w:jc w:val="center"/>
            </w:pPr>
            <w:r>
              <w:rPr>
                <w:iCs/>
                <w:i/>
                <w:sz w:val="21"/>
              </w:rPr>
              <w:t xml:space="preserve">N</w:t>
            </w:r>
          </w:p>
        </w:tc>
        <w:tc>
          <w:tcPr>
            <w:tcW w:w="177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3107</w:t>
            </w:r>
          </w:p>
        </w:tc>
        <w:tc>
          <w:tcPr>
            <w:tcW w:w="1827.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3679</w:t>
            </w:r>
          </w:p>
        </w:tc>
        <w:tc>
          <w:tcPr>
            <w:tcW w:w="198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3679</w:t>
            </w:r>
          </w:p>
        </w:tc>
        <w:tc>
          <w:tcPr>
            <w:tcW w:w="1663.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3679</w:t>
            </w:r>
          </w:p>
        </w:tc>
      </w:tr>
      <w:tr>
        <w:trPr>
          <w:cantSplit/>
        </w:trPr>
        <w:tc>
          <w:tcPr>
            <w:tcW w:w="1702.0" w:type="dxa"/>
            <w:tcBorders>
              <w:top w:val="none" w:color="000000"/>
              <w:bottom w:val="single" w:color="000000" w:sz="12" w:space="0"/>
              <w:left w:val="none" w:color="000000"/>
              <w:right w:val="none" w:color="000000"/>
            </w:tcBorders>
          </w:tcPr>
          <w:p>
            <w:pPr>
              <w:pStyle w:val="Compact"/>
              <w:spacing w:before="0" w:after="0" w:line="240" w:lineRule="auto"/>
              <w:jc w:val="center"/>
            </w:pPr>
            <w:r>
              <w:rPr>
                <w:iCs/>
                <w:i/>
                <w:sz w:val="21"/>
              </w:rPr>
              <w:t xml:space="preserve">R</w:t>
            </w:r>
            <w:r>
              <w:rPr>
                <w:sz w:val="21"/>
              </w:rPr>
              <w:t xml:space="preserve">²</w:t>
            </w:r>
          </w:p>
        </w:tc>
        <w:tc>
          <w:tcPr>
            <w:tcW w:w="1776.0" w:type="dxa"/>
            <w:tcBorders>
              <w:top w:val="none" w:color="000000"/>
              <w:bottom w:val="single" w:color="000000" w:sz="12" w:space="0"/>
              <w:left w:val="none" w:color="000000"/>
              <w:right w:val="none" w:color="000000"/>
            </w:tcBorders>
          </w:tcPr>
          <w:p>
            <w:pPr>
              <w:pStyle w:val="Compact"/>
              <w:spacing w:before="0" w:after="0" w:line="240" w:lineRule="auto"/>
              <w:jc w:val="center"/>
            </w:pPr>
            <w:r>
              <w:rPr>
                <w:sz w:val="21"/>
              </w:rPr>
              <w:t xml:space="preserve">0.2060</w:t>
            </w:r>
          </w:p>
        </w:tc>
        <w:tc>
          <w:tcPr>
            <w:tcW w:w="1827.0" w:type="dxa"/>
            <w:tcBorders>
              <w:top w:val="none" w:color="000000"/>
              <w:bottom w:val="single" w:color="000000" w:sz="12" w:space="0"/>
              <w:left w:val="none" w:color="000000"/>
              <w:right w:val="none" w:color="000000"/>
            </w:tcBorders>
          </w:tcPr>
          <w:p>
            <w:pPr>
              <w:pStyle w:val="Compact"/>
              <w:spacing w:before="0" w:after="0" w:line="240" w:lineRule="auto"/>
              <w:jc w:val="center"/>
            </w:pPr>
            <w:r>
              <w:rPr>
                <w:sz w:val="21"/>
              </w:rPr>
              <w:t xml:space="preserve">0.2274</w:t>
            </w:r>
          </w:p>
        </w:tc>
        <w:tc>
          <w:tcPr>
            <w:tcW w:w="1989.0" w:type="dxa"/>
            <w:tcBorders>
              <w:top w:val="none" w:color="000000"/>
              <w:bottom w:val="single" w:color="000000" w:sz="12" w:space="0"/>
              <w:left w:val="none" w:color="000000"/>
              <w:right w:val="none" w:color="000000"/>
            </w:tcBorders>
          </w:tcPr>
          <w:p>
            <w:pPr>
              <w:pStyle w:val="Compact"/>
              <w:spacing w:before="0" w:after="0" w:line="240" w:lineRule="auto"/>
              <w:jc w:val="center"/>
            </w:pPr>
            <w:r>
              <w:rPr>
                <w:sz w:val="21"/>
              </w:rPr>
              <w:t xml:space="preserve">0.1983</w:t>
            </w:r>
          </w:p>
        </w:tc>
        <w:tc>
          <w:tcPr>
            <w:tcW w:w="1663.0" w:type="dxa"/>
            <w:tcBorders>
              <w:top w:val="none" w:color="000000"/>
              <w:bottom w:val="single" w:color="000000" w:sz="12" w:space="0"/>
              <w:left w:val="none" w:color="000000"/>
              <w:right w:val="none" w:color="000000"/>
            </w:tcBorders>
          </w:tcPr>
          <w:p>
            <w:pPr>
              <w:pStyle w:val="Compact"/>
              <w:spacing w:before="0" w:after="0" w:line="240" w:lineRule="auto"/>
              <w:jc w:val="center"/>
            </w:pPr>
            <w:r>
              <w:rPr>
                <w:sz w:val="21"/>
              </w:rPr>
              <w:t xml:space="preserve">0.1981</w:t>
            </w:r>
          </w:p>
        </w:tc>
      </w:tr>
    </w:tbl>
    <w:p>
      <w:pPr>
        <w:pStyle w:val="TableNote"/>
      </w:pPr>
      <w:r>
        <w:t xml:space="preserve">注：第（1）列为核匹配权重下的加权双向固定效应估计，报告组内</w:t>
      </w:r>
      <w:r>
        <w:rPr>
          <w:iCs/>
          <w:i/>
        </w:rPr>
        <w:t xml:space="preserve">R</w:t>
      </w:r>
      <w:r>
        <w:t xml:space="preserve">²。</w:t>
      </w:r>
    </w:p>
    <w:p>
      <w:pPr>
        <w:pStyle w:val="TableCaption"/>
      </w:pPr>
      <w:r>
        <w:t xml:space="preserve">表5 稳健性检验结果（二）</w:t>
      </w:r>
    </w:p>
    <w:tbl>
      <w:tblPr>
        <w:jc w:val="center"/>
        <w:tblLook w:firstRow="1" w:lastRow="0" w:firstColumn="0" w:lastColumn="0" w:noHBand="0" w:noVBand="0" w:val="0020"/>
        <w:tblCaption w:val="表5 稳健性检验结果（二）"/>
        <w:tblW w:w="8957" w:type="dxa"/>
        <w:tblLayout w:type="fixed"/>
        <w:tblBorders>
          <w:top w:val="single" w:color="000000" w:sz="12" w:space="0"/>
          <w:left w:val="none" w:color="000000"/>
          <w:bottom w:val="single" w:color="000000" w:sz="12" w:space="0"/>
          <w:right w:val="none" w:color="000000"/>
          <w:insideH w:val="none" w:color="000000"/>
          <w:insideV w:val="none" w:color="000000"/>
        </w:tblBorders>
      </w:tblPr>
      <w:tblGrid>
        <w:gridCol w:w="1603.0"/>
        <w:gridCol w:w="1972.0"/>
        <w:gridCol w:w="1704.0"/>
        <w:gridCol w:w="1838.0"/>
        <w:gridCol w:w="1840.0"/>
      </w:tblGrid>
      <w:tr>
        <w:trPr>
          <w:tblHeader w:val="true"/>
          <w:cantSplit/>
          <w:tblHeader/>
        </w:trPr>
        <w:tc>
          <w:tcPr>
            <w:tcW w:w="1603.0"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sz w:val="21"/>
              </w:rPr>
              <w:t xml:space="preserve">变量</w:t>
            </w:r>
          </w:p>
        </w:tc>
        <w:tc>
          <w:tcPr>
            <w:tcW w:w="1972.0"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sz w:val="21"/>
              </w:rPr>
              <w:t xml:space="preserve">（1）剔除高行政级别城市</w:t>
            </w:r>
          </w:p>
        </w:tc>
        <w:tc>
          <w:tcPr>
            <w:tcW w:w="1704.0"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sz w:val="21"/>
              </w:rPr>
              <w:t xml:space="preserve">（2）剔除2020年</w:t>
            </w:r>
          </w:p>
        </w:tc>
        <w:tc>
          <w:tcPr>
            <w:tcW w:w="1838.0"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sz w:val="21"/>
              </w:rPr>
              <w:t xml:space="preserve">（3）剔除2021年队列</w:t>
            </w:r>
          </w:p>
        </w:tc>
        <w:tc>
          <w:tcPr>
            <w:tcW w:w="1840.0"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sz w:val="21"/>
              </w:rPr>
              <w:t xml:space="preserve">（4）替换为开放强度</w:t>
            </w:r>
          </w:p>
        </w:tc>
      </w:tr>
      <w:tr>
        <w:trPr>
          <w:cantSplit/>
        </w:trPr>
        <w:tc>
          <w:tcPr>
            <w:tcW w:w="1603.0" w:type="dxa"/>
            <w:tcBorders>
              <w:top w:val="none" w:color="000000"/>
              <w:bottom w:val="none" w:color="000000"/>
              <w:left w:val="none" w:color="000000"/>
              <w:right w:val="none" w:color="000000"/>
            </w:tcBorders>
          </w:tcPr>
          <w:p>
            <w:pPr>
              <w:pStyle w:val="Compact"/>
              <w:spacing w:before="0" w:after="0" w:line="240" w:lineRule="auto"/>
              <w:jc w:val="center"/>
            </w:pPr>
            <w:r>
              <w:rPr>
                <w:iCs/>
                <w:i/>
                <w:sz w:val="21"/>
              </w:rPr>
              <w:t xml:space="preserve">did</w:t>
            </w:r>
          </w:p>
        </w:tc>
        <w:tc>
          <w:tcPr>
            <w:tcW w:w="1972.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0.0311***</w:t>
            </w:r>
          </w:p>
        </w:tc>
        <w:tc>
          <w:tcPr>
            <w:tcW w:w="1704.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0.0330***</w:t>
            </w:r>
          </w:p>
        </w:tc>
        <w:tc>
          <w:tcPr>
            <w:tcW w:w="1838.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0.0326***</w:t>
            </w:r>
          </w:p>
        </w:tc>
        <w:tc>
          <w:tcPr>
            <w:tcW w:w="1840.0" w:type="dxa"/>
            <w:tcBorders>
              <w:top w:val="none" w:color="000000"/>
              <w:bottom w:val="none" w:color="000000"/>
              <w:left w:val="none" w:color="000000"/>
              <w:right w:val="none" w:color="000000"/>
            </w:tcBorders>
          </w:tcPr>
          <w:p>
            <w:pPr>
              <w:pStyle w:val="Compact"/>
              <w:spacing w:before="0" w:after="0" w:line="240" w:lineRule="auto"/>
              <w:jc w:val="center"/>
            </w:pPr>
          </w:p>
        </w:tc>
      </w:tr>
      <w:tr>
        <w:trPr>
          <w:cantSplit/>
        </w:trPr>
        <w:tc>
          <w:tcPr>
            <w:tcW w:w="1603.0" w:type="dxa"/>
            <w:tcBorders>
              <w:top w:val="none" w:color="000000"/>
              <w:bottom w:val="none" w:color="000000"/>
              <w:left w:val="none" w:color="000000"/>
              <w:right w:val="none" w:color="000000"/>
            </w:tcBorders>
          </w:tcPr>
          <w:p>
            <w:pPr>
              <w:pStyle w:val="Compact"/>
              <w:spacing w:before="0" w:after="0" w:line="240" w:lineRule="auto"/>
              <w:jc w:val="center"/>
            </w:pPr>
          </w:p>
        </w:tc>
        <w:tc>
          <w:tcPr>
            <w:tcW w:w="1972.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（8.7120）</w:t>
            </w:r>
          </w:p>
        </w:tc>
        <w:tc>
          <w:tcPr>
            <w:tcW w:w="1704.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（8.8534）</w:t>
            </w:r>
          </w:p>
        </w:tc>
        <w:tc>
          <w:tcPr>
            <w:tcW w:w="1838.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（8.9086）</w:t>
            </w:r>
          </w:p>
        </w:tc>
        <w:tc>
          <w:tcPr>
            <w:tcW w:w="1840.0" w:type="dxa"/>
            <w:tcBorders>
              <w:top w:val="none" w:color="000000"/>
              <w:bottom w:val="none" w:color="000000"/>
              <w:left w:val="none" w:color="000000"/>
              <w:right w:val="none" w:color="000000"/>
            </w:tcBorders>
          </w:tcPr>
          <w:p>
            <w:pPr>
              <w:pStyle w:val="Compact"/>
              <w:spacing w:before="0" w:after="0" w:line="240" w:lineRule="auto"/>
              <w:jc w:val="center"/>
            </w:pPr>
          </w:p>
        </w:tc>
      </w:tr>
      <w:tr>
        <w:trPr>
          <w:cantSplit/>
        </w:trPr>
        <w:tc>
          <w:tcPr>
            <w:tcW w:w="1603.0" w:type="dxa"/>
            <w:tcBorders>
              <w:top w:val="none" w:color="000000"/>
              <w:bottom w:val="none" w:color="000000"/>
              <w:left w:val="none" w:color="000000"/>
              <w:right w:val="none" w:color="000000"/>
            </w:tcBorders>
          </w:tcPr>
          <w:p>
            <w:pPr>
              <w:pStyle w:val="Compact"/>
              <w:spacing w:before="0" w:after="0" w:line="240" w:lineRule="auto"/>
              <w:jc w:val="center"/>
            </w:pPr>
            <w:r>
              <w:rPr>
                <w:iCs/>
                <w:i/>
                <w:sz w:val="21"/>
              </w:rPr>
              <w:t xml:space="preserve">openvol</w:t>
            </w:r>
          </w:p>
        </w:tc>
        <w:tc>
          <w:tcPr>
            <w:tcW w:w="1972.0" w:type="dxa"/>
            <w:tcBorders>
              <w:top w:val="none" w:color="000000"/>
              <w:bottom w:val="none" w:color="000000"/>
              <w:left w:val="none" w:color="000000"/>
              <w:right w:val="none" w:color="000000"/>
            </w:tcBorders>
          </w:tcPr>
          <w:p>
            <w:pPr>
              <w:pStyle w:val="Compact"/>
              <w:spacing w:before="0" w:after="0" w:line="240" w:lineRule="auto"/>
              <w:jc w:val="center"/>
            </w:pPr>
          </w:p>
        </w:tc>
        <w:tc>
          <w:tcPr>
            <w:tcW w:w="1704.0" w:type="dxa"/>
            <w:tcBorders>
              <w:top w:val="none" w:color="000000"/>
              <w:bottom w:val="none" w:color="000000"/>
              <w:left w:val="none" w:color="000000"/>
              <w:right w:val="none" w:color="000000"/>
            </w:tcBorders>
          </w:tcPr>
          <w:p>
            <w:pPr>
              <w:pStyle w:val="Compact"/>
              <w:spacing w:before="0" w:after="0" w:line="240" w:lineRule="auto"/>
              <w:jc w:val="center"/>
            </w:pPr>
          </w:p>
        </w:tc>
        <w:tc>
          <w:tcPr>
            <w:tcW w:w="1838.0" w:type="dxa"/>
            <w:tcBorders>
              <w:top w:val="none" w:color="000000"/>
              <w:bottom w:val="none" w:color="000000"/>
              <w:left w:val="none" w:color="000000"/>
              <w:right w:val="none" w:color="000000"/>
            </w:tcBorders>
          </w:tcPr>
          <w:p>
            <w:pPr>
              <w:pStyle w:val="Compact"/>
              <w:spacing w:before="0" w:after="0" w:line="240" w:lineRule="auto"/>
              <w:jc w:val="center"/>
            </w:pPr>
          </w:p>
        </w:tc>
        <w:tc>
          <w:tcPr>
            <w:tcW w:w="1840.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0.0199***</w:t>
            </w:r>
          </w:p>
        </w:tc>
      </w:tr>
      <w:tr>
        <w:trPr>
          <w:cantSplit/>
        </w:trPr>
        <w:tc>
          <w:tcPr>
            <w:tcW w:w="1603.0" w:type="dxa"/>
            <w:tcBorders>
              <w:top w:val="none" w:color="000000"/>
              <w:bottom w:val="none" w:color="000000"/>
              <w:left w:val="none" w:color="000000"/>
              <w:right w:val="none" w:color="000000"/>
            </w:tcBorders>
          </w:tcPr>
          <w:p>
            <w:pPr>
              <w:pStyle w:val="Compact"/>
              <w:spacing w:before="0" w:after="0" w:line="240" w:lineRule="auto"/>
              <w:jc w:val="center"/>
            </w:pPr>
          </w:p>
        </w:tc>
        <w:tc>
          <w:tcPr>
            <w:tcW w:w="1972.0" w:type="dxa"/>
            <w:tcBorders>
              <w:top w:val="none" w:color="000000"/>
              <w:bottom w:val="none" w:color="000000"/>
              <w:left w:val="none" w:color="000000"/>
              <w:right w:val="none" w:color="000000"/>
            </w:tcBorders>
          </w:tcPr>
          <w:p>
            <w:pPr>
              <w:pStyle w:val="Compact"/>
              <w:spacing w:before="0" w:after="0" w:line="240" w:lineRule="auto"/>
              <w:jc w:val="center"/>
            </w:pPr>
          </w:p>
        </w:tc>
        <w:tc>
          <w:tcPr>
            <w:tcW w:w="1704.0" w:type="dxa"/>
            <w:tcBorders>
              <w:top w:val="none" w:color="000000"/>
              <w:bottom w:val="none" w:color="000000"/>
              <w:left w:val="none" w:color="000000"/>
              <w:right w:val="none" w:color="000000"/>
            </w:tcBorders>
          </w:tcPr>
          <w:p>
            <w:pPr>
              <w:pStyle w:val="Compact"/>
              <w:spacing w:before="0" w:after="0" w:line="240" w:lineRule="auto"/>
              <w:jc w:val="center"/>
            </w:pPr>
          </w:p>
        </w:tc>
        <w:tc>
          <w:tcPr>
            <w:tcW w:w="1838.0" w:type="dxa"/>
            <w:tcBorders>
              <w:top w:val="none" w:color="000000"/>
              <w:bottom w:val="none" w:color="000000"/>
              <w:left w:val="none" w:color="000000"/>
              <w:right w:val="none" w:color="000000"/>
            </w:tcBorders>
          </w:tcPr>
          <w:p>
            <w:pPr>
              <w:pStyle w:val="Compact"/>
              <w:spacing w:before="0" w:after="0" w:line="240" w:lineRule="auto"/>
              <w:jc w:val="center"/>
            </w:pPr>
          </w:p>
        </w:tc>
        <w:tc>
          <w:tcPr>
            <w:tcW w:w="1840.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（8.4554）</w:t>
            </w:r>
          </w:p>
        </w:tc>
      </w:tr>
      <w:tr>
        <w:trPr>
          <w:cantSplit/>
        </w:trPr>
        <w:tc>
          <w:tcPr>
            <w:tcW w:w="1603.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控制变量</w:t>
            </w:r>
          </w:p>
        </w:tc>
        <w:tc>
          <w:tcPr>
            <w:tcW w:w="1972.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是</w:t>
            </w:r>
          </w:p>
        </w:tc>
        <w:tc>
          <w:tcPr>
            <w:tcW w:w="1704.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是</w:t>
            </w:r>
          </w:p>
        </w:tc>
        <w:tc>
          <w:tcPr>
            <w:tcW w:w="1838.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是</w:t>
            </w:r>
          </w:p>
        </w:tc>
        <w:tc>
          <w:tcPr>
            <w:tcW w:w="1840.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是</w:t>
            </w:r>
          </w:p>
        </w:tc>
      </w:tr>
      <w:tr>
        <w:trPr>
          <w:cantSplit/>
        </w:trPr>
        <w:tc>
          <w:tcPr>
            <w:tcW w:w="1603.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双向固定效应</w:t>
            </w:r>
          </w:p>
        </w:tc>
        <w:tc>
          <w:tcPr>
            <w:tcW w:w="1972.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是</w:t>
            </w:r>
          </w:p>
        </w:tc>
        <w:tc>
          <w:tcPr>
            <w:tcW w:w="1704.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是</w:t>
            </w:r>
          </w:p>
        </w:tc>
        <w:tc>
          <w:tcPr>
            <w:tcW w:w="1838.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是</w:t>
            </w:r>
          </w:p>
        </w:tc>
        <w:tc>
          <w:tcPr>
            <w:tcW w:w="1840.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是</w:t>
            </w:r>
          </w:p>
        </w:tc>
      </w:tr>
      <w:tr>
        <w:trPr>
          <w:cantSplit/>
        </w:trPr>
        <w:tc>
          <w:tcPr>
            <w:tcW w:w="1603.0" w:type="dxa"/>
            <w:tcBorders>
              <w:top w:val="none" w:color="000000"/>
              <w:bottom w:val="none" w:color="000000"/>
              <w:left w:val="none" w:color="000000"/>
              <w:right w:val="none" w:color="000000"/>
            </w:tcBorders>
          </w:tcPr>
          <w:p>
            <w:pPr>
              <w:pStyle w:val="Compact"/>
              <w:spacing w:before="0" w:after="0" w:line="240" w:lineRule="auto"/>
              <w:jc w:val="center"/>
            </w:pPr>
            <w:r>
              <w:rPr>
                <w:iCs/>
                <w:i/>
                <w:sz w:val="21"/>
              </w:rPr>
              <w:t xml:space="preserve">N</w:t>
            </w:r>
          </w:p>
        </w:tc>
        <w:tc>
          <w:tcPr>
            <w:tcW w:w="1972.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3432</w:t>
            </w:r>
          </w:p>
        </w:tc>
        <w:tc>
          <w:tcPr>
            <w:tcW w:w="1704.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3396</w:t>
            </w:r>
          </w:p>
        </w:tc>
        <w:tc>
          <w:tcPr>
            <w:tcW w:w="1838.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3458</w:t>
            </w:r>
          </w:p>
        </w:tc>
        <w:tc>
          <w:tcPr>
            <w:tcW w:w="1840.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3679</w:t>
            </w:r>
          </w:p>
        </w:tc>
      </w:tr>
      <w:tr>
        <w:trPr>
          <w:cantSplit/>
        </w:trPr>
        <w:tc>
          <w:tcPr>
            <w:tcW w:w="1603.0" w:type="dxa"/>
            <w:tcBorders>
              <w:top w:val="none" w:color="000000"/>
              <w:bottom w:val="single" w:color="000000" w:sz="12" w:space="0"/>
              <w:left w:val="none" w:color="000000"/>
              <w:right w:val="none" w:color="000000"/>
            </w:tcBorders>
          </w:tcPr>
          <w:p>
            <w:pPr>
              <w:pStyle w:val="Compact"/>
              <w:spacing w:before="0" w:after="0" w:line="240" w:lineRule="auto"/>
              <w:jc w:val="center"/>
            </w:pPr>
            <w:r>
              <w:rPr>
                <w:iCs/>
                <w:i/>
                <w:sz w:val="21"/>
              </w:rPr>
              <w:t xml:space="preserve">R</w:t>
            </w:r>
            <w:r>
              <w:rPr>
                <w:sz w:val="21"/>
              </w:rPr>
              <w:t xml:space="preserve">²</w:t>
            </w:r>
          </w:p>
        </w:tc>
        <w:tc>
          <w:tcPr>
            <w:tcW w:w="1972.0" w:type="dxa"/>
            <w:tcBorders>
              <w:top w:val="none" w:color="000000"/>
              <w:bottom w:val="single" w:color="000000" w:sz="12" w:space="0"/>
              <w:left w:val="none" w:color="000000"/>
              <w:right w:val="none" w:color="000000"/>
            </w:tcBorders>
          </w:tcPr>
          <w:p>
            <w:pPr>
              <w:pStyle w:val="Compact"/>
              <w:spacing w:before="0" w:after="0" w:line="240" w:lineRule="auto"/>
              <w:jc w:val="center"/>
            </w:pPr>
            <w:r>
              <w:rPr>
                <w:sz w:val="21"/>
              </w:rPr>
              <w:t xml:space="preserve">0.2209</w:t>
            </w:r>
          </w:p>
        </w:tc>
        <w:tc>
          <w:tcPr>
            <w:tcW w:w="1704.0" w:type="dxa"/>
            <w:tcBorders>
              <w:top w:val="none" w:color="000000"/>
              <w:bottom w:val="single" w:color="000000" w:sz="12" w:space="0"/>
              <w:left w:val="none" w:color="000000"/>
              <w:right w:val="none" w:color="000000"/>
            </w:tcBorders>
          </w:tcPr>
          <w:p>
            <w:pPr>
              <w:pStyle w:val="Compact"/>
              <w:spacing w:before="0" w:after="0" w:line="240" w:lineRule="auto"/>
              <w:jc w:val="center"/>
            </w:pPr>
            <w:r>
              <w:rPr>
                <w:sz w:val="21"/>
              </w:rPr>
              <w:t xml:space="preserve">0.2202</w:t>
            </w:r>
          </w:p>
        </w:tc>
        <w:tc>
          <w:tcPr>
            <w:tcW w:w="1838.0" w:type="dxa"/>
            <w:tcBorders>
              <w:top w:val="none" w:color="000000"/>
              <w:bottom w:val="single" w:color="000000" w:sz="12" w:space="0"/>
              <w:left w:val="none" w:color="000000"/>
              <w:right w:val="none" w:color="000000"/>
            </w:tcBorders>
          </w:tcPr>
          <w:p>
            <w:pPr>
              <w:pStyle w:val="Compact"/>
              <w:spacing w:before="0" w:after="0" w:line="240" w:lineRule="auto"/>
              <w:jc w:val="center"/>
            </w:pPr>
            <w:r>
              <w:rPr>
                <w:sz w:val="21"/>
              </w:rPr>
              <w:t xml:space="preserve">0.2216</w:t>
            </w:r>
          </w:p>
        </w:tc>
        <w:tc>
          <w:tcPr>
            <w:tcW w:w="1840.0" w:type="dxa"/>
            <w:tcBorders>
              <w:top w:val="none" w:color="000000"/>
              <w:bottom w:val="single" w:color="000000" w:sz="12" w:space="0"/>
              <w:left w:val="none" w:color="000000"/>
              <w:right w:val="none" w:color="000000"/>
            </w:tcBorders>
          </w:tcPr>
          <w:p>
            <w:pPr>
              <w:pStyle w:val="Compact"/>
              <w:spacing w:before="0" w:after="0" w:line="240" w:lineRule="auto"/>
              <w:jc w:val="center"/>
            </w:pPr>
            <w:r>
              <w:rPr>
                <w:sz w:val="21"/>
              </w:rPr>
              <w:t xml:space="preserve">0.2194</w:t>
            </w:r>
          </w:p>
        </w:tc>
      </w:tr>
    </w:tbl>
    <w:p>
      <w:pPr>
        <w:pStyle w:val="TableNote"/>
      </w:pPr>
      <w:r>
        <w:t xml:space="preserve">注：第（4）列的</w:t>
      </w:r>
      <w:r>
        <w:rPr>
          <w:iCs/>
          <w:i/>
        </w:rPr>
        <w:t xml:space="preserve">openvol</w:t>
      </w:r>
      <w:r>
        <w:t xml:space="preserve">为开放数据集规模（万条）加1的对数。</w:t>
      </w:r>
    </w:p>
    <w:bookmarkEnd w:id="39"/>
    <w:bookmarkStart w:id="40" w:name="内生性处理"/>
    <w:p>
      <w:pPr>
        <w:pStyle w:val="Heading2"/>
      </w:pPr>
      <w:r>
        <w:t xml:space="preserve">3.6 内生性处理</w:t>
      </w:r>
    </w:p>
    <w:p>
      <w:pPr>
        <w:pStyle w:val="FirstParagraph"/>
        <w:spacing w:before="0" w:after="0"/>
      </w:pPr>
      <w:r>
        <w:t xml:space="preserve">尽管交错双重差分已在很大程度上控制了不随时间变化的城市特征，数据开放平台的上线时点仍可能与影响绿色转型的不可观测冲击相关。为此，本文借鉴Bartik类工具变量的构造思路，以城市1984年每万人邮电局数、地形起伏度的负值分别与当年全国累计上线数据开放平台数量的交乘项作为工具变量。历史邮电基础设施与地形条件决定了城市信息化建设的初始禀赋，从而影响其上线数据开放平台的相对时序，但难以在控制城市固定效应与一系列时变特征后直接影响当期绿色全要素生产率。</w:t>
      </w:r>
    </w:p>
    <w:p>
      <w:pPr>
        <w:pStyle w:val="BodyText"/>
        <w:spacing w:before="0" w:after="0"/>
      </w:pPr>
      <w:r>
        <w:t xml:space="preserve">表6报告了估计结果。第一阶段中两个工具变量的系数分别为0.1246与0.1499，且均在1%的水平上显著，</w:t>
      </w:r>
      <w:r>
        <w:rPr>
          <w:iCs/>
          <w:i/>
        </w:rPr>
        <w:t xml:space="preserve">F</w:t>
      </w:r>
      <w:r>
        <w:t xml:space="preserve">统计量为100.4460，远高于10的经验阈值，不存在弱工具变量问题。Hansen过度识别检验的统计量为0.7592，对应</w:t>
      </w:r>
      <w:r>
        <w:rPr>
          <w:iCs/>
          <w:i/>
        </w:rPr>
        <w:t xml:space="preserve">P</w:t>
      </w:r>
      <w:r>
        <w:t xml:space="preserve">值为0.3836，无法拒绝工具变量外生的原假设。第二阶段中公共数据开放的系数为0.0662，在1%的水平上显著，符号与基准结果一致但绝对值更大。这一差异符合工具变量估计识别的是”顺应者”局部平均处理效应的性质：受历史信息化禀赋驱动而较早上线平台的城市，其数据资源与本地吸收能力的互补程度更高，政策效应因而更强。综合而言，内生性问题并未改变本文的基本结论，基准估计更接近全样本的平均处理效应。</w:t>
      </w:r>
    </w:p>
    <w:bookmarkEnd w:id="40"/>
    <w:bookmarkStart w:id="41" w:name="空间溢出效应与sutva检验"/>
    <w:p>
      <w:pPr>
        <w:pStyle w:val="Heading2"/>
      </w:pPr>
      <w:r>
        <w:t xml:space="preserve">3.7 空间溢出效应与SUTVA检验</w:t>
      </w:r>
    </w:p>
    <w:p>
      <w:pPr>
        <w:pStyle w:val="FirstParagraph"/>
        <w:spacing w:before="0" w:after="0"/>
      </w:pPr>
      <w:r>
        <w:t xml:space="preserve">公共数据开放具有知识外溢属性，可能违背个体处理效应稳定性假设。表7报告了式(2-5)的估计结果：本地政策的系数为0.0311，邻近城市处理强度的系数为0.0372，</w:t>
      </w:r>
      <w:r>
        <w:rPr>
          <w:iCs/>
          <w:i/>
        </w:rPr>
        <w:t xml:space="preserve">t</w:t>
      </w:r>
      <w:r>
        <w:t xml:space="preserve">值为4.7721，在1%的水平上显著为正，假设3得到验证。这意味着未开放城市在一定程度上分享了邻近城市数据开放的收益，以其作为对照组会低估政策的真实效应，即基准估计构成政策效应的保守下界。为进一步印证，本文剔除邻近处理强度高于中位数的71个从未处理城市，仅保留受溢出影响较弱的212个城市重新估计，所得系数为0.0319（</w:t>
      </w:r>
      <w:r>
        <w:rPr>
          <w:iCs/>
          <w:i/>
        </w:rPr>
        <w:t xml:space="preserve">t</w:t>
      </w:r>
      <w:r>
        <w:t xml:space="preserve">值为8.2969），与全样本结果相当，说明溢出效应虽然存在但对基准估计的量级影响有限。</w:t>
      </w:r>
    </w:p>
    <w:p>
      <w:pPr>
        <w:pStyle w:val="TableCaption"/>
      </w:pPr>
      <w:r>
        <w:t xml:space="preserve">表6 工具变量估计结果</w:t>
      </w:r>
    </w:p>
    <w:tbl>
      <w:tblPr>
        <w:jc w:val="center"/>
        <w:tblLook w:firstRow="1" w:lastRow="0" w:firstColumn="0" w:lastColumn="0" w:noHBand="0" w:noVBand="0" w:val="0020"/>
        <w:tblCaption w:val="表6 工具变量估计结果"/>
        <w:tblW w:w="8957" w:type="dxa"/>
        <w:tblLayout w:type="fixed"/>
        <w:tblBorders>
          <w:top w:val="single" w:color="000000" w:sz="12" w:space="0"/>
          <w:left w:val="none" w:color="000000"/>
          <w:bottom w:val="single" w:color="000000" w:sz="12" w:space="0"/>
          <w:right w:val="none" w:color="000000"/>
          <w:insideH w:val="none" w:color="000000"/>
          <w:insideV w:val="none" w:color="000000"/>
        </w:tblBorders>
      </w:tblPr>
      <w:tblGrid>
        <w:gridCol w:w="4030"/>
        <w:gridCol w:w="2463.0"/>
        <w:gridCol w:w="2464.0"/>
      </w:tblGrid>
      <w:tr>
        <w:trPr>
          <w:tblHeader w:val="true"/>
          <w:cantSplit/>
          <w:tblHeader/>
        </w:trPr>
        <w:tc>
          <w:tcPr>
            <w:tcW w:w="4030"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sz w:val="21"/>
              </w:rPr>
              <w:t xml:space="preserve">变量</w:t>
            </w:r>
          </w:p>
        </w:tc>
        <w:tc>
          <w:tcPr>
            <w:tcW w:w="2463.0"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sz w:val="21"/>
              </w:rPr>
              <w:t xml:space="preserve">（1）第一阶段</w:t>
            </w:r>
          </w:p>
        </w:tc>
        <w:tc>
          <w:tcPr>
            <w:tcW w:w="2464.0"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sz w:val="21"/>
              </w:rPr>
              <w:t xml:space="preserve">（2）第二阶段</w:t>
            </w:r>
          </w:p>
        </w:tc>
      </w:tr>
      <w:tr>
        <w:trPr>
          <w:cantSplit/>
        </w:trPr>
        <w:tc>
          <w:tcPr>
            <w:tcW w:w="4030" w:type="dxa"/>
            <w:tcBorders>
              <w:top w:val="none" w:color="000000"/>
              <w:bottom w:val="none" w:color="000000"/>
              <w:left w:val="none" w:color="000000"/>
              <w:right w:val="none" w:color="000000"/>
            </w:tcBorders>
          </w:tcPr>
          <w:p>
            <w:pPr>
              <w:pStyle w:val="Compact"/>
              <w:spacing w:before="0" w:after="0" w:line="240" w:lineRule="auto"/>
              <w:jc w:val="center"/>
            </w:pPr>
            <w:r>
              <w:rPr>
                <w:iCs/>
                <w:i/>
                <w:sz w:val="21"/>
              </w:rPr>
              <w:t xml:space="preserve">did</w:t>
            </w:r>
          </w:p>
        </w:tc>
        <w:tc>
          <w:tcPr>
            <w:tcW w:w="2463.0" w:type="dxa"/>
            <w:tcBorders>
              <w:top w:val="none" w:color="000000"/>
              <w:bottom w:val="none" w:color="000000"/>
              <w:left w:val="none" w:color="000000"/>
              <w:right w:val="none" w:color="000000"/>
            </w:tcBorders>
          </w:tcPr>
          <w:p>
            <w:pPr>
              <w:pStyle w:val="Compact"/>
              <w:spacing w:before="0" w:after="0" w:line="240" w:lineRule="auto"/>
              <w:jc w:val="center"/>
            </w:pPr>
          </w:p>
        </w:tc>
        <w:tc>
          <w:tcPr>
            <w:tcW w:w="2464.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0.0662***</w:t>
            </w:r>
          </w:p>
        </w:tc>
      </w:tr>
      <w:tr>
        <w:trPr>
          <w:cantSplit/>
        </w:trPr>
        <w:tc>
          <w:tcPr>
            <w:tcW w:w="4030" w:type="dxa"/>
            <w:tcBorders>
              <w:top w:val="none" w:color="000000"/>
              <w:bottom w:val="none" w:color="000000"/>
              <w:left w:val="none" w:color="000000"/>
              <w:right w:val="none" w:color="000000"/>
            </w:tcBorders>
          </w:tcPr>
          <w:p>
            <w:pPr>
              <w:pStyle w:val="Compact"/>
              <w:spacing w:before="0" w:after="0" w:line="240" w:lineRule="auto"/>
              <w:jc w:val="center"/>
            </w:pPr>
          </w:p>
        </w:tc>
        <w:tc>
          <w:tcPr>
            <w:tcW w:w="2463.0" w:type="dxa"/>
            <w:tcBorders>
              <w:top w:val="none" w:color="000000"/>
              <w:bottom w:val="none" w:color="000000"/>
              <w:left w:val="none" w:color="000000"/>
              <w:right w:val="none" w:color="000000"/>
            </w:tcBorders>
          </w:tcPr>
          <w:p>
            <w:pPr>
              <w:pStyle w:val="Compact"/>
              <w:spacing w:before="0" w:after="0" w:line="240" w:lineRule="auto"/>
              <w:jc w:val="center"/>
            </w:pPr>
          </w:p>
        </w:tc>
        <w:tc>
          <w:tcPr>
            <w:tcW w:w="2464.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（4.4842）</w:t>
            </w:r>
          </w:p>
        </w:tc>
      </w:tr>
      <w:tr>
        <w:trPr>
          <w:cantSplit/>
        </w:trPr>
        <w:tc>
          <w:tcPr>
            <w:tcW w:w="403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历史邮电密度×全国平台数</w:t>
            </w:r>
          </w:p>
        </w:tc>
        <w:tc>
          <w:tcPr>
            <w:tcW w:w="2463.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0.1246***</w:t>
            </w:r>
          </w:p>
        </w:tc>
        <w:tc>
          <w:tcPr>
            <w:tcW w:w="2464.0" w:type="dxa"/>
            <w:tcBorders>
              <w:top w:val="none" w:color="000000"/>
              <w:bottom w:val="none" w:color="000000"/>
              <w:left w:val="none" w:color="000000"/>
              <w:right w:val="none" w:color="000000"/>
            </w:tcBorders>
          </w:tcPr>
          <w:p>
            <w:pPr>
              <w:pStyle w:val="Compact"/>
              <w:spacing w:before="0" w:after="0" w:line="240" w:lineRule="auto"/>
              <w:jc w:val="center"/>
            </w:pPr>
          </w:p>
        </w:tc>
      </w:tr>
      <w:tr>
        <w:trPr>
          <w:cantSplit/>
        </w:trPr>
        <w:tc>
          <w:tcPr>
            <w:tcW w:w="4030" w:type="dxa"/>
            <w:tcBorders>
              <w:top w:val="none" w:color="000000"/>
              <w:bottom w:val="none" w:color="000000"/>
              <w:left w:val="none" w:color="000000"/>
              <w:right w:val="none" w:color="000000"/>
            </w:tcBorders>
          </w:tcPr>
          <w:p>
            <w:pPr>
              <w:pStyle w:val="Compact"/>
              <w:spacing w:before="0" w:after="0" w:line="240" w:lineRule="auto"/>
              <w:jc w:val="center"/>
            </w:pPr>
          </w:p>
        </w:tc>
        <w:tc>
          <w:tcPr>
            <w:tcW w:w="2463.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（3.6616）</w:t>
            </w:r>
          </w:p>
        </w:tc>
        <w:tc>
          <w:tcPr>
            <w:tcW w:w="2464.0" w:type="dxa"/>
            <w:tcBorders>
              <w:top w:val="none" w:color="000000"/>
              <w:bottom w:val="none" w:color="000000"/>
              <w:left w:val="none" w:color="000000"/>
              <w:right w:val="none" w:color="000000"/>
            </w:tcBorders>
          </w:tcPr>
          <w:p>
            <w:pPr>
              <w:pStyle w:val="Compact"/>
              <w:spacing w:before="0" w:after="0" w:line="240" w:lineRule="auto"/>
              <w:jc w:val="center"/>
            </w:pPr>
          </w:p>
        </w:tc>
      </w:tr>
      <w:tr>
        <w:trPr>
          <w:cantSplit/>
        </w:trPr>
        <w:tc>
          <w:tcPr>
            <w:tcW w:w="403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地形起伏度（负）×全国平台数</w:t>
            </w:r>
          </w:p>
        </w:tc>
        <w:tc>
          <w:tcPr>
            <w:tcW w:w="2463.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0.1499***</w:t>
            </w:r>
          </w:p>
        </w:tc>
        <w:tc>
          <w:tcPr>
            <w:tcW w:w="2464.0" w:type="dxa"/>
            <w:tcBorders>
              <w:top w:val="none" w:color="000000"/>
              <w:bottom w:val="none" w:color="000000"/>
              <w:left w:val="none" w:color="000000"/>
              <w:right w:val="none" w:color="000000"/>
            </w:tcBorders>
          </w:tcPr>
          <w:p>
            <w:pPr>
              <w:pStyle w:val="Compact"/>
              <w:spacing w:before="0" w:after="0" w:line="240" w:lineRule="auto"/>
              <w:jc w:val="center"/>
            </w:pPr>
          </w:p>
        </w:tc>
      </w:tr>
      <w:tr>
        <w:trPr>
          <w:cantSplit/>
        </w:trPr>
        <w:tc>
          <w:tcPr>
            <w:tcW w:w="4030" w:type="dxa"/>
            <w:tcBorders>
              <w:top w:val="none" w:color="000000"/>
              <w:bottom w:val="none" w:color="000000"/>
              <w:left w:val="none" w:color="000000"/>
              <w:right w:val="none" w:color="000000"/>
            </w:tcBorders>
          </w:tcPr>
          <w:p>
            <w:pPr>
              <w:pStyle w:val="Compact"/>
              <w:spacing w:before="0" w:after="0" w:line="240" w:lineRule="auto"/>
              <w:jc w:val="center"/>
            </w:pPr>
          </w:p>
        </w:tc>
        <w:tc>
          <w:tcPr>
            <w:tcW w:w="2463.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（2.8407）</w:t>
            </w:r>
          </w:p>
        </w:tc>
        <w:tc>
          <w:tcPr>
            <w:tcW w:w="2464.0" w:type="dxa"/>
            <w:tcBorders>
              <w:top w:val="none" w:color="000000"/>
              <w:bottom w:val="none" w:color="000000"/>
              <w:left w:val="none" w:color="000000"/>
              <w:right w:val="none" w:color="000000"/>
            </w:tcBorders>
          </w:tcPr>
          <w:p>
            <w:pPr>
              <w:pStyle w:val="Compact"/>
              <w:spacing w:before="0" w:after="0" w:line="240" w:lineRule="auto"/>
              <w:jc w:val="center"/>
            </w:pPr>
          </w:p>
        </w:tc>
      </w:tr>
      <w:tr>
        <w:trPr>
          <w:cantSplit/>
        </w:trPr>
        <w:tc>
          <w:tcPr>
            <w:tcW w:w="403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第一阶段</w:t>
            </w:r>
            <w:r>
              <w:rPr>
                <w:iCs/>
                <w:i/>
                <w:sz w:val="21"/>
              </w:rPr>
              <w:t xml:space="preserve">F</w:t>
            </w:r>
            <w:r>
              <w:rPr>
                <w:sz w:val="21"/>
              </w:rPr>
              <w:t xml:space="preserve">统计量</w:t>
            </w:r>
          </w:p>
        </w:tc>
        <w:tc>
          <w:tcPr>
            <w:tcW w:w="2463.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100.4460</w:t>
            </w:r>
          </w:p>
        </w:tc>
        <w:tc>
          <w:tcPr>
            <w:tcW w:w="2464.0" w:type="dxa"/>
            <w:tcBorders>
              <w:top w:val="none" w:color="000000"/>
              <w:bottom w:val="none" w:color="000000"/>
              <w:left w:val="none" w:color="000000"/>
              <w:right w:val="none" w:color="000000"/>
            </w:tcBorders>
          </w:tcPr>
          <w:p>
            <w:pPr>
              <w:pStyle w:val="Compact"/>
              <w:spacing w:before="0" w:after="0" w:line="240" w:lineRule="auto"/>
              <w:jc w:val="center"/>
            </w:pPr>
          </w:p>
        </w:tc>
      </w:tr>
      <w:tr>
        <w:trPr>
          <w:cantSplit/>
        </w:trPr>
        <w:tc>
          <w:tcPr>
            <w:tcW w:w="403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Hansen</w:t>
            </w:r>
            <w:r>
              <w:rPr>
                <w:sz w:val="21"/>
              </w:rPr>
              <w:t xml:space="preserve"> </w:t>
            </w:r>
            <w:r>
              <w:rPr>
                <w:iCs/>
                <w:i/>
                <w:sz w:val="21"/>
              </w:rPr>
              <w:t xml:space="preserve">J</w:t>
            </w:r>
            <w:r>
              <w:rPr>
                <w:sz w:val="21"/>
              </w:rPr>
              <w:t xml:space="preserve">统计量</w:t>
            </w:r>
          </w:p>
        </w:tc>
        <w:tc>
          <w:tcPr>
            <w:tcW w:w="2463.0" w:type="dxa"/>
            <w:tcBorders>
              <w:top w:val="none" w:color="000000"/>
              <w:bottom w:val="none" w:color="000000"/>
              <w:left w:val="none" w:color="000000"/>
              <w:right w:val="none" w:color="000000"/>
            </w:tcBorders>
          </w:tcPr>
          <w:p>
            <w:pPr>
              <w:pStyle w:val="Compact"/>
              <w:spacing w:before="0" w:after="0" w:line="240" w:lineRule="auto"/>
              <w:jc w:val="center"/>
            </w:pPr>
          </w:p>
        </w:tc>
        <w:tc>
          <w:tcPr>
            <w:tcW w:w="2464.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0.7592</w:t>
            </w:r>
          </w:p>
        </w:tc>
      </w:tr>
      <w:tr>
        <w:trPr>
          <w:cantSplit/>
        </w:trPr>
        <w:tc>
          <w:tcPr>
            <w:tcW w:w="403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Hansen检验</w:t>
            </w:r>
            <w:r>
              <w:rPr>
                <w:iCs/>
                <w:i/>
                <w:sz w:val="21"/>
              </w:rPr>
              <w:t xml:space="preserve">P</w:t>
            </w:r>
            <w:r>
              <w:rPr>
                <w:sz w:val="21"/>
              </w:rPr>
              <w:t xml:space="preserve">值</w:t>
            </w:r>
          </w:p>
        </w:tc>
        <w:tc>
          <w:tcPr>
            <w:tcW w:w="2463.0" w:type="dxa"/>
            <w:tcBorders>
              <w:top w:val="none" w:color="000000"/>
              <w:bottom w:val="none" w:color="000000"/>
              <w:left w:val="none" w:color="000000"/>
              <w:right w:val="none" w:color="000000"/>
            </w:tcBorders>
          </w:tcPr>
          <w:p>
            <w:pPr>
              <w:pStyle w:val="Compact"/>
              <w:spacing w:before="0" w:after="0" w:line="240" w:lineRule="auto"/>
              <w:jc w:val="center"/>
            </w:pPr>
          </w:p>
        </w:tc>
        <w:tc>
          <w:tcPr>
            <w:tcW w:w="2464.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0.3836</w:t>
            </w:r>
          </w:p>
        </w:tc>
      </w:tr>
      <w:tr>
        <w:trPr>
          <w:cantSplit/>
        </w:trPr>
        <w:tc>
          <w:tcPr>
            <w:tcW w:w="403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控制变量</w:t>
            </w:r>
          </w:p>
        </w:tc>
        <w:tc>
          <w:tcPr>
            <w:tcW w:w="2463.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是</w:t>
            </w:r>
          </w:p>
        </w:tc>
        <w:tc>
          <w:tcPr>
            <w:tcW w:w="2464.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是</w:t>
            </w:r>
          </w:p>
        </w:tc>
      </w:tr>
      <w:tr>
        <w:trPr>
          <w:cantSplit/>
        </w:trPr>
        <w:tc>
          <w:tcPr>
            <w:tcW w:w="403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双向固定效应</w:t>
            </w:r>
          </w:p>
        </w:tc>
        <w:tc>
          <w:tcPr>
            <w:tcW w:w="2463.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是</w:t>
            </w:r>
          </w:p>
        </w:tc>
        <w:tc>
          <w:tcPr>
            <w:tcW w:w="2464.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是</w:t>
            </w:r>
          </w:p>
        </w:tc>
      </w:tr>
      <w:tr>
        <w:trPr>
          <w:cantSplit/>
        </w:trPr>
        <w:tc>
          <w:tcPr>
            <w:tcW w:w="4030" w:type="dxa"/>
            <w:tcBorders>
              <w:top w:val="none" w:color="000000"/>
              <w:bottom w:val="single" w:color="000000" w:sz="12" w:space="0"/>
              <w:left w:val="none" w:color="000000"/>
              <w:right w:val="none" w:color="000000"/>
            </w:tcBorders>
          </w:tcPr>
          <w:p>
            <w:pPr>
              <w:pStyle w:val="Compact"/>
              <w:spacing w:before="0" w:after="0" w:line="240" w:lineRule="auto"/>
              <w:jc w:val="center"/>
            </w:pPr>
            <w:r>
              <w:rPr>
                <w:iCs/>
                <w:i/>
                <w:sz w:val="21"/>
              </w:rPr>
              <w:t xml:space="preserve">N</w:t>
            </w:r>
          </w:p>
        </w:tc>
        <w:tc>
          <w:tcPr>
            <w:tcW w:w="2463.0" w:type="dxa"/>
            <w:tcBorders>
              <w:top w:val="none" w:color="000000"/>
              <w:bottom w:val="single" w:color="000000" w:sz="12" w:space="0"/>
              <w:left w:val="none" w:color="000000"/>
              <w:right w:val="none" w:color="000000"/>
            </w:tcBorders>
          </w:tcPr>
          <w:p>
            <w:pPr>
              <w:pStyle w:val="Compact"/>
              <w:spacing w:before="0" w:after="0" w:line="240" w:lineRule="auto"/>
              <w:jc w:val="center"/>
            </w:pPr>
            <w:r>
              <w:rPr>
                <w:sz w:val="21"/>
              </w:rPr>
              <w:t xml:space="preserve">3679</w:t>
            </w:r>
          </w:p>
        </w:tc>
        <w:tc>
          <w:tcPr>
            <w:tcW w:w="2464.0" w:type="dxa"/>
            <w:tcBorders>
              <w:top w:val="none" w:color="000000"/>
              <w:bottom w:val="single" w:color="000000" w:sz="12" w:space="0"/>
              <w:left w:val="none" w:color="000000"/>
              <w:right w:val="none" w:color="000000"/>
            </w:tcBorders>
          </w:tcPr>
          <w:p>
            <w:pPr>
              <w:pStyle w:val="Compact"/>
              <w:spacing w:before="0" w:after="0" w:line="240" w:lineRule="auto"/>
              <w:jc w:val="center"/>
            </w:pPr>
            <w:r>
              <w:rPr>
                <w:sz w:val="21"/>
              </w:rPr>
              <w:t xml:space="preserve">3679</w:t>
            </w:r>
          </w:p>
        </w:tc>
      </w:tr>
    </w:tbl>
    <w:p>
      <w:pPr>
        <w:pStyle w:val="TableNote"/>
      </w:pPr>
      <w:r>
        <w:t xml:space="preserve">注：工具变量为城市1984年每万人邮电局数、地形起伏度的负值分别与当年全国累计上线数据开放平台数量的交乘项。</w:t>
      </w:r>
    </w:p>
    <w:p>
      <w:pPr>
        <w:pStyle w:val="TableCaption"/>
      </w:pPr>
      <w:r>
        <w:t xml:space="preserve">表7 空间溢出效应检验结果</w:t>
      </w:r>
    </w:p>
    <w:tbl>
      <w:tblPr>
        <w:jc w:val="center"/>
        <w:tblLook w:firstRow="1" w:lastRow="0" w:firstColumn="0" w:lastColumn="0" w:noHBand="0" w:noVBand="0" w:val="0020"/>
        <w:tblCaption w:val="表7 空间溢出效应检验结果"/>
        <w:tblW w:w="8957" w:type="dxa"/>
        <w:tblLayout w:type="fixed"/>
        <w:tblBorders>
          <w:top w:val="single" w:color="000000" w:sz="12" w:space="0"/>
          <w:left w:val="none" w:color="000000"/>
          <w:bottom w:val="single" w:color="000000" w:sz="12" w:space="0"/>
          <w:right w:val="none" w:color="000000"/>
          <w:insideH w:val="none" w:color="000000"/>
          <w:insideV w:val="none" w:color="000000"/>
        </w:tblBorders>
      </w:tblPr>
      <w:tblGrid>
        <w:gridCol w:w="3006.0"/>
        <w:gridCol w:w="1919.0"/>
        <w:gridCol w:w="4032.0"/>
      </w:tblGrid>
      <w:tr>
        <w:trPr>
          <w:tblHeader w:val="true"/>
          <w:cantSplit/>
          <w:tblHeader/>
        </w:trPr>
        <w:tc>
          <w:tcPr>
            <w:tcW w:w="3006.0"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sz w:val="21"/>
              </w:rPr>
              <w:t xml:space="preserve">变量</w:t>
            </w:r>
          </w:p>
        </w:tc>
        <w:tc>
          <w:tcPr>
            <w:tcW w:w="1919.0"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sz w:val="21"/>
              </w:rPr>
              <w:t xml:space="preserve">（1）全样本</w:t>
            </w:r>
          </w:p>
        </w:tc>
        <w:tc>
          <w:tcPr>
            <w:tcW w:w="4032.0"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sz w:val="21"/>
              </w:rPr>
              <w:t xml:space="preserve">（2）剔除高溢出对照城市</w:t>
            </w:r>
          </w:p>
        </w:tc>
      </w:tr>
      <w:tr>
        <w:trPr>
          <w:cantSplit/>
        </w:trPr>
        <w:tc>
          <w:tcPr>
            <w:tcW w:w="3006.0" w:type="dxa"/>
            <w:tcBorders>
              <w:top w:val="none" w:color="000000"/>
              <w:bottom w:val="none" w:color="000000"/>
              <w:left w:val="none" w:color="000000"/>
              <w:right w:val="none" w:color="000000"/>
            </w:tcBorders>
          </w:tcPr>
          <w:p>
            <w:pPr>
              <w:pStyle w:val="Compact"/>
              <w:spacing w:before="0" w:after="0" w:line="240" w:lineRule="auto"/>
              <w:jc w:val="center"/>
            </w:pPr>
            <w:r>
              <w:rPr>
                <w:iCs/>
                <w:i/>
                <w:sz w:val="21"/>
              </w:rPr>
              <w:t xml:space="preserve">did</w:t>
            </w:r>
          </w:p>
        </w:tc>
        <w:tc>
          <w:tcPr>
            <w:tcW w:w="191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0.0311***</w:t>
            </w:r>
          </w:p>
        </w:tc>
        <w:tc>
          <w:tcPr>
            <w:tcW w:w="4032.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0.0319***</w:t>
            </w:r>
          </w:p>
        </w:tc>
      </w:tr>
      <w:tr>
        <w:trPr>
          <w:cantSplit/>
        </w:trPr>
        <w:tc>
          <w:tcPr>
            <w:tcW w:w="3006.0" w:type="dxa"/>
            <w:tcBorders>
              <w:top w:val="none" w:color="000000"/>
              <w:bottom w:val="none" w:color="000000"/>
              <w:left w:val="none" w:color="000000"/>
              <w:right w:val="none" w:color="000000"/>
            </w:tcBorders>
          </w:tcPr>
          <w:p>
            <w:pPr>
              <w:pStyle w:val="Compact"/>
              <w:spacing w:before="0" w:after="0" w:line="240" w:lineRule="auto"/>
              <w:jc w:val="center"/>
            </w:pPr>
          </w:p>
        </w:tc>
        <w:tc>
          <w:tcPr>
            <w:tcW w:w="191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（9.0360）</w:t>
            </w:r>
          </w:p>
        </w:tc>
        <w:tc>
          <w:tcPr>
            <w:tcW w:w="4032.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（8.2969）</w:t>
            </w:r>
          </w:p>
        </w:tc>
      </w:tr>
      <w:tr>
        <w:trPr>
          <w:cantSplit/>
        </w:trPr>
        <w:tc>
          <w:tcPr>
            <w:tcW w:w="300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邻近城市处理强度</w:t>
            </w:r>
          </w:p>
        </w:tc>
        <w:tc>
          <w:tcPr>
            <w:tcW w:w="191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0.0372***</w:t>
            </w:r>
          </w:p>
        </w:tc>
        <w:tc>
          <w:tcPr>
            <w:tcW w:w="4032.0" w:type="dxa"/>
            <w:tcBorders>
              <w:top w:val="none" w:color="000000"/>
              <w:bottom w:val="none" w:color="000000"/>
              <w:left w:val="none" w:color="000000"/>
              <w:right w:val="none" w:color="000000"/>
            </w:tcBorders>
          </w:tcPr>
          <w:p>
            <w:pPr>
              <w:pStyle w:val="Compact"/>
              <w:spacing w:before="0" w:after="0" w:line="240" w:lineRule="auto"/>
              <w:jc w:val="center"/>
            </w:pPr>
          </w:p>
        </w:tc>
      </w:tr>
      <w:tr>
        <w:trPr>
          <w:cantSplit/>
        </w:trPr>
        <w:tc>
          <w:tcPr>
            <w:tcW w:w="3006.0" w:type="dxa"/>
            <w:tcBorders>
              <w:top w:val="none" w:color="000000"/>
              <w:bottom w:val="none" w:color="000000"/>
              <w:left w:val="none" w:color="000000"/>
              <w:right w:val="none" w:color="000000"/>
            </w:tcBorders>
          </w:tcPr>
          <w:p>
            <w:pPr>
              <w:pStyle w:val="Compact"/>
              <w:spacing w:before="0" w:after="0" w:line="240" w:lineRule="auto"/>
              <w:jc w:val="center"/>
            </w:pPr>
          </w:p>
        </w:tc>
        <w:tc>
          <w:tcPr>
            <w:tcW w:w="191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（4.7721）</w:t>
            </w:r>
          </w:p>
        </w:tc>
        <w:tc>
          <w:tcPr>
            <w:tcW w:w="4032.0" w:type="dxa"/>
            <w:tcBorders>
              <w:top w:val="none" w:color="000000"/>
              <w:bottom w:val="none" w:color="000000"/>
              <w:left w:val="none" w:color="000000"/>
              <w:right w:val="none" w:color="000000"/>
            </w:tcBorders>
          </w:tcPr>
          <w:p>
            <w:pPr>
              <w:pStyle w:val="Compact"/>
              <w:spacing w:before="0" w:after="0" w:line="240" w:lineRule="auto"/>
              <w:jc w:val="center"/>
            </w:pPr>
          </w:p>
        </w:tc>
      </w:tr>
      <w:tr>
        <w:trPr>
          <w:cantSplit/>
        </w:trPr>
        <w:tc>
          <w:tcPr>
            <w:tcW w:w="300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控制变量</w:t>
            </w:r>
          </w:p>
        </w:tc>
        <w:tc>
          <w:tcPr>
            <w:tcW w:w="191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是</w:t>
            </w:r>
          </w:p>
        </w:tc>
        <w:tc>
          <w:tcPr>
            <w:tcW w:w="4032.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是</w:t>
            </w:r>
          </w:p>
        </w:tc>
      </w:tr>
      <w:tr>
        <w:trPr>
          <w:cantSplit/>
        </w:trPr>
        <w:tc>
          <w:tcPr>
            <w:tcW w:w="300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双向固定效应</w:t>
            </w:r>
          </w:p>
        </w:tc>
        <w:tc>
          <w:tcPr>
            <w:tcW w:w="191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是</w:t>
            </w:r>
          </w:p>
        </w:tc>
        <w:tc>
          <w:tcPr>
            <w:tcW w:w="4032.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是</w:t>
            </w:r>
          </w:p>
        </w:tc>
      </w:tr>
      <w:tr>
        <w:trPr>
          <w:cantSplit/>
        </w:trPr>
        <w:tc>
          <w:tcPr>
            <w:tcW w:w="3006.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城市数</w:t>
            </w:r>
          </w:p>
        </w:tc>
        <w:tc>
          <w:tcPr>
            <w:tcW w:w="191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283</w:t>
            </w:r>
          </w:p>
        </w:tc>
        <w:tc>
          <w:tcPr>
            <w:tcW w:w="4032.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212</w:t>
            </w:r>
          </w:p>
        </w:tc>
      </w:tr>
      <w:tr>
        <w:trPr>
          <w:cantSplit/>
        </w:trPr>
        <w:tc>
          <w:tcPr>
            <w:tcW w:w="3006.0" w:type="dxa"/>
            <w:tcBorders>
              <w:top w:val="none" w:color="000000"/>
              <w:bottom w:val="none" w:color="000000"/>
              <w:left w:val="none" w:color="000000"/>
              <w:right w:val="none" w:color="000000"/>
            </w:tcBorders>
          </w:tcPr>
          <w:p>
            <w:pPr>
              <w:pStyle w:val="Compact"/>
              <w:spacing w:before="0" w:after="0" w:line="240" w:lineRule="auto"/>
              <w:jc w:val="center"/>
            </w:pPr>
            <w:r>
              <w:rPr>
                <w:iCs/>
                <w:i/>
                <w:sz w:val="21"/>
              </w:rPr>
              <w:t xml:space="preserve">N</w:t>
            </w:r>
          </w:p>
        </w:tc>
        <w:tc>
          <w:tcPr>
            <w:tcW w:w="1919.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3679</w:t>
            </w:r>
          </w:p>
        </w:tc>
        <w:tc>
          <w:tcPr>
            <w:tcW w:w="4032.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2756</w:t>
            </w:r>
          </w:p>
        </w:tc>
      </w:tr>
      <w:tr>
        <w:trPr>
          <w:cantSplit/>
        </w:trPr>
        <w:tc>
          <w:tcPr>
            <w:tcW w:w="3006.0" w:type="dxa"/>
            <w:tcBorders>
              <w:top w:val="none" w:color="000000"/>
              <w:bottom w:val="single" w:color="000000" w:sz="12" w:space="0"/>
              <w:left w:val="none" w:color="000000"/>
              <w:right w:val="none" w:color="000000"/>
            </w:tcBorders>
          </w:tcPr>
          <w:p>
            <w:pPr>
              <w:pStyle w:val="Compact"/>
              <w:spacing w:before="0" w:after="0" w:line="240" w:lineRule="auto"/>
              <w:jc w:val="center"/>
            </w:pPr>
            <w:r>
              <w:rPr>
                <w:iCs/>
                <w:i/>
                <w:sz w:val="21"/>
              </w:rPr>
              <w:t xml:space="preserve">R</w:t>
            </w:r>
            <w:r>
              <w:rPr>
                <w:sz w:val="21"/>
              </w:rPr>
              <w:t xml:space="preserve">²</w:t>
            </w:r>
          </w:p>
        </w:tc>
        <w:tc>
          <w:tcPr>
            <w:tcW w:w="1919.0" w:type="dxa"/>
            <w:tcBorders>
              <w:top w:val="none" w:color="000000"/>
              <w:bottom w:val="single" w:color="000000" w:sz="12" w:space="0"/>
              <w:left w:val="none" w:color="000000"/>
              <w:right w:val="none" w:color="000000"/>
            </w:tcBorders>
          </w:tcPr>
          <w:p>
            <w:pPr>
              <w:pStyle w:val="Compact"/>
              <w:spacing w:before="0" w:after="0" w:line="240" w:lineRule="auto"/>
              <w:jc w:val="center"/>
            </w:pPr>
            <w:r>
              <w:rPr>
                <w:sz w:val="21"/>
              </w:rPr>
              <w:t xml:space="preserve">0.2237</w:t>
            </w:r>
          </w:p>
        </w:tc>
        <w:tc>
          <w:tcPr>
            <w:tcW w:w="4032.0" w:type="dxa"/>
            <w:tcBorders>
              <w:top w:val="none" w:color="000000"/>
              <w:bottom w:val="single" w:color="000000" w:sz="12" w:space="0"/>
              <w:left w:val="none" w:color="000000"/>
              <w:right w:val="none" w:color="000000"/>
            </w:tcBorders>
          </w:tcPr>
          <w:p>
            <w:pPr>
              <w:pStyle w:val="Compact"/>
              <w:spacing w:before="0" w:after="0" w:line="240" w:lineRule="auto"/>
              <w:jc w:val="center"/>
            </w:pPr>
            <w:r>
              <w:rPr>
                <w:sz w:val="21"/>
              </w:rPr>
              <w:t xml:space="preserve">0.2114</w:t>
            </w:r>
          </w:p>
        </w:tc>
      </w:tr>
    </w:tbl>
    <w:p>
      <w:pPr>
        <w:pStyle w:val="TableNote"/>
      </w:pPr>
      <w:r>
        <w:t xml:space="preserve">注：邻近城市处理强度为按行标准化地理邻近权重（取最近的5个城市）加权的邻近城市政策虚拟变量；第（2）列剔除邻近处理强度高于中位数的71个从未处理城市。</w:t>
      </w:r>
    </w:p>
    <w:bookmarkEnd w:id="41"/>
    <w:bookmarkStart w:id="42" w:name="机制检验"/>
    <w:p>
      <w:pPr>
        <w:pStyle w:val="Heading2"/>
      </w:pPr>
      <w:r>
        <w:t xml:space="preserve">3.8 机制检验</w:t>
      </w:r>
    </w:p>
    <w:p>
      <w:pPr>
        <w:pStyle w:val="FirstParagraph"/>
        <w:spacing w:before="0" w:after="0"/>
      </w:pPr>
      <w:r>
        <w:t xml:space="preserve">考虑到中介效应逐步法在因果推断中存在识别上的局限，本文遵循江艇（2022）</w:t>
      </w:r>
      <w:r>
        <w:rPr>
          <w:vertAlign w:val="superscript"/>
        </w:rPr>
        <w:t xml:space="preserve">[18]</w:t>
      </w:r>
      <w:r>
        <w:t xml:space="preserve">提出的两步法思路：仅检验公共数据开放对机制变量的因果效应，机制变量对绿色全要素生产率的影响则依据理论分析与既有文献予以论证。表8报告了估计结果。公共数据开放对要素配置效率、绿色技术创新与环境社会监督的估计系数分别为0.0562、0.0958与0.0540，</w:t>
      </w:r>
      <w:r>
        <w:rPr>
          <w:iCs/>
          <w:i/>
        </w:rPr>
        <w:t xml:space="preserve">t</w:t>
      </w:r>
      <w:r>
        <w:t xml:space="preserve">值依次为4.4060、4.0551与3.3032，均在1%的水平上显著为正。结合已有研究关于要素错配抑制生产率增长、绿色技术创新推动绿色转型、社会监督约束企业排放行为的结论</w:t>
      </w:r>
      <w:r>
        <w:rPr>
          <w:vertAlign w:val="superscript"/>
        </w:rPr>
        <w:t xml:space="preserve">[8,7,1]</w:t>
      </w:r>
      <w:r>
        <w:t xml:space="preserve">，可以认为三条渠道均在公共数据开放赋能绿色转型的过程中发挥了传导作用，假设2得到验证。</w:t>
      </w:r>
    </w:p>
    <w:p>
      <w:pPr>
        <w:pStyle w:val="TableCaption"/>
      </w:pPr>
      <w:r>
        <w:t xml:space="preserve">表8 作用机制检验结果</w:t>
      </w:r>
    </w:p>
    <w:tbl>
      <w:tblPr>
        <w:jc w:val="center"/>
        <w:tblLook w:firstRow="1" w:lastRow="0" w:firstColumn="0" w:lastColumn="0" w:noHBand="0" w:noVBand="0" w:val="0020"/>
        <w:tblCaption w:val="表8 作用机制检验结果"/>
        <w:tblW w:w="8957" w:type="dxa"/>
        <w:tblLayout w:type="fixed"/>
        <w:tblBorders>
          <w:top w:val="single" w:color="000000" w:sz="12" w:space="0"/>
          <w:left w:val="none" w:color="000000"/>
          <w:bottom w:val="single" w:color="000000" w:sz="12" w:space="0"/>
          <w:right w:val="none" w:color="000000"/>
          <w:insideH w:val="none" w:color="000000"/>
          <w:insideV w:val="none" w:color="000000"/>
        </w:tblBorders>
      </w:tblPr>
      <w:tblGrid>
        <w:gridCol w:w="4030"/>
        <w:gridCol w:w="1642.0"/>
        <w:gridCol w:w="1642.0"/>
        <w:gridCol w:w="1643.0"/>
      </w:tblGrid>
      <w:tr>
        <w:trPr>
          <w:tblHeader w:val="true"/>
          <w:cantSplit/>
          <w:tblHeader/>
        </w:trPr>
        <w:tc>
          <w:tcPr>
            <w:tcW w:w="4030"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sz w:val="21"/>
              </w:rPr>
              <w:t xml:space="preserve">变量</w:t>
            </w:r>
          </w:p>
        </w:tc>
        <w:tc>
          <w:tcPr>
            <w:tcW w:w="1642.0"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sz w:val="21"/>
              </w:rPr>
              <w:t xml:space="preserve">（1）</w:t>
            </w:r>
            <w:r>
              <w:rPr>
                <w:iCs/>
                <w:i/>
                <w:sz w:val="21"/>
              </w:rPr>
              <w:t xml:space="preserve">alloc</w:t>
            </w:r>
          </w:p>
        </w:tc>
        <w:tc>
          <w:tcPr>
            <w:tcW w:w="1642.0"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sz w:val="21"/>
              </w:rPr>
              <w:t xml:space="preserve">（2）</w:t>
            </w:r>
            <w:r>
              <w:rPr>
                <w:iCs/>
                <w:i/>
                <w:sz w:val="21"/>
              </w:rPr>
              <w:t xml:space="preserve">ginno</w:t>
            </w:r>
          </w:p>
        </w:tc>
        <w:tc>
          <w:tcPr>
            <w:tcW w:w="1643.0"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sz w:val="21"/>
              </w:rPr>
              <w:t xml:space="preserve">（3）</w:t>
            </w:r>
            <w:r>
              <w:rPr>
                <w:iCs/>
                <w:i/>
                <w:sz w:val="21"/>
              </w:rPr>
              <w:t xml:space="preserve">supv</w:t>
            </w:r>
          </w:p>
        </w:tc>
      </w:tr>
      <w:tr>
        <w:trPr>
          <w:cantSplit/>
        </w:trPr>
        <w:tc>
          <w:tcPr>
            <w:tcW w:w="4030" w:type="dxa"/>
            <w:tcBorders>
              <w:top w:val="none" w:color="000000"/>
              <w:bottom w:val="none" w:color="000000"/>
              <w:left w:val="none" w:color="000000"/>
              <w:right w:val="none" w:color="000000"/>
            </w:tcBorders>
          </w:tcPr>
          <w:p>
            <w:pPr>
              <w:pStyle w:val="Compact"/>
              <w:spacing w:before="0" w:after="0" w:line="240" w:lineRule="auto"/>
              <w:jc w:val="center"/>
            </w:pPr>
            <w:r>
              <w:rPr>
                <w:iCs/>
                <w:i/>
                <w:sz w:val="21"/>
              </w:rPr>
              <w:t xml:space="preserve">did</w:t>
            </w:r>
          </w:p>
        </w:tc>
        <w:tc>
          <w:tcPr>
            <w:tcW w:w="1642.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0.0562***</w:t>
            </w:r>
          </w:p>
        </w:tc>
        <w:tc>
          <w:tcPr>
            <w:tcW w:w="1642.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0.0958***</w:t>
            </w:r>
          </w:p>
        </w:tc>
        <w:tc>
          <w:tcPr>
            <w:tcW w:w="1643.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0.0540***</w:t>
            </w:r>
          </w:p>
        </w:tc>
      </w:tr>
      <w:tr>
        <w:trPr>
          <w:cantSplit/>
        </w:trPr>
        <w:tc>
          <w:tcPr>
            <w:tcW w:w="4030" w:type="dxa"/>
            <w:tcBorders>
              <w:top w:val="none" w:color="000000"/>
              <w:bottom w:val="none" w:color="000000"/>
              <w:left w:val="none" w:color="000000"/>
              <w:right w:val="none" w:color="000000"/>
            </w:tcBorders>
          </w:tcPr>
          <w:p>
            <w:pPr>
              <w:pStyle w:val="Compact"/>
              <w:spacing w:before="0" w:after="0" w:line="240" w:lineRule="auto"/>
              <w:jc w:val="center"/>
            </w:pPr>
          </w:p>
        </w:tc>
        <w:tc>
          <w:tcPr>
            <w:tcW w:w="1642.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（4.4060）</w:t>
            </w:r>
          </w:p>
        </w:tc>
        <w:tc>
          <w:tcPr>
            <w:tcW w:w="1642.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（4.0551）</w:t>
            </w:r>
          </w:p>
        </w:tc>
        <w:tc>
          <w:tcPr>
            <w:tcW w:w="1643.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（3.3032）</w:t>
            </w:r>
          </w:p>
        </w:tc>
      </w:tr>
      <w:tr>
        <w:trPr>
          <w:cantSplit/>
        </w:trPr>
        <w:tc>
          <w:tcPr>
            <w:tcW w:w="403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控制变量</w:t>
            </w:r>
          </w:p>
        </w:tc>
        <w:tc>
          <w:tcPr>
            <w:tcW w:w="1642.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是</w:t>
            </w:r>
          </w:p>
        </w:tc>
        <w:tc>
          <w:tcPr>
            <w:tcW w:w="1642.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是</w:t>
            </w:r>
          </w:p>
        </w:tc>
        <w:tc>
          <w:tcPr>
            <w:tcW w:w="1643.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是</w:t>
            </w:r>
          </w:p>
        </w:tc>
      </w:tr>
      <w:tr>
        <w:trPr>
          <w:cantSplit/>
        </w:trPr>
        <w:tc>
          <w:tcPr>
            <w:tcW w:w="403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双向固定效应</w:t>
            </w:r>
          </w:p>
        </w:tc>
        <w:tc>
          <w:tcPr>
            <w:tcW w:w="1642.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是</w:t>
            </w:r>
          </w:p>
        </w:tc>
        <w:tc>
          <w:tcPr>
            <w:tcW w:w="1642.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是</w:t>
            </w:r>
          </w:p>
        </w:tc>
        <w:tc>
          <w:tcPr>
            <w:tcW w:w="1643.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是</w:t>
            </w:r>
          </w:p>
        </w:tc>
      </w:tr>
      <w:tr>
        <w:trPr>
          <w:cantSplit/>
        </w:trPr>
        <w:tc>
          <w:tcPr>
            <w:tcW w:w="4030" w:type="dxa"/>
            <w:tcBorders>
              <w:top w:val="none" w:color="000000"/>
              <w:bottom w:val="none" w:color="000000"/>
              <w:left w:val="none" w:color="000000"/>
              <w:right w:val="none" w:color="000000"/>
            </w:tcBorders>
          </w:tcPr>
          <w:p>
            <w:pPr>
              <w:pStyle w:val="Compact"/>
              <w:spacing w:before="0" w:after="0" w:line="240" w:lineRule="auto"/>
              <w:jc w:val="center"/>
            </w:pPr>
            <w:r>
              <w:rPr>
                <w:iCs/>
                <w:i/>
                <w:sz w:val="21"/>
              </w:rPr>
              <w:t xml:space="preserve">N</w:t>
            </w:r>
          </w:p>
        </w:tc>
        <w:tc>
          <w:tcPr>
            <w:tcW w:w="1642.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3679</w:t>
            </w:r>
          </w:p>
        </w:tc>
        <w:tc>
          <w:tcPr>
            <w:tcW w:w="1642.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3679</w:t>
            </w:r>
          </w:p>
        </w:tc>
        <w:tc>
          <w:tcPr>
            <w:tcW w:w="1643.0" w:type="dxa"/>
            <w:tcBorders>
              <w:top w:val="none" w:color="000000"/>
              <w:bottom w:val="none" w:color="000000"/>
              <w:left w:val="none" w:color="000000"/>
              <w:right w:val="none" w:color="000000"/>
            </w:tcBorders>
          </w:tcPr>
          <w:p>
            <w:pPr>
              <w:pStyle w:val="Compact"/>
              <w:spacing w:before="0" w:after="0" w:line="240" w:lineRule="auto"/>
              <w:jc w:val="center"/>
            </w:pPr>
            <w:r>
              <w:rPr>
                <w:sz w:val="21"/>
              </w:rPr>
              <w:t xml:space="preserve">3679</w:t>
            </w:r>
          </w:p>
        </w:tc>
      </w:tr>
      <w:tr>
        <w:trPr>
          <w:cantSplit/>
        </w:trPr>
        <w:tc>
          <w:tcPr>
            <w:tcW w:w="4030" w:type="dxa"/>
            <w:tcBorders>
              <w:top w:val="none" w:color="000000"/>
              <w:bottom w:val="single" w:color="000000" w:sz="12" w:space="0"/>
              <w:left w:val="none" w:color="000000"/>
              <w:right w:val="none" w:color="000000"/>
            </w:tcBorders>
          </w:tcPr>
          <w:p>
            <w:pPr>
              <w:pStyle w:val="Compact"/>
              <w:spacing w:before="0" w:after="0" w:line="240" w:lineRule="auto"/>
              <w:jc w:val="center"/>
            </w:pPr>
            <w:r>
              <w:rPr>
                <w:iCs/>
                <w:i/>
                <w:sz w:val="21"/>
              </w:rPr>
              <w:t xml:space="preserve">R</w:t>
            </w:r>
            <w:r>
              <w:rPr>
                <w:sz w:val="21"/>
              </w:rPr>
              <w:t xml:space="preserve">²</w:t>
            </w:r>
          </w:p>
        </w:tc>
        <w:tc>
          <w:tcPr>
            <w:tcW w:w="1642.0" w:type="dxa"/>
            <w:tcBorders>
              <w:top w:val="none" w:color="000000"/>
              <w:bottom w:val="single" w:color="000000" w:sz="12" w:space="0"/>
              <w:left w:val="none" w:color="000000"/>
              <w:right w:val="none" w:color="000000"/>
            </w:tcBorders>
          </w:tcPr>
          <w:p>
            <w:pPr>
              <w:pStyle w:val="Compact"/>
              <w:spacing w:before="0" w:after="0" w:line="240" w:lineRule="auto"/>
              <w:jc w:val="center"/>
            </w:pPr>
            <w:r>
              <w:rPr>
                <w:sz w:val="21"/>
              </w:rPr>
              <w:t xml:space="preserve">0.0127</w:t>
            </w:r>
          </w:p>
        </w:tc>
        <w:tc>
          <w:tcPr>
            <w:tcW w:w="1642.0" w:type="dxa"/>
            <w:tcBorders>
              <w:top w:val="none" w:color="000000"/>
              <w:bottom w:val="single" w:color="000000" w:sz="12" w:space="0"/>
              <w:left w:val="none" w:color="000000"/>
              <w:right w:val="none" w:color="000000"/>
            </w:tcBorders>
          </w:tcPr>
          <w:p>
            <w:pPr>
              <w:pStyle w:val="Compact"/>
              <w:spacing w:before="0" w:after="0" w:line="240" w:lineRule="auto"/>
              <w:jc w:val="center"/>
            </w:pPr>
            <w:r>
              <w:rPr>
                <w:sz w:val="21"/>
              </w:rPr>
              <w:t xml:space="preserve">0.0201</w:t>
            </w:r>
          </w:p>
        </w:tc>
        <w:tc>
          <w:tcPr>
            <w:tcW w:w="1643.0" w:type="dxa"/>
            <w:tcBorders>
              <w:top w:val="none" w:color="000000"/>
              <w:bottom w:val="single" w:color="000000" w:sz="12" w:space="0"/>
              <w:left w:val="none" w:color="000000"/>
              <w:right w:val="none" w:color="000000"/>
            </w:tcBorders>
          </w:tcPr>
          <w:p>
            <w:pPr>
              <w:pStyle w:val="Compact"/>
              <w:spacing w:before="0" w:after="0" w:line="240" w:lineRule="auto"/>
              <w:jc w:val="center"/>
            </w:pPr>
            <w:r>
              <w:rPr>
                <w:sz w:val="21"/>
              </w:rPr>
              <w:t xml:space="preserve">0.0140</w:t>
            </w:r>
          </w:p>
        </w:tc>
      </w:tr>
    </w:tbl>
    <w:p>
      <w:pPr>
        <w:pStyle w:val="TableNote"/>
      </w:pPr>
      <w:r>
        <w:t xml:space="preserve">注：被解释变量依次为要素配置效率、绿色技术创新与环境社会监督。</w:t>
      </w:r>
    </w:p>
    <w:bookmarkEnd w:id="42"/>
    <w:bookmarkStart w:id="43" w:name="异质性分析"/>
    <w:p>
      <w:pPr>
        <w:pStyle w:val="Heading2"/>
      </w:pPr>
      <w:r>
        <w:t xml:space="preserve">3.9 异质性分析</w:t>
      </w:r>
    </w:p>
    <w:p>
      <w:pPr>
        <w:pStyle w:val="FirstParagraph"/>
        <w:spacing w:before="0" w:after="0"/>
      </w:pPr>
      <w:r>
        <w:t xml:space="preserve">表9报告了分组回归结果。从地理区位看，东部城市的政策效应为0.0404，中西部城市为0.0226，组间差异的检验统计量为2.4450，对应</w:t>
      </w:r>
      <w:r>
        <w:rPr>
          <w:iCs/>
          <w:i/>
        </w:rPr>
        <w:t xml:space="preserve">P</w:t>
      </w:r>
      <w:r>
        <w:t xml:space="preserve">值为0.0145，差异在5%的水平上显著。从城市规模看，大规模城市的政策效应为0.0394，中小规模城市为0.0241，组间差异在5%的水平上显著（</w:t>
      </w:r>
      <w:r>
        <w:rPr>
          <w:iCs/>
          <w:i/>
        </w:rPr>
        <w:t xml:space="preserve">P</w:t>
      </w:r>
      <w:r>
        <w:t xml:space="preserve">值为0.0257）。从资源禀赋看，非资源型城市的政策效应为0.0356，资源型城市为0.0230，组间差异在10%的水平上显著（</w:t>
      </w:r>
      <w:r>
        <w:rPr>
          <w:iCs/>
          <w:i/>
        </w:rPr>
        <w:t xml:space="preserve">P</w:t>
      </w:r>
      <w:r>
        <w:t xml:space="preserve">值为0.0844）。上述结果表明，公共数据开放的绿色赋能效应高度依赖本地的数字基础条件、市场规模与产业结构弹性：数据要素只有在具备相应接入能力、开发能力与应用场景的环境中才能被有效吸收并转化为绿色生产率，假设4得到验证。</w:t>
      </w:r>
    </w:p>
    <w:p>
      <w:pPr>
        <w:pStyle w:val="TableCaption"/>
      </w:pPr>
      <w:r>
        <w:t xml:space="preserve">表9 异质性检验结果</w:t>
      </w:r>
    </w:p>
    <w:tbl>
      <w:tblPr>
        <w:jc w:val="center"/>
        <w:tblLook w:firstRow="1" w:lastRow="0" w:firstColumn="0" w:lastColumn="0" w:noHBand="0" w:noVBand="0" w:val="0020"/>
        <w:tblCaption w:val="表9 异质性检验结果"/>
        <w:tblW w:w="8957" w:type="dxa"/>
        <w:tblLayout w:type="fixed"/>
        <w:tblBorders>
          <w:top w:val="single" w:color="000000" w:sz="12" w:space="0"/>
          <w:left w:val="none" w:color="000000"/>
          <w:bottom w:val="single" w:color="000000" w:sz="12" w:space="0"/>
          <w:right w:val="none" w:color="000000"/>
          <w:insideH w:val="none" w:color="000000"/>
          <w:insideV w:val="none" w:color="000000"/>
        </w:tblBorders>
      </w:tblPr>
      <w:tblGrid>
        <w:gridCol w:w="1352.2857142857142"/>
        <w:gridCol w:w="1250.2857142857142"/>
        <w:gridCol w:w="1250.2857142857142"/>
        <w:gridCol w:w="1250.2857142857142"/>
        <w:gridCol w:w="1352.2857142857142"/>
        <w:gridCol w:w="1250.2857142857142"/>
        <w:gridCol w:w="1251.285714285716"/>
      </w:tblGrid>
      <w:tr>
        <w:trPr>
          <w:tblHeader w:val="true"/>
          <w:cantSplit/>
          <w:tblHeader/>
        </w:trPr>
        <w:tc>
          <w:tcPr>
            <w:tcW w:w="1352.2857142857142"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sz w:val="16"/>
              </w:rPr>
              <w:t xml:space="preserve">变量</w:t>
            </w:r>
          </w:p>
        </w:tc>
        <w:tc>
          <w:tcPr>
            <w:tcW w:w="1250.2857142857142"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sz w:val="16"/>
              </w:rPr>
              <w:t xml:space="preserve">东部</w:t>
            </w:r>
          </w:p>
        </w:tc>
        <w:tc>
          <w:tcPr>
            <w:tcW w:w="1250.2857142857142"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sz w:val="16"/>
              </w:rPr>
              <w:t xml:space="preserve">中西部</w:t>
            </w:r>
          </w:p>
        </w:tc>
        <w:tc>
          <w:tcPr>
            <w:tcW w:w="1250.2857142857142"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sz w:val="16"/>
              </w:rPr>
              <w:t xml:space="preserve">大规模城市</w:t>
            </w:r>
          </w:p>
        </w:tc>
        <w:tc>
          <w:tcPr>
            <w:tcW w:w="1352.2857142857142"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sz w:val="16"/>
              </w:rPr>
              <w:t xml:space="preserve">中小规模城市</w:t>
            </w:r>
          </w:p>
        </w:tc>
        <w:tc>
          <w:tcPr>
            <w:tcW w:w="1250.2857142857142"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sz w:val="16"/>
              </w:rPr>
              <w:t xml:space="preserve">非资源型</w:t>
            </w:r>
          </w:p>
        </w:tc>
        <w:tc>
          <w:tcPr>
            <w:tcW w:w="1251.285714285716" w:type="dxa"/>
            <w:tcBorders>
              <w:top w:val="single" w:color="000000" w:sz="12" w:space="0"/>
              <w:bottom w:val="single" w:color="000000" w:sz="6" w:space="0"/>
              <w:left w:val="none" w:color="000000"/>
              <w:right w:val="none" w:color="000000"/>
            </w:tcBorders>
          </w:tcPr>
          <w:p>
            <w:pPr>
              <w:pStyle w:val="Compact"/>
              <w:spacing w:before="0" w:after="0" w:line="240" w:lineRule="auto"/>
              <w:jc w:val="center"/>
            </w:pPr>
            <w:r>
              <w:rPr>
                <w:sz w:val="16"/>
              </w:rPr>
              <w:t xml:space="preserve">资源型</w:t>
            </w:r>
          </w:p>
        </w:tc>
      </w:tr>
      <w:tr>
        <w:trPr>
          <w:cantSplit/>
        </w:trPr>
        <w:tc>
          <w:tcPr>
            <w:tcW w:w="1352.2857142857142" w:type="dxa"/>
            <w:tcBorders>
              <w:top w:val="none" w:color="000000"/>
              <w:bottom w:val="none" w:color="000000"/>
              <w:left w:val="none" w:color="000000"/>
              <w:right w:val="none" w:color="000000"/>
            </w:tcBorders>
          </w:tcPr>
          <w:p>
            <w:pPr>
              <w:pStyle w:val="Compact"/>
              <w:spacing w:before="0" w:after="0" w:line="240" w:lineRule="auto"/>
              <w:jc w:val="center"/>
            </w:pPr>
            <w:r>
              <w:rPr>
                <w:iCs/>
                <w:i/>
                <w:sz w:val="16"/>
              </w:rPr>
              <w:t xml:space="preserve">did</w:t>
            </w:r>
          </w:p>
        </w:tc>
        <w:tc>
          <w:tcPr>
            <w:tcW w:w="1250.285714285714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0.0404***</w:t>
            </w:r>
          </w:p>
        </w:tc>
        <w:tc>
          <w:tcPr>
            <w:tcW w:w="1250.285714285714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0.0226***</w:t>
            </w:r>
          </w:p>
        </w:tc>
        <w:tc>
          <w:tcPr>
            <w:tcW w:w="1250.285714285714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0.0394***</w:t>
            </w:r>
          </w:p>
        </w:tc>
        <w:tc>
          <w:tcPr>
            <w:tcW w:w="1352.285714285714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0.0241***</w:t>
            </w:r>
          </w:p>
        </w:tc>
        <w:tc>
          <w:tcPr>
            <w:tcW w:w="1250.285714285714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0.0356***</w:t>
            </w:r>
          </w:p>
        </w:tc>
        <w:tc>
          <w:tcPr>
            <w:tcW w:w="1251.285714285716"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0.0230***</w:t>
            </w:r>
          </w:p>
        </w:tc>
      </w:tr>
      <w:tr>
        <w:trPr>
          <w:cantSplit/>
        </w:trPr>
        <w:tc>
          <w:tcPr>
            <w:tcW w:w="1352.2857142857142" w:type="dxa"/>
            <w:tcBorders>
              <w:top w:val="none" w:color="000000"/>
              <w:bottom w:val="none" w:color="000000"/>
              <w:left w:val="none" w:color="000000"/>
              <w:right w:val="none" w:color="000000"/>
            </w:tcBorders>
          </w:tcPr>
          <w:p>
            <w:pPr>
              <w:pStyle w:val="Compact"/>
              <w:spacing w:before="0" w:after="0" w:line="240" w:lineRule="auto"/>
              <w:jc w:val="center"/>
            </w:pPr>
          </w:p>
        </w:tc>
        <w:tc>
          <w:tcPr>
            <w:tcW w:w="1250.285714285714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（6.9326）</w:t>
            </w:r>
          </w:p>
        </w:tc>
        <w:tc>
          <w:tcPr>
            <w:tcW w:w="1250.285714285714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（5.1486）</w:t>
            </w:r>
          </w:p>
        </w:tc>
        <w:tc>
          <w:tcPr>
            <w:tcW w:w="1250.285714285714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（8.1562）</w:t>
            </w:r>
          </w:p>
        </w:tc>
        <w:tc>
          <w:tcPr>
            <w:tcW w:w="1352.285714285714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（4.8752）</w:t>
            </w:r>
          </w:p>
        </w:tc>
        <w:tc>
          <w:tcPr>
            <w:tcW w:w="1250.285714285714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（8.2060）</w:t>
            </w:r>
          </w:p>
        </w:tc>
        <w:tc>
          <w:tcPr>
            <w:tcW w:w="1251.285714285716"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（3.9059）</w:t>
            </w:r>
          </w:p>
        </w:tc>
      </w:tr>
      <w:tr>
        <w:trPr>
          <w:cantSplit/>
        </w:trPr>
        <w:tc>
          <w:tcPr>
            <w:tcW w:w="1352.285714285714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控制变量</w:t>
            </w:r>
          </w:p>
        </w:tc>
        <w:tc>
          <w:tcPr>
            <w:tcW w:w="1250.285714285714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是</w:t>
            </w:r>
          </w:p>
        </w:tc>
        <w:tc>
          <w:tcPr>
            <w:tcW w:w="1250.285714285714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是</w:t>
            </w:r>
          </w:p>
        </w:tc>
        <w:tc>
          <w:tcPr>
            <w:tcW w:w="1250.285714285714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是</w:t>
            </w:r>
          </w:p>
        </w:tc>
        <w:tc>
          <w:tcPr>
            <w:tcW w:w="1352.285714285714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是</w:t>
            </w:r>
          </w:p>
        </w:tc>
        <w:tc>
          <w:tcPr>
            <w:tcW w:w="1250.285714285714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是</w:t>
            </w:r>
          </w:p>
        </w:tc>
        <w:tc>
          <w:tcPr>
            <w:tcW w:w="1251.285714285716"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是</w:t>
            </w:r>
          </w:p>
        </w:tc>
      </w:tr>
      <w:tr>
        <w:trPr>
          <w:cantSplit/>
        </w:trPr>
        <w:tc>
          <w:tcPr>
            <w:tcW w:w="1352.285714285714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双向固定效应</w:t>
            </w:r>
          </w:p>
        </w:tc>
        <w:tc>
          <w:tcPr>
            <w:tcW w:w="1250.285714285714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是</w:t>
            </w:r>
          </w:p>
        </w:tc>
        <w:tc>
          <w:tcPr>
            <w:tcW w:w="1250.285714285714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是</w:t>
            </w:r>
          </w:p>
        </w:tc>
        <w:tc>
          <w:tcPr>
            <w:tcW w:w="1250.285714285714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是</w:t>
            </w:r>
          </w:p>
        </w:tc>
        <w:tc>
          <w:tcPr>
            <w:tcW w:w="1352.285714285714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是</w:t>
            </w:r>
          </w:p>
        </w:tc>
        <w:tc>
          <w:tcPr>
            <w:tcW w:w="1250.285714285714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是</w:t>
            </w:r>
          </w:p>
        </w:tc>
        <w:tc>
          <w:tcPr>
            <w:tcW w:w="1251.285714285716"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是</w:t>
            </w:r>
          </w:p>
        </w:tc>
      </w:tr>
      <w:tr>
        <w:trPr>
          <w:cantSplit/>
        </w:trPr>
        <w:tc>
          <w:tcPr>
            <w:tcW w:w="1352.2857142857142" w:type="dxa"/>
            <w:tcBorders>
              <w:top w:val="none" w:color="000000"/>
              <w:bottom w:val="none" w:color="000000"/>
              <w:left w:val="none" w:color="000000"/>
              <w:right w:val="none" w:color="000000"/>
            </w:tcBorders>
          </w:tcPr>
          <w:p>
            <w:pPr>
              <w:pStyle w:val="Compact"/>
              <w:spacing w:before="0" w:after="0" w:line="240" w:lineRule="auto"/>
              <w:jc w:val="center"/>
            </w:pPr>
            <w:r>
              <w:rPr>
                <w:iCs/>
                <w:i/>
                <w:sz w:val="16"/>
              </w:rPr>
              <w:t xml:space="preserve">N</w:t>
            </w:r>
          </w:p>
        </w:tc>
        <w:tc>
          <w:tcPr>
            <w:tcW w:w="1250.285714285714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1300</w:t>
            </w:r>
          </w:p>
        </w:tc>
        <w:tc>
          <w:tcPr>
            <w:tcW w:w="1250.285714285714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2379</w:t>
            </w:r>
          </w:p>
        </w:tc>
        <w:tc>
          <w:tcPr>
            <w:tcW w:w="1250.285714285714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1846</w:t>
            </w:r>
          </w:p>
        </w:tc>
        <w:tc>
          <w:tcPr>
            <w:tcW w:w="1352.285714285714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1833</w:t>
            </w:r>
          </w:p>
        </w:tc>
        <w:tc>
          <w:tcPr>
            <w:tcW w:w="1250.2857142857142"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2405</w:t>
            </w:r>
          </w:p>
        </w:tc>
        <w:tc>
          <w:tcPr>
            <w:tcW w:w="1251.285714285716" w:type="dxa"/>
            <w:tcBorders>
              <w:top w:val="none" w:color="000000"/>
              <w:bottom w:val="none" w:color="000000"/>
              <w:left w:val="none" w:color="000000"/>
              <w:right w:val="none" w:color="000000"/>
            </w:tcBorders>
          </w:tcPr>
          <w:p>
            <w:pPr>
              <w:pStyle w:val="Compact"/>
              <w:spacing w:before="0" w:after="0" w:line="240" w:lineRule="auto"/>
              <w:jc w:val="center"/>
            </w:pPr>
            <w:r>
              <w:rPr>
                <w:sz w:val="16"/>
              </w:rPr>
              <w:t xml:space="preserve">1274</w:t>
            </w:r>
          </w:p>
        </w:tc>
      </w:tr>
      <w:tr>
        <w:trPr>
          <w:cantSplit/>
        </w:trPr>
        <w:tc>
          <w:tcPr>
            <w:tcW w:w="1352.2857142857142" w:type="dxa"/>
            <w:tcBorders>
              <w:top w:val="none" w:color="000000"/>
              <w:bottom w:val="single" w:color="000000" w:sz="12" w:space="0"/>
              <w:left w:val="none" w:color="000000"/>
              <w:right w:val="none" w:color="000000"/>
            </w:tcBorders>
          </w:tcPr>
          <w:p>
            <w:pPr>
              <w:pStyle w:val="Compact"/>
              <w:spacing w:before="0" w:after="0" w:line="240" w:lineRule="auto"/>
              <w:jc w:val="center"/>
            </w:pPr>
            <w:r>
              <w:rPr>
                <w:iCs/>
                <w:i/>
                <w:sz w:val="16"/>
              </w:rPr>
              <w:t xml:space="preserve">R</w:t>
            </w:r>
            <w:r>
              <w:rPr>
                <w:sz w:val="16"/>
              </w:rPr>
              <w:t xml:space="preserve">²</w:t>
            </w:r>
          </w:p>
        </w:tc>
        <w:tc>
          <w:tcPr>
            <w:tcW w:w="1250.2857142857142" w:type="dxa"/>
            <w:tcBorders>
              <w:top w:val="none" w:color="000000"/>
              <w:bottom w:val="single" w:color="000000" w:sz="12" w:space="0"/>
              <w:left w:val="none" w:color="000000"/>
              <w:right w:val="none" w:color="000000"/>
            </w:tcBorders>
          </w:tcPr>
          <w:p>
            <w:pPr>
              <w:pStyle w:val="Compact"/>
              <w:spacing w:before="0" w:after="0" w:line="240" w:lineRule="auto"/>
              <w:jc w:val="center"/>
            </w:pPr>
            <w:r>
              <w:rPr>
                <w:sz w:val="16"/>
              </w:rPr>
              <w:t xml:space="preserve">0.2609</w:t>
            </w:r>
          </w:p>
        </w:tc>
        <w:tc>
          <w:tcPr>
            <w:tcW w:w="1250.2857142857142" w:type="dxa"/>
            <w:tcBorders>
              <w:top w:val="none" w:color="000000"/>
              <w:bottom w:val="single" w:color="000000" w:sz="12" w:space="0"/>
              <w:left w:val="none" w:color="000000"/>
              <w:right w:val="none" w:color="000000"/>
            </w:tcBorders>
          </w:tcPr>
          <w:p>
            <w:pPr>
              <w:pStyle w:val="Compact"/>
              <w:spacing w:before="0" w:after="0" w:line="240" w:lineRule="auto"/>
              <w:jc w:val="center"/>
            </w:pPr>
            <w:r>
              <w:rPr>
                <w:sz w:val="16"/>
              </w:rPr>
              <w:t xml:space="preserve">0.1979</w:t>
            </w:r>
          </w:p>
        </w:tc>
        <w:tc>
          <w:tcPr>
            <w:tcW w:w="1250.2857142857142" w:type="dxa"/>
            <w:tcBorders>
              <w:top w:val="none" w:color="000000"/>
              <w:bottom w:val="single" w:color="000000" w:sz="12" w:space="0"/>
              <w:left w:val="none" w:color="000000"/>
              <w:right w:val="none" w:color="000000"/>
            </w:tcBorders>
          </w:tcPr>
          <w:p>
            <w:pPr>
              <w:pStyle w:val="Compact"/>
              <w:spacing w:before="0" w:after="0" w:line="240" w:lineRule="auto"/>
              <w:jc w:val="center"/>
            </w:pPr>
            <w:r>
              <w:rPr>
                <w:sz w:val="16"/>
              </w:rPr>
              <w:t xml:space="preserve">0.2299</w:t>
            </w:r>
          </w:p>
        </w:tc>
        <w:tc>
          <w:tcPr>
            <w:tcW w:w="1352.2857142857142" w:type="dxa"/>
            <w:tcBorders>
              <w:top w:val="none" w:color="000000"/>
              <w:bottom w:val="single" w:color="000000" w:sz="12" w:space="0"/>
              <w:left w:val="none" w:color="000000"/>
              <w:right w:val="none" w:color="000000"/>
            </w:tcBorders>
          </w:tcPr>
          <w:p>
            <w:pPr>
              <w:pStyle w:val="Compact"/>
              <w:spacing w:before="0" w:after="0" w:line="240" w:lineRule="auto"/>
              <w:jc w:val="center"/>
            </w:pPr>
            <w:r>
              <w:rPr>
                <w:sz w:val="16"/>
              </w:rPr>
              <w:t xml:space="preserve">0.2169</w:t>
            </w:r>
          </w:p>
        </w:tc>
        <w:tc>
          <w:tcPr>
            <w:tcW w:w="1250.2857142857142" w:type="dxa"/>
            <w:tcBorders>
              <w:top w:val="none" w:color="000000"/>
              <w:bottom w:val="single" w:color="000000" w:sz="12" w:space="0"/>
              <w:left w:val="none" w:color="000000"/>
              <w:right w:val="none" w:color="000000"/>
            </w:tcBorders>
          </w:tcPr>
          <w:p>
            <w:pPr>
              <w:pStyle w:val="Compact"/>
              <w:spacing w:before="0" w:after="0" w:line="240" w:lineRule="auto"/>
              <w:jc w:val="center"/>
            </w:pPr>
            <w:r>
              <w:rPr>
                <w:sz w:val="16"/>
              </w:rPr>
              <w:t xml:space="preserve">0.2259</w:t>
            </w:r>
          </w:p>
        </w:tc>
        <w:tc>
          <w:tcPr>
            <w:tcW w:w="1251.285714285716" w:type="dxa"/>
            <w:tcBorders>
              <w:top w:val="none" w:color="000000"/>
              <w:bottom w:val="single" w:color="000000" w:sz="12" w:space="0"/>
              <w:left w:val="none" w:color="000000"/>
              <w:right w:val="none" w:color="000000"/>
            </w:tcBorders>
          </w:tcPr>
          <w:p>
            <w:pPr>
              <w:pStyle w:val="Compact"/>
              <w:spacing w:before="0" w:after="0" w:line="240" w:lineRule="auto"/>
              <w:jc w:val="center"/>
            </w:pPr>
            <w:r>
              <w:rPr>
                <w:sz w:val="16"/>
              </w:rPr>
              <w:t xml:space="preserve">0.2093</w:t>
            </w:r>
          </w:p>
        </w:tc>
      </w:tr>
    </w:tbl>
    <w:p>
      <w:pPr>
        <w:pStyle w:val="TableNote"/>
      </w:pPr>
      <w:r>
        <w:t xml:space="preserve">注：东部与中西部、大规模与中小规模、非资源型与资源型三组的组间差异检验依据两组系数之差构造的</w:t>
      </w:r>
      <w:r>
        <w:rPr>
          <w:iCs/>
          <w:i/>
        </w:rPr>
        <w:t xml:space="preserve">Z</w:t>
      </w:r>
      <w:r>
        <w:t xml:space="preserve">统计量得到，</w:t>
      </w:r>
      <w:r>
        <w:rPr>
          <w:iCs/>
          <w:i/>
        </w:rPr>
        <w:t xml:space="preserve">Z</w:t>
      </w:r>
      <w:r>
        <w:t xml:space="preserve">值依次为2.4450、2.2305与1.7259，对应</w:t>
      </w:r>
      <w:r>
        <w:rPr>
          <w:iCs/>
          <w:i/>
        </w:rPr>
        <w:t xml:space="preserve">P</w:t>
      </w:r>
      <w:r>
        <w:t xml:space="preserve">值依次为0.0145、0.0257与0.0844；城市规模按初始常住人口规模的中位数分组。</w:t>
      </w:r>
    </w:p>
    <w:bookmarkEnd w:id="43"/>
    <w:bookmarkEnd w:id="44"/>
    <w:bookmarkStart w:id="47" w:name="结论与建议"/>
    <w:p>
      <w:pPr>
        <w:pStyle w:val="Heading1"/>
      </w:pPr>
      <w:r>
        <w:t xml:space="preserve">4 结论与建议</w:t>
      </w:r>
    </w:p>
    <w:bookmarkStart w:id="45" w:name="研究结论"/>
    <w:p>
      <w:pPr>
        <w:pStyle w:val="Heading2"/>
      </w:pPr>
      <w:r>
        <w:t xml:space="preserve">4.1 研究结论</w:t>
      </w:r>
    </w:p>
    <w:p>
      <w:pPr>
        <w:pStyle w:val="FirstParagraph"/>
        <w:spacing w:before="0" w:after="0"/>
      </w:pPr>
      <w:r>
        <w:t xml:space="preserve">本文以地方政府数据开放平台的分批上线为准自然实验，基于2011—2023年283个地级及以上城市的面板数据，采用交错双重差分及处理效应异质性稳健估计方法，考察了公共数据开放对城市绿色全要素生产率的影响。主要结论如下：第一，公共数据开放使城市绿色全要素生产率显著提升0.0318，相当于样本均值的3.03%；权重诊断显示负权重单元格仅占0.37%，Callaway-Sant’Anna双重稳健估计给出的总体平均处理效应为0.0322，与基准结果高度一致，表明处理效应异质性未对识别构成实质性威胁。第二，事件研究结果支持平行趋势假设，政策效应自实施当年开始显现并逐年增强，第4年至第6年稳定在0.0440—0.0479之间。第三，随机化推断安慰剂检验、倾向得分匹配、控制同期政策、替换被解释变量与核心解释变量测度、调整样本范围等一系列检验均支持基准结论；工具变量估计所识别的局部平均处理效应为0.0662，方向一致而量级更大。第四，公共数据开放通过提升要素配置效率、激励绿色技术创新与强化环境社会监督三条渠道发挥作用。第五，邻近城市数据开放对本地存在显著的正向溢出效应（系数为0.0372），意味着基准估计构成政策效应的保守下界；政策效应在东部地区、大规模城市与非资源型城市中更为突出。</w:t>
      </w:r>
    </w:p>
    <w:bookmarkEnd w:id="45"/>
    <w:bookmarkStart w:id="46" w:name="政策建议"/>
    <w:p>
      <w:pPr>
        <w:pStyle w:val="Heading2"/>
      </w:pPr>
      <w:r>
        <w:t xml:space="preserve">4.2 政策建议</w:t>
      </w:r>
    </w:p>
    <w:p>
      <w:pPr>
        <w:pStyle w:val="FirstParagraph"/>
        <w:spacing w:before="0" w:after="0"/>
      </w:pPr>
      <w:r>
        <w:t xml:space="preserve">第一，加快推进公共数据的高质量开放，从”可获取”迈向”可利用”。应统一数据开放的目录标准、更新频率与接口规范，优先开放与绿色转型密切相关的能耗、排放、环境质量与环保执法数据，并以开放数据集规模与调用量而非平台数量作为考核导向，切实提升数据开放的实际强度。</w:t>
      </w:r>
    </w:p>
    <w:p>
      <w:pPr>
        <w:pStyle w:val="BodyText"/>
        <w:spacing w:before="0" w:after="0"/>
      </w:pPr>
      <w:r>
        <w:t xml:space="preserve">第二，围绕三条传导渠道配套政策工具。在要素配置方面，同步推进能源、土地等要素交易信息的公开与联动，放大数据开放对要素错配的矫正作用；在绿色创新方面，鼓励基于公共数据的绿色技术研发与场景开发，对以公共数据为投入的绿色专利给予定向支持；在社会监督方面，健全环境数据的可视化呈现与公众反馈机制，把信息透明转化为持续的治理压力。</w:t>
      </w:r>
    </w:p>
    <w:p>
      <w:pPr>
        <w:pStyle w:val="BodyText"/>
        <w:spacing w:before="0" w:after="0"/>
      </w:pPr>
      <w:r>
        <w:t xml:space="preserve">第三，重视政策的空间外溢并强化区域协同。鉴于邻近城市数据开放存在显著正向溢出，应推动城市群、都市圈内部数据开放平台的标准互认与目录互通，建设跨行政区的公共数据共享通道，使溢出效应由自发扩散转为制度化协同。</w:t>
      </w:r>
    </w:p>
    <w:p>
      <w:pPr>
        <w:pStyle w:val="BodyText"/>
        <w:spacing w:before="0" w:after="0"/>
      </w:pPr>
      <w:r>
        <w:t xml:space="preserve">第四，实施差异化的推进策略以缩小效应落差。对中西部地区、中小规模城市与资源型城市，应在推动平台上线的同时补齐数字基础设施与数据人才短板，通过定向培训、公共数据应用示范与财政转移支付提升本地数据吸收能力，避免公共数据开放在客观上扩大区域绿色转型的差距。</w:t>
      </w:r>
    </w:p>
    <w:p>
      <w:pPr>
        <w:pStyle w:val="BodyText"/>
        <w:spacing w:before="0" w:after="0"/>
      </w:pPr>
      <w:r>
        <w:t xml:space="preserve">本文尚存在可拓展之处：受数据可得性限制，机制检验主要停留在城市层面，未来可结合企业微观数据进一步刻画公共数据开放影响绿色生产率的微观路径；同时，不同类型公共数据的开放质量存在差异，如何区分数据的”量”与”质”对绿色转型的差异化影响，亦有待深入研究。</w:t>
      </w:r>
    </w:p>
    <w:p>
      <w:pPr>
        <w:pStyle w:val="RefItem"/>
      </w:pPr>
      <w:r>
        <w:t xml:space="preserve">[1]方锦程,刘颖,高昊宇,等.公共数据开放能否促进区域协调发展?——来自政府数据平台上线的准自然实验[J].管理世界,2023,39(9):124-141.</w:t>
      </w:r>
    </w:p>
    <w:p>
      <w:pPr>
        <w:pStyle w:val="RefItem"/>
      </w:pPr>
      <w:r>
        <w:t xml:space="preserve">[2]李荣华,王娇娇,张磊.公共数据开放的新质生产力效应——基于企业数字创新的视角[J].财经研究,2025,51(2):19-33.</w:t>
      </w:r>
    </w:p>
    <w:p>
      <w:pPr>
        <w:pStyle w:val="RefItem"/>
      </w:pPr>
      <w:r>
        <w:t xml:space="preserve">[3]江小涓,靳景.数字技术提升经济效率:服务分工、产业协同和数实孪生[J].管理世界,2022,38(12):9-26.</w:t>
      </w:r>
    </w:p>
    <w:p>
      <w:pPr>
        <w:pStyle w:val="RefItem"/>
      </w:pPr>
      <w:r>
        <w:t xml:space="preserve">[4]田鸽,张勋.数字经济、非农就业与社会分工[J].管理世界,2022,38(5):72-84.</w:t>
      </w:r>
    </w:p>
    <w:p>
      <w:pPr>
        <w:pStyle w:val="RefItem"/>
      </w:pPr>
      <w:r>
        <w:t xml:space="preserve">[5]陈晓红,李杨扬,宋丽洁,等.数字经济理论体系与研究展望[J].管理世界,2022,38(2):208-224.</w:t>
      </w:r>
    </w:p>
    <w:p>
      <w:pPr>
        <w:pStyle w:val="RefItem"/>
      </w:pPr>
      <w:r>
        <w:t xml:space="preserve">[6]赵涛,张智,梁上坤.数字经济、创业活跃度与高质量发展——来自中国城市的经验证据[J].管理世界,2020,36(10):65-76.</w:t>
      </w:r>
    </w:p>
    <w:p>
      <w:pPr>
        <w:pStyle w:val="RefItem"/>
      </w:pPr>
      <w:r>
        <w:t xml:space="preserve">[7]潘旭文,付文林.环境信息公开与地区空气质量——基于PM2.5监测的准自然实验分析[J].财经研究,2022,48(5):110-124.</w:t>
      </w:r>
    </w:p>
    <w:p>
      <w:pPr>
        <w:pStyle w:val="RefItem"/>
      </w:pPr>
      <w:r>
        <w:t xml:space="preserve">[8]邵帅,范美婷,杨莉莉.经济结构调整、绿色技术进步与中国低碳转型发展——基于总体技术前沿和空间溢出效应视角的经验考察[J].管理世界,2022,38(2):46-69.</w:t>
      </w:r>
    </w:p>
    <w:p>
      <w:pPr>
        <w:pStyle w:val="RefItem"/>
      </w:pPr>
      <w:r>
        <w:t xml:space="preserve">[9]Goodman-Bacon A. Difference-in-Differences with Variation in Treatment Timing[J]. Journal of Econometrics, 2021, 225(2): 254-277.</w:t>
      </w:r>
    </w:p>
    <w:p>
      <w:pPr>
        <w:pStyle w:val="RefItem"/>
      </w:pPr>
      <w:r>
        <w:t xml:space="preserve">[10]de Chaisemartin C, D’Haultfoeuille X. Two-Way Fixed Effects Estimators with Heterogeneous Treatment Effects[J]. American Economic Review, 2020, 110(9): 2964-2996.</w:t>
      </w:r>
    </w:p>
    <w:p>
      <w:pPr>
        <w:pStyle w:val="RefItem"/>
      </w:pPr>
      <w:r>
        <w:t xml:space="preserve">[11]Sun L, Abraham S. Estimating Dynamic Treatment Effects in Event Studies with Heterogeneous Treatment Effects[J]. Journal of Econometrics, 2021, 225(2): 175-199.</w:t>
      </w:r>
    </w:p>
    <w:p>
      <w:pPr>
        <w:pStyle w:val="RefItem"/>
      </w:pPr>
      <w:r>
        <w:t xml:space="preserve">[12]Callaway B, Sant’Anna P H C. Difference-in-Differences with Multiple Time Periods[J]. Journal of Econometrics, 2021, 225(2): 200-230.</w:t>
      </w:r>
    </w:p>
    <w:p>
      <w:pPr>
        <w:pStyle w:val="RefItem"/>
      </w:pPr>
      <w:r>
        <w:t xml:space="preserve">[13]LeSage J P, Pace R K. Introduction to Spatial Econometrics[M]. Boca Raton: Chapman &amp; Hall/CRC, 2009: 1-374.</w:t>
      </w:r>
    </w:p>
    <w:p>
      <w:pPr>
        <w:pStyle w:val="RefItem"/>
      </w:pPr>
      <w:r>
        <w:t xml:space="preserve">[14]Chung Y H, Fare R, Grosskopf S. Productivity and Undesirable Outputs: A Directional Distance Function Approach[J]. Journal of Environmental Management, 1997, 51(3): 229-240.</w:t>
      </w:r>
    </w:p>
    <w:p>
      <w:pPr>
        <w:pStyle w:val="RefItem"/>
      </w:pPr>
      <w:r>
        <w:t xml:space="preserve">[15]Oh D H. A Global Malmquist-Luenberger Productivity Index[J]. Journal of Productivity Analysis, 2010, 34(3): 183-197.</w:t>
      </w:r>
    </w:p>
    <w:p>
      <w:pPr>
        <w:pStyle w:val="RefItem"/>
      </w:pPr>
      <w:r>
        <w:t xml:space="preserve">[16]郭峰,王靖一,王芳,等.测度中国数字普惠金融发展:指数编制与空间特征[J].经济学(季刊),2020,19(4):1401-1418.</w:t>
      </w:r>
    </w:p>
    <w:p>
      <w:pPr>
        <w:pStyle w:val="RefItem"/>
      </w:pPr>
      <w:r>
        <w:t xml:space="preserve">[17]Montiel Olea J L, Plagborg-Moller M. Simultaneous Confidence Bands: Theory, Implementation, and an Application to SVARs[J]. Journal of Applied Econometrics, 2019, 34(1): 1-17.</w:t>
      </w:r>
    </w:p>
    <w:p>
      <w:pPr>
        <w:pStyle w:val="RefItem"/>
      </w:pPr>
      <w:r>
        <w:t xml:space="preserve">[18]江艇.因果推断经验研究中的中介效应与调节效应[J].中国工业经济,2022(5):100-120.</w:t>
      </w:r>
    </w:p>
    <w:bookmarkEnd w:id="46"/>
    <w:bookmarkEnd w:id="47"/>
    <w:sectPr>
      <w:pgSz w:w="11906" w:h="16838"/>
      <w:pgMar w:top="1440" w:bottom="1440" w:left="1474" w:right="14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0" w:lineRule="auto" w:line="360"/>
      <w:jc w:val="both"/>
    </w:pPr>
    <w:rPr>
      <w:rFonts w:ascii="Times New Roman" w:hAnsi="Times New Roman" w:eastAsia="宋体"/>
      <w:i w:val="0"/>
      <w:color w:val="000000"/>
      <w:sz w:val="24"/>
    </w:rPr>
  </w:style>
  <w:style w:styleId="BodyText" w:type="paragraph">
    <w:name w:val="Body Text"/>
    <w:basedOn w:val="Normal"/>
    <w:link w:val="BodyTextChar"/>
    <w:pPr>
      <w:spacing w:after="0" w:before="0" w:lineRule="auto" w:line="360"/>
      <w:ind w:firstLine="482"/>
      <w:jc w:val="both"/>
    </w:pPr>
    <w:qFormat/>
    <w:rPr>
      <w:rFonts w:ascii="Times New Roman" w:hAnsi="Times New Roman" w:eastAsia="宋体"/>
      <w:i w:val="0"/>
      <w:color w:val="000000"/>
      <w:sz w:val="24"/>
    </w:rPr>
  </w:style>
  <w:style w:customStyle="1" w:styleId="FirstParagraph" w:type="paragraph">
    <w:name w:val="First Paragraph"/>
    <w:basedOn w:val="BodyText"/>
    <w:next w:val="BodyText"/>
    <w:qFormat/>
    <w:pPr>
      <w:spacing w:before="0" w:after="0" w:lineRule="auto" w:line="360"/>
      <w:ind w:firstLine="482"/>
      <w:jc w:val="both"/>
    </w:pPr>
    <w:rPr>
      <w:rFonts w:ascii="Times New Roman" w:hAnsi="Times New Roman" w:eastAsia="宋体"/>
      <w:i w:val="0"/>
      <w:color w:val="000000"/>
      <w:sz w:val="24"/>
    </w:rPr>
  </w:style>
  <w:style w:customStyle="1" w:styleId="Compact" w:type="paragraph">
    <w:name w:val="Compact"/>
    <w:basedOn w:val="BodyText"/>
    <w:qFormat/>
    <w:pPr>
      <w:spacing w:after="0" w:before="0" w:lineRule="auto" w:line="288"/>
      <w:ind w:firstLine="0"/>
      <w:jc w:val="center"/>
    </w:pPr>
    <w:rPr>
      <w:rFonts w:ascii="Times New Roman" w:hAnsi="Times New Roman" w:eastAsia="宋体"/>
      <w:b w:val="0"/>
      <w:i w:val="0"/>
      <w:color w:val="000000"/>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40" w:lineRule="auto" w:line="360"/>
      <w:ind w:firstLine="0"/>
      <w:jc w:val="left"/>
      <w:outlineLvl w:val="0"/>
    </w:pPr>
    <w:rPr>
      <w:rFonts w:asciiTheme="majorHAnsi" w:cstheme="majorBidi" w:eastAsiaTheme="majorEastAsia" w:hAnsiTheme="majorHAnsi" w:ascii="Times New Roman" w:hAnsi="Times New Roman" w:eastAsia="黑体"/>
      <w:b/>
      <w:bCs/>
      <w:i w:val="0"/>
      <w:color w:val="000000"/>
      <w:sz w:val="30"/>
      <w:szCs w:val="32"/>
    </w:rPr>
  </w:style>
  <w:style w:styleId="Heading2" w:type="paragraph">
    <w:name w:val="Heading 2"/>
    <w:basedOn w:val="Normal"/>
    <w:next w:val="BodyText"/>
    <w:uiPriority w:val="9"/>
    <w:unhideWhenUsed/>
    <w:qFormat/>
    <w:pPr>
      <w:keepNext/>
      <w:keepLines/>
      <w:spacing w:after="100" w:before="200" w:lineRule="auto" w:line="360"/>
      <w:ind w:firstLine="0"/>
      <w:jc w:val="left"/>
      <w:outlineLvl w:val="1"/>
    </w:pPr>
    <w:rPr>
      <w:rFonts w:asciiTheme="majorHAnsi" w:cstheme="majorBidi" w:eastAsiaTheme="majorEastAsia" w:hAnsiTheme="majorHAnsi" w:ascii="Times New Roman" w:hAnsi="Times New Roman" w:eastAsia="黑体"/>
      <w:b w:val="0"/>
      <w:bCs/>
      <w:i w:val="0"/>
      <w:color w:val="000000"/>
      <w:sz w:val="28"/>
      <w:szCs w:val="28"/>
    </w:rPr>
  </w:style>
  <w:style w:styleId="Heading3" w:type="paragraph">
    <w:name w:val="Heading 3"/>
    <w:basedOn w:val="Normal"/>
    <w:next w:val="BodyText"/>
    <w:uiPriority w:val="9"/>
    <w:unhideWhenUsed/>
    <w:qFormat/>
    <w:pPr>
      <w:keepNext/>
      <w:keepLines/>
      <w:spacing w:after="80" w:before="160" w:lineRule="auto" w:line="360"/>
      <w:ind w:firstLine="0"/>
      <w:jc w:val="left"/>
      <w:outlineLvl w:val="2"/>
    </w:pPr>
    <w:rPr>
      <w:rFonts w:asciiTheme="majorHAnsi" w:cstheme="majorBidi" w:eastAsiaTheme="majorEastAsia" w:hAnsiTheme="majorHAnsi" w:ascii="Times New Roman" w:hAnsi="Times New Roman" w:eastAsia="黑体"/>
      <w:b w:val="0"/>
      <w:bCs/>
      <w:i w:val="0"/>
      <w:color w:val="000000"/>
      <w:sz w:val="24"/>
      <w:szCs w:val="24"/>
    </w:rPr>
  </w:style>
  <w:style w:styleId="Heading4" w:type="paragraph">
    <w:name w:val="Heading 4"/>
    <w:basedOn w:val="Normal"/>
    <w:next w:val="BodyText"/>
    <w:uiPriority w:val="9"/>
    <w:unhideWhenUsed/>
    <w:qFormat/>
    <w:pPr>
      <w:keepNext/>
      <w:keepLines/>
      <w:spacing w:after="60" w:before="120" w:lineRule="auto" w:line="360"/>
      <w:ind w:firstLine="0"/>
      <w:jc w:val="left"/>
      <w:outlineLvl w:val="3"/>
    </w:pPr>
    <w:rPr>
      <w:rFonts w:asciiTheme="majorHAnsi" w:cstheme="majorBidi" w:eastAsiaTheme="majorEastAsia" w:hAnsiTheme="majorHAnsi" w:ascii="Times New Roman" w:hAnsi="Times New Roman" w:eastAsia="黑体"/>
      <w:i w:val="0"/>
      <w:b w:val="0"/>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before="160" w:after="60" w:lineRule="auto" w:line="288"/>
      <w:ind w:firstLine="0"/>
      <w:jc w:val="center"/>
    </w:pPr>
    <w:rPr>
      <w:rFonts w:ascii="Times New Roman" w:hAnsi="Times New Roman" w:eastAsia="黑体"/>
      <w:b w:val="0"/>
      <w:i w:val="0"/>
      <w:color w:val="000000"/>
      <w:sz w:val="21"/>
    </w:rPr>
  </w:style>
  <w:style w:customStyle="1" w:styleId="ImageCaption" w:type="paragraph">
    <w:name w:val="Image Caption"/>
    <w:basedOn w:val="Caption"/>
    <w:pPr>
      <w:spacing w:before="60" w:after="160" w:lineRule="auto" w:line="288"/>
      <w:ind w:firstLine="0"/>
      <w:jc w:val="center"/>
    </w:pPr>
    <w:rPr>
      <w:rFonts w:ascii="Times New Roman" w:hAnsi="Times New Roman" w:eastAsia="黑体"/>
      <w:b w:val="0"/>
      <w:i w:val="0"/>
      <w:color w:val="000000"/>
      <w:sz w:val="21"/>
    </w:rPr>
  </w:style>
  <w:style w:customStyle="1" w:styleId="Figure" w:type="paragraph">
    <w:name w:val="Figure"/>
    <w:basedOn w:val="Normal"/>
  </w:style>
  <w:style w:customStyle="1" w:styleId="CaptionedFigure" w:type="paragraph">
    <w:name w:val="Captioned Figure"/>
    <w:basedOn w:val="Figure"/>
    <w:pPr>
      <w:keepNext/>
      <w:spacing w:before="160" w:after="0" w:lineRule="auto" w:line="288"/>
      <w:ind w:firstLine="0"/>
      <w:jc w:val="center"/>
    </w:pPr>
    <w:rPr>
      <w:rFonts w:ascii="Times New Roman" w:hAnsi="Times New Roman" w:eastAsia="宋体"/>
      <w:b w:val="0"/>
      <w:i w:val="0"/>
      <w:color w:val="000000"/>
      <w:sz w:val="24"/>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AbstractCN">
    <w:name w:val="AbstractCN"/>
    <w:basedOn w:val="BodyText"/>
    <w:qFormat/>
    <w:pPr>
      <w:spacing w:before="0" w:after="80" w:lineRule="auto" w:line="288"/>
      <w:ind w:firstLine="0"/>
      <w:jc w:val="both"/>
    </w:pPr>
    <w:rPr>
      <w:rFonts w:ascii="Times New Roman" w:hAnsi="Times New Roman" w:eastAsia="楷体"/>
      <w:b w:val="0"/>
      <w:i w:val="0"/>
      <w:color w:val="000000"/>
      <w:sz w:val="21"/>
    </w:rPr>
  </w:style>
  <w:style w:type="paragraph" w:customStyle="1" w:styleId="AffilCN">
    <w:name w:val="AffilCN"/>
    <w:basedOn w:val="BodyText"/>
    <w:qFormat/>
    <w:pPr>
      <w:spacing w:before="0" w:after="200" w:lineRule="auto" w:line="288"/>
      <w:ind w:firstLine="0"/>
      <w:jc w:val="center"/>
    </w:pPr>
    <w:rPr>
      <w:rFonts w:ascii="Times New Roman" w:hAnsi="Times New Roman" w:eastAsia="宋体"/>
      <w:b w:val="0"/>
      <w:i w:val="0"/>
      <w:color w:val="000000"/>
      <w:sz w:val="18"/>
    </w:rPr>
  </w:style>
  <w:style w:type="paragraph" w:customStyle="1" w:styleId="AuthorCN">
    <w:name w:val="AuthorCN"/>
    <w:basedOn w:val="BodyText"/>
    <w:qFormat/>
    <w:pPr>
      <w:spacing w:before="0" w:after="60" w:lineRule="auto" w:line="288"/>
      <w:ind w:firstLine="0"/>
      <w:jc w:val="center"/>
    </w:pPr>
    <w:rPr>
      <w:rFonts w:ascii="Times New Roman" w:hAnsi="Times New Roman" w:eastAsia="仿宋"/>
      <w:b w:val="0"/>
      <w:i w:val="0"/>
      <w:color w:val="000000"/>
      <w:sz w:val="21"/>
    </w:rPr>
  </w:style>
  <w:style w:type="paragraph" w:customStyle="1" w:styleId="RefItem">
    <w:name w:val="RefItem"/>
    <w:basedOn w:val="BodyText"/>
    <w:qFormat/>
    <w:pPr>
      <w:spacing w:before="0" w:after="40" w:lineRule="auto" w:line="288"/>
      <w:ind w:firstLine="0"/>
      <w:jc w:val="both"/>
    </w:pPr>
    <w:rPr>
      <w:rFonts w:ascii="Times New Roman" w:hAnsi="Times New Roman" w:eastAsia="宋体"/>
      <w:b w:val="0"/>
      <w:i w:val="0"/>
      <w:color w:val="000000"/>
      <w:sz w:val="21"/>
    </w:rPr>
  </w:style>
  <w:style w:type="paragraph" w:customStyle="1" w:styleId="TableNote">
    <w:name w:val="TableNote"/>
    <w:basedOn w:val="BodyText"/>
    <w:qFormat/>
    <w:pPr>
      <w:spacing w:before="40" w:after="160" w:lineRule="auto" w:line="288"/>
      <w:ind w:firstLine="0"/>
      <w:jc w:val="left"/>
    </w:pPr>
    <w:rPr>
      <w:rFonts w:ascii="Times New Roman" w:hAnsi="Times New Roman" w:eastAsia="宋体"/>
      <w:b w:val="0"/>
      <w:i w:val="0"/>
      <w:color w:val="000000"/>
      <w:sz w:val="18"/>
    </w:rPr>
  </w:style>
  <w:style w:type="paragraph" w:customStyle="1" w:styleId="TitleCN">
    <w:name w:val="TitleCN"/>
    <w:basedOn w:val="BodyText"/>
    <w:qFormat/>
    <w:pPr>
      <w:spacing w:before="120" w:after="240" w:lineRule="auto" w:line="288"/>
      <w:ind w:firstLine="0"/>
      <w:jc w:val="center"/>
    </w:pPr>
    <w:rPr>
      <w:rFonts w:ascii="Times New Roman" w:hAnsi="Times New Roman" w:eastAsia="黑体"/>
      <w:b/>
      <w:i w:val="0"/>
      <w:color w:val="000000"/>
      <w:sz w:val="3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0" Type="http://schemas.openxmlformats.org/officeDocument/2006/relationships/image" Target="media/rId30.png"/><Relationship Id="rId35" Type="http://schemas.openxmlformats.org/officeDocument/2006/relationships/image" Target="media/rId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2026-07-27T12:31:57Z</dcterms:created>
  <dcterms:modified xsi:type="dcterms:W3CDTF">2026-07-27T12:31:57Z</dcterms:modified>
</cp:coreProperties>
</file>

<file path=docProps/custom.xml><?xml version="1.0" encoding="utf-8"?>
<Properties xmlns="http://schemas.openxmlformats.org/officeDocument/2006/custom-properties" xmlns:vt="http://schemas.openxmlformats.org/officeDocument/2006/docPropsVTypes"/>
</file>