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2"/>
        <w:numPr>
          <w:ilvl w:val="0"/>
          <w:numId w:val="0"/>
        </w:numPr>
        <w:jc w:val="center"/>
        <w:rPr>
          <w:color w:val="FF0000"/>
          <w:lang w:eastAsia="zh-CN"/>
        </w:rPr>
      </w:pPr>
      <w:r>
        <w:rPr>
          <w:color w:val="FF0000"/>
          <w:lang w:eastAsia="zh-CN"/>
        </w:rPr>
        <w:t xml:space="preserve">摘要</w:t>
      </w:r>
    </w:p>
    <w:p>
      <w:pPr>
        <w:spacing w:line="360" w:lineRule="auto"/>
        <w:ind w:firstLineChars="200" w:firstLine="480"/>
        <w:jc w:val="both"/>
        <w:rPr>
          <w:color w:val="FF0000"/>
          <w:lang w:eastAsia="zh-CN"/>
        </w:rPr>
      </w:pPr>
      <w:r>
        <w:rPr>
          <w:color w:val="FF0000"/>
          <w:lang w:eastAsia="zh-CN"/>
        </w:rPr>
        <w:t xml:space="preserve">数字中国战略推进过程中，中小城市普遍面临</w:t>
      </w:r>
      <w:r>
        <w:rPr>
          <w:rFonts w:hint="eastAsia" w:ascii="宋体" w:hAnsi="宋体" w:eastAsia="宋体" w:cs="宋体"/>
          <w:color w:val="FF0000"/>
          <w:lang w:eastAsia="zh-CN"/>
        </w:rPr>
        <w:t xml:space="preserve">“</w:t>
      </w:r>
      <w:r>
        <w:rPr>
          <w:color w:val="FF0000"/>
          <w:lang w:eastAsia="zh-CN"/>
        </w:rPr>
        <w:t xml:space="preserve">政府想建缺能力、市场能建缺约束</w:t>
      </w:r>
      <w:r>
        <w:rPr>
          <w:rFonts w:hint="eastAsia" w:ascii="宋体" w:hAnsi="宋体" w:eastAsia="宋体" w:cs="宋体"/>
          <w:color w:val="FF0000"/>
          <w:lang w:eastAsia="zh-CN"/>
        </w:rPr>
        <w:t xml:space="preserve">”</w:t>
      </w:r>
      <w:r>
        <w:rPr>
          <w:color w:val="FF0000"/>
          <w:lang w:eastAsia="zh-CN"/>
        </w:rPr>
        <w:t xml:space="preserve">的双重困境：财政与人才约束使政府难以独立主导城市级数字化建设，而纯市场主体又缺乏承担公共使命的制度约束。由政府与央企共同出资组建的地方国有数字化平台，正是回应这一困境的组织创新。然而，这类兼具公共属性与市场属性的主体究竟凭何获得合法性、如何将政策资源转化为治理效能、其价值产出又如何反向巩固自身发展条件，既有研究尚缺乏系统的机理刻画。</w:t>
      </w:r>
    </w:p>
    <w:p>
      <w:pPr>
        <w:spacing w:line="360" w:lineRule="auto"/>
        <w:ind w:firstLineChars="200" w:firstLine="480"/>
        <w:jc w:val="both"/>
        <w:rPr>
          <w:color w:val="FF0000"/>
          <w:lang w:eastAsia="zh-CN"/>
        </w:rPr>
      </w:pPr>
      <w:r>
        <w:rPr>
          <w:color w:val="FF0000"/>
          <w:lang w:eastAsia="zh-CN"/>
        </w:rPr>
        <w:t xml:space="preserve">本文以浙江嘉兴数字城市实验室有限公司（以下简称</w:t>
      </w:r>
      <w:r>
        <w:rPr>
          <w:rFonts w:hint="eastAsia" w:ascii="宋体" w:hAnsi="宋体" w:eastAsia="宋体" w:cs="宋体"/>
          <w:color w:val="FF0000"/>
          <w:lang w:eastAsia="zh-CN"/>
        </w:rPr>
        <w:t xml:space="preserve">“</w:t>
      </w:r>
      <w:r>
        <w:rPr>
          <w:color w:val="FF0000"/>
          <w:lang w:eastAsia="zh-CN"/>
        </w:rPr>
        <w:t xml:space="preserve">嘉数公司</w:t>
      </w:r>
      <w:r>
        <w:rPr>
          <w:rFonts w:hint="eastAsia" w:ascii="宋体" w:hAnsi="宋体" w:eastAsia="宋体" w:cs="宋体"/>
          <w:color w:val="FF0000"/>
          <w:lang w:eastAsia="zh-CN"/>
        </w:rPr>
        <w:t xml:space="preserve">”</w:t>
      </w:r>
      <w:r>
        <w:rPr>
          <w:color w:val="FF0000"/>
          <w:lang w:eastAsia="zh-CN"/>
        </w:rPr>
        <w:t xml:space="preserve">）为单案例研究对象，以马克·穆尔公共价值理论及其战略三角模型为分析框架，综合运用半结构化访谈、二手档案分析与公开政策文本比对三类证据来源，考察政策驱动型地方国企在国家数字城市试点情境下的公共价值创造机理。研究提炼出</w:t>
      </w:r>
      <w:r>
        <w:rPr>
          <w:rFonts w:hint="eastAsia" w:ascii="宋体" w:hAnsi="宋体" w:eastAsia="宋体" w:cs="宋体"/>
          <w:color w:val="FF0000"/>
          <w:lang w:eastAsia="zh-CN"/>
        </w:rPr>
        <w:t xml:space="preserve">“</w:t>
      </w:r>
      <w:r>
        <w:rPr>
          <w:color w:val="FF0000"/>
          <w:lang w:eastAsia="zh-CN"/>
        </w:rPr>
        <w:t xml:space="preserve">授权—赋能—增值</w:t>
      </w:r>
      <w:r>
        <w:rPr>
          <w:rFonts w:hint="eastAsia" w:ascii="宋体" w:hAnsi="宋体" w:eastAsia="宋体" w:cs="宋体"/>
          <w:color w:val="FF0000"/>
          <w:lang w:eastAsia="zh-CN"/>
        </w:rPr>
        <w:t xml:space="preserve">”</w:t>
      </w:r>
      <w:r>
        <w:rPr>
          <w:color w:val="FF0000"/>
          <w:lang w:eastAsia="zh-CN"/>
        </w:rPr>
        <w:t xml:space="preserve">三维联动的价值创造路径：政策锚定、政企共建与产学研协同构成多层级授权基础；技术平台、数据要素与高端人才聚合形成运营赋能中介；治理提效、民生普惠与示范外溢构成公共价值产出。</w:t>
      </w:r>
    </w:p>
    <w:p>
      <w:pPr>
        <w:spacing w:line="360" w:lineRule="auto"/>
        <w:ind w:firstLineChars="200" w:firstLine="480"/>
        <w:jc w:val="both"/>
        <w:rPr>
          <w:color w:val="FF0000"/>
          <w:lang w:eastAsia="zh-CN"/>
        </w:rPr>
      </w:pPr>
      <w:r>
        <w:rPr>
          <w:color w:val="FF0000"/>
          <w:lang w:eastAsia="zh-CN"/>
        </w:rPr>
        <w:t xml:space="preserve">研究发现有三。其一，战略三角的三个维度在本案例中并非静态并列，而是构成</w:t>
      </w:r>
      <w:r>
        <w:rPr>
          <w:rFonts w:hint="eastAsia" w:ascii="宋体" w:hAnsi="宋体" w:eastAsia="宋体" w:cs="宋体"/>
          <w:color w:val="FF0000"/>
          <w:lang w:eastAsia="zh-CN"/>
        </w:rPr>
        <w:t xml:space="preserve">“</w:t>
      </w:r>
      <w:r>
        <w:rPr>
          <w:color w:val="FF0000"/>
          <w:lang w:eastAsia="zh-CN"/>
        </w:rPr>
        <w:t xml:space="preserve">授权—赋能—增值—反哺</w:t>
      </w:r>
      <w:r>
        <w:rPr>
          <w:rFonts w:hint="eastAsia" w:ascii="宋体" w:hAnsi="宋体" w:eastAsia="宋体" w:cs="宋体"/>
          <w:color w:val="FF0000"/>
          <w:lang w:eastAsia="zh-CN"/>
        </w:rPr>
        <w:t xml:space="preserve">”</w:t>
      </w:r>
      <w:r>
        <w:rPr>
          <w:color w:val="FF0000"/>
          <w:lang w:eastAsia="zh-CN"/>
        </w:rPr>
        <w:t xml:space="preserve">的动态闭环，价值产出并非链条终点，而是新一轮授权扩容的起点，使价值创造由</w:t>
      </w:r>
      <w:r>
        <w:rPr>
          <w:rFonts w:hint="eastAsia" w:ascii="宋体" w:hAnsi="宋体" w:eastAsia="宋体" w:cs="宋体"/>
          <w:color w:val="FF0000"/>
          <w:lang w:eastAsia="zh-CN"/>
        </w:rPr>
        <w:t xml:space="preserve">“</w:t>
      </w:r>
      <w:r>
        <w:rPr>
          <w:color w:val="FF0000"/>
          <w:lang w:eastAsia="zh-CN"/>
        </w:rPr>
        <w:t xml:space="preserve">投入—产出</w:t>
      </w:r>
      <w:r>
        <w:rPr>
          <w:rFonts w:hint="eastAsia" w:ascii="宋体" w:hAnsi="宋体" w:eastAsia="宋体" w:cs="宋体"/>
          <w:color w:val="FF0000"/>
          <w:lang w:eastAsia="zh-CN"/>
        </w:rPr>
        <w:t xml:space="preserve">”</w:t>
      </w:r>
      <w:r>
        <w:rPr>
          <w:color w:val="FF0000"/>
          <w:lang w:eastAsia="zh-CN"/>
        </w:rPr>
        <w:t xml:space="preserve">的单次消耗转变为</w:t>
      </w:r>
      <w:r>
        <w:rPr>
          <w:rFonts w:hint="eastAsia" w:ascii="宋体" w:hAnsi="宋体" w:eastAsia="宋体" w:cs="宋体"/>
          <w:color w:val="FF0000"/>
          <w:lang w:eastAsia="zh-CN"/>
        </w:rPr>
        <w:t xml:space="preserve">“</w:t>
      </w:r>
      <w:r>
        <w:rPr>
          <w:color w:val="FF0000"/>
          <w:lang w:eastAsia="zh-CN"/>
        </w:rPr>
        <w:t xml:space="preserve">产出—反哺—再投入</w:t>
      </w:r>
      <w:r>
        <w:rPr>
          <w:rFonts w:hint="eastAsia" w:ascii="宋体" w:hAnsi="宋体" w:eastAsia="宋体" w:cs="宋体"/>
          <w:color w:val="FF0000"/>
          <w:lang w:eastAsia="zh-CN"/>
        </w:rPr>
        <w:t xml:space="preserve">”</w:t>
      </w:r>
      <w:r>
        <w:rPr>
          <w:color w:val="FF0000"/>
          <w:lang w:eastAsia="zh-CN"/>
        </w:rPr>
        <w:t xml:space="preserve">的自我强化。其二，</w:t>
      </w:r>
      <w:r>
        <w:rPr>
          <w:rFonts w:hint="eastAsia" w:ascii="宋体" w:hAnsi="宋体" w:eastAsia="宋体" w:cs="宋体"/>
          <w:color w:val="FF0000"/>
          <w:lang w:eastAsia="zh-CN"/>
        </w:rPr>
        <w:t xml:space="preserve">“</w:t>
      </w:r>
      <w:r>
        <w:rPr>
          <w:color w:val="FF0000"/>
          <w:lang w:eastAsia="zh-CN"/>
        </w:rPr>
        <w:t xml:space="preserve">授权环境</w:t>
      </w:r>
      <w:r>
        <w:rPr>
          <w:rFonts w:hint="eastAsia" w:ascii="宋体" w:hAnsi="宋体" w:eastAsia="宋体" w:cs="宋体"/>
          <w:color w:val="FF0000"/>
          <w:lang w:eastAsia="zh-CN"/>
        </w:rPr>
        <w:t xml:space="preserve">”</w:t>
      </w:r>
      <w:r>
        <w:rPr>
          <w:color w:val="FF0000"/>
          <w:lang w:eastAsia="zh-CN"/>
        </w:rPr>
        <w:t xml:space="preserve">可进一步拆解为政策授权、出资授权与治理授权三个可设计的子维度，其中</w:t>
      </w:r>
      <w:r>
        <w:rPr>
          <w:rFonts w:hint="eastAsia" w:ascii="宋体" w:hAnsi="宋体" w:eastAsia="宋体" w:cs="宋体"/>
          <w:color w:val="FF0000"/>
          <w:lang w:eastAsia="zh-CN"/>
        </w:rPr>
        <w:t xml:space="preserve">“</w:t>
      </w:r>
      <w:r>
        <w:rPr>
          <w:color w:val="FF0000"/>
          <w:lang w:eastAsia="zh-CN"/>
        </w:rPr>
        <w:t xml:space="preserve">政府控股、央企经营</w:t>
      </w:r>
      <w:r>
        <w:rPr>
          <w:rFonts w:hint="eastAsia" w:ascii="宋体" w:hAnsi="宋体" w:eastAsia="宋体" w:cs="宋体"/>
          <w:color w:val="FF0000"/>
          <w:lang w:eastAsia="zh-CN"/>
        </w:rPr>
        <w:t xml:space="preserve">”</w:t>
      </w:r>
      <w:r>
        <w:rPr>
          <w:color w:val="FF0000"/>
          <w:lang w:eastAsia="zh-CN"/>
        </w:rPr>
        <w:t xml:space="preserve">的所有权与经营权适度分离安排，是兼顾公共使命与技术专业性的关键制度设计，表明授权并非外生给定的背景变量，而是可主动建构的制度工具。其三，量化刻画显示，该路径的赋能成效具有可观测性：矛盾纠纷特征提炼与风险研判两个关键环节的单次时耗分别压缩97.9%与88.9%，平均压缩93.4%；企业员工规模由成立初期的约20人增至调研时点的120人，研发技术人员占比超过六成；外部资质认证由2022年的3项累计至2025年的9项，其能力确认维度沿</w:t>
      </w:r>
      <w:r>
        <w:rPr>
          <w:rFonts w:hint="eastAsia" w:ascii="宋体" w:hAnsi="宋体" w:eastAsia="宋体" w:cs="宋体"/>
          <w:color w:val="FF0000"/>
          <w:lang w:eastAsia="zh-CN"/>
        </w:rPr>
        <w:t xml:space="preserve">“</w:t>
      </w:r>
      <w:r>
        <w:rPr>
          <w:color w:val="FF0000"/>
          <w:lang w:eastAsia="zh-CN"/>
        </w:rPr>
        <w:t xml:space="preserve">工程实施—研发管理—数据治理—标准输出</w:t>
      </w:r>
      <w:r>
        <w:rPr>
          <w:rFonts w:hint="eastAsia" w:ascii="宋体" w:hAnsi="宋体" w:eastAsia="宋体" w:cs="宋体"/>
          <w:color w:val="FF0000"/>
          <w:lang w:eastAsia="zh-CN"/>
        </w:rPr>
        <w:t xml:space="preserve">”</w:t>
      </w:r>
      <w:r>
        <w:rPr>
          <w:color w:val="FF0000"/>
          <w:lang w:eastAsia="zh-CN"/>
        </w:rPr>
        <w:t xml:space="preserve">依次跃迁。</w:t>
      </w:r>
    </w:p>
    <w:p>
      <w:pPr>
        <w:spacing w:line="360" w:lineRule="auto"/>
        <w:ind w:firstLineChars="200" w:firstLine="480"/>
        <w:jc w:val="both"/>
        <w:rPr>
          <w:color w:val="FF0000"/>
          <w:lang w:eastAsia="zh-CN"/>
        </w:rPr>
      </w:pPr>
      <w:r>
        <w:rPr>
          <w:color w:val="FF0000"/>
          <w:lang w:eastAsia="zh-CN"/>
        </w:rPr>
        <w:t xml:space="preserve">本文的理论贡献在于把战略三角模型的适用主体由政府部门拓展至政策驱动型国企，揭示了三维度间的动态反馈闭环，并对授权维度作出可操作的再拆解。实践层面，本文提出中小城市宜以</w:t>
      </w:r>
      <w:r>
        <w:rPr>
          <w:rFonts w:hint="eastAsia" w:ascii="宋体" w:hAnsi="宋体" w:eastAsia="宋体" w:cs="宋体"/>
          <w:color w:val="FF0000"/>
          <w:lang w:eastAsia="zh-CN"/>
        </w:rPr>
        <w:t xml:space="preserve">“</w:t>
      </w:r>
      <w:r>
        <w:rPr>
          <w:color w:val="FF0000"/>
          <w:lang w:eastAsia="zh-CN"/>
        </w:rPr>
        <w:t xml:space="preserve">建管一体</w:t>
      </w:r>
      <w:r>
        <w:rPr>
          <w:rFonts w:hint="eastAsia" w:ascii="宋体" w:hAnsi="宋体" w:eastAsia="宋体" w:cs="宋体"/>
          <w:color w:val="FF0000"/>
          <w:lang w:eastAsia="zh-CN"/>
        </w:rPr>
        <w:t xml:space="preserve">”</w:t>
      </w:r>
      <w:r>
        <w:rPr>
          <w:color w:val="FF0000"/>
          <w:lang w:eastAsia="zh-CN"/>
        </w:rPr>
        <w:t xml:space="preserve">的国企载体承接数字化试点、警惕</w:t>
      </w:r>
      <w:r>
        <w:rPr>
          <w:rFonts w:hint="eastAsia" w:ascii="宋体" w:hAnsi="宋体" w:eastAsia="宋体" w:cs="宋体"/>
          <w:color w:val="FF0000"/>
          <w:lang w:eastAsia="zh-CN"/>
        </w:rPr>
        <w:t xml:space="preserve">“</w:t>
      </w:r>
      <w:r>
        <w:rPr>
          <w:color w:val="FF0000"/>
          <w:lang w:eastAsia="zh-CN"/>
        </w:rPr>
        <w:t xml:space="preserve">重建轻管</w:t>
      </w:r>
      <w:r>
        <w:rPr>
          <w:rFonts w:hint="eastAsia" w:ascii="宋体" w:hAnsi="宋体" w:eastAsia="宋体" w:cs="宋体"/>
          <w:color w:val="FF0000"/>
          <w:lang w:eastAsia="zh-CN"/>
        </w:rPr>
        <w:t xml:space="preserve">”</w:t>
      </w:r>
      <w:r>
        <w:rPr>
          <w:color w:val="FF0000"/>
          <w:lang w:eastAsia="zh-CN"/>
        </w:rPr>
        <w:t xml:space="preserve">的结构性风险、并以制度化的公共价值评估支撑</w:t>
      </w:r>
      <w:r>
        <w:rPr>
          <w:rFonts w:hint="eastAsia" w:ascii="宋体" w:hAnsi="宋体" w:eastAsia="宋体" w:cs="宋体"/>
          <w:color w:val="FF0000"/>
          <w:lang w:eastAsia="zh-CN"/>
        </w:rPr>
        <w:t xml:space="preserve">“</w:t>
      </w:r>
      <w:r>
        <w:rPr>
          <w:color w:val="FF0000"/>
          <w:lang w:eastAsia="zh-CN"/>
        </w:rPr>
        <w:t xml:space="preserve">增值反哺授权</w:t>
      </w:r>
      <w:r>
        <w:rPr>
          <w:rFonts w:hint="eastAsia" w:ascii="宋体" w:hAnsi="宋体" w:eastAsia="宋体" w:cs="宋体"/>
          <w:color w:val="FF0000"/>
          <w:lang w:eastAsia="zh-CN"/>
        </w:rPr>
        <w:t xml:space="preserve">”</w:t>
      </w:r>
      <w:r>
        <w:rPr>
          <w:color w:val="FF0000"/>
          <w:lang w:eastAsia="zh-CN"/>
        </w:rPr>
        <w:t xml:space="preserve">闭环的可预期运行，为同类城市的数字化转型提供可参照的组织方案与政策建议。</w:t>
      </w:r>
    </w:p>
    <w:p>
      <w:pPr>
        <w:spacing w:line="360" w:lineRule="auto"/>
        <w:ind w:firstLineChars="200" w:firstLine="480"/>
        <w:jc w:val="both"/>
        <w:rPr>
          <w:color w:val="FF0000"/>
          <w:lang w:eastAsia="zh-CN"/>
        </w:rPr>
      </w:pPr>
      <w:r>
        <w:rPr>
          <w:color w:val="FF0000"/>
          <w:lang w:eastAsia="zh-CN"/>
        </w:rPr>
        <w:t xml:space="preserve">关键词：公共价值；战略三角模型；数字城市试点；政策驱动型国企；授权环境；数据要素运营</w:t>
      </w:r>
    </w:p>
    <w:p>
      <w:pPr>
        <w:pStyle w:val="2"/>
        <w:numPr>
          <w:ilvl w:val="0"/>
          <w:numId w:val="0"/>
        </w:numPr>
        <w:jc w:val="center"/>
        <w:rPr>
          <w:color w:val="FF0000"/>
          <w:lang w:eastAsia="zh-CN"/>
        </w:rPr>
      </w:pPr>
      <w:r>
        <w:rPr>
          <w:color w:val="FF0000"/>
          <w:lang w:eastAsia="zh-CN"/>
        </w:rPr>
        <w:t xml:space="preserve">Abstract</w:t>
      </w:r>
    </w:p>
    <w:p>
      <w:pPr>
        <w:spacing w:line="360" w:lineRule="auto"/>
        <w:ind w:firstLineChars="200" w:firstLine="480"/>
        <w:jc w:val="both"/>
        <w:rPr>
          <w:color w:val="FF0000"/>
          <w:lang w:eastAsia="zh-CN"/>
        </w:rPr>
      </w:pPr>
      <w:r>
        <w:rPr>
          <w:color w:val="FF0000"/>
          <w:lang w:eastAsia="zh-CN"/>
        </w:rPr>
        <w:t xml:space="preserve">As China advances its Digital China strategy, small and medium-sized cities commonly face a twofold dilemma: fiscal and talent constraints prevent governments from independently leading city-level digital construction, while purely market-based actors lack the institutional obligation to serve public missions. Locally owned digital platform enterprises, jointly funded by municipal governments and central state-owned enterprises, represent an organizational innovation responding to this dilemma. Yet how such hybrid actors obtain legitimacy, convert policy resources into governance effectiveness, and translate value outputs back into expanded developmental conditions remains inadequately theorized.</w:t>
      </w:r>
    </w:p>
    <w:p>
      <w:pPr>
        <w:spacing w:line="360" w:lineRule="auto"/>
        <w:ind w:firstLineChars="200" w:firstLine="480"/>
        <w:jc w:val="both"/>
        <w:rPr>
          <w:color w:val="FF0000"/>
          <w:lang w:eastAsia="zh-CN"/>
        </w:rPr>
      </w:pPr>
      <w:r>
        <w:rPr>
          <w:color w:val="FF0000"/>
          <w:lang w:eastAsia="zh-CN"/>
        </w:rPr>
        <w:t xml:space="preserve">Taking Zhejiang Jiaxing Digital City Laboratory Co., Ltd. (hereafter Jiashu) as a single case, and drawing on Mark Moore's public value theory and its strategic triangle model, this study triangulates semi-structured interviews, archival materials and public policy documents to examine how a policy-driven local state-owned enterprise creates public value within a national digital-city pilot. The study identifies a three-dimensional pathway of authorization, empowerment and value appreciation: policy anchoring, government-enterprise co-construction and industry-university-research collaboration constitute the authorizing environment; technology platforms, data elements and high-level talent constitute operational capacity; and governance efficiency, inclusive public services and demonstration spillovers constitute public value.</w:t>
      </w:r>
    </w:p>
    <w:p>
      <w:pPr>
        <w:spacing w:line="360" w:lineRule="auto"/>
        <w:ind w:firstLineChars="200" w:firstLine="480"/>
        <w:jc w:val="both"/>
        <w:rPr>
          <w:color w:val="FF0000"/>
          <w:lang w:eastAsia="zh-CN"/>
        </w:rPr>
      </w:pPr>
      <w:r>
        <w:rPr>
          <w:color w:val="FF0000"/>
          <w:lang w:eastAsia="zh-CN"/>
        </w:rPr>
        <w:t xml:space="preserve">Three findings emerge. First, the three dimensions form a dynamic closed loop of authorization-empowerment-appreciation-feedback rather than a static triad: value output is not the terminus of the chain but the starting point of a new round of authorization, turning value creation from single-round consumption into self-reinforcing accumulation. Second, the authorizing environment can be disaggregated into three designable sub-dimensions—policy authorization, capital authorization and governance authorization—among which the separation of state ownership from central-SOE management is the pivotal arrangement reconciling public mission with technical professionalism, indicating that authorization is a constructible institutional instrument rather than an exogenous background condition. Third, quantitative characterization shows measurable empowerment effects: processing time for dispute-feature extraction and risk assessment was compressed by 97.9% and 88.9% respectively, averaging 93.4%; headcount grew from about 20 at founding to 120 at the time of investigation, with R&amp;D personnel exceeding 60%; and external certifications accumulated from three in 2022 to nine in 2025, with the confirmed capability dimension advancing successively from engineering implementation to R&amp;D management, data governance and standard-setting.</w:t>
      </w:r>
    </w:p>
    <w:p>
      <w:pPr>
        <w:spacing w:line="360" w:lineRule="auto"/>
        <w:ind w:firstLineChars="200" w:firstLine="480"/>
        <w:jc w:val="both"/>
        <w:rPr>
          <w:color w:val="FF0000"/>
          <w:lang w:eastAsia="zh-CN"/>
        </w:rPr>
      </w:pPr>
      <w:r>
        <w:rPr>
          <w:color w:val="FF0000"/>
          <w:lang w:eastAsia="zh-CN"/>
        </w:rPr>
        <w:t xml:space="preserve">Theoretically, this study extends the strategic triangle model from government agencies to policy-driven state-owned enterprises, reveals the dynamic feedback loop among its three dimensions, and offers an operational disaggregation of the authorization dimension. Practically, it argues that small and medium-sized cities should entrust digital pilots to state-owned vehicles integrating construction with operation, guard against the structural risk of building without operating, and institutionalize public value assessment so that the feedback loop operates predictably.</w:t>
      </w:r>
    </w:p>
    <w:p>
      <w:pPr>
        <w:spacing w:line="360" w:lineRule="auto"/>
        <w:ind w:firstLineChars="200" w:firstLine="480"/>
        <w:jc w:val="both"/>
        <w:rPr>
          <w:color w:val="FF0000"/>
          <w:lang w:eastAsia="zh-CN"/>
        </w:rPr>
      </w:pPr>
      <w:r>
        <w:rPr>
          <w:color w:val="FF0000"/>
          <w:lang w:eastAsia="zh-CN"/>
        </w:rPr>
        <w:t xml:space="preserve">Keywords: Public Value; Strategic Triangle Model; Digital City Pilot; Policy-driven State-owned Enterprise; Authorizing Environment; Data Element Operation</w:t>
      </w:r>
    </w:p>
    <w:p>
      <w:pPr>
        <w:ind w:firstLineChars="0" w:firstLine="0"/>
      </w:pPr>
      <w:r>
        <w:br w:type="page"/>
      </w:r>
    </w:p>
    <w:bookmarkStart w:id="0" w:name="_Toc236777479" w:displacedByCustomXml="next"/>
    <w:sdt>
      <w:sdtPr>
        <w:rPr>
          <w:lang w:val="zh-CN"/>
        </w:rPr>
        <w:id w:val="322090860"/>
        <w:docPartObj>
          <w:docPartGallery w:val="Table of Contents"/>
          <w:docPartUnique/>
        </w:docPartObj>
      </w:sdtPr>
      <w:sdtEndPr>
        <w:rPr>
          <w:rFonts w:ascii="Times New Roman" w:eastAsia="仿宋" w:hAnsi="Times New Roman" w:cs="Times New Roman"/>
          <w:b/>
          <w:bCs/>
          <w:color w:val="auto"/>
          <w:kern w:val="2"/>
          <w:sz w:val="24"/>
          <w:szCs w:val="21"/>
        </w:rPr>
      </w:sdtEndPr>
      <w:sdtContent>
        <w:p w14:paraId="573AC664" w14:textId="77777777" w:rsidR="00B610B0" w:rsidRPr="00B610B0" w:rsidRDefault="00B610B0" w:rsidP="00B610B0">
          <w:pPr>
            <w:pStyle w:val="TOC"/>
            <w:ind w:firstLine="482"/>
            <w:jc w:val="center"/>
            <w:outlineLvl w:val="0"/>
            <w:rPr>
              <w:rStyle w:val="10"/>
            </w:rPr>
          </w:pPr>
          <w:r w:rsidRPr="00B610B0">
            <w:rPr>
              <w:rStyle w:val="10"/>
              <w:lang w:val="zh-CN"/>
            </w:rPr>
            <w:t>目录</w:t>
          </w:r>
        </w:p>
        <w:p w14:paraId="1902AB0D" w14:textId="0ED720EA" w:rsidR="00B610B0" w:rsidRDefault="00B610B0">
          <w:pPr>
            <w:pStyle w:val="TOC1"/>
            <w:rPr>
              <w:rFonts w:cstheme="minorBidi" w:hint="eastAsia"/>
              <w:noProof/>
              <w:kern w:val="2"/>
              <w:szCs w:val="24"/>
              <w14:ligatures w14:val="standardContextual"/>
            </w:rPr>
          </w:pPr>
          <w:r>
            <w:fldChar w:fldCharType="begin"/>
          </w:r>
          <w:r>
            <w:instrText xml:space="preserve"> TOC \o "1-3" \h \z \u </w:instrText>
          </w:r>
          <w:r>
            <w:rPr/>
            <w:fldChar w:fldCharType="separate"/>
          </w:r>
          <w:hyperlink w:anchor="_Toc236777925" w:history="1">
            <w:r w:rsidRPr="00623C82">
              <w:rPr>
                <w:rStyle w:val="af2"/>
                <w:noProof/>
              </w:rPr>
              <w:t>1 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1668C56D" w14:textId="6BDD5D6F" w:rsidR="00B610B0" w:rsidRDefault="00B610B0">
          <w:pPr>
            <w:pStyle w:val="TOC2"/>
            <w:tabs>
              <w:tab w:val="right" w:leader="dot" w:pos="8296"/>
            </w:tabs>
            <w:rPr>
              <w:rFonts w:cstheme="minorBidi" w:hint="eastAsia"/>
              <w:noProof/>
              <w:kern w:val="2"/>
              <w:szCs w:val="24"/>
              <w14:ligatures w14:val="standardContextual"/>
            </w:rPr>
          </w:pPr>
          <w:hyperlink w:anchor="_Toc236777926" w:history="1">
            <w:r w:rsidRPr="00623C82">
              <w:rPr>
                <w:rStyle w:val="af2"/>
                <w:noProof/>
              </w:rPr>
              <w:t>1.1 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4C6AA6D0" w14:textId="58125DB5" w:rsidR="00B610B0" w:rsidRDefault="00B610B0">
          <w:pPr>
            <w:pStyle w:val="TOC2"/>
            <w:tabs>
              <w:tab w:val="right" w:leader="dot" w:pos="8296"/>
            </w:tabs>
            <w:rPr>
              <w:rFonts w:cstheme="minorBidi" w:hint="eastAsia"/>
              <w:noProof/>
              <w:kern w:val="2"/>
              <w:szCs w:val="24"/>
              <w14:ligatures w14:val="standardContextual"/>
            </w:rPr>
          </w:pPr>
          <w:hyperlink w:anchor="_Toc236777927" w:history="1">
            <w:r w:rsidRPr="00623C82">
              <w:rPr>
                <w:rStyle w:val="af2"/>
                <w:noProof/>
              </w:rPr>
              <w:t>1.2 研究问题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328E4697" w14:textId="035948DD" w:rsidR="00B610B0" w:rsidRDefault="00B610B0">
          <w:pPr>
            <w:pStyle w:val="TOC2"/>
            <w:tabs>
              <w:tab w:val="right" w:leader="dot" w:pos="8296"/>
            </w:tabs>
            <w:rPr>
              <w:rFonts w:cstheme="minorBidi" w:hint="eastAsia"/>
              <w:noProof/>
              <w:kern w:val="2"/>
              <w:szCs w:val="24"/>
              <w14:ligatures w14:val="standardContextual"/>
            </w:rPr>
          </w:pPr>
          <w:hyperlink w:anchor="_Toc236777928" w:history="1">
            <w:r w:rsidRPr="00623C82">
              <w:rPr>
                <w:rStyle w:val="af2"/>
                <w:noProof/>
              </w:rPr>
              <w:t>1.3 研究目的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1736DE35" w14:textId="0B869A79" w:rsidR="00B610B0" w:rsidRDefault="00B610B0">
          <w:pPr>
            <w:pStyle w:val="TOC2"/>
            <w:tabs>
              <w:tab w:val="right" w:leader="dot" w:pos="8296"/>
            </w:tabs>
            <w:rPr>
              <w:rFonts w:cstheme="minorBidi" w:hint="eastAsia"/>
              <w:noProof/>
              <w:kern w:val="2"/>
              <w:szCs w:val="24"/>
              <w14:ligatures w14:val="standardContextual"/>
            </w:rPr>
          </w:pPr>
          <w:hyperlink w:anchor="_Toc236777929" w:history="1">
            <w:r w:rsidRPr="00623C82">
              <w:rPr>
                <w:rStyle w:val="af2"/>
                <w:noProof/>
              </w:rPr>
              <w:t>1.4 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2EF75871" w14:textId="5A27AC51" w:rsidR="00B610B0" w:rsidRDefault="00B610B0">
          <w:pPr>
            <w:pStyle w:val="TOC3"/>
            <w:tabs>
              <w:tab w:val="right" w:leader="dot" w:pos="8296"/>
            </w:tabs>
            <w:rPr>
              <w:rFonts w:cstheme="minorBidi" w:hint="eastAsia"/>
              <w:noProof/>
              <w:kern w:val="2"/>
              <w:szCs w:val="24"/>
              <w14:ligatures w14:val="standardContextual"/>
            </w:rPr>
          </w:pPr>
          <w:hyperlink w:anchor="_Toc236777930" w:history="1">
            <w:r w:rsidRPr="00623C82">
              <w:rPr>
                <w:rStyle w:val="af2"/>
                <w:noProof/>
              </w:rPr>
              <w:t>1.4.1 理论意义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6208C1F0" w14:textId="102893E3" w:rsidR="00B610B0" w:rsidRDefault="00B610B0">
          <w:pPr>
            <w:pStyle w:val="TOC3"/>
            <w:tabs>
              <w:tab w:val="right" w:leader="dot" w:pos="8296"/>
            </w:tabs>
            <w:rPr>
              <w:rFonts w:cstheme="minorBidi" w:hint="eastAsia"/>
              <w:noProof/>
              <w:kern w:val="2"/>
              <w:szCs w:val="24"/>
              <w14:ligatures w14:val="standardContextual"/>
            </w:rPr>
          </w:pPr>
          <w:hyperlink w:anchor="_Toc236777931" w:history="1">
            <w:r w:rsidRPr="00623C82">
              <w:rPr>
                <w:rStyle w:val="af2"/>
                <w:noProof/>
              </w:rPr>
              <w:t>1.4.2 实践意义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0504FAB1" w14:textId="3C372F67" w:rsidR="00B610B0" w:rsidRDefault="00B610B0">
          <w:pPr>
            <w:pStyle w:val="TOC2"/>
            <w:tabs>
              <w:tab w:val="right" w:leader="dot" w:pos="8296"/>
            </w:tabs>
            <w:rPr>
              <w:rFonts w:cstheme="minorBidi" w:hint="eastAsia"/>
              <w:noProof/>
              <w:kern w:val="2"/>
              <w:szCs w:val="24"/>
              <w14:ligatures w14:val="standardContextual"/>
            </w:rPr>
          </w:pPr>
          <w:hyperlink w:anchor="_Toc236777932" w:history="1">
            <w:r w:rsidRPr="00623C82">
              <w:rPr>
                <w:rStyle w:val="af2"/>
                <w:noProof/>
              </w:rPr>
              <w:t>1.5 案例选取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B121E5C" w14:textId="3E20174E" w:rsidR="00B610B0" w:rsidRDefault="00B610B0">
          <w:pPr>
            <w:pStyle w:val="TOC2"/>
            <w:tabs>
              <w:tab w:val="right" w:leader="dot" w:pos="8296"/>
            </w:tabs>
            <w:rPr>
              <w:rFonts w:cstheme="minorBidi" w:hint="eastAsia"/>
              <w:noProof/>
              <w:kern w:val="2"/>
              <w:szCs w:val="24"/>
              <w14:ligatures w14:val="standardContextual"/>
            </w:rPr>
          </w:pPr>
          <w:hyperlink w:anchor="_Toc236777933" w:history="1">
            <w:r w:rsidRPr="00623C82">
              <w:rPr>
                <w:rStyle w:val="af2"/>
                <w:noProof/>
              </w:rPr>
              <w:t>1.6 研究方法与思路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712382E4" w14:textId="352BA91D" w:rsidR="00B610B0" w:rsidRDefault="00B610B0">
          <w:pPr>
            <w:pStyle w:val="TOC3"/>
            <w:tabs>
              <w:tab w:val="right" w:leader="dot" w:pos="8296"/>
            </w:tabs>
            <w:rPr>
              <w:rFonts w:cstheme="minorBidi" w:hint="eastAsia"/>
              <w:noProof/>
              <w:kern w:val="2"/>
              <w:szCs w:val="24"/>
              <w14:ligatures w14:val="standardContextual"/>
            </w:rPr>
          </w:pPr>
          <w:hyperlink w:anchor="_Toc236777934" w:history="1">
            <w:r w:rsidRPr="00623C82">
              <w:rPr>
                <w:rStyle w:val="af2"/>
                <w:noProof/>
              </w:rPr>
              <w:t>1.6.1 研究方法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7A614C00" w14:textId="0BBCBEA0" w:rsidR="00B610B0" w:rsidRDefault="00B610B0">
          <w:pPr>
            <w:pStyle w:val="TOC3"/>
            <w:tabs>
              <w:tab w:val="right" w:leader="dot" w:pos="8296"/>
            </w:tabs>
            <w:rPr>
              <w:rFonts w:cstheme="minorBidi" w:hint="eastAsia"/>
              <w:noProof/>
              <w:kern w:val="2"/>
              <w:szCs w:val="24"/>
              <w14:ligatures w14:val="standardContextual"/>
            </w:rPr>
          </w:pPr>
          <w:hyperlink w:anchor="_Toc236777935" w:history="1">
            <w:r w:rsidRPr="00623C82">
              <w:rPr>
                <w:rStyle w:val="af2"/>
                <w:noProof/>
              </w:rPr>
              <w:t>1.6.2 研究思路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01ADA0DA" w14:textId="3B2026AB" w:rsidR="00B610B0" w:rsidRDefault="00B610B0">
          <w:pPr>
            <w:pStyle w:val="TOC2"/>
            <w:tabs>
              <w:tab w:val="right" w:leader="dot" w:pos="8296"/>
            </w:tabs>
            <w:rPr>
              <w:rFonts w:cstheme="minorBidi" w:hint="eastAsia"/>
              <w:noProof/>
              <w:kern w:val="2"/>
              <w:szCs w:val="24"/>
              <w14:ligatures w14:val="standardContextual"/>
            </w:rPr>
          </w:pPr>
          <w:hyperlink w:anchor="_Toc236777936" w:history="1">
            <w:r w:rsidRPr="00623C82">
              <w:rPr>
                <w:rStyle w:val="af2"/>
                <w:noProof/>
              </w:rPr>
              <w:t>1.7 理论基础与分析框架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7D00809E" w14:textId="30B276F0" w:rsidR="00B610B0" w:rsidRDefault="00B610B0">
          <w:pPr>
            <w:pStyle w:val="TOC3"/>
            <w:tabs>
              <w:tab w:val="right" w:leader="dot" w:pos="8296"/>
            </w:tabs>
            <w:rPr>
              <w:rFonts w:cstheme="minorBidi" w:hint="eastAsia"/>
              <w:noProof/>
              <w:kern w:val="2"/>
              <w:szCs w:val="24"/>
              <w14:ligatures w14:val="standardContextual"/>
            </w:rPr>
          </w:pPr>
          <w:hyperlink w:anchor="_Toc236777937" w:history="1">
            <w:r w:rsidRPr="00623C82">
              <w:rPr>
                <w:rStyle w:val="af2"/>
                <w:noProof/>
              </w:rPr>
              <w:t xml:space="preserve">1.7.1 公共价值理论与</w:t>
            </w:r>
            <w:r w:rsidRPr="00623C82">
              <w:rPr>
                <w:rFonts w:ascii="宋体" w:hAnsi="宋体" w:eastAsia="宋体" w:cs="宋体" w:hint="eastAsia"/>
                <w:rStyle w:val="af2"/>
                <w:noProof/>
              </w:rPr>
              <w:t xml:space="preserve">“</w:t>
            </w:r>
            <w:r w:rsidRPr="00623C82">
              <w:rPr>
                <w:rStyle w:val="af2"/>
                <w:noProof/>
              </w:rPr>
              <w:t xml:space="preserve">战略三角</w:t>
            </w:r>
            <w:r w:rsidRPr="00623C82">
              <w:rPr>
                <w:rFonts w:ascii="宋体" w:hAnsi="宋体" w:eastAsia="宋体" w:cs="宋体" w:hint="eastAsia"/>
                <w:rStyle w:val="af2"/>
                <w:noProof/>
              </w:rPr>
              <w:t xml:space="preserve">”</w:t>
            </w:r>
            <w:r w:rsidRPr="00623C82">
              <w:rPr>
                <w:rStyle w:val="af2"/>
                <w:noProof/>
              </w:rPr>
              <w:t xml:space="preserve">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17531ACD" w14:textId="3EA85846" w:rsidR="00B610B0" w:rsidRDefault="00B610B0">
          <w:pPr>
            <w:pStyle w:val="TOC3"/>
            <w:tabs>
              <w:tab w:val="right" w:leader="dot" w:pos="8296"/>
            </w:tabs>
            <w:rPr>
              <w:rFonts w:cstheme="minorBidi" w:hint="eastAsia"/>
              <w:noProof/>
              <w:kern w:val="2"/>
              <w:szCs w:val="24"/>
              <w14:ligatures w14:val="standardContextual"/>
            </w:rPr>
          </w:pPr>
          <w:hyperlink w:anchor="_Toc236777938" w:history="1">
            <w:r w:rsidRPr="00623C82">
              <w:rPr>
                <w:rStyle w:val="af2"/>
                <w:noProof/>
              </w:rPr>
              <w:t>1.7.2 三维构念界定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6A37D627" w14:textId="09598181" w:rsidR="00B610B0" w:rsidRDefault="00B610B0">
          <w:pPr>
            <w:pStyle w:val="TOC3"/>
            <w:tabs>
              <w:tab w:val="right" w:leader="dot" w:pos="8296"/>
            </w:tabs>
            <w:rPr>
              <w:rFonts w:cstheme="minorBidi" w:hint="eastAsia"/>
              <w:noProof/>
              <w:kern w:val="2"/>
              <w:szCs w:val="24"/>
              <w14:ligatures w14:val="standardContextual"/>
            </w:rPr>
          </w:pPr>
          <w:hyperlink w:anchor="_Toc236777939" w:history="1">
            <w:r w:rsidRPr="00623C82">
              <w:rPr>
                <w:rStyle w:val="af2"/>
                <w:noProof/>
              </w:rPr>
              <w:t>1.7.3 本文整体分析框架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7B1F9265" w14:textId="637B34BD" w:rsidR="00B610B0" w:rsidRDefault="00B610B0">
          <w:pPr>
            <w:pStyle w:val="TOC1"/>
            <w:rPr>
              <w:rFonts w:cstheme="minorBidi" w:hint="eastAsia"/>
              <w:noProof/>
              <w:kern w:val="2"/>
              <w:szCs w:val="24"/>
              <w14:ligatures w14:val="standardContextual"/>
            </w:rPr>
          </w:pPr>
          <w:hyperlink w:anchor="_Toc236777940" w:history="1">
            <w:r w:rsidRPr="00623C82">
              <w:rPr>
                <w:rStyle w:val="af2"/>
                <w:noProof/>
              </w:rPr>
              <w:t>2 案例研究对象——浙江嘉兴数字城市实验室概述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0540330B" w14:textId="7540B333" w:rsidR="00B610B0" w:rsidRDefault="00B610B0">
          <w:pPr>
            <w:pStyle w:val="TOC2"/>
            <w:tabs>
              <w:tab w:val="right" w:leader="dot" w:pos="8296"/>
            </w:tabs>
            <w:rPr>
              <w:rFonts w:cstheme="minorBidi" w:hint="eastAsia"/>
              <w:noProof/>
              <w:kern w:val="2"/>
              <w:szCs w:val="24"/>
              <w14:ligatures w14:val="standardContextual"/>
            </w:rPr>
          </w:pPr>
          <w:hyperlink w:anchor="_Toc236777941" w:history="1">
            <w:r w:rsidRPr="00623C82">
              <w:rPr>
                <w:rStyle w:val="af2"/>
                <w:noProof/>
              </w:rPr>
              <w:t>2.1</w:t>
            </w:r>
            <w:r w:rsidRPr="00623C82">
              <w:rPr>
                <w:rStyle w:val="af2"/>
                <w:rFonts w:ascii="黑体" w:hAnsi="黑体"/>
                <w:noProof/>
              </w:rPr>
              <w:t xml:space="preserve"> </w:t>
            </w:r>
            <w:r w:rsidRPr="00623C82">
              <w:rPr>
                <w:rStyle w:val="af2"/>
                <w:rFonts w:ascii="黑体" w:hAnsi="黑体"/>
                <w:noProof/>
              </w:rPr>
              <w:t>企业简介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0AF2D456" w14:textId="6286BB98" w:rsidR="00B610B0" w:rsidRDefault="00B610B0">
          <w:pPr>
            <w:pStyle w:val="TOC3"/>
            <w:tabs>
              <w:tab w:val="right" w:leader="dot" w:pos="8296"/>
            </w:tabs>
            <w:rPr>
              <w:rFonts w:cstheme="minorBidi" w:hint="eastAsia"/>
              <w:noProof/>
              <w:kern w:val="2"/>
              <w:szCs w:val="24"/>
              <w14:ligatures w14:val="standardContextual"/>
            </w:rPr>
          </w:pPr>
          <w:hyperlink w:anchor="_Toc236777942" w:history="1">
            <w:r w:rsidRPr="00623C82">
              <w:rPr>
                <w:rStyle w:val="af2"/>
                <w:rFonts w:eastAsia="黑体"/>
                <w:noProof/>
              </w:rPr>
              <w:t>2.1.1</w:t>
            </w:r>
            <w:r w:rsidRPr="00623C82">
              <w:rPr>
                <w:rStyle w:val="af2"/>
                <w:noProof/>
              </w:rPr>
              <w:t xml:space="preserve"> 设立背景与基本概况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20C8A895" w14:textId="1B313071" w:rsidR="00B610B0" w:rsidRDefault="00B610B0">
          <w:pPr>
            <w:pStyle w:val="TOC3"/>
            <w:tabs>
              <w:tab w:val="right" w:leader="dot" w:pos="8296"/>
            </w:tabs>
            <w:rPr>
              <w:rFonts w:cstheme="minorBidi" w:hint="eastAsia"/>
              <w:noProof/>
              <w:kern w:val="2"/>
              <w:szCs w:val="24"/>
              <w14:ligatures w14:val="standardContextual"/>
            </w:rPr>
          </w:pPr>
          <w:hyperlink w:anchor="_Toc236777943" w:history="1">
            <w:r w:rsidRPr="00623C82">
              <w:rPr>
                <w:rStyle w:val="af2"/>
                <w:rFonts w:eastAsia="仿宋_GB2312"/>
                <w:noProof/>
              </w:rPr>
              <w:t>2.1.2</w:t>
            </w:r>
            <w:r w:rsidRPr="00623C82">
              <w:rPr>
                <w:rStyle w:val="af2"/>
                <w:noProof/>
              </w:rPr>
              <w:t xml:space="preserve"> 股权结构与治理机制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4CF81E97" w14:textId="55C02E0D" w:rsidR="00B610B0" w:rsidRDefault="00B610B0">
          <w:pPr>
            <w:pStyle w:val="TOC3"/>
            <w:tabs>
              <w:tab w:val="right" w:leader="dot" w:pos="8296"/>
            </w:tabs>
            <w:rPr>
              <w:rFonts w:cstheme="minorBidi" w:hint="eastAsia"/>
              <w:noProof/>
              <w:kern w:val="2"/>
              <w:szCs w:val="24"/>
              <w14:ligatures w14:val="standardContextual"/>
            </w:rPr>
          </w:pPr>
          <w:hyperlink w:anchor="_Toc236777944" w:history="1">
            <w:r w:rsidRPr="00623C82">
              <w:rPr>
                <w:rStyle w:val="af2"/>
                <w:rFonts w:eastAsia="黑体"/>
                <w:noProof/>
              </w:rPr>
              <w:t>2.1.3</w:t>
            </w:r>
            <w:r w:rsidRPr="00623C82">
              <w:rPr>
                <w:rStyle w:val="af2"/>
                <w:noProof/>
              </w:rPr>
              <w:t xml:space="preserve"> 人才队伍与研发基础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65BA651D" w14:textId="28710DD3" w:rsidR="00B610B0" w:rsidRDefault="00B610B0">
          <w:pPr>
            <w:pStyle w:val="TOC2"/>
            <w:tabs>
              <w:tab w:val="right" w:leader="dot" w:pos="8296"/>
            </w:tabs>
            <w:rPr>
              <w:rFonts w:cstheme="minorBidi" w:hint="eastAsia"/>
              <w:noProof/>
              <w:kern w:val="2"/>
              <w:szCs w:val="24"/>
              <w14:ligatures w14:val="standardContextual"/>
            </w:rPr>
          </w:pPr>
          <w:hyperlink w:anchor="_Toc236777945" w:history="1">
            <w:r w:rsidRPr="00623C82">
              <w:rPr>
                <w:rStyle w:val="af2"/>
                <w:rFonts w:eastAsia="宋体"/>
                <w:noProof/>
              </w:rPr>
              <w:t>2.2</w:t>
            </w:r>
            <w:r w:rsidRPr="00623C82">
              <w:rPr>
                <w:rStyle w:val="af2"/>
                <w:noProof/>
              </w:rPr>
              <w:t xml:space="preserve"> 战略定位与职能演进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3AC5F6B5" w14:textId="7B79C2B7" w:rsidR="00B610B0" w:rsidRDefault="00B610B0">
          <w:pPr>
            <w:pStyle w:val="TOC2"/>
            <w:tabs>
              <w:tab w:val="right" w:leader="dot" w:pos="8296"/>
            </w:tabs>
            <w:rPr>
              <w:rFonts w:cstheme="minorBidi" w:hint="eastAsia"/>
              <w:noProof/>
              <w:kern w:val="2"/>
              <w:szCs w:val="24"/>
              <w14:ligatures w14:val="standardContextual"/>
            </w:rPr>
          </w:pPr>
          <w:hyperlink w:anchor="_Toc236777946" w:history="1">
            <w:r w:rsidRPr="00623C82">
              <w:rPr>
                <w:rStyle w:val="af2"/>
                <w:noProof/>
              </w:rPr>
              <w:t>2.3 产品体系与技术架构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57964A2E" w14:textId="0A8F9D55" w:rsidR="00B610B0" w:rsidRDefault="00B610B0">
          <w:pPr>
            <w:pStyle w:val="TOC3"/>
            <w:tabs>
              <w:tab w:val="right" w:leader="dot" w:pos="8296"/>
            </w:tabs>
            <w:rPr>
              <w:rFonts w:cstheme="minorBidi" w:hint="eastAsia"/>
              <w:noProof/>
              <w:kern w:val="2"/>
              <w:szCs w:val="24"/>
              <w14:ligatures w14:val="standardContextual"/>
            </w:rPr>
          </w:pPr>
          <w:hyperlink w:anchor="_Toc236777947" w:history="1">
            <w:r w:rsidRPr="00623C82">
              <w:rPr>
                <w:rStyle w:val="af2"/>
                <w:rFonts w:eastAsia="黑体"/>
                <w:noProof/>
              </w:rPr>
              <w:t>2.3.1</w:t>
            </w:r>
            <w:r w:rsidRPr="00623C82">
              <w:rPr>
                <w:rStyle w:val="af2"/>
                <w:noProof/>
              </w:rPr>
              <w:t xml:space="preserve"> 核心基础技术平台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3BA8AB0A" w14:textId="2E670C73" w:rsidR="00B610B0" w:rsidRDefault="00B610B0">
          <w:pPr>
            <w:pStyle w:val="TOC3"/>
            <w:tabs>
              <w:tab w:val="right" w:leader="dot" w:pos="8296"/>
            </w:tabs>
            <w:rPr>
              <w:rFonts w:cstheme="minorBidi" w:hint="eastAsia"/>
              <w:noProof/>
              <w:kern w:val="2"/>
              <w:szCs w:val="24"/>
              <w14:ligatures w14:val="standardContextual"/>
            </w:rPr>
          </w:pPr>
          <w:hyperlink w:anchor="_Toc236777948" w:history="1">
            <w:r w:rsidRPr="00623C82">
              <w:rPr>
                <w:rStyle w:val="af2"/>
                <w:rFonts w:eastAsia="黑体"/>
                <w:noProof/>
              </w:rPr>
              <w:t>2.3.2</w:t>
            </w:r>
            <w:r w:rsidRPr="00623C82">
              <w:rPr>
                <w:rStyle w:val="af2"/>
                <w:noProof/>
              </w:rPr>
              <w:t xml:space="preserve"> 垂直行业解决方案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50B680CA" w14:textId="5E9C1E1E" w:rsidR="00B610B0" w:rsidRDefault="00B610B0">
          <w:pPr>
            <w:pStyle w:val="TOC2"/>
            <w:tabs>
              <w:tab w:val="right" w:leader="dot" w:pos="8296"/>
            </w:tabs>
            <w:rPr>
              <w:rFonts w:cstheme="minorBidi" w:hint="eastAsia"/>
              <w:noProof/>
              <w:kern w:val="2"/>
              <w:szCs w:val="24"/>
              <w14:ligatures w14:val="standardContextual"/>
            </w:rPr>
          </w:pPr>
          <w:hyperlink w:anchor="_Toc236777949" w:history="1">
            <w:r w:rsidRPr="00623C82">
              <w:rPr>
                <w:rStyle w:val="af2"/>
                <w:noProof/>
              </w:rPr>
              <w:t>2.4 资质认证与行业声誉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04779D47" w14:textId="7378A536" w:rsidR="00B610B0" w:rsidRDefault="00B610B0">
          <w:pPr>
            <w:pStyle w:val="TOC1"/>
            <w:rPr>
              <w:rFonts w:cstheme="minorBidi" w:hint="eastAsia"/>
              <w:noProof/>
              <w:kern w:val="2"/>
              <w:szCs w:val="24"/>
              <w14:ligatures w14:val="standardContextual"/>
            </w:rPr>
          </w:pPr>
          <w:hyperlink w:anchor="_Toc236777950" w:history="1">
            <w:r w:rsidRPr="00623C82">
              <w:rPr>
                <w:rStyle w:val="af2"/>
                <w:noProof/>
              </w:rPr>
              <w:t xml:space="preserve">3 案例主体——</w:t>
            </w:r>
            <w:r w:rsidRPr="00623C82">
              <w:rPr>
                <w:rFonts w:ascii="宋体" w:hAnsi="宋体" w:eastAsia="宋体" w:cs="宋体" w:hint="eastAsia"/>
                <w:rStyle w:val="af2"/>
                <w:noProof/>
              </w:rPr>
              <w:t xml:space="preserve">“</w:t>
            </w:r>
            <w:r w:rsidRPr="00623C82">
              <w:rPr>
                <w:rStyle w:val="af2"/>
                <w:noProof/>
              </w:rPr>
              <w:t xml:space="preserve">授权·赋能·增值</w:t>
            </w:r>
            <w:r w:rsidRPr="00623C82">
              <w:rPr>
                <w:rFonts w:ascii="宋体" w:hAnsi="宋体" w:eastAsia="宋体" w:cs="宋体" w:hint="eastAsia"/>
                <w:rStyle w:val="af2"/>
                <w:noProof/>
              </w:rPr>
              <w:t xml:space="preserve">”</w:t>
            </w:r>
            <w:r w:rsidRPr="00623C82">
              <w:rPr>
                <w:rStyle w:val="af2"/>
                <w:noProof/>
              </w:rPr>
              <w:t xml:space="preserve">三维联动的公共价值创造路径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7BD962BD" w14:textId="6AB3077C" w:rsidR="00B610B0" w:rsidRDefault="00B610B0">
          <w:pPr>
            <w:pStyle w:val="TOC2"/>
            <w:tabs>
              <w:tab w:val="right" w:leader="dot" w:pos="8296"/>
            </w:tabs>
            <w:rPr>
              <w:rFonts w:cstheme="minorBidi" w:hint="eastAsia"/>
              <w:noProof/>
              <w:kern w:val="2"/>
              <w:szCs w:val="24"/>
              <w14:ligatures w14:val="standardContextual"/>
            </w:rPr>
          </w:pPr>
          <w:hyperlink w:anchor="_Toc236777951" w:history="1">
            <w:r w:rsidRPr="00623C82">
              <w:rPr>
                <w:rStyle w:val="af2"/>
                <w:noProof/>
              </w:rPr>
              <w:t xml:space="preserve">3.1 政策锚定·政企共建：公共价值创造的</w:t>
            </w:r>
            <w:r w:rsidRPr="00623C82">
              <w:rPr>
                <w:rFonts w:ascii="宋体" w:hAnsi="宋体" w:eastAsia="宋体" w:cs="宋体" w:hint="eastAsia"/>
                <w:rStyle w:val="af2"/>
                <w:noProof/>
              </w:rPr>
              <w:t xml:space="preserve">“</w:t>
            </w:r>
            <w:r w:rsidRPr="00623C82">
              <w:rPr>
                <w:rStyle w:val="af2"/>
                <w:noProof/>
              </w:rPr>
              <w:t xml:space="preserve">授权</w:t>
            </w:r>
            <w:r w:rsidRPr="00623C82">
              <w:rPr>
                <w:rFonts w:ascii="宋体" w:hAnsi="宋体" w:eastAsia="宋体" w:cs="宋体" w:hint="eastAsia"/>
                <w:rStyle w:val="af2"/>
                <w:noProof/>
              </w:rPr>
              <w:t xml:space="preserve">”</w:t>
            </w:r>
            <w:r w:rsidRPr="00623C82">
              <w:rPr>
                <w:rStyle w:val="af2"/>
                <w:noProof/>
              </w:rPr>
              <w:t xml:space="preserve">之基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5DADE478" w14:textId="4D52B7FF" w:rsidR="00B610B0" w:rsidRDefault="00B610B0">
          <w:pPr>
            <w:pStyle w:val="TOC3"/>
            <w:tabs>
              <w:tab w:val="right" w:leader="dot" w:pos="8296"/>
            </w:tabs>
            <w:rPr>
              <w:rFonts w:cstheme="minorBidi" w:hint="eastAsia"/>
              <w:noProof/>
              <w:kern w:val="2"/>
              <w:szCs w:val="24"/>
              <w14:ligatures w14:val="standardContextual"/>
            </w:rPr>
          </w:pPr>
          <w:hyperlink w:anchor="_Toc236777952" w:history="1">
            <w:r w:rsidRPr="00623C82">
              <w:rPr>
                <w:rStyle w:val="af2"/>
                <w:rFonts w:ascii="黑体" w:hAnsi="黑体"/>
                <w:noProof/>
              </w:rPr>
              <w:t>3.1.1</w:t>
            </w:r>
            <w:r w:rsidRPr="00623C82">
              <w:rPr>
                <w:rStyle w:val="af2"/>
                <w:noProof/>
              </w:rPr>
              <w:t xml:space="preserve"> 政策锚定：对接国家战略，获取先行先试制度授权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7322BA83" w14:textId="61A292C8" w:rsidR="00B610B0" w:rsidRDefault="00B610B0">
          <w:pPr>
            <w:pStyle w:val="TOC3"/>
            <w:tabs>
              <w:tab w:val="right" w:leader="dot" w:pos="8296"/>
            </w:tabs>
            <w:rPr>
              <w:rFonts w:cstheme="minorBidi" w:hint="eastAsia"/>
              <w:noProof/>
              <w:kern w:val="2"/>
              <w:szCs w:val="24"/>
              <w14:ligatures w14:val="standardContextual"/>
            </w:rPr>
          </w:pPr>
          <w:hyperlink w:anchor="_Toc236777953" w:history="1">
            <w:r w:rsidRPr="00623C82">
              <w:rPr>
                <w:rStyle w:val="af2"/>
                <w:rFonts w:ascii="黑体" w:hAnsi="黑体"/>
                <w:noProof/>
              </w:rPr>
              <w:t>3.1.2</w:t>
            </w:r>
            <w:r w:rsidRPr="00623C82">
              <w:rPr>
                <w:rStyle w:val="af2"/>
                <w:noProof/>
              </w:rPr>
              <w:t xml:space="preserve"> 政企共建：双主体出资，构建资金与技术双重资源授权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165A3B83" w14:textId="76170E74" w:rsidR="00B610B0" w:rsidRDefault="00B610B0">
          <w:pPr>
            <w:pStyle w:val="TOC3"/>
            <w:tabs>
              <w:tab w:val="right" w:leader="dot" w:pos="8296"/>
            </w:tabs>
            <w:rPr>
              <w:rFonts w:cstheme="minorBidi" w:hint="eastAsia"/>
              <w:noProof/>
              <w:kern w:val="2"/>
              <w:szCs w:val="24"/>
              <w14:ligatures w14:val="standardContextual"/>
            </w:rPr>
          </w:pPr>
          <w:hyperlink w:anchor="_Toc236777954" w:history="1">
            <w:r w:rsidRPr="00623C82">
              <w:rPr>
                <w:rStyle w:val="af2"/>
                <w:rFonts w:ascii="黑体" w:hAnsi="黑体"/>
                <w:noProof/>
              </w:rPr>
              <w:t>3.1.3</w:t>
            </w:r>
            <w:r w:rsidRPr="00623C82">
              <w:rPr>
                <w:rStyle w:val="af2"/>
                <w:noProof/>
              </w:rPr>
              <w:t xml:space="preserve"> 产学研协同：多元主体合作，拓宽协同授权边界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1EA9D740" w14:textId="2730D8F1" w:rsidR="00B610B0" w:rsidRDefault="00B610B0">
          <w:pPr>
            <w:pStyle w:val="TOC2"/>
            <w:tabs>
              <w:tab w:val="right" w:leader="dot" w:pos="8296"/>
            </w:tabs>
            <w:rPr>
              <w:rFonts w:cstheme="minorBidi" w:hint="eastAsia"/>
              <w:noProof/>
              <w:kern w:val="2"/>
              <w:szCs w:val="24"/>
              <w14:ligatures w14:val="standardContextual"/>
            </w:rPr>
          </w:pPr>
          <w:hyperlink w:anchor="_Toc236777955" w:history="1">
            <w:r w:rsidRPr="00623C82">
              <w:rPr>
                <w:rStyle w:val="af2"/>
                <w:noProof/>
              </w:rPr>
              <w:t>3.2 平台筑基</w:t>
            </w:r>
            <w:r w:rsidRPr="00623C82">
              <w:rPr>
                <w:rStyle w:val="af2"/>
                <w:rFonts w:ascii="微软雅黑" w:eastAsia="微软雅黑" w:hAnsi="微软雅黑" w:cs="微软雅黑"/>
                <w:noProof/>
              </w:rPr>
              <w:t>・</w:t>
            </w:r>
            <w:r w:rsidRPr="00623C82">
              <w:rPr>
                <w:rStyle w:val="af2"/>
                <w:rFonts w:ascii="等线" w:eastAsia="等线" w:hAnsi="等线" w:cs="等线"/>
                <w:noProof/>
              </w:rPr>
              <w:t>要素聚合：公共价值创造的</w:t>
            </w:r>
            <w:r w:rsidRPr="00623C82">
              <w:rPr>
                <w:rStyle w:val="af2"/>
                <w:noProof/>
              </w:rPr>
              <w:t xml:space="preserve"> </w:t>
            </w:r>
            <w:r w:rsidRPr="00623C82">
              <w:rPr>
                <w:rFonts w:ascii="宋体" w:hAnsi="宋体" w:eastAsia="宋体" w:cs="宋体" w:hint="eastAsia"/>
                <w:rStyle w:val="af2"/>
                <w:noProof/>
              </w:rPr>
              <w:t xml:space="preserve">“</w:t>
            </w:r>
            <w:r w:rsidRPr="00623C82">
              <w:rPr>
                <w:rStyle w:val="af2"/>
                <w:noProof/>
              </w:rPr>
              <w:t xml:space="preserve">赋能</w:t>
            </w:r>
            <w:r w:rsidRPr="00623C82">
              <w:rPr>
                <w:rFonts w:ascii="宋体" w:hAnsi="宋体" w:eastAsia="宋体" w:cs="宋体" w:hint="eastAsia"/>
                <w:rStyle w:val="af2"/>
                <w:noProof/>
              </w:rPr>
              <w:t xml:space="preserve">”</w:t>
            </w:r>
            <w:r w:rsidRPr="00623C82">
              <w:rPr>
                <w:rStyle w:val="af2"/>
                <w:noProof/>
              </w:rPr>
              <w:t xml:space="preserve"> 之擎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74B370BD" w14:textId="3AA9804C" w:rsidR="00B610B0" w:rsidRDefault="00B610B0">
          <w:pPr>
            <w:pStyle w:val="TOC3"/>
            <w:tabs>
              <w:tab w:val="right" w:leader="dot" w:pos="8296"/>
            </w:tabs>
            <w:rPr>
              <w:rFonts w:cstheme="minorBidi" w:hint="eastAsia"/>
              <w:noProof/>
              <w:kern w:val="2"/>
              <w:szCs w:val="24"/>
              <w14:ligatures w14:val="standardContextual"/>
            </w:rPr>
          </w:pPr>
          <w:hyperlink w:anchor="_Toc236777956" w:history="1">
            <w:r w:rsidRPr="00623C82">
              <w:rPr>
                <w:rStyle w:val="af2"/>
                <w:rFonts w:ascii="黑体" w:hAnsi="黑体"/>
                <w:noProof/>
              </w:rPr>
              <w:t>3.2.1</w:t>
            </w:r>
            <w:r w:rsidRPr="00623C82">
              <w:rPr>
                <w:rStyle w:val="af2"/>
                <w:noProof/>
              </w:rPr>
              <w:t xml:space="preserve"> 技术筑基：搭建城市数字底座，打造可复用</w:t>
            </w:r>
            <w:r w:rsidRPr="00623C82">
              <w:rPr>
                <w:rStyle w:val="af2"/>
                <w:rFonts w:ascii="黑体" w:hAnsi="黑体"/>
                <w:noProof/>
              </w:rPr>
              <w:t xml:space="preserve"> AI </w:t>
            </w:r>
            <w:r w:rsidRPr="00623C82">
              <w:rPr>
                <w:rStyle w:val="af2"/>
                <w:noProof/>
              </w:rPr>
              <w:t>政务解决方案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22F8EF3C" w14:textId="3E78B77C" w:rsidR="00B610B0" w:rsidRDefault="00B610B0">
          <w:pPr>
            <w:pStyle w:val="TOC3"/>
            <w:tabs>
              <w:tab w:val="right" w:leader="dot" w:pos="8296"/>
            </w:tabs>
            <w:rPr>
              <w:rFonts w:cstheme="minorBidi" w:hint="eastAsia"/>
              <w:noProof/>
              <w:kern w:val="2"/>
              <w:szCs w:val="24"/>
              <w14:ligatures w14:val="standardContextual"/>
            </w:rPr>
          </w:pPr>
          <w:hyperlink w:anchor="_Toc236777957" w:history="1">
            <w:r w:rsidRPr="00623C82">
              <w:rPr>
                <w:rStyle w:val="af2"/>
                <w:rFonts w:ascii="黑体" w:hAnsi="黑体"/>
                <w:noProof/>
              </w:rPr>
              <w:t>3.2.2</w:t>
            </w:r>
            <w:r w:rsidRPr="00623C82">
              <w:rPr>
                <w:rStyle w:val="af2"/>
                <w:noProof/>
              </w:rPr>
              <w:t xml:space="preserve"> 数据聚能：归集全域公共数据，推进数据治理与资产化运营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42FE8BEA" w14:textId="53F04539" w:rsidR="00B610B0" w:rsidRDefault="00B610B0">
          <w:pPr>
            <w:pStyle w:val="TOC3"/>
            <w:tabs>
              <w:tab w:val="right" w:leader="dot" w:pos="8296"/>
            </w:tabs>
            <w:rPr>
              <w:rFonts w:cstheme="minorBidi" w:hint="eastAsia"/>
              <w:noProof/>
              <w:kern w:val="2"/>
              <w:szCs w:val="24"/>
              <w14:ligatures w14:val="standardContextual"/>
            </w:rPr>
          </w:pPr>
          <w:hyperlink w:anchor="_Toc236777958" w:history="1">
            <w:r w:rsidRPr="00623C82">
              <w:rPr>
                <w:rStyle w:val="af2"/>
                <w:rFonts w:ascii="黑体" w:hAnsi="黑体"/>
                <w:noProof/>
              </w:rPr>
              <w:t>3.2.3</w:t>
            </w:r>
            <w:r w:rsidRPr="00623C82">
              <w:rPr>
                <w:rStyle w:val="af2"/>
                <w:noProof/>
              </w:rPr>
              <w:t xml:space="preserve"> 人才汇智：搭建科创引育体系，沉淀长效创新智力支撑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3A4A75E9" w14:textId="6672B537" w:rsidR="00B610B0" w:rsidRDefault="00B610B0">
          <w:pPr>
            <w:pStyle w:val="TOC2"/>
            <w:tabs>
              <w:tab w:val="right" w:leader="dot" w:pos="8296"/>
            </w:tabs>
            <w:rPr>
              <w:rFonts w:cstheme="minorBidi" w:hint="eastAsia"/>
              <w:noProof/>
              <w:kern w:val="2"/>
              <w:szCs w:val="24"/>
              <w14:ligatures w14:val="standardContextual"/>
            </w:rPr>
          </w:pPr>
          <w:hyperlink w:anchor="_Toc236777959" w:history="1">
            <w:r w:rsidRPr="00623C82">
              <w:rPr>
                <w:rStyle w:val="af2"/>
                <w:noProof/>
              </w:rPr>
              <w:t>3.3 治理提效</w:t>
            </w:r>
            <w:r w:rsidRPr="00623C82">
              <w:rPr>
                <w:rStyle w:val="af2"/>
                <w:rFonts w:ascii="微软雅黑" w:eastAsia="微软雅黑" w:hAnsi="微软雅黑" w:cs="微软雅黑"/>
                <w:noProof/>
              </w:rPr>
              <w:t>・</w:t>
            </w:r>
            <w:r w:rsidRPr="00623C82">
              <w:rPr>
                <w:rStyle w:val="af2"/>
                <w:rFonts w:ascii="等线" w:eastAsia="等线" w:hAnsi="等线" w:cs="等线"/>
                <w:noProof/>
              </w:rPr>
              <w:t>民生普惠：公共价值创造的</w:t>
            </w:r>
            <w:r w:rsidRPr="00623C82">
              <w:rPr>
                <w:rStyle w:val="af2"/>
                <w:noProof/>
              </w:rPr>
              <w:t xml:space="preserve"> </w:t>
            </w:r>
            <w:r w:rsidRPr="00623C82">
              <w:rPr>
                <w:rFonts w:ascii="宋体" w:hAnsi="宋体" w:eastAsia="宋体" w:cs="宋体" w:hint="eastAsia"/>
                <w:rStyle w:val="af2"/>
                <w:noProof/>
              </w:rPr>
              <w:t xml:space="preserve">“</w:t>
            </w:r>
            <w:r w:rsidRPr="00623C82">
              <w:rPr>
                <w:rStyle w:val="af2"/>
                <w:noProof/>
              </w:rPr>
              <w:t xml:space="preserve">增值</w:t>
            </w:r>
            <w:r w:rsidRPr="00623C82">
              <w:rPr>
                <w:rFonts w:ascii="宋体" w:hAnsi="宋体" w:eastAsia="宋体" w:cs="宋体" w:hint="eastAsia"/>
                <w:rStyle w:val="af2"/>
                <w:noProof/>
              </w:rPr>
              <w:t xml:space="preserve">”</w:t>
            </w:r>
            <w:r w:rsidRPr="00623C82">
              <w:rPr>
                <w:rStyle w:val="af2"/>
                <w:noProof/>
              </w:rPr>
              <w:t xml:space="preserve"> 之果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559A46AE" w14:textId="427FCD74" w:rsidR="00B610B0" w:rsidRDefault="00B610B0">
          <w:pPr>
            <w:pStyle w:val="TOC3"/>
            <w:tabs>
              <w:tab w:val="right" w:leader="dot" w:pos="8296"/>
            </w:tabs>
            <w:rPr>
              <w:rFonts w:cstheme="minorBidi" w:hint="eastAsia"/>
              <w:noProof/>
              <w:kern w:val="2"/>
              <w:szCs w:val="24"/>
              <w14:ligatures w14:val="standardContextual"/>
            </w:rPr>
          </w:pPr>
          <w:hyperlink w:anchor="_Toc236777960" w:history="1">
            <w:r w:rsidRPr="00623C82">
              <w:rPr>
                <w:rStyle w:val="af2"/>
                <w:rFonts w:ascii="黑体" w:hAnsi="黑体"/>
                <w:noProof/>
              </w:rPr>
              <w:t>3.3.1</w:t>
            </w:r>
            <w:r w:rsidRPr="00623C82">
              <w:rPr>
                <w:rStyle w:val="af2"/>
                <w:noProof/>
              </w:rPr>
              <w:t xml:space="preserve"> 治理提效：数字化再造政务流程，压缩行政运行成本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1A9675A7" w14:textId="77C8BA06" w:rsidR="00B610B0" w:rsidRDefault="00B610B0">
          <w:pPr>
            <w:pStyle w:val="TOC3"/>
            <w:tabs>
              <w:tab w:val="right" w:leader="dot" w:pos="8296"/>
            </w:tabs>
            <w:rPr>
              <w:rFonts w:cstheme="minorBidi" w:hint="eastAsia"/>
              <w:noProof/>
              <w:kern w:val="2"/>
              <w:szCs w:val="24"/>
              <w14:ligatures w14:val="standardContextual"/>
            </w:rPr>
          </w:pPr>
          <w:hyperlink w:anchor="_Toc236777961" w:history="1">
            <w:r w:rsidRPr="00623C82">
              <w:rPr>
                <w:rStyle w:val="af2"/>
                <w:rFonts w:ascii="黑体" w:hAnsi="黑体"/>
                <w:noProof/>
              </w:rPr>
              <w:t>3.3.2</w:t>
            </w:r>
            <w:r w:rsidRPr="00623C82">
              <w:rPr>
                <w:rStyle w:val="af2"/>
                <w:noProof/>
              </w:rPr>
              <w:t xml:space="preserve"> 民生普惠：覆盖高频生活场景，提升市民获得感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192C457D" w14:textId="7F8F0381" w:rsidR="00B610B0" w:rsidRDefault="00B610B0">
          <w:pPr>
            <w:pStyle w:val="TOC3"/>
            <w:tabs>
              <w:tab w:val="right" w:leader="dot" w:pos="8296"/>
            </w:tabs>
            <w:rPr>
              <w:rFonts w:cstheme="minorBidi" w:hint="eastAsia"/>
              <w:noProof/>
              <w:kern w:val="2"/>
              <w:szCs w:val="24"/>
              <w14:ligatures w14:val="standardContextual"/>
            </w:rPr>
          </w:pPr>
          <w:hyperlink w:anchor="_Toc236777962" w:history="1">
            <w:r w:rsidRPr="00623C82">
              <w:rPr>
                <w:rStyle w:val="af2"/>
                <w:rFonts w:ascii="黑体" w:hAnsi="黑体"/>
                <w:noProof/>
              </w:rPr>
              <w:t>3.3.3</w:t>
            </w:r>
            <w:r w:rsidRPr="00623C82">
              <w:rPr>
                <w:rStyle w:val="af2"/>
                <w:noProof/>
              </w:rPr>
              <w:t xml:space="preserve"> 示范增值：打造可复制</w:t>
            </w:r>
            <w:r w:rsidRPr="00623C82">
              <w:rPr>
                <w:rStyle w:val="af2"/>
                <w:rFonts w:ascii="黑体" w:hAnsi="黑体"/>
                <w:noProof/>
              </w:rPr>
              <w:t xml:space="preserve"> </w:t>
            </w:r>
            <w:r w:rsidRPr="00623C82">
              <w:rPr>
                <w:rStyle w:val="af2"/>
                <w:rFonts w:ascii="宋体" w:eastAsia="宋体" w:hAnsi="宋体" w:cs="宋体" w:hint="eastAsia"/>
                <w:noProof/>
              </w:rPr>
              <w:t>“</w:t>
            </w:r>
            <w:r w:rsidRPr="00623C82">
              <w:rPr>
                <w:rStyle w:val="af2"/>
                <w:noProof/>
              </w:rPr>
              <w:t>嘉兴样本</w:t>
            </w:r>
            <w:r w:rsidRPr="00623C82">
              <w:rPr>
                <w:rStyle w:val="af2"/>
                <w:rFonts w:ascii="宋体" w:eastAsia="宋体" w:hAnsi="宋体" w:cs="宋体" w:hint="eastAsia"/>
                <w:noProof/>
              </w:rPr>
              <w:t>”</w:t>
            </w:r>
            <w:r w:rsidRPr="00623C82">
              <w:rPr>
                <w:rStyle w:val="af2"/>
                <w:noProof/>
              </w:rPr>
              <w:t>，形成跨区域外溢价值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52727A44" w14:textId="3D036D4E" w:rsidR="00B610B0" w:rsidRDefault="00B610B0">
          <w:pPr>
            <w:pStyle w:val="TOC2"/>
            <w:tabs>
              <w:tab w:val="right" w:leader="dot" w:pos="8296"/>
            </w:tabs>
            <w:rPr>
              <w:rFonts w:cstheme="minorBidi" w:hint="eastAsia"/>
              <w:noProof/>
              <w:kern w:val="2"/>
              <w:szCs w:val="24"/>
              <w14:ligatures w14:val="standardContextual"/>
            </w:rPr>
          </w:pPr>
          <w:hyperlink w:anchor="_Toc236777963" w:history="1">
            <w:r w:rsidRPr="00623C82">
              <w:rPr>
                <w:rStyle w:val="af2"/>
                <w:noProof/>
              </w:rPr>
              <w:t xml:space="preserve">3.4 政策驱动型国企可持续创造公共价值的</w:t>
            </w:r>
            <w:r w:rsidRPr="00623C82">
              <w:rPr>
                <w:rFonts w:ascii="宋体" w:hAnsi="宋体" w:eastAsia="宋体" w:cs="宋体" w:hint="eastAsia"/>
                <w:rStyle w:val="af2"/>
                <w:noProof/>
              </w:rPr>
              <w:t xml:space="preserve">“</w:t>
            </w:r>
            <w:r w:rsidRPr="00623C82">
              <w:rPr>
                <w:rStyle w:val="af2"/>
                <w:noProof/>
              </w:rPr>
              <w:t xml:space="preserve">嘉数路径</w:t>
            </w:r>
            <w:r w:rsidRPr="00623C82">
              <w:rPr>
                <w:rFonts w:ascii="宋体" w:hAnsi="宋体" w:eastAsia="宋体" w:cs="宋体" w:hint="eastAsia"/>
                <w:rStyle w:val="af2"/>
                <w:noProof/>
              </w:rPr>
              <w:t xml:space="preserv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0CC962D7" w14:textId="57280399" w:rsidR="00B610B0" w:rsidRDefault="00B610B0">
          <w:pPr>
            <w:pStyle w:val="TOC1"/>
            <w:rPr>
              <w:rFonts w:cstheme="minorBidi" w:hint="eastAsia"/>
              <w:noProof/>
              <w:kern w:val="2"/>
              <w:szCs w:val="24"/>
              <w14:ligatures w14:val="standardContextual"/>
            </w:rPr>
          </w:pPr>
          <w:hyperlink w:anchor="_Toc236777964" w:history="1">
            <w:r w:rsidRPr="00623C82">
              <w:rPr>
                <w:rStyle w:val="af2"/>
                <w:rFonts w:ascii="宋体" w:eastAsia="宋体" w:hAnsi="宋体"/>
                <w:noProof/>
              </w:rPr>
              <w:t>4</w:t>
            </w:r>
            <w:r w:rsidRPr="00623C82">
              <w:rPr>
                <w:rStyle w:val="af2"/>
                <w:noProof/>
              </w:rPr>
              <w:t xml:space="preserve"> 案例分析——战略三角模型下</w:t>
            </w:r>
            <w:r w:rsidRPr="00623C82">
              <w:rPr>
                <w:rFonts w:ascii="宋体" w:hAnsi="宋体" w:eastAsia="宋体" w:cs="宋体" w:hint="eastAsia"/>
                <w:rStyle w:val="af2"/>
                <w:noProof/>
              </w:rPr>
              <w:t xml:space="preserve">“</w:t>
            </w:r>
            <w:r w:rsidRPr="00623C82">
              <w:rPr>
                <w:rStyle w:val="af2"/>
                <w:noProof/>
              </w:rPr>
              <w:t xml:space="preserve">授权·赋能·增值</w:t>
            </w:r>
            <w:r w:rsidRPr="00623C82">
              <w:rPr>
                <w:rFonts w:ascii="宋体" w:hAnsi="宋体" w:eastAsia="宋体" w:cs="宋体" w:hint="eastAsia"/>
                <w:rStyle w:val="af2"/>
                <w:noProof/>
              </w:rPr>
              <w:t xml:space="preserve">”</w:t>
            </w:r>
            <w:r w:rsidRPr="00623C82">
              <w:rPr>
                <w:rStyle w:val="af2"/>
                <w:noProof/>
              </w:rPr>
              <w:t xml:space="preserve">价值创造路径的机理解析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24E1874E" w14:textId="0077D6AC" w:rsidR="00B610B0" w:rsidRDefault="00B610B0">
          <w:pPr>
            <w:pStyle w:val="TOC2"/>
            <w:tabs>
              <w:tab w:val="right" w:leader="dot" w:pos="8296"/>
            </w:tabs>
            <w:rPr>
              <w:rFonts w:cstheme="minorBidi" w:hint="eastAsia"/>
              <w:noProof/>
              <w:kern w:val="2"/>
              <w:szCs w:val="24"/>
              <w14:ligatures w14:val="standardContextual"/>
            </w:rPr>
          </w:pPr>
          <w:hyperlink w:anchor="_Toc236777965" w:history="1">
            <w:r w:rsidRPr="00623C82">
              <w:rPr>
                <w:rStyle w:val="af2"/>
                <w:noProof/>
              </w:rPr>
              <w:t>4.1 授权机理：多层级合法支撑，筑牢公共价值创造前置根基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7B1093D3" w14:textId="2EC0CF58" w:rsidR="00B610B0" w:rsidRDefault="00B610B0">
          <w:pPr>
            <w:pStyle w:val="TOC2"/>
            <w:tabs>
              <w:tab w:val="right" w:leader="dot" w:pos="8296"/>
            </w:tabs>
            <w:rPr>
              <w:rFonts w:cstheme="minorBidi" w:hint="eastAsia"/>
              <w:noProof/>
              <w:kern w:val="2"/>
              <w:szCs w:val="24"/>
              <w14:ligatures w14:val="standardContextual"/>
            </w:rPr>
          </w:pPr>
          <w:hyperlink w:anchor="_Toc236777966" w:history="1">
            <w:r w:rsidRPr="00623C82">
              <w:rPr>
                <w:rStyle w:val="af2"/>
                <w:noProof/>
              </w:rPr>
              <w:t>4.2 赋能机理：要素聚合与平台赋能，搭建授权到公共价值的转化通道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4603F359" w14:textId="4E67E73D" w:rsidR="00B610B0" w:rsidRDefault="00B610B0">
          <w:pPr>
            <w:pStyle w:val="TOC3"/>
            <w:tabs>
              <w:tab w:val="right" w:leader="dot" w:pos="8296"/>
            </w:tabs>
            <w:rPr>
              <w:rFonts w:cstheme="minorBidi" w:hint="eastAsia"/>
              <w:noProof/>
              <w:kern w:val="2"/>
              <w:szCs w:val="24"/>
              <w14:ligatures w14:val="standardContextual"/>
            </w:rPr>
          </w:pPr>
          <w:hyperlink w:anchor="_Toc236777967" w:history="1">
            <w:r w:rsidRPr="00623C82">
              <w:rPr>
                <w:rStyle w:val="af2"/>
                <w:noProof/>
              </w:rPr>
              <w:t>4.2.1 全栈技术平台：标准化数字化能力的核心载体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209B742D" w14:textId="56363BA4" w:rsidR="00B610B0" w:rsidRDefault="00B610B0">
          <w:pPr>
            <w:pStyle w:val="TOC3"/>
            <w:tabs>
              <w:tab w:val="right" w:leader="dot" w:pos="8296"/>
            </w:tabs>
            <w:rPr>
              <w:rFonts w:cstheme="minorBidi" w:hint="eastAsia"/>
              <w:noProof/>
              <w:kern w:val="2"/>
              <w:szCs w:val="24"/>
              <w14:ligatures w14:val="standardContextual"/>
            </w:rPr>
          </w:pPr>
          <w:hyperlink w:anchor="_Toc236777968" w:history="1">
            <w:r w:rsidRPr="00623C82">
              <w:rPr>
                <w:rStyle w:val="af2"/>
                <w:noProof/>
              </w:rPr>
              <w:t>4.2.2 全域数据要素：数字治理价值的核心生产资料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06C4A9D5" w14:textId="481D59FB" w:rsidR="00B610B0" w:rsidRDefault="00B610B0">
          <w:pPr>
            <w:pStyle w:val="TOC3"/>
            <w:tabs>
              <w:tab w:val="right" w:leader="dot" w:pos="8296"/>
            </w:tabs>
            <w:rPr>
              <w:rFonts w:cstheme="minorBidi" w:hint="eastAsia"/>
              <w:noProof/>
              <w:kern w:val="2"/>
              <w:szCs w:val="24"/>
              <w14:ligatures w14:val="standardContextual"/>
            </w:rPr>
          </w:pPr>
          <w:hyperlink w:anchor="_Toc236777969" w:history="1">
            <w:r w:rsidRPr="00623C82">
              <w:rPr>
                <w:rStyle w:val="af2"/>
                <w:noProof/>
              </w:rPr>
              <w:t>4.2.3 高端人才体系：运营能力长效迭代的核心保障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41B40ECB" w14:textId="2C0345E3" w:rsidR="00B610B0" w:rsidRDefault="00B610B0">
          <w:pPr>
            <w:pStyle w:val="TOC2"/>
            <w:tabs>
              <w:tab w:val="right" w:leader="dot" w:pos="8296"/>
            </w:tabs>
            <w:rPr>
              <w:rFonts w:cstheme="minorBidi" w:hint="eastAsia"/>
              <w:noProof/>
              <w:kern w:val="2"/>
              <w:szCs w:val="24"/>
              <w14:ligatures w14:val="standardContextual"/>
            </w:rPr>
          </w:pPr>
          <w:hyperlink w:anchor="_Toc236777970" w:history="1">
            <w:r w:rsidRPr="00623C82">
              <w:rPr>
                <w:rStyle w:val="af2"/>
                <w:noProof/>
              </w:rPr>
              <w:t>4.3 增值机理：多维公共价值反哺，实现授权环境动态扩容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33A8675A" w14:textId="600EBD9D" w:rsidR="00B610B0" w:rsidRDefault="00B610B0">
          <w:pPr>
            <w:pStyle w:val="TOC3"/>
            <w:tabs>
              <w:tab w:val="right" w:leader="dot" w:pos="8296"/>
            </w:tabs>
            <w:rPr>
              <w:rFonts w:cstheme="minorBidi" w:hint="eastAsia"/>
              <w:noProof/>
              <w:kern w:val="2"/>
              <w:szCs w:val="24"/>
              <w14:ligatures w14:val="standardContextual"/>
            </w:rPr>
          </w:pPr>
          <w:hyperlink w:anchor="_Toc236777971" w:history="1">
            <w:r w:rsidRPr="00623C82">
              <w:rPr>
                <w:rStyle w:val="af2"/>
                <w:noProof/>
              </w:rPr>
              <w:t>4.3.1 政府治理维度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5E91A6DC" w14:textId="31E27875" w:rsidR="00B610B0" w:rsidRDefault="00B610B0">
          <w:pPr>
            <w:pStyle w:val="TOC3"/>
            <w:tabs>
              <w:tab w:val="right" w:leader="dot" w:pos="8296"/>
            </w:tabs>
            <w:rPr>
              <w:rFonts w:cstheme="minorBidi" w:hint="eastAsia"/>
              <w:noProof/>
              <w:kern w:val="2"/>
              <w:szCs w:val="24"/>
              <w14:ligatures w14:val="standardContextual"/>
            </w:rPr>
          </w:pPr>
          <w:hyperlink w:anchor="_Toc236777972" w:history="1">
            <w:r w:rsidRPr="00623C82">
              <w:rPr>
                <w:rStyle w:val="af2"/>
                <w:noProof/>
              </w:rPr>
              <w:t>4.3.2 社会民生维度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14BB247C" w14:textId="59F8B798" w:rsidR="00B610B0" w:rsidRDefault="00B610B0">
          <w:pPr>
            <w:pStyle w:val="TOC3"/>
            <w:tabs>
              <w:tab w:val="right" w:leader="dot" w:pos="8296"/>
            </w:tabs>
            <w:rPr>
              <w:rFonts w:cstheme="minorBidi" w:hint="eastAsia"/>
              <w:noProof/>
              <w:kern w:val="2"/>
              <w:szCs w:val="24"/>
              <w14:ligatures w14:val="standardContextual"/>
            </w:rPr>
          </w:pPr>
          <w:hyperlink w:anchor="_Toc236777973" w:history="1">
            <w:r w:rsidRPr="00623C82">
              <w:rPr>
                <w:rStyle w:val="af2"/>
                <w:noProof/>
              </w:rPr>
              <w:t>4.3.3 在行业示范维度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6A73655D" w14:textId="0C6EC6F4" w:rsidR="00B610B0" w:rsidRDefault="00B610B0">
          <w:pPr>
            <w:pStyle w:val="TOC2"/>
            <w:tabs>
              <w:tab w:val="right" w:leader="dot" w:pos="8296"/>
            </w:tabs>
            <w:rPr>
              <w:rFonts w:cstheme="minorBidi" w:hint="eastAsia"/>
              <w:noProof/>
              <w:kern w:val="2"/>
              <w:szCs w:val="24"/>
              <w14:ligatures w14:val="standardContextual"/>
            </w:rPr>
          </w:pPr>
          <w:hyperlink w:anchor="_Toc236777974" w:history="1">
            <w:r w:rsidRPr="00623C82">
              <w:rPr>
                <w:rStyle w:val="af2"/>
                <w:noProof/>
              </w:rPr>
              <w:t>4.4 闭环机理：战略三角动态均衡下的可持续价值创造逻辑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68048317" w14:textId="1216B07C" w:rsidR="00B610B0" w:rsidRDefault="00B610B0">
          <w:pPr>
            <w:pStyle w:val="TOC3"/>
            <w:tabs>
              <w:tab w:val="right" w:leader="dot" w:pos="8296"/>
            </w:tabs>
            <w:rPr>
              <w:rFonts w:cstheme="minorBidi" w:hint="eastAsia"/>
              <w:noProof/>
              <w:kern w:val="2"/>
              <w:szCs w:val="24"/>
              <w14:ligatures w14:val="standardContextual"/>
            </w:rPr>
          </w:pPr>
          <w:hyperlink w:anchor="_Toc236777975" w:history="1">
            <w:r w:rsidRPr="00623C82">
              <w:rPr>
                <w:rStyle w:val="af2"/>
                <w:noProof/>
              </w:rPr>
              <w:t>4.4.1 三维度存在不可逆的基础递进逻辑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1025EF30" w14:textId="616F1600" w:rsidR="00B610B0" w:rsidRDefault="00B610B0">
          <w:pPr>
            <w:pStyle w:val="TOC3"/>
            <w:tabs>
              <w:tab w:val="right" w:leader="dot" w:pos="8296"/>
            </w:tabs>
            <w:rPr>
              <w:rFonts w:cstheme="minorBidi" w:hint="eastAsia"/>
              <w:noProof/>
              <w:kern w:val="2"/>
              <w:szCs w:val="24"/>
              <w14:ligatures w14:val="standardContextual"/>
            </w:rPr>
          </w:pPr>
          <w:hyperlink w:anchor="_Toc236777976" w:history="1">
            <w:r w:rsidRPr="00623C82">
              <w:rPr>
                <w:rStyle w:val="af2"/>
                <w:noProof/>
              </w:rPr>
              <w:t>4.4.2 增值成果反向回流，形成正向循环强化机制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1A55B225" w14:textId="473BC57B" w:rsidR="00B610B0" w:rsidRDefault="00B610B0">
          <w:pPr>
            <w:pStyle w:val="TOC3"/>
            <w:tabs>
              <w:tab w:val="right" w:leader="dot" w:pos="8296"/>
            </w:tabs>
            <w:rPr>
              <w:rFonts w:cstheme="minorBidi" w:hint="eastAsia"/>
              <w:noProof/>
              <w:kern w:val="2"/>
              <w:szCs w:val="24"/>
              <w14:ligatures w14:val="standardContextual"/>
            </w:rPr>
          </w:pPr>
          <w:hyperlink w:anchor="_Toc236777977" w:history="1">
            <w:r w:rsidRPr="00623C82">
              <w:rPr>
                <w:rStyle w:val="af2"/>
                <w:noProof/>
              </w:rPr>
              <w:t>4.4.3 动态均衡实现公共使命与可持续运营统一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64A007A3" w14:textId="23813BDF" w:rsidR="00B610B0" w:rsidRDefault="00B610B0">
          <w:pPr>
            <w:pStyle w:val="TOC1"/>
            <w:rPr>
              <w:rFonts w:cstheme="minorBidi" w:hint="eastAsia"/>
              <w:noProof/>
              <w:kern w:val="2"/>
              <w:szCs w:val="24"/>
              <w14:ligatures w14:val="standardContextual"/>
            </w:rPr>
          </w:pPr>
          <w:hyperlink w:anchor="_Toc236777978" w:history="1">
            <w:r w:rsidRPr="00623C82">
              <w:rPr>
                <w:rStyle w:val="af2"/>
                <w:noProof/>
              </w:rPr>
              <w:t>5 案例总结与启示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6A51DC04" w14:textId="23C1EA69" w:rsidR="00B610B0" w:rsidRDefault="00B610B0">
          <w:pPr>
            <w:pStyle w:val="TOC2"/>
            <w:tabs>
              <w:tab w:val="right" w:leader="dot" w:pos="8296"/>
            </w:tabs>
            <w:rPr>
              <w:rFonts w:cstheme="minorBidi" w:hint="eastAsia"/>
              <w:noProof/>
              <w:kern w:val="2"/>
              <w:szCs w:val="24"/>
              <w14:ligatures w14:val="standardContextual"/>
            </w:rPr>
          </w:pPr>
          <w:hyperlink w:anchor="_Toc236777979" w:history="1">
            <w:r w:rsidRPr="00623C82">
              <w:rPr>
                <w:rStyle w:val="af2"/>
                <w:noProof/>
              </w:rPr>
              <w:t>5.1 研究结论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6172838E" w14:textId="7FF5B26E" w:rsidR="00B610B0" w:rsidRDefault="00B610B0">
          <w:pPr>
            <w:pStyle w:val="TOC3"/>
            <w:tabs>
              <w:tab w:val="right" w:leader="dot" w:pos="8296"/>
            </w:tabs>
            <w:rPr>
              <w:rFonts w:cstheme="minorBidi" w:hint="eastAsia"/>
              <w:noProof/>
              <w:kern w:val="2"/>
              <w:szCs w:val="24"/>
              <w14:ligatures w14:val="standardContextual"/>
            </w:rPr>
          </w:pPr>
          <w:hyperlink w:anchor="_Toc236777980" w:history="1">
            <w:r w:rsidRPr="00623C82">
              <w:rPr>
                <w:rStyle w:val="af2"/>
                <w:noProof/>
              </w:rPr>
              <w:t>5.1.1 政策锚定与政企共建的授权之基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012DD354" w14:textId="7F72ABC7" w:rsidR="00B610B0" w:rsidRDefault="00B610B0">
          <w:pPr>
            <w:pStyle w:val="TOC3"/>
            <w:tabs>
              <w:tab w:val="right" w:leader="dot" w:pos="8296"/>
            </w:tabs>
            <w:rPr>
              <w:rFonts w:cstheme="minorBidi" w:hint="eastAsia"/>
              <w:noProof/>
              <w:kern w:val="2"/>
              <w:szCs w:val="24"/>
              <w14:ligatures w14:val="standardContextual"/>
            </w:rPr>
          </w:pPr>
          <w:hyperlink w:anchor="_Toc236777981" w:history="1">
            <w:r w:rsidRPr="00623C82">
              <w:rPr>
                <w:rStyle w:val="af2"/>
                <w:noProof/>
              </w:rPr>
              <w:t>5.1.2 平台筑基与要素聚合的赋能之擎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5610F0D7" w14:textId="22105319" w:rsidR="00B610B0" w:rsidRDefault="00B610B0">
          <w:pPr>
            <w:pStyle w:val="TOC3"/>
            <w:tabs>
              <w:tab w:val="right" w:leader="dot" w:pos="8296"/>
            </w:tabs>
            <w:rPr>
              <w:rFonts w:cstheme="minorBidi" w:hint="eastAsia"/>
              <w:noProof/>
              <w:kern w:val="2"/>
              <w:szCs w:val="24"/>
              <w14:ligatures w14:val="standardContextual"/>
            </w:rPr>
          </w:pPr>
          <w:hyperlink w:anchor="_Toc236777982" w:history="1">
            <w:r w:rsidRPr="00623C82">
              <w:rPr>
                <w:rStyle w:val="af2"/>
                <w:noProof/>
              </w:rPr>
              <w:t>5.1.3 治理提效与民生普惠的增值之果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62F45234" w14:textId="1B3F47B1" w:rsidR="00B610B0" w:rsidRDefault="00B610B0">
          <w:pPr>
            <w:pStyle w:val="TOC3"/>
            <w:tabs>
              <w:tab w:val="right" w:leader="dot" w:pos="8296"/>
            </w:tabs>
            <w:rPr>
              <w:rFonts w:cstheme="minorBidi" w:hint="eastAsia"/>
              <w:noProof/>
              <w:kern w:val="2"/>
              <w:szCs w:val="24"/>
              <w14:ligatures w14:val="standardContextual"/>
            </w:rPr>
          </w:pPr>
          <w:hyperlink w:anchor="_Toc236777983" w:history="1">
            <w:r w:rsidRPr="00623C82">
              <w:rPr>
                <w:rStyle w:val="af2"/>
                <w:noProof/>
              </w:rPr>
              <w:t>5.1.4 增值反哺授权的正向循环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520281FC" w14:textId="616447AB" w:rsidR="00B610B0" w:rsidRDefault="00B610B0">
          <w:pPr>
            <w:pStyle w:val="TOC2"/>
            <w:tabs>
              <w:tab w:val="right" w:leader="dot" w:pos="8296"/>
            </w:tabs>
            <w:rPr>
              <w:rFonts w:cstheme="minorBidi" w:hint="eastAsia"/>
              <w:noProof/>
              <w:kern w:val="2"/>
              <w:szCs w:val="24"/>
              <w14:ligatures w14:val="standardContextual"/>
            </w:rPr>
          </w:pPr>
          <w:hyperlink w:anchor="_Toc236777984" w:history="1">
            <w:r w:rsidRPr="00623C82">
              <w:rPr>
                <w:rStyle w:val="af2"/>
                <w:noProof/>
              </w:rPr>
              <w:t>5.2 理论启示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45418C5E" w14:textId="29E34509" w:rsidR="00B610B0" w:rsidRDefault="00B610B0">
          <w:pPr>
            <w:pStyle w:val="TOC3"/>
            <w:tabs>
              <w:tab w:val="right" w:leader="dot" w:pos="8296"/>
            </w:tabs>
            <w:rPr>
              <w:rFonts w:cstheme="minorBidi" w:hint="eastAsia"/>
              <w:noProof/>
              <w:kern w:val="2"/>
              <w:szCs w:val="24"/>
              <w14:ligatures w14:val="standardContextual"/>
            </w:rPr>
          </w:pPr>
          <w:hyperlink w:anchor="_Toc236777985" w:history="1">
            <w:r w:rsidRPr="00623C82">
              <w:rPr>
                <w:rStyle w:val="af2"/>
                <w:noProof/>
              </w:rPr>
              <w:t>5.2.1 战略三角模型的主体拓展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7EB2DA98" w14:textId="338F7373" w:rsidR="00B610B0" w:rsidRDefault="00B610B0">
          <w:pPr>
            <w:pStyle w:val="TOC3"/>
            <w:tabs>
              <w:tab w:val="right" w:leader="dot" w:pos="8296"/>
            </w:tabs>
            <w:rPr>
              <w:rFonts w:cstheme="minorBidi" w:hint="eastAsia"/>
              <w:noProof/>
              <w:kern w:val="2"/>
              <w:szCs w:val="24"/>
              <w14:ligatures w14:val="standardContextual"/>
            </w:rPr>
          </w:pPr>
          <w:hyperlink w:anchor="_Toc236777986" w:history="1">
            <w:r w:rsidRPr="00623C82">
              <w:rPr>
                <w:rStyle w:val="af2"/>
                <w:noProof/>
              </w:rPr>
              <w:t xml:space="preserve">5.2.2 </w:t>
            </w:r>
            <w:r w:rsidRPr="00623C82">
              <w:rPr>
                <w:rFonts w:ascii="宋体" w:hAnsi="宋体" w:eastAsia="宋体" w:cs="宋体" w:hint="eastAsia"/>
                <w:rStyle w:val="af2"/>
                <w:noProof/>
              </w:rPr>
              <w:t xml:space="preserve">“</w:t>
            </w:r>
            <w:r w:rsidRPr="00623C82">
              <w:rPr>
                <w:rStyle w:val="af2"/>
                <w:noProof/>
              </w:rPr>
              <w:t xml:space="preserve">授权—赋能—增值—反哺</w:t>
            </w:r>
            <w:r w:rsidRPr="00623C82">
              <w:rPr>
                <w:rFonts w:ascii="宋体" w:hAnsi="宋体" w:eastAsia="宋体" w:cs="宋体" w:hint="eastAsia"/>
                <w:rStyle w:val="af2"/>
                <w:noProof/>
              </w:rPr>
              <w:t xml:space="preserve">”</w:t>
            </w:r>
            <w:r w:rsidRPr="00623C82">
              <w:rPr>
                <w:rStyle w:val="af2"/>
                <w:noProof/>
              </w:rPr>
              <w:t xml:space="preserve">动态闭环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2E79015D" w14:textId="18E7170B" w:rsidR="00B610B0" w:rsidRDefault="00B610B0">
          <w:pPr>
            <w:pStyle w:val="TOC3"/>
            <w:tabs>
              <w:tab w:val="right" w:leader="dot" w:pos="8296"/>
            </w:tabs>
            <w:rPr>
              <w:rFonts w:cstheme="minorBidi" w:hint="eastAsia"/>
              <w:noProof/>
              <w:kern w:val="2"/>
              <w:szCs w:val="24"/>
              <w14:ligatures w14:val="standardContextual"/>
            </w:rPr>
          </w:pPr>
          <w:hyperlink w:anchor="_Toc236777987" w:history="1">
            <w:r w:rsidRPr="00623C82">
              <w:rPr>
                <w:rStyle w:val="af2"/>
                <w:noProof/>
              </w:rPr>
              <w:t>5.2.3 授权维度的再拆解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73362845" w14:textId="65E875BE" w:rsidR="00B610B0" w:rsidRDefault="00B610B0">
          <w:pPr>
            <w:pStyle w:val="TOC2"/>
            <w:tabs>
              <w:tab w:val="right" w:leader="dot" w:pos="8296"/>
            </w:tabs>
            <w:rPr>
              <w:rFonts w:cstheme="minorBidi" w:hint="eastAsia"/>
              <w:noProof/>
              <w:kern w:val="2"/>
              <w:szCs w:val="24"/>
              <w14:ligatures w14:val="standardContextual"/>
            </w:rPr>
          </w:pPr>
          <w:hyperlink w:anchor="_Toc236777988" w:history="1">
            <w:r w:rsidRPr="00623C82">
              <w:rPr>
                <w:rStyle w:val="af2"/>
                <w:noProof/>
              </w:rPr>
              <w:t>5.3 实践与政策启示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7FB3D6F3" w14:textId="0D1B5F17" w:rsidR="00B610B0" w:rsidRDefault="00B610B0">
          <w:pPr>
            <w:pStyle w:val="TOC3"/>
            <w:tabs>
              <w:tab w:val="right" w:leader="dot" w:pos="8296"/>
            </w:tabs>
            <w:rPr>
              <w:rFonts w:cstheme="minorBidi" w:hint="eastAsia"/>
              <w:noProof/>
              <w:kern w:val="2"/>
              <w:szCs w:val="24"/>
              <w14:ligatures w14:val="standardContextual"/>
            </w:rPr>
          </w:pPr>
          <w:hyperlink w:anchor="_Toc236777989" w:history="1">
            <w:r w:rsidRPr="00623C82">
              <w:rPr>
                <w:rStyle w:val="af2"/>
                <w:noProof/>
              </w:rPr>
              <w:t>5.3.1 以国企为载体承接试点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314A1A18" w14:textId="39815E83" w:rsidR="00B610B0" w:rsidRDefault="00B610B0">
          <w:pPr>
            <w:pStyle w:val="TOC3"/>
            <w:tabs>
              <w:tab w:val="right" w:leader="dot" w:pos="8296"/>
            </w:tabs>
            <w:rPr>
              <w:rFonts w:cstheme="minorBidi" w:hint="eastAsia"/>
              <w:noProof/>
              <w:kern w:val="2"/>
              <w:szCs w:val="24"/>
              <w14:ligatures w14:val="standardContextual"/>
            </w:rPr>
          </w:pPr>
          <w:hyperlink w:anchor="_Toc236777990" w:history="1">
            <w:r w:rsidRPr="00623C82">
              <w:rPr>
                <w:rStyle w:val="af2"/>
                <w:noProof/>
              </w:rPr>
              <w:t xml:space="preserve">5.3.2 警惕</w:t>
            </w:r>
            <w:r w:rsidRPr="00623C82">
              <w:rPr>
                <w:rFonts w:ascii="宋体" w:hAnsi="宋体" w:eastAsia="宋体" w:cs="宋体" w:hint="eastAsia"/>
                <w:rStyle w:val="af2"/>
                <w:noProof/>
              </w:rPr>
              <w:t xml:space="preserve">“</w:t>
            </w:r>
            <w:r w:rsidRPr="00623C82">
              <w:rPr>
                <w:rStyle w:val="af2"/>
                <w:noProof/>
              </w:rPr>
              <w:t xml:space="preserve">重建轻管</w:t>
            </w:r>
            <w:r w:rsidRPr="00623C82">
              <w:rPr>
                <w:rFonts w:ascii="宋体" w:hAnsi="宋体" w:eastAsia="宋体" w:cs="宋体" w:hint="eastAsia"/>
                <w:rStyle w:val="af2"/>
                <w:noProof/>
              </w:rPr>
              <w:t xml:space="preserv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02D7E144" w14:textId="13024C30" w:rsidR="00B610B0" w:rsidRDefault="00B610B0">
          <w:pPr>
            <w:pStyle w:val="TOC3"/>
            <w:tabs>
              <w:tab w:val="right" w:leader="dot" w:pos="8296"/>
            </w:tabs>
            <w:rPr>
              <w:rFonts w:cstheme="minorBidi" w:hint="eastAsia"/>
              <w:noProof/>
              <w:kern w:val="2"/>
              <w:szCs w:val="24"/>
              <w14:ligatures w14:val="standardContextual"/>
            </w:rPr>
          </w:pPr>
          <w:hyperlink w:anchor="_Toc236777991" w:history="1">
            <w:r w:rsidRPr="00623C82">
              <w:rPr>
                <w:rStyle w:val="af2"/>
                <w:noProof/>
              </w:rPr>
              <w:t>5.3.3 公共价值与市场化运营的兼容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2EE99950" w14:textId="39C39051" w:rsidR="00B610B0" w:rsidRDefault="00B610B0">
          <w:pPr>
            <w:pStyle w:val="TOC3"/>
            <w:tabs>
              <w:tab w:val="right" w:leader="dot" w:pos="8296"/>
            </w:tabs>
            <w:rPr>
              <w:rFonts w:cstheme="minorBidi" w:hint="eastAsia"/>
              <w:noProof/>
              <w:kern w:val="2"/>
              <w:szCs w:val="24"/>
              <w14:ligatures w14:val="standardContextual"/>
            </w:rPr>
          </w:pPr>
          <w:hyperlink w:anchor="_Toc236777992" w:history="1">
            <w:r w:rsidRPr="00623C82">
              <w:rPr>
                <w:rStyle w:val="af2"/>
                <w:noProof/>
              </w:rPr>
              <w:t>5.3.4 以增值反哺授权的策略路径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52AB60F7" w14:textId="530E0CF6" w:rsidR="00B610B0" w:rsidRDefault="00B610B0">
          <w:pPr>
            <w:pStyle w:val="TOC3"/>
            <w:tabs>
              <w:tab w:val="right" w:leader="dot" w:pos="8296"/>
            </w:tabs>
            <w:rPr>
              <w:rFonts w:cstheme="minorBidi" w:hint="eastAsia"/>
              <w:noProof/>
              <w:kern w:val="2"/>
              <w:szCs w:val="24"/>
              <w14:ligatures w14:val="standardContextual"/>
            </w:rPr>
          </w:pPr>
          <w:hyperlink w:anchor="_Toc236777993" w:history="1">
            <w:r w:rsidRPr="00623C82">
              <w:rPr>
                <w:rStyle w:val="af2"/>
                <w:noProof/>
              </w:rPr>
              <w:t>5.3.5 稳定授权环境与强化要素供给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13B3B87A" w14:textId="69A1425A" w:rsidR="00B610B0" w:rsidRDefault="00B610B0">
          <w:pPr>
            <w:pStyle w:val="TOC3"/>
            <w:tabs>
              <w:tab w:val="right" w:leader="dot" w:pos="8296"/>
            </w:tabs>
            <w:rPr>
              <w:rFonts w:cstheme="minorBidi" w:hint="eastAsia"/>
              <w:noProof/>
              <w:kern w:val="2"/>
              <w:szCs w:val="24"/>
              <w14:ligatures w14:val="standardContextual"/>
            </w:rPr>
          </w:pPr>
          <w:hyperlink w:anchor="_Toc236777994" w:history="1">
            <w:r w:rsidRPr="00623C82">
              <w:rPr>
                <w:rStyle w:val="af2"/>
                <w:noProof/>
              </w:rPr>
              <w:t>5.3.6 健全公共价值评估与反馈机制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70B8E481" w14:textId="1879E1AF" w:rsidR="00B610B0" w:rsidRDefault="00B610B0">
          <w:pPr>
            <w:pStyle w:val="TOC2"/>
            <w:tabs>
              <w:tab w:val="right" w:leader="dot" w:pos="8296"/>
            </w:tabs>
            <w:rPr>
              <w:rFonts w:cstheme="minorBidi" w:hint="eastAsia"/>
              <w:noProof/>
              <w:kern w:val="2"/>
              <w:szCs w:val="24"/>
              <w14:ligatures w14:val="standardContextual"/>
            </w:rPr>
          </w:pPr>
          <w:hyperlink w:anchor="_Toc236777995" w:history="1">
            <w:r w:rsidRPr="00623C82">
              <w:rPr>
                <w:rStyle w:val="af2"/>
                <w:noProof/>
              </w:rPr>
              <w:t>5.4 研究不足与展望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00230DF2" w14:textId="544EA271" w:rsidR="00B610B0" w:rsidRDefault="00B610B0">
          <w:pPr>
            <w:pStyle w:val="TOC3"/>
            <w:tabs>
              <w:tab w:val="right" w:leader="dot" w:pos="8296"/>
            </w:tabs>
            <w:rPr>
              <w:rFonts w:cstheme="minorBidi" w:hint="eastAsia"/>
              <w:noProof/>
              <w:kern w:val="2"/>
              <w:szCs w:val="24"/>
              <w14:ligatures w14:val="standardContextual"/>
            </w:rPr>
          </w:pPr>
          <w:hyperlink w:anchor="_Toc236777996" w:history="1">
            <w:r w:rsidRPr="00623C82">
              <w:rPr>
                <w:rStyle w:val="af2"/>
                <w:noProof/>
              </w:rPr>
              <w:t>5.4.1 单案例外部效度有限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5BDAB1BD" w14:textId="7EBFCE38" w:rsidR="00B610B0" w:rsidRDefault="00B610B0">
          <w:pPr>
            <w:pStyle w:val="TOC3"/>
            <w:tabs>
              <w:tab w:val="right" w:leader="dot" w:pos="8296"/>
            </w:tabs>
            <w:rPr>
              <w:rFonts w:cstheme="minorBidi" w:hint="eastAsia"/>
              <w:noProof/>
              <w:kern w:val="2"/>
              <w:szCs w:val="24"/>
              <w14:ligatures w14:val="standardContextual"/>
            </w:rPr>
          </w:pPr>
          <w:hyperlink w:anchor="_Toc236777997" w:history="1">
            <w:r w:rsidRPr="00623C82">
              <w:rPr>
                <w:rStyle w:val="af2"/>
                <w:noProof/>
              </w:rPr>
              <w:t>5.4.2 公共价值量化测度有待深化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_Toc236777997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04D9BE67" w14:textId="6E920089" w:rsidR="00B610B0" w:rsidRDefault="00B610B0">
          <w:pPr>
            <w:ind w:firstLine="482"/>
            <w:rPr>
              <w:rFonts w:hint="eastAsia"/>
            </w:rPr>
          </w:pPr>
          <w:r>
            <w:rPr>
              <w:b/>
              <w:bCs/>
              <w:lang w:val="zh-CN"/>
            </w:rPr>
            <w:fldChar w:fldCharType="end"/>
          </w:r>
        </w:p>
      </w:sdtContent>
    </w:sdt>
    <w:p w14:paraId="7F92ACD3" w14:textId="77777777" w:rsidR="00B610B0" w:rsidRDefault="00B610B0">
      <w:pPr>
        <w:widowControl/>
        <w:spacing w:line="240" w:lineRule="auto"/>
        <w:ind w:firstLineChars="0" w:firstLine="0"/>
        <w:jc w:val="left"/>
        <w:rPr>
          <w:rFonts w:cstheme="majorBidi"/>
          <w:color w:val="000000" w:themeColor="text1"/>
          <w:sz w:val="30"/>
          <w:szCs w:val="48"/>
        </w:rPr>
        <w:sectPr w:rsidR="00B610B0" w:rsidSect="00B610B0">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pgNumType w:start="1"/>
          <w:cols w:space="425"/>
          <w:docGrid w:type="lines" w:linePitch="312"/>
        </w:sectPr>
      </w:pPr>
    </w:p>
    <w:p w14:paraId="2EE37227" w14:textId="5884EA3B" w:rsidR="00B610B0" w:rsidRPr="00B610B0" w:rsidRDefault="00B610B0">
      <w:pPr>
        <w:widowControl/>
        <w:spacing w:line="240" w:lineRule="auto"/>
        <w:ind w:firstLineChars="0" w:firstLine="0"/>
        <w:jc w:val="left"/>
        <w:rPr>
          <w:rFonts w:cstheme="majorBidi" w:hint="eastAsia"/>
          <w:color w:val="000000" w:themeColor="text1"/>
          <w:sz w:val="30"/>
          <w:szCs w:val="48"/>
        </w:rPr>
      </w:pPr>
    </w:p>
    <w:p w14:paraId="4D07DDD3" w14:textId="7941A08A" w:rsidR="00CC5E4B" w:rsidRDefault="00CC5E4B" w:rsidP="00CC5E4B">
      <w:pPr>
        <w:pStyle w:val="1"/>
      </w:pPr>
      <w:bookmarkStart w:id="1" w:name="_Toc236777852"/>
      <w:bookmarkStart w:id="2" w:name="_Toc236777925"/>
      <w:r>
        <w:rPr/>
        <w:t>绪论</w:t>
      </w:r>
      <w:bookmarkEnd w:id="0"/>
      <w:bookmarkEnd w:id="1"/>
      <w:bookmarkEnd w:id="2"/>
    </w:p>
    <w:p>
      <w:pPr>
        <w:spacing w:line="360" w:lineRule="auto"/>
        <w:ind w:firstLineChars="200" w:firstLine="480"/>
        <w:jc w:val="both"/>
        <w:rPr>
          <w:color w:val="FF0000"/>
          <w:lang w:eastAsia="zh-CN"/>
        </w:rPr>
      </w:pPr>
      <w:r>
        <w:rPr>
          <w:color w:val="FF0000"/>
          <w:lang w:eastAsia="zh-CN"/>
        </w:rPr>
        <w:t xml:space="preserve">数字城市建设进程中，地方国有数字化平台如何依托政策资源搭建运营体系并持续输出城市公共价值，是数字治理领域亟待回应的现实议题。嘉兴依托政企共建组建嘉数公司承接国家数字城市试点，企业沿政策授权、能力培育、价值输出的完整路径推进建设，其发展脉络恰好对应马克·穆尔公共价值理论中授权环境、运营能力、公共价值三大维度，具备以战略三角模型加以解释的天然适配性。本章从国家顶层政策部署、嘉兴本地建设需求、嘉数公司试点载体职能三层逻辑依次展开，梳理企业诞生背景与发展动因，并交代研究问题、研究设计与分析框架，为后续章节的实践呈现与机理解析奠定基础。</w:t>
      </w:r>
    </w:p>
    <w:p w14:paraId="3E700756" w14:textId="77777777" w:rsidR="00CC5E4B" w:rsidRDefault="00CC5E4B" w:rsidP="00CC5E4B">
      <w:pPr>
        <w:pStyle w:val="2"/>
        <w:spacing w:before="156" w:after="156"/>
        <w:rPr>
          <w:rFonts w:hint="eastAsia"/>
        </w:rPr>
      </w:pPr>
      <w:bookmarkStart w:id="3" w:name="_Toc236777480"/>
      <w:bookmarkStart w:id="4" w:name="_Toc236777853"/>
      <w:bookmarkStart w:id="5" w:name="_Toc236777926"/>
      <w:r>
        <w:rPr/>
        <w:t>研究背景</w:t>
      </w:r>
      <w:bookmarkEnd w:id="3"/>
      <w:bookmarkEnd w:id="4"/>
      <w:bookmarkEnd w:id="5"/>
    </w:p>
    <w:p w14:paraId="6AD64827" w14:textId="77777777" w:rsidR="00CC5E4B" w:rsidRDefault="00CC5E4B" w:rsidP="00CC5E4B">
      <w:pPr>
        <w:spacing w:line="360" w:lineRule="auto"/>
        <w:ind w:firstLine="480" w:firstLineChars="200"/>
        <w:jc w:val="both"/>
        <w:rPr>
          <w:rFonts w:hint="eastAsia"/>
        </w:rPr>
      </w:pPr>
      <w:r>
        <w:rPr/>
        <w:t xml:space="preserve">自数字中国上升为国家顶层发展战略以来，国家</w:t>
      </w:r>
      <w:r>
        <w:rPr>
          <w:rFonts w:hint="eastAsia" w:ascii="宋体" w:hAnsi="宋体" w:eastAsia="宋体" w:cs="宋体"/>
        </w:rPr>
        <w:t xml:space="preserve">“</w:t>
      </w:r>
      <w:r>
        <w:rPr/>
        <w:t xml:space="preserve">十四五</w:t>
      </w:r>
      <w:r>
        <w:rPr>
          <w:rFonts w:hint="eastAsia" w:ascii="宋体" w:hAnsi="宋体" w:eastAsia="宋体" w:cs="宋体"/>
        </w:rPr>
        <w:t xml:space="preserve">”</w:t>
      </w:r>
      <w:r>
        <w:rPr/>
        <w:t xml:space="preserve">规划专门将数字化发展独立设篇，从顶层设计层面明确城市数字化转型的推进方向与建设任务。全国范围内分批启动新型智慧城市、数字城市试点布局，连续出台配套政策鼓励各地培育专业化运营主体，统筹城市大数据、人工智能、城市大脑体系建设，同步放开数据要素市场先行先试通道，设立国家重点研发专项、科技部百城百园、工信部数字化转型试点等一系列扶持项目，为地方数字化平台主体赋予先行探索的政策空间，自上而下的政策体系清晰划定了城市数字化建设的整体目标与实施路径，也为地方国有数字化企业的诞生与发展提供了坚实的制度基础。</w:t>
      </w:r>
    </w:p>
    <w:p w14:paraId="399AFF2C" w14:textId="77777777" w:rsidR="00CC5E4B" w:rsidRDefault="00CC5E4B" w:rsidP="00CC5E4B">
      <w:pPr>
        <w:ind w:firstLine="0" w:firstLineChars="0"/>
        <w:jc w:val="center"/>
        <w:rPr>
          <w:rFonts w:hint="eastAsia"/>
        </w:rPr>
      </w:pPr>
      <w:r>
        <w:rPr>
          <w:noProof/>
        </w:rPr>
        <w:lastRenderedPageBreak/>
        <w:drawing>
          <wp:inline distT="0" distB="0" distL="0" distR="0" wp14:anchorId="096AC3F0" wp14:editId="5FEB9106">
            <wp:extent cx="5280660" cy="2522220"/>
            <wp:effectExtent l="0" t="0" r="0" b="0"/>
            <wp:docPr id="97"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80660" cy="2522220"/>
                    </a:xfrm>
                    <a:prstGeom prst="rect">
                      <a:avLst/>
                    </a:prstGeom>
                    <a:noFill/>
                    <a:ln>
                      <a:noFill/>
                    </a:ln>
                  </pic:spPr>
                </pic:pic>
              </a:graphicData>
            </a:graphic>
          </wp:inline>
        </w:drawing>
      </w:r>
      <w:r>
        <w:rPr/>
        <w:t xml:space="preserve"> </w:t>
      </w:r>
    </w:p>
    <w:p w14:paraId="0A3C1055" w14:textId="6824ACE9" w:rsidR="00CC5E4B" w:rsidRPr="00E2232F" w:rsidRDefault="00E2232F" w:rsidP="00E2232F">
      <w:pPr>
        <w:pStyle w:val="af7"/>
        <w:ind w:firstLine="0" w:firstLineChars="0"/>
        <w:jc w:val="center"/>
      </w:pPr>
      <w:bookmarkStart w:id="6" w:name="_Toc236778223"/>
      <w:bookmarkStart w:id="7" w:name="_Toc236778293"/>
      <w:bookmarkStart w:id="8" w:name="_Toc236779293"/>
      <w:r>
        <w:rPr/>
        <w:t>图</w:t>
      </w:r>
      <w:r>
        <w:rPr/>
        <w:t xml:space="preserve"> </w:t>
      </w:r>
      <w:r>
        <w:fldChar w:fldCharType="begin"/>
      </w:r>
      <w:r>
        <w:instrText xml:space="preserve"> </w:instrText>
      </w:r>
      <w:r>
        <w:rPr/>
        <w:instrText>STYLEREF 1 \s</w:instrText>
      </w:r>
      <w:r>
        <w:instrText xml:space="preserve"> </w:instrText>
      </w:r>
      <w:r>
        <w:fldChar w:fldCharType="separate"/>
      </w:r>
      <w:r>
        <w:rPr>
          <w:noProof/>
        </w:rPr>
        <w:t>1</w:t>
      </w:r>
      <w:r>
        <w:fldChar w:fldCharType="end"/>
      </w:r>
      <w:r>
        <w:noBreakHyphen/>
      </w:r>
      <w:r>
        <w:fldChar w:fldCharType="begin"/>
      </w:r>
      <w:r>
        <w:instrText xml:space="preserve"> </w:instrText>
      </w:r>
      <w:r>
        <w:rPr/>
        <w:instrText xml:space="preserve">SEQ </w:instrText>
      </w:r>
      <w:r>
        <w:rPr/>
        <w:instrText>图</w:instrText>
      </w:r>
      <w:r>
        <w:rPr/>
        <w:instrText xml:space="preserve"> \* ARABIC \s 1</w:instrText>
      </w:r>
      <w:r>
        <w:instrText xml:space="preserve"> </w:instrText>
      </w:r>
      <w:r>
        <w:fldChar w:fldCharType="separate"/>
      </w:r>
      <w:r>
        <w:rPr>
          <w:noProof/>
        </w:rPr>
        <w:t>1</w:t>
      </w:r>
      <w:r>
        <w:fldChar w:fldCharType="end"/>
      </w:r>
      <w:r w:rsidR="00CC5E4B" w:rsidRPr="00E2232F">
        <w:t>数字中国数字化转型政策层级传导图</w:t>
      </w:r>
      <w:bookmarkEnd w:id="6"/>
      <w:bookmarkEnd w:id="7"/>
      <w:bookmarkEnd w:id="8"/>
    </w:p>
    <w:p w14:paraId="3D4B3C16" w14:textId="77777777" w:rsidR="00CC5E4B" w:rsidRDefault="00CC5E4B" w:rsidP="00CC5E4B">
      <w:pPr>
        <w:spacing w:line="360" w:lineRule="auto"/>
        <w:ind w:firstLine="480" w:firstLineChars="200"/>
        <w:jc w:val="both"/>
        <w:rPr>
          <w:rFonts w:hint="eastAsia"/>
        </w:rPr>
      </w:pPr>
      <w:r>
        <w:rPr/>
        <w:t>从地方发展现实来看，嘉兴作为全国首批数字城市试点城市，自身资源禀赋与北上广深等超大城市存在明显差距，资金、高端技术、数字化专业人才储备相对有限，单纯依靠政府行政部门自主搭建数字化体系，极易产生项目重复建设、政务数据割裂分散、系统建成后缺少长期运营维护主体、建设成果难以市场化转化等一系列现实难题。城市数字化转型覆盖政务治理、民生服务、产业发展、应急管理等多个领域，项目周期长、技术迭代快，需要一家能够统筹规划、自主开展技术研发、长期负责平台运营、对外输出标准化建设成果的专业化市场载体，统一承接全部试点建设任务，整合区域内分散的政务数据、产业技术与科研资源，以此破解中小城市数字化建设过程中各类堵点痛点，这也是嘉兴专门组建数字化国有平台企业的核心现实动因。</w:t>
      </w:r>
    </w:p>
    <w:p>
      <w:pPr>
        <w:keepNext/>
        <w:widowControl w:val="0"/>
        <w:ind w:firstLineChars="0" w:firstLine="0"/>
        <w:jc w:val="center"/>
      </w:pPr>
      <w:r>
        <w:rPr>
          <w:noProof/>
        </w:rPr>
        <w:drawing>
          <wp:inline distT="0" distB="0" distL="0" distR="0" wp14:anchorId="6B276DEA" wp14:editId="62B0A8EF">
            <wp:extent cx="5280660" cy="2331720"/>
            <wp:effectExtent l="0" t="0" r="0" b="0"/>
            <wp:docPr id="98"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80660" cy="2331720"/>
                    </a:xfrm>
                    <a:prstGeom prst="rect">
                      <a:avLst/>
                    </a:prstGeom>
                    <a:noFill/>
                    <a:ln>
                      <a:noFill/>
                    </a:ln>
                  </pic:spPr>
                </pic:pic>
              </a:graphicData>
            </a:graphic>
          </wp:inline>
        </w:drawing>
      </w:r>
    </w:p>
    <w:p w14:paraId="0A4CDC1B" w14:textId="79EA663E" w:rsidR="00CC5E4B" w:rsidRPr="00E2232F" w:rsidRDefault="00E2232F" w:rsidP="00E2232F">
      <w:pPr>
        <w:pStyle w:val="af7"/>
        <w:ind w:firstLine="0" w:firstLineChars="0"/>
        <w:jc w:val="center"/>
      </w:pPr>
      <w:bookmarkStart w:id="9" w:name="_Toc236778224"/>
      <w:bookmarkStart w:id="10" w:name="_Toc236778294"/>
      <w:bookmarkStart w:id="11" w:name="_Toc236779294"/>
      <w:r>
        <w:rPr/>
        <w:t>图</w:t>
      </w:r>
      <w:r>
        <w:rPr/>
        <w:t xml:space="preserve"> </w:t>
      </w:r>
      <w:r>
        <w:fldChar w:fldCharType="begin"/>
      </w:r>
      <w:r>
        <w:instrText xml:space="preserve"> </w:instrText>
      </w:r>
      <w:r>
        <w:rPr/>
        <w:instrText>STYLEREF 1 \s</w:instrText>
      </w:r>
      <w:r>
        <w:instrText xml:space="preserve"> </w:instrText>
      </w:r>
      <w:r>
        <w:fldChar w:fldCharType="separate"/>
      </w:r>
      <w:r>
        <w:rPr>
          <w:noProof/>
        </w:rPr>
        <w:t>1</w:t>
      </w:r>
      <w:r>
        <w:fldChar w:fldCharType="end"/>
      </w:r>
      <w:r>
        <w:noBreakHyphen/>
      </w:r>
      <w:r>
        <w:fldChar w:fldCharType="begin"/>
      </w:r>
      <w:r>
        <w:instrText xml:space="preserve"> </w:instrText>
      </w:r>
      <w:r>
        <w:rPr/>
        <w:instrText xml:space="preserve">SEQ </w:instrText>
      </w:r>
      <w:r>
        <w:rPr/>
        <w:instrText>图</w:instrText>
      </w:r>
      <w:r>
        <w:rPr/>
        <w:instrText xml:space="preserve"> \* ARABIC \s 1</w:instrText>
      </w:r>
      <w:r>
        <w:instrText xml:space="preserve"> </w:instrText>
      </w:r>
      <w:r>
        <w:fldChar w:fldCharType="separate"/>
      </w:r>
      <w:r>
        <w:rPr>
          <w:noProof/>
        </w:rPr>
        <w:t>2</w:t>
      </w:r>
      <w:r>
        <w:fldChar w:fldCharType="end"/>
      </w:r>
      <w:r w:rsidR="00CC5E4B" w:rsidRPr="00E2232F">
        <w:t xml:space="preserve"> </w:t>
      </w:r>
      <w:r w:rsidR="00CC5E4B" w:rsidRPr="00E2232F">
        <w:t>中小城市数字化建设传统模式痛点示意图</w:t>
      </w:r>
      <w:bookmarkEnd w:id="9"/>
      <w:bookmarkEnd w:id="10"/>
      <w:bookmarkEnd w:id="11"/>
    </w:p>
    <w:p w14:paraId="41A4AF8E" w14:textId="77777777" w:rsidR="00CC5E4B" w:rsidRDefault="00CC5E4B" w:rsidP="00CC5E4B">
      <w:pPr>
        <w:spacing w:line="360" w:lineRule="auto"/>
        <w:ind w:firstLine="480" w:firstLineChars="200"/>
        <w:jc w:val="both"/>
        <w:rPr>
          <w:rFonts w:hint="eastAsia"/>
        </w:rPr>
      </w:pPr>
      <w:r>
        <w:rPr/>
        <w:t>在顶层政策指引与地方建设需求的双重驱动之下，</w:t>
      </w:r>
      <w:r>
        <w:rPr/>
        <w:t>2020</w:t>
      </w:r>
      <w:r>
        <w:rPr/>
        <w:t>年嘉兴市人民政府</w:t>
      </w:r>
      <w:r>
        <w:rPr/>
        <w:lastRenderedPageBreak/>
        <w:t>联合中国电子科技集团共同出资五亿元组建嘉数公司，将企业定位为数字中国城市实验室，作为承接国家数字城市全部试点任务的专属国有控股载体。企业成立之初便肩负衔接政府公共需求、转化央企前沿数字技术、联动本地高校科研力量的多重职能，多年来持续落地城市大脑、全域公共数据平台等数字化新基建，深耕智慧政法、智慧交通、智慧医疗、智慧教育等民生治理场景，同步布局</w:t>
      </w:r>
      <w:r>
        <w:rPr/>
        <w:t>AI+</w:t>
      </w:r>
      <w:r>
        <w:rPr/>
        <w:t>政务大模型、市级</w:t>
      </w:r>
      <w:r>
        <w:rPr/>
        <w:t>A</w:t>
      </w:r>
      <w:r>
        <w:rPr/>
        <w:t>类数据要素运营重点实验室等前沿数字业务，依靠自主研发积累大量发明专利与软件著作权，形成一套完整的政策驱动、平台赋能、惠民增值的数字化发展模式。嘉数公司依托政企共建的独特身份，平衡公共服务使命与可持续市场化运营，完整走完政策承接、平台搭建、场景落地、示范推广全流程，这套兼具典型性与前沿性的本土实践，构成本次研究开展的现实缘起。</w:t>
      </w:r>
    </w:p>
    <w:p>
      <w:pPr>
        <w:keepNext/>
        <w:widowControl w:val="0"/>
        <w:ind w:firstLineChars="0" w:firstLine="0"/>
        <w:jc w:val="center"/>
      </w:pPr>
      <w:r>
        <w:rPr>
          <w:noProof/>
        </w:rPr>
        <w:drawing>
          <wp:inline distT="0" distB="0" distL="0" distR="0" wp14:anchorId="2E4DCDA4" wp14:editId="79D6C6DE">
            <wp:extent cx="5318760" cy="2941320"/>
            <wp:effectExtent l="0" t="0" r="0" b="0"/>
            <wp:docPr id="99"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18760" cy="2941320"/>
                    </a:xfrm>
                    <a:prstGeom prst="rect">
                      <a:avLst/>
                    </a:prstGeom>
                    <a:noFill/>
                    <a:ln>
                      <a:noFill/>
                    </a:ln>
                  </pic:spPr>
                </pic:pic>
              </a:graphicData>
            </a:graphic>
          </wp:inline>
        </w:drawing>
      </w:r>
    </w:p>
    <w:p w14:paraId="65EFB9D1" w14:textId="7AABF1A7" w:rsidR="00CC5E4B" w:rsidRPr="00E2232F" w:rsidRDefault="00E2232F" w:rsidP="00E2232F">
      <w:pPr>
        <w:pStyle w:val="af7"/>
        <w:ind w:firstLine="0" w:firstLineChars="0"/>
        <w:jc w:val="center"/>
      </w:pPr>
      <w:bookmarkStart w:id="12" w:name="_Toc236778225"/>
      <w:bookmarkStart w:id="13" w:name="_Toc236778295"/>
      <w:bookmarkStart w:id="14" w:name="_Toc236779295"/>
      <w:r>
        <w:rPr/>
        <w:t>图</w:t>
      </w:r>
      <w:r>
        <w:rPr/>
        <w:t xml:space="preserve"> </w:t>
      </w:r>
      <w:r>
        <w:fldChar w:fldCharType="begin"/>
      </w:r>
      <w:r>
        <w:instrText xml:space="preserve"> </w:instrText>
      </w:r>
      <w:r>
        <w:rPr/>
        <w:instrText>STYLEREF 1 \s</w:instrText>
      </w:r>
      <w:r>
        <w:instrText xml:space="preserve"> </w:instrText>
      </w:r>
      <w:r>
        <w:fldChar w:fldCharType="separate"/>
      </w:r>
      <w:r>
        <w:rPr>
          <w:noProof/>
        </w:rPr>
        <w:t>1</w:t>
      </w:r>
      <w:r>
        <w:fldChar w:fldCharType="end"/>
      </w:r>
      <w:r>
        <w:noBreakHyphen/>
      </w:r>
      <w:r>
        <w:fldChar w:fldCharType="begin"/>
      </w:r>
      <w:r>
        <w:instrText xml:space="preserve"> </w:instrText>
      </w:r>
      <w:r>
        <w:rPr/>
        <w:instrText xml:space="preserve">SEQ </w:instrText>
      </w:r>
      <w:r>
        <w:rPr/>
        <w:instrText>图</w:instrText>
      </w:r>
      <w:r>
        <w:rPr/>
        <w:instrText xml:space="preserve"> \* ARABIC \s 1</w:instrText>
      </w:r>
      <w:r>
        <w:instrText xml:space="preserve"> </w:instrText>
      </w:r>
      <w:r>
        <w:fldChar w:fldCharType="separate"/>
      </w:r>
      <w:r>
        <w:rPr>
          <w:noProof/>
        </w:rPr>
        <w:t>3</w:t>
      </w:r>
      <w:r>
        <w:fldChar w:fldCharType="end"/>
      </w:r>
      <w:r w:rsidR="00CC5E4B" w:rsidRPr="00E2232F">
        <w:t>嘉数公司成立政企多元出资主体结构图</w:t>
      </w:r>
      <w:bookmarkEnd w:id="12"/>
      <w:bookmarkEnd w:id="13"/>
      <w:bookmarkEnd w:id="14"/>
    </w:p>
    <w:p w14:paraId="38B881F5" w14:textId="77777777" w:rsidR="00CC5E4B" w:rsidRDefault="00CC5E4B" w:rsidP="00CC5E4B">
      <w:pPr>
        <w:pStyle w:val="2"/>
        <w:spacing w:before="156" w:after="156"/>
        <w:rPr>
          <w:rFonts w:hint="eastAsia"/>
        </w:rPr>
      </w:pPr>
      <w:bookmarkStart w:id="15" w:name="_Toc236777481"/>
      <w:bookmarkStart w:id="16" w:name="_Toc236777854"/>
      <w:bookmarkStart w:id="17" w:name="_Toc236777927"/>
      <w:r>
        <w:rPr/>
        <w:t>研究问题</w:t>
      </w:r>
      <w:bookmarkEnd w:id="15"/>
      <w:bookmarkEnd w:id="16"/>
      <w:bookmarkEnd w:id="17"/>
    </w:p>
    <w:p w14:paraId="195E7796" w14:textId="77777777" w:rsidR="00CC5E4B" w:rsidRDefault="00CC5E4B" w:rsidP="00CC5E4B">
      <w:pPr>
        <w:spacing w:line="360" w:lineRule="auto"/>
        <w:ind w:firstLine="480" w:firstLineChars="200"/>
        <w:jc w:val="both"/>
        <w:rPr>
          <w:rFonts w:hint="eastAsia"/>
        </w:rPr>
      </w:pPr>
      <w:r>
        <w:rPr/>
        <w:t>本文核心研究问题聚焦政策驱动型地方国企嘉数公司如何创造公共价值，在此基础上拆解形成三层递进子问题，首先探究嘉数公司合法性与发展资源的授权来源，政企共建、产学研协同如何持续夯实企业的授权支撑；其次分析嘉数公司如何搭建技术、数据、人才一体化运营能力，将政策赋予的试点权限转化为可落地的数字化服务；最后厘清数字化建设产出的治理、民生类公共价</w:t>
      </w:r>
      <w:r>
        <w:rPr/>
        <w:lastRenderedPageBreak/>
        <w:t>值，如何反向强化企业的政策与社会支持，形成可持续循环的价值创造机制。</w:t>
      </w:r>
    </w:p>
    <w:p>
      <w:pPr>
        <w:keepNext/>
        <w:widowControl w:val="0"/>
        <w:ind w:firstLineChars="0" w:firstLine="0"/>
        <w:jc w:val="center"/>
      </w:pPr>
      <w:r>
        <w:rPr>
          <w:noProof/>
        </w:rPr>
        <w:drawing>
          <wp:inline distT="0" distB="0" distL="0" distR="0" wp14:anchorId="3F983EFD" wp14:editId="4EB551FE">
            <wp:extent cx="5280660" cy="2209800"/>
            <wp:effectExtent l="0" t="0" r="0" b="0"/>
            <wp:docPr id="100"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80660" cy="2209800"/>
                    </a:xfrm>
                    <a:prstGeom prst="rect">
                      <a:avLst/>
                    </a:prstGeom>
                    <a:noFill/>
                    <a:ln>
                      <a:noFill/>
                    </a:ln>
                  </pic:spPr>
                </pic:pic>
              </a:graphicData>
            </a:graphic>
          </wp:inline>
        </w:drawing>
      </w:r>
    </w:p>
    <w:p w14:paraId="581E7854" w14:textId="1A24EF6A" w:rsidR="00CC5E4B" w:rsidRPr="00E2232F" w:rsidRDefault="00E2232F" w:rsidP="00E2232F">
      <w:pPr>
        <w:pStyle w:val="af7"/>
        <w:ind w:firstLine="0" w:firstLineChars="0"/>
        <w:jc w:val="center"/>
      </w:pPr>
      <w:bookmarkStart w:id="18" w:name="_Toc236778226"/>
      <w:bookmarkStart w:id="19" w:name="_Toc236778296"/>
      <w:bookmarkStart w:id="20" w:name="_Toc236779296"/>
      <w:r>
        <w:rPr/>
        <w:t>图</w:t>
      </w:r>
      <w:r>
        <w:rPr/>
        <w:t xml:space="preserve"> </w:t>
      </w:r>
      <w:r>
        <w:fldChar w:fldCharType="begin"/>
      </w:r>
      <w:r>
        <w:instrText xml:space="preserve"> </w:instrText>
      </w:r>
      <w:r>
        <w:rPr/>
        <w:instrText>STYLEREF 1 \s</w:instrText>
      </w:r>
      <w:r>
        <w:instrText xml:space="preserve"> </w:instrText>
      </w:r>
      <w:r>
        <w:fldChar w:fldCharType="separate"/>
      </w:r>
      <w:r>
        <w:rPr>
          <w:noProof/>
        </w:rPr>
        <w:t>1</w:t>
      </w:r>
      <w:r>
        <w:fldChar w:fldCharType="end"/>
      </w:r>
      <w:r>
        <w:noBreakHyphen/>
      </w:r>
      <w:r>
        <w:fldChar w:fldCharType="begin"/>
      </w:r>
      <w:r>
        <w:instrText xml:space="preserve"> </w:instrText>
      </w:r>
      <w:r>
        <w:rPr/>
        <w:instrText xml:space="preserve">SEQ </w:instrText>
      </w:r>
      <w:r>
        <w:rPr/>
        <w:instrText>图</w:instrText>
      </w:r>
      <w:r>
        <w:rPr/>
        <w:instrText xml:space="preserve"> \* ARABIC \s 1</w:instrText>
      </w:r>
      <w:r>
        <w:instrText xml:space="preserve"> </w:instrText>
      </w:r>
      <w:r>
        <w:fldChar w:fldCharType="separate"/>
      </w:r>
      <w:r>
        <w:rPr>
          <w:noProof/>
        </w:rPr>
        <w:t>4</w:t>
      </w:r>
      <w:r>
        <w:fldChar w:fldCharType="end"/>
      </w:r>
      <w:r w:rsidR="00CC5E4B" w:rsidRPr="00E2232F">
        <w:t xml:space="preserve"> </w:t>
      </w:r>
      <w:r w:rsidR="00CC5E4B" w:rsidRPr="00E2232F">
        <w:t>三层递进式核心研究问题逻辑拆解图</w:t>
      </w:r>
      <w:bookmarkEnd w:id="18"/>
      <w:bookmarkEnd w:id="19"/>
      <w:bookmarkEnd w:id="20"/>
    </w:p>
    <w:p w14:paraId="23FB0941" w14:textId="77777777" w:rsidR="00CC5E4B" w:rsidRDefault="00CC5E4B" w:rsidP="00CC5E4B">
      <w:pPr>
        <w:pStyle w:val="2"/>
        <w:spacing w:before="156" w:after="156"/>
        <w:rPr>
          <w:rFonts w:hint="eastAsia"/>
        </w:rPr>
      </w:pPr>
      <w:bookmarkStart w:id="21" w:name="_Toc236777482"/>
      <w:bookmarkStart w:id="22" w:name="_Toc236777855"/>
      <w:bookmarkStart w:id="23" w:name="_Toc236777928"/>
      <w:r>
        <w:rPr/>
        <w:t>研究目的</w:t>
      </w:r>
      <w:bookmarkEnd w:id="21"/>
      <w:bookmarkEnd w:id="22"/>
      <w:bookmarkEnd w:id="23"/>
    </w:p>
    <w:p w14:paraId="709EDB2D" w14:textId="77777777" w:rsidR="00CC5E4B" w:rsidRDefault="00CC5E4B" w:rsidP="00CC5E4B">
      <w:pPr>
        <w:spacing w:line="360" w:lineRule="auto"/>
        <w:ind w:firstLine="480" w:firstLineChars="200"/>
        <w:jc w:val="both"/>
        <w:rPr>
          <w:rFonts w:hint="eastAsia"/>
        </w:rPr>
      </w:pPr>
      <w:r>
        <w:rPr/>
        <w:t xml:space="preserve">本文旨在厘清政策驱动下地方数字化国企在数字城市试点中的核心角色，阐释</w:t>
      </w:r>
      <w:r>
        <w:rPr>
          <w:rFonts w:hint="eastAsia" w:ascii="宋体" w:hAnsi="宋体" w:eastAsia="宋体" w:cs="宋体"/>
        </w:rPr>
        <w:t xml:space="preserve">“</w:t>
      </w:r>
      <w:r>
        <w:rPr/>
        <w:t xml:space="preserve">授权—运营能力—公共价值</w:t>
      </w:r>
      <w:r>
        <w:rPr>
          <w:rFonts w:hint="eastAsia" w:ascii="宋体" w:hAnsi="宋体" w:eastAsia="宋体" w:cs="宋体"/>
        </w:rPr>
        <w:t xml:space="preserve">”</w:t>
      </w:r>
      <w:r>
        <w:rPr/>
        <w:t xml:space="preserve">联动的完整价值创造逻辑，依托嘉兴中小型城市实践提炼可复制的数字化建设运营范式，一方面丰富数字化治理领域的本土案例经验，另一方面为全国同类中小城市数字化转型、地方国企平衡公共使命与市场化运营提供理论参考与实操路径。</w:t>
      </w:r>
    </w:p>
    <w:p w14:paraId="194B4204" w14:textId="77777777" w:rsidR="00CC5E4B" w:rsidRDefault="00CC5E4B" w:rsidP="00CC5E4B">
      <w:pPr>
        <w:pStyle w:val="2"/>
        <w:spacing w:before="156" w:after="156"/>
        <w:rPr>
          <w:rFonts w:hint="eastAsia"/>
        </w:rPr>
      </w:pPr>
      <w:bookmarkStart w:id="24" w:name="_Toc236777483"/>
      <w:bookmarkStart w:id="25" w:name="_Toc236777856"/>
      <w:bookmarkStart w:id="26" w:name="_Toc236777929"/>
      <w:r>
        <w:rPr/>
        <w:t>研究意义</w:t>
      </w:r>
      <w:bookmarkEnd w:id="24"/>
      <w:bookmarkEnd w:id="25"/>
      <w:bookmarkEnd w:id="26"/>
    </w:p>
    <w:p w14:paraId="77303FE2" w14:textId="77777777" w:rsidR="00CC5E4B" w:rsidRDefault="00CC5E4B" w:rsidP="00CC5E4B">
      <w:pPr>
        <w:pStyle w:val="a"/>
        <w:spacing w:before="156" w:after="156"/>
        <w:rPr>
          <w:rFonts w:hint="eastAsia"/>
        </w:rPr>
      </w:pPr>
      <w:bookmarkStart w:id="27" w:name="_Toc236777484"/>
      <w:bookmarkStart w:id="28" w:name="_Toc236777857"/>
      <w:bookmarkStart w:id="29" w:name="_Toc236777930"/>
      <w:r>
        <w:rPr/>
        <w:t>理论意义</w:t>
      </w:r>
      <w:bookmarkEnd w:id="27"/>
      <w:bookmarkEnd w:id="28"/>
      <w:bookmarkEnd w:id="29"/>
    </w:p>
    <w:p w14:paraId="110FB64B" w14:textId="77777777" w:rsidR="00CC5E4B" w:rsidRDefault="00CC5E4B" w:rsidP="00CC5E4B">
      <w:pPr>
        <w:spacing w:line="360" w:lineRule="auto"/>
        <w:ind w:firstLine="480" w:firstLineChars="200"/>
        <w:jc w:val="both"/>
        <w:rPr>
          <w:rFonts w:hint="eastAsia"/>
        </w:rPr>
      </w:pPr>
      <w:r>
        <w:rPr/>
        <w:t>本研究采用单案例研究法，结合文献梳理、实地访谈与二手资料分析，以马克·穆尔战略三角模型为核心分析工具，从授权环境、运营能力、公共价值三维度拆解嘉数公司公共价值创造的完整运行闭环，从中小城市地方国企数字化实践视角补充现有理论研究缺口，理论层面的价值主要分为三点。</w:t>
      </w:r>
    </w:p>
    <w:p w14:paraId="22D11205" w14:textId="77777777" w:rsidR="00CC5E4B" w:rsidRDefault="00CC5E4B" w:rsidP="00CC5E4B">
      <w:pPr>
        <w:spacing w:line="360" w:lineRule="auto"/>
        <w:ind w:firstLine="480" w:firstLineChars="200"/>
        <w:jc w:val="both"/>
        <w:rPr>
          <w:rFonts w:hint="eastAsia"/>
        </w:rPr>
      </w:pPr>
      <w:r>
        <w:rPr/>
        <w:t>1.</w:t>
      </w:r>
      <w:r>
        <w:rPr/>
        <w:t xml:space="preserve">拓展公共价值</w:t>
      </w:r>
      <w:r>
        <w:rPr>
          <w:rFonts w:hint="eastAsia" w:ascii="宋体" w:hAnsi="宋体" w:eastAsia="宋体" w:cs="宋体"/>
        </w:rPr>
        <w:t xml:space="preserve">“</w:t>
      </w:r>
      <w:r>
        <w:rPr/>
        <w:t xml:space="preserve">战略三角</w:t>
      </w:r>
      <w:r>
        <w:rPr>
          <w:rFonts w:hint="eastAsia" w:ascii="宋体" w:hAnsi="宋体" w:eastAsia="宋体" w:cs="宋体"/>
        </w:rPr>
        <w:t xml:space="preserve">”</w:t>
      </w:r>
      <w:r>
        <w:rPr/>
        <w:t xml:space="preserve">模型的应用场景边界，过往该理论大多应用于传统政府行政、公共事业单位等传统公共管理场景，较少结合数字城市建设、地方国有数据运营平台这类数字化新兴主体开展实证检验。本文将三维框架嵌入中小城市数字化转型场景，完整验证授权环境、运营能力、公共价值三者动态循环互促的内在运行逻辑，补充数字化治理语境下战略三角模型的实践</w:t>
      </w:r>
      <w:r>
        <w:rPr/>
        <w:lastRenderedPageBreak/>
        <w:t>案例，丰富该理论在数字经济时代的实证支撑素材。</w:t>
      </w:r>
    </w:p>
    <w:p w14:paraId="49AD1B30" w14:textId="77777777" w:rsidR="00CC5E4B" w:rsidRDefault="00CC5E4B" w:rsidP="00CC5E4B">
      <w:pPr>
        <w:spacing w:line="360" w:lineRule="auto"/>
        <w:ind w:firstLine="480" w:firstLineChars="200"/>
        <w:jc w:val="both"/>
        <w:rPr>
          <w:rFonts w:hint="eastAsia"/>
        </w:rPr>
      </w:pPr>
      <w:r>
        <w:rPr/>
        <w:t>2.</w:t>
      </w:r>
      <w:r>
        <w:rPr/>
        <w:t>弥补现有数字治理相关研究的样本偏向问题，当前国内多数数字城市、地方数字化平台相关研究，均以资源雄厚、财政充足的北上广深等超大城市为分析样本，缺少针对普通地级市、中小型城市政企共建数字化国企的微观案例支撑。本文以嘉兴嘉数公司作为研究对象，完整呈现资源有限的中小城市数字化国企的成长路径，补充中国地级市数字化转型的本土微观实践证据，完善地方国企公共价值、数字城市治理两大领域的研究体系。</w:t>
      </w:r>
    </w:p>
    <w:p w14:paraId="10F8E452" w14:textId="77777777" w:rsidR="00CC5E4B" w:rsidRDefault="00CC5E4B" w:rsidP="00CC5E4B">
      <w:pPr>
        <w:spacing w:line="360" w:lineRule="auto"/>
        <w:ind w:firstLine="480" w:firstLineChars="200"/>
        <w:jc w:val="both"/>
        <w:rPr>
          <w:rFonts w:hint="eastAsia"/>
        </w:rPr>
      </w:pPr>
      <w:r>
        <w:rPr/>
        <w:t>3.</w:t>
      </w:r>
      <w:r>
        <w:rPr/>
        <w:t xml:space="preserve">构建适配数字城市地方国企的标准化三维分析逻辑，清晰梳理政策授权、综合运营能力、城市公共价值三者之间</w:t>
      </w:r>
      <w:r>
        <w:rPr>
          <w:rFonts w:hint="eastAsia" w:ascii="宋体" w:hAnsi="宋体" w:eastAsia="宋体" w:cs="宋体"/>
        </w:rPr>
        <w:t xml:space="preserve">“</w:t>
      </w:r>
      <w:r>
        <w:rPr/>
        <w:t xml:space="preserve">资源培育价值、价值反向巩固资源</w:t>
      </w:r>
      <w:r>
        <w:rPr>
          <w:rFonts w:hint="eastAsia" w:ascii="宋体" w:hAnsi="宋体" w:eastAsia="宋体" w:cs="宋体"/>
        </w:rPr>
        <w:t xml:space="preserve">”</w:t>
      </w:r>
      <w:r>
        <w:rPr/>
        <w:t xml:space="preserve">的动态传导闭环，细化三维度内部的细分构成要素，为后续学界开展同类数字化国企、区域数字平台相关研究提供一套可直接沿用、适配本土实践的理论分析思路。</w:t>
      </w:r>
    </w:p>
    <w:p>
      <w:pPr>
        <w:keepNext/>
        <w:widowControl w:val="0"/>
        <w:ind w:firstLineChars="0" w:firstLine="0"/>
        <w:jc w:val="center"/>
      </w:pPr>
      <w:r>
        <w:rPr>
          <w:noProof/>
        </w:rPr>
        <w:drawing>
          <wp:inline distT="0" distB="0" distL="0" distR="0" wp14:anchorId="1D174E33" wp14:editId="221FB499">
            <wp:extent cx="5280660" cy="2339340"/>
            <wp:effectExtent l="0" t="0" r="0" b="3810"/>
            <wp:docPr id="101"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80660" cy="2339340"/>
                    </a:xfrm>
                    <a:prstGeom prst="rect">
                      <a:avLst/>
                    </a:prstGeom>
                    <a:noFill/>
                    <a:ln>
                      <a:noFill/>
                    </a:ln>
                  </pic:spPr>
                </pic:pic>
              </a:graphicData>
            </a:graphic>
          </wp:inline>
        </w:drawing>
      </w:r>
    </w:p>
    <w:p w14:paraId="6AB53F71" w14:textId="2CB75412" w:rsidR="00E2232F" w:rsidRPr="00E2232F" w:rsidRDefault="00E2232F" w:rsidP="00E2232F">
      <w:pPr>
        <w:pStyle w:val="af7"/>
        <w:keepNext/>
        <w:ind w:firstLine="0" w:firstLineChars="0"/>
        <w:jc w:val="center"/>
      </w:pPr>
      <w:bookmarkStart w:id="30" w:name="_Toc236777485"/>
      <w:bookmarkStart w:id="31" w:name="_Toc236777858"/>
      <w:bookmarkStart w:id="32" w:name="_Toc236777931"/>
      <w:bookmarkStart w:id="33" w:name="_Toc236779297"/>
      <w:r>
        <w:rPr/>
        <w:t>图</w:t>
      </w:r>
      <w:r>
        <w:rPr/>
        <w:t xml:space="preserve"> </w:t>
      </w:r>
      <w:r>
        <w:fldChar w:fldCharType="begin"/>
      </w:r>
      <w:r>
        <w:instrText xml:space="preserve"> </w:instrText>
      </w:r>
      <w:r>
        <w:rPr/>
        <w:instrText>STYLEREF 1 \s</w:instrText>
      </w:r>
      <w:r>
        <w:instrText xml:space="preserve"> </w:instrText>
      </w:r>
      <w:r>
        <w:fldChar w:fldCharType="separate"/>
      </w:r>
      <w:r>
        <w:rPr>
          <w:noProof/>
        </w:rPr>
        <w:t>1</w:t>
      </w:r>
      <w:r>
        <w:fldChar w:fldCharType="end"/>
      </w:r>
      <w:r>
        <w:noBreakHyphen/>
      </w:r>
      <w:r>
        <w:fldChar w:fldCharType="begin"/>
      </w:r>
      <w:r>
        <w:instrText xml:space="preserve"> </w:instrText>
      </w:r>
      <w:r>
        <w:rPr/>
        <w:instrText xml:space="preserve">SEQ </w:instrText>
      </w:r>
      <w:r>
        <w:rPr/>
        <w:instrText>图</w:instrText>
      </w:r>
      <w:r>
        <w:rPr/>
        <w:instrText xml:space="preserve"> \* ARABIC \s 1</w:instrText>
      </w:r>
      <w:r>
        <w:instrText xml:space="preserve"> </w:instrText>
      </w:r>
      <w:r>
        <w:fldChar w:fldCharType="separate"/>
      </w:r>
      <w:r>
        <w:rPr>
          <w:noProof/>
        </w:rPr>
        <w:t>5</w:t>
      </w:r>
      <w:r>
        <w:fldChar w:fldCharType="end"/>
      </w:r>
      <w:r w:rsidRPr="00E2232F">
        <w:t>本研究理论创新贡献对比示意图</w:t>
      </w:r>
      <w:bookmarkEnd w:id="33"/>
    </w:p>
    <w:p w14:paraId="3C17F80C" w14:textId="464FC97D" w:rsidR="00E2232F" w:rsidRPr="00E2232F" w:rsidRDefault="00E2232F" w:rsidP="00E2232F">
      <w:pPr>
        <w:pStyle w:val="af7"/>
        <w:ind w:firstLine="0" w:firstLineChars="0"/>
        <w:jc w:val="center"/>
        <w:rPr>
          <w:rFonts w:hint="eastAsia"/>
        </w:rPr>
      </w:pPr>
    </w:p>
    <w:p w14:paraId="5932C6F8" w14:textId="77777777" w:rsidR="00CC5E4B" w:rsidRDefault="00CC5E4B" w:rsidP="00CC5E4B">
      <w:pPr>
        <w:pStyle w:val="a"/>
        <w:spacing w:before="156" w:after="156"/>
        <w:rPr>
          <w:rFonts w:hint="eastAsia"/>
        </w:rPr>
      </w:pPr>
      <w:r>
        <w:rPr/>
        <w:t>实践意义</w:t>
      </w:r>
      <w:bookmarkEnd w:id="30"/>
      <w:bookmarkEnd w:id="31"/>
      <w:bookmarkEnd w:id="32"/>
    </w:p>
    <w:p>
      <w:pPr>
        <w:spacing w:line="360" w:lineRule="auto"/>
        <w:ind w:firstLineChars="200" w:firstLine="480"/>
        <w:jc w:val="both"/>
        <w:rPr>
          <w:color w:val="FF0000"/>
          <w:lang w:eastAsia="zh-CN"/>
        </w:rPr>
      </w:pPr>
      <w:r>
        <w:rPr>
          <w:color w:val="FF0000"/>
          <w:lang w:eastAsia="zh-CN"/>
        </w:rPr>
        <w:t xml:space="preserve">本研究立足嘉数公司的真实运营实践，梳理企业在政策承接与平台搭建过程中的成熟经验与现存短板。与单纯总结先进做法不同，本研究同时关注那些尚未解决的问题——例如公共服务任务与市场化可持续运营之间的张力、授权扩展仍主要依赖个案认可而未形成制度化评估等，因为对同类主体而言，这些未竟之处往往比已有成绩更具参考价值。基于这一取向，研究的实践意义分别面向企业自身、全国同类中小试点城市与数字化领域政策制定主体形成分层落地参考，具体体现在以下三个方面。</w:t>
      </w:r>
    </w:p>
    <w:p w14:paraId="27E1CF1C" w14:textId="77777777" w:rsidR="00CC5E4B" w:rsidRDefault="00CC5E4B" w:rsidP="00CC5E4B">
      <w:pPr>
        <w:spacing w:line="360" w:lineRule="auto"/>
        <w:ind w:firstLine="480" w:firstLineChars="200"/>
        <w:jc w:val="both"/>
        <w:rPr>
          <w:rFonts w:hint="eastAsia"/>
        </w:rPr>
      </w:pPr>
      <w:r>
        <w:rPr/>
        <w:t>1.</w:t>
      </w:r>
      <w:r>
        <w:rPr/>
        <w:t xml:space="preserve">对嘉数公司自身而言，本次研究完整复盘企业</w:t>
      </w:r>
      <w:r>
        <w:rPr>
          <w:rFonts w:hint="eastAsia" w:ascii="宋体" w:hAnsi="宋体" w:eastAsia="宋体" w:cs="宋体"/>
        </w:rPr>
        <w:t xml:space="preserve">“</w:t>
      </w:r>
      <w:r>
        <w:rPr/>
        <w:t xml:space="preserve">授权—赋能—增值</w:t>
      </w:r>
      <w:r>
        <w:rPr>
          <w:rFonts w:hint="eastAsia" w:ascii="宋体" w:hAnsi="宋体" w:eastAsia="宋体" w:cs="宋体"/>
        </w:rPr>
        <w:t xml:space="preserve">”</w:t>
      </w:r>
      <w:r>
        <w:rPr/>
        <w:t xml:space="preserve">全周期发展路径，系统梳理产学研协同机制、全域数据要素运营、智慧政务民生场景落地等环节现存的优化空间，客观剖析企业在平衡公共服务任务与市场化</w:t>
      </w:r>
      <w:r>
        <w:rPr/>
        <w:lastRenderedPageBreak/>
        <w:t>可持续运营中存在的难点，为企业完善内部人才培育体系、优化数字化项目落地流程、拓宽产学研协同渠道、提升公共价值产出效率提供清晰可行的内部运营改进思路。</w:t>
      </w:r>
    </w:p>
    <w:p w14:paraId="1CD33233" w14:textId="77777777" w:rsidR="00CC5E4B" w:rsidRDefault="00CC5E4B" w:rsidP="00CC5E4B">
      <w:pPr>
        <w:spacing w:line="360" w:lineRule="auto"/>
        <w:ind w:firstLine="480" w:firstLineChars="200"/>
        <w:jc w:val="both"/>
        <w:rPr>
          <w:rFonts w:hint="eastAsia"/>
        </w:rPr>
      </w:pPr>
      <w:r>
        <w:rPr/>
        <w:t>2.</w:t>
      </w:r>
      <w:r>
        <w:rPr/>
        <w:t>对全国资源禀赋相近的中小型试点城市而言，本文完整提炼政企共建国有数字化平台承接国家数字城市试点任务的标准化落地模式，清晰拆解政府出资、央企技术赋能、企业统筹运营、高校科研联动的完整实施流程，能够有效规避各地数字化建设中普遍出现的重复开发、重硬件技术投入轻民生实际成效、平台建成后缺乏长效运营机制等建设误区，形成一套适配中小城市财政、人才条件、可直接借鉴落地的数字化建设范本。</w:t>
      </w:r>
    </w:p>
    <w:p w14:paraId="6D399DE0" w14:textId="77777777" w:rsidR="00CC5E4B" w:rsidRDefault="00CC5E4B" w:rsidP="00CC5E4B">
      <w:pPr>
        <w:spacing w:line="360" w:lineRule="auto"/>
        <w:ind w:firstLine="480" w:firstLineChars="200"/>
        <w:jc w:val="both"/>
        <w:rPr>
          <w:rFonts w:hint="eastAsia"/>
        </w:rPr>
      </w:pPr>
      <w:r>
        <w:rPr/>
        <w:t>3.</w:t>
      </w:r>
      <w:r>
        <w:rPr/>
        <w:t>对数字化领域政策制定者而言，研究基于嘉数公司实践清晰界定地方数字化国企的公共服务核心职能与市场化经营合理边界，精准识别当前试点推进过程中授权机制不稳定、数字化人才供给不足、数据要素流通配套不完善、公共价值评估体系缺失等政策短板，为各地稳定数字城市试点授权机制、完善数字化人才与数据要素配套供给、搭建常态化公共价值评估反馈制度提供贴合基层现实的决策依据。</w:t>
      </w:r>
    </w:p>
    <w:p>
      <w:pPr>
        <w:keepNext/>
        <w:widowControl w:val="0"/>
        <w:ind w:firstLineChars="0" w:firstLine="0"/>
        <w:jc w:val="center"/>
      </w:pPr>
      <w:r>
        <w:rPr>
          <w:noProof/>
        </w:rPr>
        <w:drawing>
          <wp:inline distT="0" distB="0" distL="0" distR="0" wp14:anchorId="356022A8" wp14:editId="441E4F0A">
            <wp:extent cx="5280660" cy="2339340"/>
            <wp:effectExtent l="0" t="0" r="0" b="3810"/>
            <wp:docPr id="102"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80660" cy="2339340"/>
                    </a:xfrm>
                    <a:prstGeom prst="rect">
                      <a:avLst/>
                    </a:prstGeom>
                    <a:noFill/>
                    <a:ln>
                      <a:noFill/>
                    </a:ln>
                  </pic:spPr>
                </pic:pic>
              </a:graphicData>
            </a:graphic>
          </wp:inline>
        </w:drawing>
      </w:r>
    </w:p>
    <w:p w14:paraId="566A81ED" w14:textId="086B5B41" w:rsidR="00CC5E4B" w:rsidRPr="00E2232F" w:rsidRDefault="00E2232F" w:rsidP="00E2232F">
      <w:pPr>
        <w:pStyle w:val="af7"/>
        <w:ind w:firstLine="0" w:firstLineChars="0"/>
        <w:jc w:val="center"/>
      </w:pPr>
      <w:bookmarkStart w:id="34" w:name="_Toc236778228"/>
      <w:bookmarkStart w:id="35" w:name="_Toc236778298"/>
      <w:bookmarkStart w:id="36" w:name="_Toc236779298"/>
      <w:r>
        <w:rPr/>
        <w:t>图</w:t>
      </w:r>
      <w:r>
        <w:rPr/>
        <w:t xml:space="preserve"> </w:t>
      </w:r>
      <w:r>
        <w:fldChar w:fldCharType="begin"/>
      </w:r>
      <w:r>
        <w:instrText xml:space="preserve"> </w:instrText>
      </w:r>
      <w:r>
        <w:rPr/>
        <w:instrText>STYLEREF 1 \s</w:instrText>
      </w:r>
      <w:r>
        <w:instrText xml:space="preserve"> </w:instrText>
      </w:r>
      <w:r>
        <w:fldChar w:fldCharType="separate"/>
      </w:r>
      <w:r>
        <w:rPr>
          <w:noProof/>
        </w:rPr>
        <w:t>1</w:t>
      </w:r>
      <w:r>
        <w:fldChar w:fldCharType="end"/>
      </w:r>
      <w:r>
        <w:noBreakHyphen/>
      </w:r>
      <w:r>
        <w:fldChar w:fldCharType="begin"/>
      </w:r>
      <w:r>
        <w:instrText xml:space="preserve"> </w:instrText>
      </w:r>
      <w:r>
        <w:rPr/>
        <w:instrText xml:space="preserve">SEQ </w:instrText>
      </w:r>
      <w:r>
        <w:rPr/>
        <w:instrText>图</w:instrText>
      </w:r>
      <w:r>
        <w:rPr/>
        <w:instrText xml:space="preserve"> \* ARABIC \s 1</w:instrText>
      </w:r>
      <w:r>
        <w:instrText xml:space="preserve"> </w:instrText>
      </w:r>
      <w:r>
        <w:fldChar w:fldCharType="separate"/>
      </w:r>
      <w:r>
        <w:rPr>
          <w:noProof/>
        </w:rPr>
        <w:t>6</w:t>
      </w:r>
      <w:r>
        <w:fldChar w:fldCharType="end"/>
      </w:r>
      <w:r w:rsidR="00CC5E4B" w:rsidRPr="00E2232F">
        <w:t>分层实践价值落地对象辐射图</w:t>
      </w:r>
      <w:bookmarkEnd w:id="34"/>
      <w:bookmarkEnd w:id="35"/>
      <w:bookmarkEnd w:id="36"/>
    </w:p>
    <w:p w14:paraId="4F073C23" w14:textId="77777777" w:rsidR="00CC5E4B" w:rsidRDefault="00CC5E4B" w:rsidP="00CC5E4B">
      <w:pPr>
        <w:pStyle w:val="2"/>
        <w:spacing w:before="156" w:after="156"/>
        <w:rPr>
          <w:rFonts w:hint="eastAsia"/>
        </w:rPr>
      </w:pPr>
      <w:bookmarkStart w:id="37" w:name="_Toc236777486"/>
      <w:bookmarkStart w:id="38" w:name="_Toc236777859"/>
      <w:bookmarkStart w:id="39" w:name="_Toc236777932"/>
      <w:r>
        <w:rPr/>
        <w:t>案例选取</w:t>
      </w:r>
      <w:bookmarkEnd w:id="37"/>
      <w:bookmarkEnd w:id="38"/>
      <w:bookmarkEnd w:id="39"/>
    </w:p>
    <w:p w14:paraId="639AD8CA" w14:textId="77777777" w:rsidR="00CC5E4B" w:rsidRDefault="00CC5E4B" w:rsidP="00CC5E4B">
      <w:pPr>
        <w:spacing w:line="360" w:lineRule="auto"/>
        <w:ind w:firstLine="480" w:firstLineChars="200"/>
        <w:jc w:val="both"/>
        <w:rPr>
          <w:rFonts w:hint="eastAsia"/>
        </w:rPr>
      </w:pPr>
      <w:r>
        <w:rPr/>
        <w:t>本次选取嘉兴嘉数数字城市实验室作为单案例研究对象，选取依据分为三方面。其一为典型性，嘉数公司专为承接国家数字城市试点组建，是纯粹政策驱动型地方国企，完整覆盖政策承接、平台搭建、场景落地、示范推广全链条</w:t>
      </w:r>
      <w:r>
        <w:rPr/>
        <w:lastRenderedPageBreak/>
        <w:t>公共价值创造流程，行业代表性极强。其二为独特性，嘉兴属于资源禀赋中等的中小型城市，与国内绝大多数地级市、县级市发展条件相近，区别于资源雄厚的超大城市案例，总结的经验普适性更高，企业同步布局</w:t>
      </w:r>
      <w:r>
        <w:rPr/>
        <w:t>AI</w:t>
      </w:r>
      <w:r>
        <w:rPr/>
        <w:t>政务大模型、市级数据要素重点实验室等前沿业务，形成差异化实践特征。其三为可调研性，企业拥有完整项目档案、专利软著、行业获奖案例，可通过半结构化访谈企业管理层、政府主管部门、合作高校人员获取一手资料，数据素材充足且时效性强。</w:t>
      </w:r>
    </w:p>
    <w:p>
      <w:pPr>
        <w:keepNext/>
        <w:widowControl w:val="0"/>
        <w:ind w:firstLineChars="0" w:firstLine="0"/>
        <w:jc w:val="center"/>
      </w:pPr>
      <w:r>
        <w:rPr>
          <w:noProof/>
        </w:rPr>
        <w:drawing>
          <wp:inline distT="0" distB="0" distL="0" distR="0" wp14:anchorId="59CAFB76" wp14:editId="5B1DCCFC">
            <wp:extent cx="5280660" cy="2324100"/>
            <wp:effectExtent l="0" t="0" r="0" b="0"/>
            <wp:docPr id="10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80660" cy="2324100"/>
                    </a:xfrm>
                    <a:prstGeom prst="rect">
                      <a:avLst/>
                    </a:prstGeom>
                    <a:noFill/>
                    <a:ln>
                      <a:noFill/>
                    </a:ln>
                  </pic:spPr>
                </pic:pic>
              </a:graphicData>
            </a:graphic>
          </wp:inline>
        </w:drawing>
      </w:r>
    </w:p>
    <w:p w14:paraId="467BA190" w14:textId="510848A8" w:rsidR="00CC5E4B" w:rsidRPr="00E2232F" w:rsidRDefault="00E2232F" w:rsidP="00E2232F">
      <w:pPr>
        <w:pStyle w:val="af7"/>
        <w:ind w:firstLine="0" w:firstLineChars="0"/>
        <w:jc w:val="center"/>
      </w:pPr>
      <w:bookmarkStart w:id="40" w:name="_Toc236778229"/>
      <w:bookmarkStart w:id="41" w:name="_Toc236778299"/>
      <w:bookmarkStart w:id="42" w:name="_Toc236779299"/>
      <w:r>
        <w:rPr/>
        <w:t>图</w:t>
      </w:r>
      <w:r>
        <w:rPr/>
        <w:t xml:space="preserve"> </w:t>
      </w:r>
      <w:r>
        <w:fldChar w:fldCharType="begin"/>
      </w:r>
      <w:r>
        <w:instrText xml:space="preserve"> </w:instrText>
      </w:r>
      <w:r>
        <w:rPr/>
        <w:instrText>STYLEREF 1 \s</w:instrText>
      </w:r>
      <w:r>
        <w:instrText xml:space="preserve"> </w:instrText>
      </w:r>
      <w:r>
        <w:fldChar w:fldCharType="separate"/>
      </w:r>
      <w:r>
        <w:rPr>
          <w:noProof/>
        </w:rPr>
        <w:t>1</w:t>
      </w:r>
      <w:r>
        <w:fldChar w:fldCharType="end"/>
      </w:r>
      <w:r>
        <w:noBreakHyphen/>
      </w:r>
      <w:r>
        <w:fldChar w:fldCharType="begin"/>
      </w:r>
      <w:r>
        <w:instrText xml:space="preserve"> </w:instrText>
      </w:r>
      <w:r>
        <w:rPr/>
        <w:instrText xml:space="preserve">SEQ </w:instrText>
      </w:r>
      <w:r>
        <w:rPr/>
        <w:instrText>图</w:instrText>
      </w:r>
      <w:r>
        <w:rPr/>
        <w:instrText xml:space="preserve"> \* ARABIC \s 1</w:instrText>
      </w:r>
      <w:r>
        <w:instrText xml:space="preserve"> </w:instrText>
      </w:r>
      <w:r>
        <w:fldChar w:fldCharType="separate"/>
      </w:r>
      <w:r>
        <w:rPr>
          <w:noProof/>
        </w:rPr>
        <w:t>7</w:t>
      </w:r>
      <w:r>
        <w:fldChar w:fldCharType="end"/>
      </w:r>
      <w:r>
        <w:rPr/>
        <w:t xml:space="preserve"> </w:t>
      </w:r>
      <w:r w:rsidR="00CC5E4B" w:rsidRPr="00E2232F">
        <w:t>嘉数公司案例选取三大依据对比图</w:t>
      </w:r>
      <w:bookmarkEnd w:id="40"/>
      <w:bookmarkEnd w:id="41"/>
      <w:bookmarkEnd w:id="42"/>
    </w:p>
    <w:p w14:paraId="0FF1E589" w14:textId="77777777" w:rsidR="00CC5E4B" w:rsidRDefault="00CC5E4B" w:rsidP="00CC5E4B">
      <w:pPr>
        <w:pStyle w:val="2"/>
        <w:spacing w:before="156" w:after="156"/>
        <w:rPr>
          <w:rFonts w:hint="eastAsia"/>
        </w:rPr>
      </w:pPr>
      <w:bookmarkStart w:id="43" w:name="_Toc236777487"/>
      <w:bookmarkStart w:id="44" w:name="_Toc236777860"/>
      <w:bookmarkStart w:id="45" w:name="_Toc236777933"/>
      <w:r>
        <w:rPr/>
        <w:t>研究方法与思路</w:t>
      </w:r>
      <w:bookmarkEnd w:id="43"/>
      <w:bookmarkEnd w:id="44"/>
      <w:bookmarkEnd w:id="45"/>
    </w:p>
    <w:p w14:paraId="4DFF728A" w14:textId="77777777" w:rsidR="00CC5E4B" w:rsidRDefault="00CC5E4B" w:rsidP="00CC5E4B">
      <w:pPr>
        <w:pStyle w:val="a"/>
        <w:spacing w:before="156" w:after="156"/>
        <w:rPr>
          <w:rFonts w:hint="eastAsia"/>
        </w:rPr>
      </w:pPr>
      <w:bookmarkStart w:id="46" w:name="_Toc236777488"/>
      <w:bookmarkStart w:id="47" w:name="_Toc236777861"/>
      <w:bookmarkStart w:id="48" w:name="_Toc236777934"/>
      <w:r>
        <w:rPr/>
        <w:t>研究方法</w:t>
      </w:r>
      <w:bookmarkEnd w:id="46"/>
      <w:bookmarkEnd w:id="47"/>
      <w:bookmarkEnd w:id="48"/>
    </w:p>
    <w:p w14:paraId="5BD9F3B2" w14:textId="77777777" w:rsidR="00CC5E4B" w:rsidRDefault="00CC5E4B" w:rsidP="00CC5E4B">
      <w:pPr>
        <w:spacing w:line="360" w:lineRule="auto"/>
        <w:ind w:firstLine="480" w:firstLineChars="200"/>
        <w:jc w:val="both"/>
        <w:rPr>
          <w:rFonts w:hint="eastAsia"/>
        </w:rPr>
      </w:pPr>
      <w:r>
        <w:rPr/>
        <w:t>本文以单案例研究法为核心，搭配三类辅助研究方法保证研究严谨性。文献研究法系统梳理公共价值、战略三角、数字城市、地方国企相关政策与学术文献，搭建全文理论基础；半结构化访谈法面向企业、政府、高校多方主体开展深度访谈，收集多元主体实践认知；二手资料分析法整合企业发展档案、项目成效、专利成果、试点验收报告等书面材料，量化佐证价值创造成效。</w:t>
      </w:r>
    </w:p>
    <w:p>
      <w:pPr>
        <w:spacing w:line="360" w:lineRule="auto"/>
        <w:ind w:firstLineChars="200" w:firstLine="480"/>
        <w:jc w:val="both"/>
        <w:rPr>
          <w:color w:val="FF0000"/>
          <w:lang w:eastAsia="zh-CN"/>
        </w:rPr>
      </w:pPr>
      <w:r>
        <w:rPr>
          <w:color w:val="FF0000"/>
          <w:lang w:eastAsia="zh-CN"/>
        </w:rPr>
        <w:t xml:space="preserve">需要说明的是，单案例研究的效度不取决于样本量，而取决于证据链的完整程度与不同来源证据之间的互证关系。本研究因此对三类证据作了刻意的结构化配置：访谈资料用于还原决策动机与内部过程，档案资料用于核验事实与时点，政策文本用于界定制度约束与授权边界。三类证据在关键事实上互相印证，任一事实若仅有单一来源支撑，则在行文中予以标注，不作为结论的支撑性证据。三角验证的具体配置如表1-1与图1-9所示。</w:t>
      </w:r>
    </w:p>
    <w:p>
      <w:pPr>
        <w:pStyle w:val="af7"/>
        <w:keepNext/>
        <w:ind w:firstLineChars="0" w:firstLine="0"/>
        <w:jc w:val="center"/>
        <w:rPr>
          <w:color w:val="FF0000"/>
          <w:lang w:eastAsia="zh-CN"/>
        </w:rPr>
      </w:pPr>
      <w:r>
        <w:rPr>
          <w:color w:val="FF0000"/>
          <w:lang w:eastAsia="zh-CN"/>
        </w:rPr>
        <w:t>表</w:t>
      </w:r>
      <w:r>
        <w:rPr>
          <w:color w:val="FF0000"/>
          <w:lang w:eastAsia="zh-CN"/>
        </w:rPr>
        <w:t xml:space="preserve"> </w:t>
      </w:r>
      <w:r>
        <w:rPr>
          <w:color w:val="FF0000"/>
          <w:lang w:eastAsia="zh-CN"/>
        </w:rPr>
        <w:t>1</w:t>
      </w:r>
      <w:r>
        <w:rPr>
          <w:color w:val="FF0000"/>
          <w:lang w:eastAsia="zh-CN"/>
        </w:rPr>
        <w:noBreakHyphen/>
      </w:r>
      <w:r>
        <w:rPr>
          <w:color w:val="FF0000"/>
          <w:lang w:eastAsia="zh-CN"/>
        </w:rPr>
        <w:fldChar w:fldCharType="begin"/>
      </w:r>
      <w:r>
        <w:rPr>
          <w:color w:val="FF0000"/>
          <w:lang w:eastAsia="zh-CN"/>
        </w:rPr>
        <w:instrText xml:space="preserve"> SEQ 表 \* ARABIC \s 1 </w:instrText>
      </w:r>
      <w:r>
        <w:rPr>
          <w:color w:val="FF0000"/>
          <w:lang w:eastAsia="zh-CN"/>
        </w:rPr>
        <w:fldChar w:fldCharType="separate"/>
      </w:r>
      <w:r>
        <w:rPr>
          <w:color w:val="FF0000"/>
          <w:noProof/>
          <w:lang w:eastAsia="zh-CN"/>
        </w:rPr>
        <w:t>1</w:t>
      </w:r>
      <w:r>
        <w:rPr>
          <w:color w:val="FF0000"/>
          <w:lang w:eastAsia="zh-CN"/>
        </w:rPr>
        <w:fldChar w:fldCharType="end"/>
      </w:r>
      <w:r>
        <w:rPr>
          <w:color w:val="FF0000"/>
          <w:lang w:eastAsia="zh-CN"/>
        </w:rPr>
        <w:t xml:space="preserve"> </w:t>
      </w:r>
      <w:r>
        <w:rPr>
          <w:color w:val="FF0000"/>
          <w:lang w:eastAsia="zh-CN"/>
        </w:rPr>
        <w:t xml:space="preserve">研究资料来源与三角验证配置一览表</w:t>
      </w:r>
    </w:p>
    <w:tbl>
      <w:tblPr>
        <w:tblStyle w:val="SanXian"/>
        <w:tblW w:w="8296" w:type="dxa"/>
        <w:jc w:val="center"/>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ayout w:type="fixed"/>
        <w:tblLook w:val="04A0" w:firstRow="1" w:lastRow="0" w:firstColumn="0" w:lastColumn="0" w:noHBand="0" w:noVBand="1"/>
      </w:tblPr>
      <w:tblGrid>
        <w:gridCol w:w="1441"/>
        <w:gridCol w:w="3006"/>
        <w:gridCol w:w="2405"/>
        <w:gridCol w:w="1444"/>
      </w:tblGrid>
      <w:tr>
        <w:trPr>
          <w:tblHeader/>
          <w:jc w:val="center"/>
        </w:trPr>
        <w:tc>
          <w:tcPr>
            <w:tcW w:w="1441" w:type="dxa"/>
            <w:tcBorders>
              <w:top w:val="single" w:sz="12" w:space="0" w:color="000000"/>
              <w:left w:val="none" w:sz="0" w:space="0" w:color="auto"/>
              <w:bottom w:val="single" w:sz="6"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b/>
                <w:bCs/>
                <w:sz w:val="21"/>
                <w:szCs w:val="21"/>
                <w:color w:val="FF0000"/>
                <w:lang w:eastAsia="zh-CN"/>
              </w:rPr>
              <w:t xml:space="preserve">证据来源</w:t>
            </w:r>
          </w:p>
        </w:tc>
        <w:tc>
          <w:tcPr>
            <w:tcW w:w="3006" w:type="dxa"/>
            <w:tcBorders>
              <w:top w:val="single" w:sz="12" w:space="0" w:color="000000"/>
              <w:left w:val="none" w:sz="0" w:space="0" w:color="auto"/>
              <w:bottom w:val="single" w:sz="6"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b/>
                <w:bCs/>
                <w:sz w:val="21"/>
                <w:szCs w:val="21"/>
                <w:color w:val="FF0000"/>
                <w:lang w:eastAsia="zh-CN"/>
              </w:rPr>
              <w:t xml:space="preserve">具体构成</w:t>
            </w:r>
          </w:p>
        </w:tc>
        <w:tc>
          <w:tcPr>
            <w:tcW w:w="2405" w:type="dxa"/>
            <w:tcBorders>
              <w:top w:val="single" w:sz="12" w:space="0" w:color="000000"/>
              <w:left w:val="none" w:sz="0" w:space="0" w:color="auto"/>
              <w:bottom w:val="single" w:sz="6"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b/>
                <w:bCs/>
                <w:sz w:val="21"/>
                <w:szCs w:val="21"/>
                <w:color w:val="FF0000"/>
                <w:lang w:eastAsia="zh-CN"/>
              </w:rPr>
              <w:t xml:space="preserve">承担的验证职能</w:t>
            </w:r>
          </w:p>
        </w:tc>
        <w:tc>
          <w:tcPr>
            <w:tcW w:w="1444" w:type="dxa"/>
            <w:tcBorders>
              <w:top w:val="single" w:sz="12" w:space="0" w:color="000000"/>
              <w:left w:val="none" w:sz="0" w:space="0" w:color="auto"/>
              <w:bottom w:val="single" w:sz="6"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b/>
                <w:bCs/>
                <w:sz w:val="21"/>
                <w:szCs w:val="21"/>
                <w:color w:val="FF0000"/>
                <w:lang w:eastAsia="zh-CN"/>
              </w:rPr>
              <w:t xml:space="preserve">主要用于回答</w:t>
            </w:r>
          </w:p>
        </w:tc>
      </w:tr>
      <w:tr>
        <w:trPr>
          <w:jc w:val="center"/>
        </w:trPr>
        <w:tc>
          <w:tcPr>
            <w:tcW w:w="1441"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sz w:val="21"/>
                <w:szCs w:val="21"/>
                <w:color w:val="FF0000"/>
                <w:lang w:eastAsia="zh-CN"/>
              </w:rPr>
              <w:t xml:space="preserve">半结构化访谈</w:t>
            </w:r>
          </w:p>
        </w:tc>
        <w:tc>
          <w:tcPr>
            <w:tcW w:w="3006"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ascii="宋体" w:hAnsi="宋体" w:eastAsia="宋体" w:cs="宋体"/>
                <w:sz w:val="21"/>
                <w:szCs w:val="21"/>
                <w:color w:val="FF0000"/>
                <w:lang w:eastAsia="zh-CN"/>
              </w:rPr>
              <w:t xml:space="preserve">企业管理层、政府主管部门、合作高校人员</w:t>
            </w:r>
          </w:p>
        </w:tc>
        <w:tc>
          <w:tcPr>
            <w:tcW w:w="2405"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ascii="宋体" w:hAnsi="宋体" w:eastAsia="宋体" w:cs="宋体"/>
                <w:sz w:val="21"/>
                <w:szCs w:val="21"/>
                <w:color w:val="FF0000"/>
                <w:lang w:eastAsia="zh-CN"/>
              </w:rPr>
              <w:t xml:space="preserve">还原决策动机与内部运作过程</w:t>
            </w:r>
          </w:p>
        </w:tc>
        <w:tc>
          <w:tcPr>
            <w:tcW w:w="1444"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sz w:val="21"/>
                <w:szCs w:val="21"/>
                <w:color w:val="FF0000"/>
                <w:lang w:eastAsia="zh-CN"/>
              </w:rPr>
              <w:t xml:space="preserve">为何如此选择</w:t>
            </w:r>
          </w:p>
        </w:tc>
      </w:tr>
      <w:tr>
        <w:trPr>
          <w:jc w:val="center"/>
        </w:trPr>
        <w:tc>
          <w:tcPr>
            <w:tcW w:w="1441"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sz w:val="21"/>
                <w:szCs w:val="21"/>
                <w:color w:val="FF0000"/>
                <w:lang w:eastAsia="zh-CN"/>
              </w:rPr>
              <w:t xml:space="preserve">二手档案资料</w:t>
            </w:r>
          </w:p>
        </w:tc>
        <w:tc>
          <w:tcPr>
            <w:tcW w:w="3006"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ascii="宋体" w:hAnsi="宋体" w:eastAsia="宋体" w:cs="宋体"/>
                <w:sz w:val="21"/>
                <w:szCs w:val="21"/>
                <w:color w:val="FF0000"/>
                <w:lang w:eastAsia="zh-CN"/>
              </w:rPr>
              <w:t xml:space="preserve">项目验收报告、专利与软件著作权、资质认证文件</w:t>
            </w:r>
          </w:p>
        </w:tc>
        <w:tc>
          <w:tcPr>
            <w:tcW w:w="2405"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sz w:val="21"/>
                <w:szCs w:val="21"/>
                <w:color w:val="FF0000"/>
                <w:lang w:eastAsia="zh-CN"/>
              </w:rPr>
              <w:t xml:space="preserve">核验事实存在性与发生时点</w:t>
            </w:r>
          </w:p>
        </w:tc>
        <w:tc>
          <w:tcPr>
            <w:tcW w:w="1444"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sz w:val="21"/>
                <w:szCs w:val="21"/>
                <w:color w:val="FF0000"/>
                <w:lang w:eastAsia="zh-CN"/>
              </w:rPr>
              <w:t xml:space="preserve">是否确已发生</w:t>
            </w:r>
          </w:p>
        </w:tc>
      </w:tr>
      <w:tr>
        <w:trPr>
          <w:jc w:val="center"/>
        </w:trPr>
        <w:tc>
          <w:tcPr>
            <w:tcW w:w="1441"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sz w:val="21"/>
                <w:szCs w:val="21"/>
                <w:color w:val="FF0000"/>
                <w:lang w:eastAsia="zh-CN"/>
              </w:rPr>
              <w:t xml:space="preserve">公开政策文本</w:t>
            </w:r>
          </w:p>
        </w:tc>
        <w:tc>
          <w:tcPr>
            <w:tcW w:w="3006"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ascii="宋体" w:hAnsi="宋体" w:eastAsia="宋体" w:cs="宋体"/>
                <w:sz w:val="21"/>
                <w:szCs w:val="21"/>
                <w:color w:val="FF0000"/>
                <w:lang w:eastAsia="zh-CN"/>
              </w:rPr>
              <w:t xml:space="preserve">国家与省级规划、试点批复文件、行业标准文本</w:t>
            </w:r>
          </w:p>
        </w:tc>
        <w:tc>
          <w:tcPr>
            <w:tcW w:w="2405"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sz w:val="21"/>
                <w:szCs w:val="21"/>
                <w:color w:val="FF0000"/>
                <w:lang w:eastAsia="zh-CN"/>
              </w:rPr>
              <w:t xml:space="preserve">界定制度约束与授权边界</w:t>
            </w:r>
          </w:p>
        </w:tc>
        <w:tc>
          <w:tcPr>
            <w:tcW w:w="1444"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sz w:val="21"/>
                <w:szCs w:val="21"/>
                <w:color w:val="FF0000"/>
                <w:lang w:eastAsia="zh-CN"/>
              </w:rPr>
              <w:t xml:space="preserve">边界与依据何在</w:t>
            </w:r>
          </w:p>
        </w:tc>
      </w:tr>
      <w:tr>
        <w:trPr>
          <w:jc w:val="center"/>
        </w:trPr>
        <w:tc>
          <w:tcPr>
            <w:tcW w:w="1441" w:type="dxa"/>
            <w:tcBorders>
              <w:left w:val="none" w:sz="0" w:space="0" w:color="auto"/>
              <w:bottom w:val="single" w:sz="12"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sz w:val="21"/>
                <w:szCs w:val="21"/>
                <w:color w:val="FF0000"/>
                <w:lang w:eastAsia="zh-CN"/>
              </w:rPr>
              <w:t xml:space="preserve">三者交叉比对</w:t>
            </w:r>
          </w:p>
        </w:tc>
        <w:tc>
          <w:tcPr>
            <w:tcW w:w="3006" w:type="dxa"/>
            <w:tcBorders>
              <w:left w:val="none" w:sz="0" w:space="0" w:color="auto"/>
              <w:bottom w:val="single" w:sz="12"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sz w:val="21"/>
                <w:szCs w:val="21"/>
                <w:color w:val="FF0000"/>
                <w:lang w:eastAsia="zh-CN"/>
              </w:rPr>
              <w:t xml:space="preserve">同一事实至少两类来源互证</w:t>
            </w:r>
          </w:p>
        </w:tc>
        <w:tc>
          <w:tcPr>
            <w:tcW w:w="2405" w:type="dxa"/>
            <w:tcBorders>
              <w:left w:val="none" w:sz="0" w:space="0" w:color="auto"/>
              <w:bottom w:val="single" w:sz="12" w:space="0" w:color="000000"/>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ascii="宋体" w:hAnsi="宋体" w:eastAsia="宋体" w:cs="宋体"/>
                <w:sz w:val="21"/>
                <w:szCs w:val="21"/>
                <w:color w:val="FF0000"/>
                <w:lang w:eastAsia="zh-CN"/>
              </w:rPr>
              <w:t xml:space="preserve">排除单一信源偏差与事后追溯性叙述</w:t>
            </w:r>
          </w:p>
        </w:tc>
        <w:tc>
          <w:tcPr>
            <w:tcW w:w="1444" w:type="dxa"/>
            <w:tcBorders>
              <w:left w:val="none" w:sz="0" w:space="0" w:color="auto"/>
              <w:bottom w:val="single" w:sz="12"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sz w:val="21"/>
                <w:szCs w:val="21"/>
                <w:color w:val="FF0000"/>
                <w:lang w:eastAsia="zh-CN"/>
              </w:rPr>
              <w:t xml:space="preserve">结论是否可靠</w:t>
            </w:r>
          </w:p>
        </w:tc>
      </w:tr>
    </w:tbl>
    <w:p xmlns:a="http://schemas.openxmlformats.org/drawingml/2006/main" xmlns:pic="http://schemas.openxmlformats.org/drawingml/2006/picture">
      <w:pPr>
        <w:keepNext/>
        <w:widowControl w:val="0"/>
        <w:ind w:firstLineChars="0" w:firstLine="0"/>
        <w:jc w:val="center"/>
      </w:pPr>
      <w:r>
        <w:rPr>
          <w:noProof/>
          <w:kern w:val="2"/>
          <w:lang w:eastAsia="zh-CN"/>
        </w:rPr>
        <w:drawing>
          <wp:inline distT="0" distB="0" distL="114300" distR="114300">
            <wp:extent cx="5270000" cy="3513333"/>
            <wp:effectExtent l="0" t="0" r="0" b="0"/>
            <wp:docPr id="901" name="图片 901"/>
            <wp:cNvGraphicFramePr>
              <a:graphicFrameLocks noChangeAspect="1"/>
            </wp:cNvGraphicFramePr>
            <a:graphic>
              <a:graphicData uri="http://schemas.openxmlformats.org/drawingml/2006/picture">
                <pic:pic>
                  <pic:nvPicPr>
                    <pic:cNvPr id="901" name="图片 901"/>
                    <pic:cNvPicPr>
                      <a:picLocks noChangeAspect="1"/>
                    </pic:cNvPicPr>
                  </pic:nvPicPr>
                  <pic:blipFill>
                    <a:blip r:embed="rId202"/>
                    <a:stretch>
                      <a:fillRect/>
                    </a:stretch>
                  </pic:blipFill>
                  <pic:spPr>
                    <a:xfrm>
                      <a:off x="0" y="0"/>
                      <a:ext cx="5270000" cy="3513333"/>
                    </a:xfrm>
                    <a:prstGeom prst="rect">
                      <a:avLst/>
                    </a:prstGeom>
                    <a:ln>
                      <a:noFill/>
                    </a:ln>
                  </pic:spPr>
                </pic:pic>
              </a:graphicData>
            </a:graphic>
          </wp:inline>
        </w:drawing>
      </w:r>
    </w:p>
    <w:p>
      <w:pPr>
        <w:pStyle w:val="af7"/>
        <w:ind w:firstLineChars="0" w:firstLine="0"/>
        <w:jc w:val="center"/>
        <w:rPr>
          <w:color w:val="FF0000"/>
          <w:lang w:eastAsia="zh-CN"/>
        </w:rPr>
      </w:pPr>
      <w:r>
        <w:rPr>
          <w:color w:val="FF0000"/>
          <w:lang w:eastAsia="zh-CN"/>
        </w:rPr>
        <w:t>图</w:t>
      </w:r>
      <w:r>
        <w:rPr>
          <w:color w:val="FF0000"/>
          <w:lang w:eastAsia="zh-CN"/>
        </w:rPr>
        <w:t xml:space="preserve"> </w:t>
      </w:r>
      <w:r>
        <w:rPr>
          <w:color w:val="FF0000"/>
          <w:lang w:eastAsia="zh-CN"/>
        </w:rPr>
        <w:t>1</w:t>
      </w:r>
      <w:r>
        <w:rPr>
          <w:color w:val="FF0000"/>
          <w:lang w:eastAsia="zh-CN"/>
        </w:rPr>
        <w:noBreakHyphen/>
      </w:r>
      <w:r>
        <w:rPr>
          <w:color w:val="FF0000"/>
          <w:lang w:eastAsia="zh-CN"/>
        </w:rPr>
        <w:fldChar w:fldCharType="begin"/>
      </w:r>
      <w:r>
        <w:rPr>
          <w:color w:val="FF0000"/>
          <w:lang w:eastAsia="zh-CN"/>
        </w:rPr>
        <w:instrText xml:space="preserve"> SEQ 图 \* ARABIC \s 1 </w:instrText>
      </w:r>
      <w:r>
        <w:rPr>
          <w:color w:val="FF0000"/>
          <w:lang w:eastAsia="zh-CN"/>
        </w:rPr>
        <w:fldChar w:fldCharType="separate"/>
      </w:r>
      <w:r>
        <w:rPr>
          <w:color w:val="FF0000"/>
          <w:noProof/>
          <w:lang w:eastAsia="zh-CN"/>
        </w:rPr>
        <w:t>8</w:t>
      </w:r>
      <w:r>
        <w:rPr>
          <w:color w:val="FF0000"/>
          <w:lang w:eastAsia="zh-CN"/>
        </w:rPr>
        <w:fldChar w:fldCharType="end"/>
      </w:r>
      <w:r>
        <w:rPr>
          <w:color w:val="FF0000"/>
          <w:lang w:eastAsia="zh-CN"/>
        </w:rPr>
        <w:t xml:space="preserve"> </w:t>
      </w:r>
      <w:r>
        <w:rPr>
          <w:color w:val="FF0000"/>
          <w:lang w:eastAsia="zh-CN"/>
        </w:rPr>
        <w:t xml:space="preserve">研究资料的三角验证设计图</w:t>
      </w:r>
    </w:p>
    <w:p w14:paraId="5366CC27" w14:textId="77777777" w:rsidR="00CC5E4B" w:rsidRDefault="00CC5E4B" w:rsidP="00CC5E4B">
      <w:pPr>
        <w:pStyle w:val="a"/>
        <w:spacing w:before="156" w:after="156"/>
        <w:rPr>
          <w:rFonts w:hint="eastAsia"/>
        </w:rPr>
      </w:pPr>
      <w:bookmarkStart w:id="49" w:name="_Toc236777489"/>
      <w:bookmarkStart w:id="50" w:name="_Toc236777862"/>
      <w:bookmarkStart w:id="51" w:name="_Toc236777935"/>
      <w:r>
        <w:rPr/>
        <w:t>研究思路</w:t>
      </w:r>
      <w:bookmarkEnd w:id="49"/>
      <w:bookmarkEnd w:id="50"/>
      <w:bookmarkEnd w:id="51"/>
    </w:p>
    <w:p w14:paraId="29B2E1DD" w14:textId="77777777" w:rsidR="00CC5E4B" w:rsidRDefault="00CC5E4B" w:rsidP="00CC5E4B">
      <w:pPr>
        <w:spacing w:line="360" w:lineRule="auto"/>
        <w:ind w:firstLine="480" w:firstLineChars="200"/>
        <w:jc w:val="both"/>
        <w:rPr>
          <w:rFonts w:hint="eastAsia"/>
        </w:rPr>
      </w:pPr>
      <w:r>
        <w:rPr/>
        <w:t xml:space="preserve">全文严格遵循战略三角闭环逻辑推进，整体脉络为理论铺垫—案例介绍—路径拆解—机理分析—总结启示。绪论完成研究基础、理论框架、研究设计的整体铺陈；第二章介绍嘉数公司发展历程、业务布局、资质创新成果；第三章提炼</w:t>
      </w:r>
      <w:r>
        <w:rPr>
          <w:rFonts w:hint="eastAsia" w:ascii="宋体" w:hAnsi="宋体" w:eastAsia="宋体" w:cs="宋体"/>
        </w:rPr>
        <w:t xml:space="preserve">“</w:t>
      </w:r>
      <w:r>
        <w:rPr/>
        <w:t xml:space="preserve">授权·赋能·增值</w:t>
      </w:r>
      <w:r>
        <w:rPr>
          <w:rFonts w:hint="eastAsia" w:ascii="宋体" w:hAnsi="宋体" w:eastAsia="宋体" w:cs="宋体"/>
        </w:rPr>
        <w:t xml:space="preserve">”</w:t>
      </w:r>
      <w:r>
        <w:rPr/>
        <w:t xml:space="preserve">三维联动的价值创造实践路径；第四章依托战略三</w:t>
      </w:r>
      <w:r>
        <w:rPr/>
        <w:lastRenderedPageBreak/>
        <w:t>角模型解析三维度循环互促的内在机理；第五章归纳研究结论，分理论、政府、企业层面提出启示，同时说明研究局限与未来拓展方向，形成从宏观理论到微观实践、再提炼通用范式的完整逻辑链条。</w:t>
      </w:r>
    </w:p>
    <w:p>
      <w:pPr>
        <w:spacing w:line="360" w:lineRule="auto"/>
        <w:ind w:firstLineChars="200" w:firstLine="480"/>
        <w:jc w:val="both"/>
        <w:rPr>
          <w:color w:val="FF0000"/>
          <w:lang w:eastAsia="zh-CN"/>
        </w:rPr>
      </w:pPr>
      <w:r>
        <w:rPr>
          <w:color w:val="FF0000"/>
          <w:lang w:eastAsia="zh-CN"/>
        </w:rPr>
        <w:t xml:space="preserve">为使各章分工与全文论证链条相互对应，现将研究内容与章节安排归纳如表1-2。各章之间并非平行罗列，而是循</w:t>
      </w:r>
      <w:r>
        <w:rPr>
          <w:rFonts w:hint="eastAsia" w:ascii="宋体" w:hAnsi="宋体" w:eastAsia="宋体" w:cs="宋体"/>
          <w:color w:val="FF0000"/>
          <w:lang w:eastAsia="zh-CN"/>
        </w:rPr>
        <w:t xml:space="preserve">“</w:t>
      </w:r>
      <w:r>
        <w:rPr>
          <w:color w:val="FF0000"/>
          <w:lang w:eastAsia="zh-CN"/>
        </w:rPr>
        <w:t xml:space="preserve">是什么—怎么做—为什么—怎么推广</w:t>
      </w:r>
      <w:r>
        <w:rPr>
          <w:rFonts w:hint="eastAsia" w:ascii="宋体" w:hAnsi="宋体" w:eastAsia="宋体" w:cs="宋体"/>
          <w:color w:val="FF0000"/>
          <w:lang w:eastAsia="zh-CN"/>
        </w:rPr>
        <w:t xml:space="preserve">”</w:t>
      </w:r>
      <w:r>
        <w:rPr>
          <w:color w:val="FF0000"/>
          <w:lang w:eastAsia="zh-CN"/>
        </w:rPr>
        <w:t xml:space="preserve">的递进关系展开：第二章确立案例对象的可研究性，第三章完成实践事实的系统呈现，第四章负责由事实上升为机理，第五章则回答该机理在何种条件下可被其他城市援引。</w:t>
      </w:r>
    </w:p>
    <w:p>
      <w:pPr>
        <w:pStyle w:val="af7"/>
        <w:keepNext/>
        <w:ind w:firstLineChars="0" w:firstLine="0"/>
        <w:jc w:val="center"/>
        <w:rPr>
          <w:color w:val="FF0000"/>
          <w:lang w:eastAsia="zh-CN"/>
        </w:rPr>
      </w:pPr>
      <w:r>
        <w:rPr>
          <w:color w:val="FF0000"/>
          <w:lang w:eastAsia="zh-CN"/>
        </w:rPr>
        <w:t>表</w:t>
      </w:r>
      <w:r>
        <w:rPr>
          <w:color w:val="FF0000"/>
          <w:lang w:eastAsia="zh-CN"/>
        </w:rPr>
        <w:t xml:space="preserve"> </w:t>
      </w:r>
      <w:r>
        <w:rPr>
          <w:color w:val="FF0000"/>
          <w:lang w:eastAsia="zh-CN"/>
        </w:rPr>
        <w:t>1</w:t>
      </w:r>
      <w:r>
        <w:rPr>
          <w:color w:val="FF0000"/>
          <w:lang w:eastAsia="zh-CN"/>
        </w:rPr>
        <w:noBreakHyphen/>
      </w:r>
      <w:r>
        <w:rPr>
          <w:color w:val="FF0000"/>
          <w:lang w:eastAsia="zh-CN"/>
        </w:rPr>
        <w:fldChar w:fldCharType="begin"/>
      </w:r>
      <w:r>
        <w:rPr>
          <w:color w:val="FF0000"/>
          <w:lang w:eastAsia="zh-CN"/>
        </w:rPr>
        <w:instrText xml:space="preserve"> SEQ 表 \* ARABIC \s 1 </w:instrText>
      </w:r>
      <w:r>
        <w:rPr>
          <w:color w:val="FF0000"/>
          <w:lang w:eastAsia="zh-CN"/>
        </w:rPr>
        <w:fldChar w:fldCharType="separate"/>
      </w:r>
      <w:r>
        <w:rPr>
          <w:color w:val="FF0000"/>
          <w:noProof/>
          <w:lang w:eastAsia="zh-CN"/>
        </w:rPr>
        <w:t>2</w:t>
      </w:r>
      <w:r>
        <w:rPr>
          <w:color w:val="FF0000"/>
          <w:lang w:eastAsia="zh-CN"/>
        </w:rPr>
        <w:fldChar w:fldCharType="end"/>
      </w:r>
      <w:r>
        <w:rPr>
          <w:color w:val="FF0000"/>
          <w:lang w:eastAsia="zh-CN"/>
        </w:rPr>
        <w:t xml:space="preserve"> </w:t>
      </w:r>
      <w:r>
        <w:rPr>
          <w:color w:val="FF0000"/>
          <w:lang w:eastAsia="zh-CN"/>
        </w:rPr>
        <w:t xml:space="preserve">研究内容与章节安排表</w:t>
      </w:r>
    </w:p>
    <w:tbl>
      <w:tblPr>
        <w:tblStyle w:val="SanXian"/>
        <w:tblW w:w="8296" w:type="dxa"/>
        <w:jc w:val="center"/>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ayout w:type="fixed"/>
        <w:tblLook w:val="04A0" w:firstRow="1" w:lastRow="0" w:firstColumn="0" w:lastColumn="0" w:noHBand="0" w:noVBand="1"/>
      </w:tblPr>
      <w:tblGrid>
        <w:gridCol w:w="1347"/>
        <w:gridCol w:w="1957"/>
        <w:gridCol w:w="3592"/>
        <w:gridCol w:w="1400"/>
      </w:tblGrid>
      <w:tr>
        <w:trPr>
          <w:tblHeader/>
          <w:jc w:val="center"/>
        </w:trPr>
        <w:tc>
          <w:tcPr>
            <w:tcW w:w="1347" w:type="dxa"/>
            <w:tcBorders>
              <w:top w:val="single" w:sz="12" w:space="0" w:color="000000"/>
              <w:left w:val="none" w:sz="0" w:space="0" w:color="auto"/>
              <w:bottom w:val="single" w:sz="6"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b/>
                <w:bCs/>
                <w:sz w:val="21"/>
                <w:szCs w:val="21"/>
                <w:color w:val="FF0000"/>
                <w:lang w:eastAsia="zh-CN"/>
              </w:rPr>
              <w:t xml:space="preserve">章节</w:t>
            </w:r>
          </w:p>
        </w:tc>
        <w:tc>
          <w:tcPr>
            <w:tcW w:w="1957" w:type="dxa"/>
            <w:tcBorders>
              <w:top w:val="single" w:sz="12" w:space="0" w:color="000000"/>
              <w:left w:val="none" w:sz="0" w:space="0" w:color="auto"/>
              <w:bottom w:val="single" w:sz="6"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b/>
                <w:bCs/>
                <w:sz w:val="21"/>
                <w:szCs w:val="21"/>
                <w:color w:val="FF0000"/>
                <w:lang w:eastAsia="zh-CN"/>
              </w:rPr>
              <w:t xml:space="preserve">标题</w:t>
            </w:r>
          </w:p>
        </w:tc>
        <w:tc>
          <w:tcPr>
            <w:tcW w:w="3592" w:type="dxa"/>
            <w:tcBorders>
              <w:top w:val="single" w:sz="12" w:space="0" w:color="000000"/>
              <w:left w:val="none" w:sz="0" w:space="0" w:color="auto"/>
              <w:bottom w:val="single" w:sz="6"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b/>
                <w:bCs/>
                <w:sz w:val="21"/>
                <w:szCs w:val="21"/>
                <w:color w:val="FF0000"/>
                <w:lang w:eastAsia="zh-CN"/>
              </w:rPr>
              <w:t xml:space="preserve">主要内容</w:t>
            </w:r>
          </w:p>
        </w:tc>
        <w:tc>
          <w:tcPr>
            <w:tcW w:w="1400" w:type="dxa"/>
            <w:tcBorders>
              <w:top w:val="single" w:sz="12" w:space="0" w:color="000000"/>
              <w:left w:val="none" w:sz="0" w:space="0" w:color="auto"/>
              <w:bottom w:val="single" w:sz="6"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b/>
                <w:bCs/>
                <w:sz w:val="21"/>
                <w:szCs w:val="21"/>
                <w:color w:val="FF0000"/>
                <w:lang w:eastAsia="zh-CN"/>
              </w:rPr>
              <w:t xml:space="preserve">在论证链条中的作用</w:t>
            </w:r>
          </w:p>
        </w:tc>
      </w:tr>
      <w:tr>
        <w:trPr>
          <w:jc w:val="center"/>
        </w:trPr>
        <w:tc>
          <w:tcPr>
            <w:tcW w:w="1347"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sz w:val="21"/>
                <w:szCs w:val="21"/>
                <w:color w:val="FF0000"/>
                <w:lang w:eastAsia="zh-CN"/>
              </w:rPr>
              <w:t xml:space="preserve">第一章</w:t>
            </w:r>
          </w:p>
        </w:tc>
        <w:tc>
          <w:tcPr>
            <w:tcW w:w="1957"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sz w:val="21"/>
                <w:szCs w:val="21"/>
                <w:color w:val="FF0000"/>
                <w:lang w:eastAsia="zh-CN"/>
              </w:rPr>
              <w:t xml:space="preserve">绪论</w:t>
            </w:r>
          </w:p>
        </w:tc>
        <w:tc>
          <w:tcPr>
            <w:tcW w:w="3592"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ascii="宋体" w:hAnsi="宋体" w:eastAsia="宋体" w:cs="宋体"/>
                <w:sz w:val="21"/>
                <w:szCs w:val="21"/>
                <w:color w:val="FF0000"/>
                <w:lang w:eastAsia="zh-CN"/>
              </w:rPr>
              <w:t xml:space="preserve">阐明数字中国战略部署、中小城市数字化建设现实困境与嘉数公司试点载体职能，界定研究问题、方法与分析框架</w:t>
            </w:r>
          </w:p>
        </w:tc>
        <w:tc>
          <w:tcPr>
            <w:tcW w:w="1400"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sz w:val="21"/>
                <w:szCs w:val="21"/>
                <w:color w:val="FF0000"/>
                <w:lang w:eastAsia="zh-CN"/>
              </w:rPr>
              <w:t xml:space="preserve">确立问题与工具</w:t>
            </w:r>
          </w:p>
        </w:tc>
      </w:tr>
      <w:tr>
        <w:trPr>
          <w:jc w:val="center"/>
        </w:trPr>
        <w:tc>
          <w:tcPr>
            <w:tcW w:w="1347"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sz w:val="21"/>
                <w:szCs w:val="21"/>
                <w:color w:val="FF0000"/>
                <w:lang w:eastAsia="zh-CN"/>
              </w:rPr>
              <w:t xml:space="preserve">第二章</w:t>
            </w:r>
          </w:p>
        </w:tc>
        <w:tc>
          <w:tcPr>
            <w:tcW w:w="1957"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sz w:val="21"/>
                <w:szCs w:val="21"/>
                <w:color w:val="FF0000"/>
                <w:lang w:eastAsia="zh-CN"/>
              </w:rPr>
              <w:t xml:space="preserve">案例研究对象概述</w:t>
            </w:r>
          </w:p>
        </w:tc>
        <w:tc>
          <w:tcPr>
            <w:tcW w:w="3592"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ascii="宋体" w:hAnsi="宋体" w:eastAsia="宋体" w:cs="宋体"/>
                <w:sz w:val="21"/>
                <w:szCs w:val="21"/>
                <w:color w:val="FF0000"/>
                <w:lang w:eastAsia="zh-CN"/>
              </w:rPr>
              <w:t xml:space="preserve">介绍嘉数公司设立背景、股权与治理结构、人才基础、产品体系与资质演进</w:t>
            </w:r>
          </w:p>
        </w:tc>
        <w:tc>
          <w:tcPr>
            <w:tcW w:w="1400"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ascii="宋体" w:hAnsi="宋体" w:eastAsia="宋体" w:cs="宋体"/>
                <w:sz w:val="21"/>
                <w:szCs w:val="21"/>
                <w:color w:val="FF0000"/>
                <w:lang w:eastAsia="zh-CN"/>
              </w:rPr>
              <w:t xml:space="preserve">论证案例的典型性与可研究性</w:t>
            </w:r>
          </w:p>
        </w:tc>
      </w:tr>
      <w:tr>
        <w:trPr>
          <w:jc w:val="center"/>
        </w:trPr>
        <w:tc>
          <w:tcPr>
            <w:tcW w:w="1347"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sz w:val="21"/>
                <w:szCs w:val="21"/>
                <w:color w:val="FF0000"/>
                <w:lang w:eastAsia="zh-CN"/>
              </w:rPr>
              <w:t xml:space="preserve">第三章</w:t>
            </w:r>
          </w:p>
        </w:tc>
        <w:tc>
          <w:tcPr>
            <w:tcW w:w="1957"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ascii="宋体" w:hAnsi="宋体" w:eastAsia="宋体" w:cs="宋体"/>
                <w:sz w:val="21"/>
                <w:szCs w:val="21"/>
                <w:color w:val="FF0000"/>
                <w:lang w:eastAsia="zh-CN"/>
              </w:rPr>
              <w:t xml:space="preserve">“</w:t>
            </w:r>
            <w:r>
              <w:rPr>
                <w:rFonts w:hint="eastAsia" w:ascii="宋体" w:hAnsi="宋体" w:eastAsia="宋体" w:cs="宋体"/>
                <w:sz w:val="21"/>
                <w:szCs w:val="21"/>
                <w:color w:val="FF0000"/>
                <w:lang w:eastAsia="zh-CN"/>
              </w:rPr>
              <w:t xml:space="preserve">授权·赋能·增值</w:t>
            </w:r>
            <w:r>
              <w:rPr>
                <w:rFonts w:hint="eastAsia" w:ascii="宋体" w:hAnsi="宋体" w:eastAsia="宋体" w:cs="宋体"/>
                <w:sz w:val="21"/>
                <w:szCs w:val="21"/>
                <w:color w:val="FF0000"/>
                <w:lang w:eastAsia="zh-CN"/>
              </w:rPr>
              <w:t xml:space="preserve">”</w:t>
            </w:r>
            <w:r>
              <w:rPr>
                <w:rFonts w:hint="eastAsia" w:ascii="宋体" w:hAnsi="宋体" w:eastAsia="宋体" w:cs="宋体"/>
                <w:sz w:val="21"/>
                <w:szCs w:val="21"/>
                <w:color w:val="FF0000"/>
                <w:lang w:eastAsia="zh-CN"/>
              </w:rPr>
              <w:t xml:space="preserve">三维联动的价值创造路径</w:t>
            </w:r>
          </w:p>
        </w:tc>
        <w:tc>
          <w:tcPr>
            <w:tcW w:w="3592"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ascii="宋体" w:hAnsi="宋体" w:eastAsia="宋体" w:cs="宋体"/>
                <w:sz w:val="21"/>
                <w:szCs w:val="21"/>
                <w:color w:val="FF0000"/>
                <w:lang w:eastAsia="zh-CN"/>
              </w:rPr>
              <w:t xml:space="preserve">系统呈现政策锚定与政企共建的授权基础、平台与要素聚合的赋能体系、治理与民生领域的价值产出</w:t>
            </w:r>
          </w:p>
        </w:tc>
        <w:tc>
          <w:tcPr>
            <w:tcW w:w="1400"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sz w:val="21"/>
                <w:szCs w:val="21"/>
                <w:color w:val="FF0000"/>
                <w:lang w:eastAsia="zh-CN"/>
              </w:rPr>
              <w:t xml:space="preserve">完成实践事实的系统呈现</w:t>
            </w:r>
          </w:p>
        </w:tc>
      </w:tr>
      <w:tr>
        <w:trPr>
          <w:jc w:val="center"/>
        </w:trPr>
        <w:tc>
          <w:tcPr>
            <w:tcW w:w="1347"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sz w:val="21"/>
                <w:szCs w:val="21"/>
                <w:color w:val="FF0000"/>
                <w:lang w:eastAsia="zh-CN"/>
              </w:rPr>
              <w:t xml:space="preserve">第四章</w:t>
            </w:r>
          </w:p>
        </w:tc>
        <w:tc>
          <w:tcPr>
            <w:tcW w:w="1957"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sz w:val="21"/>
                <w:szCs w:val="21"/>
                <w:color w:val="FF0000"/>
                <w:lang w:eastAsia="zh-CN"/>
              </w:rPr>
              <w:t xml:space="preserve">战略三角模型下的机理解析</w:t>
            </w:r>
          </w:p>
        </w:tc>
        <w:tc>
          <w:tcPr>
            <w:tcW w:w="3592"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ascii="宋体" w:hAnsi="宋体" w:eastAsia="宋体" w:cs="宋体"/>
                <w:sz w:val="21"/>
                <w:szCs w:val="21"/>
                <w:color w:val="FF0000"/>
                <w:lang w:eastAsia="zh-CN"/>
              </w:rPr>
              <w:t xml:space="preserve">逐维度检验实践与理论要求的对应关系，解析授权、赋能、增值三重机理及其动态均衡闭环</w:t>
            </w:r>
          </w:p>
        </w:tc>
        <w:tc>
          <w:tcPr>
            <w:tcW w:w="1400"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sz w:val="21"/>
                <w:szCs w:val="21"/>
                <w:color w:val="FF0000"/>
                <w:lang w:eastAsia="zh-CN"/>
              </w:rPr>
              <w:t xml:space="preserve">由事实上升为机理</w:t>
            </w:r>
          </w:p>
        </w:tc>
      </w:tr>
      <w:tr>
        <w:trPr>
          <w:jc w:val="center"/>
        </w:trPr>
        <w:tc>
          <w:tcPr>
            <w:tcW w:w="1347" w:type="dxa"/>
            <w:tcBorders>
              <w:left w:val="none" w:sz="0" w:space="0" w:color="auto"/>
              <w:bottom w:val="single" w:sz="12"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sz w:val="21"/>
                <w:szCs w:val="21"/>
                <w:color w:val="FF0000"/>
                <w:lang w:eastAsia="zh-CN"/>
              </w:rPr>
              <w:t xml:space="preserve">第五章</w:t>
            </w:r>
          </w:p>
        </w:tc>
        <w:tc>
          <w:tcPr>
            <w:tcW w:w="1957" w:type="dxa"/>
            <w:tcBorders>
              <w:left w:val="none" w:sz="0" w:space="0" w:color="auto"/>
              <w:bottom w:val="single" w:sz="12"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sz w:val="21"/>
                <w:szCs w:val="21"/>
                <w:color w:val="FF0000"/>
                <w:lang w:eastAsia="zh-CN"/>
              </w:rPr>
              <w:t xml:space="preserve">案例总结与启示</w:t>
            </w:r>
          </w:p>
        </w:tc>
        <w:tc>
          <w:tcPr>
            <w:tcW w:w="3592" w:type="dxa"/>
            <w:tcBorders>
              <w:left w:val="none" w:sz="0" w:space="0" w:color="auto"/>
              <w:bottom w:val="single" w:sz="12" w:space="0" w:color="000000"/>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ascii="宋体" w:hAnsi="宋体" w:eastAsia="宋体" w:cs="宋体"/>
                <w:sz w:val="21"/>
                <w:szCs w:val="21"/>
                <w:color w:val="FF0000"/>
                <w:lang w:eastAsia="zh-CN"/>
              </w:rPr>
              <w:t xml:space="preserve">归纳研究结论，提出理论与实践启示，说明模式的适配条件、推广边界与研究局限</w:t>
            </w:r>
          </w:p>
        </w:tc>
        <w:tc>
          <w:tcPr>
            <w:tcW w:w="1400" w:type="dxa"/>
            <w:tcBorders>
              <w:left w:val="none" w:sz="0" w:space="0" w:color="auto"/>
              <w:bottom w:val="single" w:sz="12"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sz w:val="21"/>
                <w:szCs w:val="21"/>
                <w:color w:val="FF0000"/>
                <w:lang w:eastAsia="zh-CN"/>
              </w:rPr>
              <w:t xml:space="preserve">回答可推广性问题</w:t>
            </w:r>
          </w:p>
        </w:tc>
      </w:tr>
    </w:tbl>
    <w:p>
      <w:pPr>
        <w:keepNext/>
        <w:widowControl w:val="0"/>
        <w:ind w:firstLineChars="0" w:firstLine="0"/>
        <w:jc w:val="center"/>
      </w:pPr>
      <w:r>
        <w:rPr>
          <w:noProof/>
        </w:rPr>
        <w:drawing>
          <wp:inline distT="0" distB="0" distL="0" distR="0" wp14:anchorId="214DC7B3" wp14:editId="3FF2E3F0">
            <wp:extent cx="5280660" cy="2438400"/>
            <wp:effectExtent l="0" t="0" r="0" b="0"/>
            <wp:docPr id="10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80660" cy="2438400"/>
                    </a:xfrm>
                    <a:prstGeom prst="rect">
                      <a:avLst/>
                    </a:prstGeom>
                    <a:noFill/>
                    <a:ln>
                      <a:noFill/>
                    </a:ln>
                  </pic:spPr>
                </pic:pic>
              </a:graphicData>
            </a:graphic>
          </wp:inline>
        </w:drawing>
      </w:r>
    </w:p>
    <w:p w14:paraId="4E8FB220" w14:textId="3633CB15" w:rsidR="00CC5E4B" w:rsidRPr="00E2232F" w:rsidRDefault="00E2232F" w:rsidP="00E2232F">
      <w:pPr>
        <w:pStyle w:val="af7"/>
        <w:ind w:firstLine="0" w:firstLineChars="0"/>
        <w:jc w:val="center"/>
      </w:pPr>
      <w:bookmarkStart w:id="52" w:name="_Toc236778230"/>
      <w:bookmarkStart w:id="53" w:name="_Toc236778300"/>
      <w:bookmarkStart w:id="54" w:name="_Toc236779300"/>
      <w:r>
        <w:rPr/>
        <w:t>图</w:t>
      </w:r>
      <w:r>
        <w:rPr/>
        <w:t xml:space="preserve"> </w:t>
      </w:r>
      <w:r>
        <w:fldChar w:fldCharType="begin"/>
      </w:r>
      <w:r>
        <w:instrText xml:space="preserve"> </w:instrText>
      </w:r>
      <w:r>
        <w:rPr/>
        <w:instrText>STYLEREF 1 \s</w:instrText>
      </w:r>
      <w:r>
        <w:instrText xml:space="preserve"> </w:instrText>
      </w:r>
      <w:r>
        <w:fldChar w:fldCharType="separate"/>
      </w:r>
      <w:r>
        <w:rPr>
          <w:noProof/>
        </w:rPr>
        <w:t>1</w:t>
      </w:r>
      <w:r>
        <w:fldChar w:fldCharType="end"/>
      </w:r>
      <w:r>
        <w:noBreakHyphen/>
      </w:r>
      <w:r>
        <w:fldChar w:fldCharType="begin"/>
      </w:r>
      <w:r>
        <w:instrText xml:space="preserve"> </w:instrText>
      </w:r>
      <w:r>
        <w:rPr/>
        <w:instrText xml:space="preserve">SEQ </w:instrText>
      </w:r>
      <w:r>
        <w:rPr/>
        <w:instrText>图</w:instrText>
      </w:r>
      <w:r>
        <w:rPr/>
        <w:instrText xml:space="preserve"> \* ARABIC \s 1</w:instrText>
      </w:r>
      <w:r>
        <w:instrText xml:space="preserve"> </w:instrText>
      </w:r>
      <w:r>
        <w:fldChar w:fldCharType="separate"/>
      </w:r>
      <w:r>
        <w:rPr>
          <w:noProof/>
        </w:rPr>
        <w:t>9</w:t>
      </w:r>
      <w:r>
        <w:fldChar w:fldCharType="end"/>
      </w:r>
      <w:r w:rsidR="00CC5E4B" w:rsidRPr="00E2232F">
        <w:t>全文整体研究思路框架图</w:t>
      </w:r>
      <w:bookmarkEnd w:id="52"/>
      <w:bookmarkEnd w:id="53"/>
      <w:bookmarkEnd w:id="54"/>
    </w:p>
    <w:p w14:paraId="79B16377" w14:textId="77777777" w:rsidR="00CC5E4B" w:rsidRDefault="00CC5E4B" w:rsidP="00CC5E4B">
      <w:pPr>
        <w:pStyle w:val="2"/>
        <w:spacing w:before="156" w:after="156"/>
        <w:rPr>
          <w:rFonts w:hint="eastAsia"/>
        </w:rPr>
      </w:pPr>
      <w:bookmarkStart w:id="55" w:name="_Toc236777490"/>
      <w:bookmarkStart w:id="56" w:name="_Toc236777863"/>
      <w:bookmarkStart w:id="57" w:name="_Toc236777936"/>
      <w:r>
        <w:rPr/>
        <w:t>理论基础与分析框架</w:t>
      </w:r>
      <w:bookmarkEnd w:id="55"/>
      <w:bookmarkEnd w:id="56"/>
      <w:bookmarkEnd w:id="57"/>
    </w:p>
    <w:p w14:paraId="2541D760" w14:textId="77777777" w:rsidR="00CC5E4B" w:rsidRDefault="00CC5E4B" w:rsidP="00CC5E4B">
      <w:pPr>
        <w:pStyle w:val="a"/>
        <w:spacing w:before="156" w:after="156"/>
        <w:rPr>
          <w:rFonts w:hint="eastAsia"/>
        </w:rPr>
      </w:pPr>
      <w:bookmarkStart w:id="58" w:name="_Toc236777491"/>
      <w:bookmarkStart w:id="59" w:name="_Toc236777864"/>
      <w:bookmarkStart w:id="60" w:name="_Toc236777937"/>
      <w:r>
        <w:rPr/>
        <w:t xml:space="preserve">公共价值理论与</w:t>
      </w:r>
      <w:r>
        <w:rPr>
          <w:rFonts w:hint="eastAsia" w:ascii="宋体" w:hAnsi="宋体" w:eastAsia="宋体" w:cs="宋体"/>
        </w:rPr>
        <w:t xml:space="preserve">“</w:t>
      </w:r>
      <w:r>
        <w:rPr/>
        <w:t xml:space="preserve">战略三角</w:t>
      </w:r>
      <w:r>
        <w:rPr>
          <w:rFonts w:hint="eastAsia" w:ascii="宋体" w:hAnsi="宋体" w:eastAsia="宋体" w:cs="宋体"/>
        </w:rPr>
        <w:t xml:space="preserve">”</w:t>
      </w:r>
      <w:r>
        <w:rPr/>
        <w:t xml:space="preserve">模型</w:t>
      </w:r>
      <w:bookmarkEnd w:id="58"/>
      <w:bookmarkEnd w:id="59"/>
      <w:bookmarkEnd w:id="60"/>
    </w:p>
    <w:p w14:paraId="69F03D30" w14:textId="77777777" w:rsidR="00CC5E4B" w:rsidRDefault="00CC5E4B" w:rsidP="00E2232F">
      <w:pPr>
        <w:keepNext/>
        <w:spacing w:line="360" w:lineRule="auto"/>
        <w:ind w:firstLine="480" w:firstLineChars="200"/>
        <w:jc w:val="both"/>
        <w:rPr>
          <w:rFonts w:hint="eastAsia"/>
        </w:rPr>
      </w:pPr>
      <w:r>
        <w:rPr/>
        <w:t>马克·穆尔提出的公共价值理论认为，公共组织的核心使命是创造社会公共价值，配套的战略三角模型指出，可持续的公共价值创造需要三大相互支撑的条件，分别是具备合法性与多元主体支持的授权环境、能够落地目标成果的运营能力、清晰可落地的公共价值产出目标，三者相互作用、动态循环，共同支撑公共组织长效可持续运转。</w:t>
      </w:r>
    </w:p>
    <w:p>
      <w:pPr>
        <w:keepNext/>
        <w:widowControl w:val="0"/>
        <w:ind w:firstLineChars="0" w:firstLine="0"/>
        <w:jc w:val="center"/>
      </w:pPr>
      <w:r>
        <w:rPr>
          <w:noProof/>
        </w:rPr>
        <w:lastRenderedPageBreak/>
        <w:drawing>
          <wp:inline distT="0" distB="0" distL="0" distR="0" wp14:anchorId="641F33B8" wp14:editId="1C100944">
            <wp:extent cx="5280660" cy="2392680"/>
            <wp:effectExtent l="0" t="0" r="0" b="7620"/>
            <wp:docPr id="105"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80660" cy="2392680"/>
                    </a:xfrm>
                    <a:prstGeom prst="rect">
                      <a:avLst/>
                    </a:prstGeom>
                    <a:noFill/>
                    <a:ln>
                      <a:noFill/>
                    </a:ln>
                  </pic:spPr>
                </pic:pic>
              </a:graphicData>
            </a:graphic>
          </wp:inline>
        </w:drawing>
      </w:r>
    </w:p>
    <w:p w14:paraId="406846EF" w14:textId="1E2387EC" w:rsidR="00CC5E4B" w:rsidRPr="00E2232F" w:rsidRDefault="00E2232F" w:rsidP="00E2232F">
      <w:pPr>
        <w:pStyle w:val="af7"/>
        <w:ind w:firstLine="0" w:firstLineChars="0"/>
        <w:jc w:val="center"/>
      </w:pPr>
      <w:bookmarkStart w:id="61" w:name="_Toc236778231"/>
      <w:bookmarkStart w:id="62" w:name="_Toc236778301"/>
      <w:bookmarkStart w:id="63" w:name="_Toc236779301"/>
      <w:r>
        <w:rPr/>
        <w:t>图</w:t>
      </w:r>
      <w:r>
        <w:rPr/>
        <w:t xml:space="preserve"> </w:t>
      </w:r>
      <w:r>
        <w:fldChar w:fldCharType="begin"/>
      </w:r>
      <w:r>
        <w:instrText xml:space="preserve"> </w:instrText>
      </w:r>
      <w:r>
        <w:rPr/>
        <w:instrText>STYLEREF 1 \s</w:instrText>
      </w:r>
      <w:r>
        <w:instrText xml:space="preserve"> </w:instrText>
      </w:r>
      <w:r>
        <w:fldChar w:fldCharType="separate"/>
      </w:r>
      <w:r>
        <w:rPr>
          <w:noProof/>
        </w:rPr>
        <w:t>1</w:t>
      </w:r>
      <w:r>
        <w:fldChar w:fldCharType="end"/>
      </w:r>
      <w:r>
        <w:noBreakHyphen/>
      </w:r>
      <w:r>
        <w:fldChar w:fldCharType="begin"/>
      </w:r>
      <w:r>
        <w:instrText xml:space="preserve"> </w:instrText>
      </w:r>
      <w:r>
        <w:rPr/>
        <w:instrText xml:space="preserve">SEQ </w:instrText>
      </w:r>
      <w:r>
        <w:rPr/>
        <w:instrText>图</w:instrText>
      </w:r>
      <w:r>
        <w:rPr/>
        <w:instrText xml:space="preserve"> \* ARABIC \s 1</w:instrText>
      </w:r>
      <w:r>
        <w:instrText xml:space="preserve"> </w:instrText>
      </w:r>
      <w:r>
        <w:fldChar w:fldCharType="separate"/>
      </w:r>
      <w:r>
        <w:rPr>
          <w:noProof/>
        </w:rPr>
        <w:t>10</w:t>
      </w:r>
      <w:r>
        <w:fldChar w:fldCharType="end"/>
      </w:r>
      <w:r w:rsidR="00CC5E4B" w:rsidRPr="00E2232F">
        <w:t>马克</w:t>
      </w:r>
      <w:r w:rsidR="00CC5E4B" w:rsidRPr="00E2232F">
        <w:t>·</w:t>
      </w:r>
      <w:r w:rsidR="00CC5E4B" w:rsidRPr="00E2232F">
        <w:t>穆尔原始战略三角理论模型图</w:t>
      </w:r>
      <w:bookmarkEnd w:id="61"/>
      <w:bookmarkEnd w:id="62"/>
      <w:bookmarkEnd w:id="63"/>
    </w:p>
    <w:p w14:paraId="7B761942" w14:textId="77777777" w:rsidR="00CC5E4B" w:rsidRDefault="00CC5E4B" w:rsidP="00CC5E4B">
      <w:pPr>
        <w:pStyle w:val="a"/>
        <w:spacing w:before="156" w:after="156"/>
        <w:rPr>
          <w:rFonts w:hint="eastAsia"/>
        </w:rPr>
      </w:pPr>
      <w:bookmarkStart w:id="64" w:name="_Toc236777492"/>
      <w:bookmarkStart w:id="65" w:name="_Toc236777865"/>
      <w:bookmarkStart w:id="66" w:name="_Toc236777938"/>
      <w:r>
        <w:rPr/>
        <w:t>三维构念界定</w:t>
      </w:r>
      <w:bookmarkEnd w:id="64"/>
      <w:bookmarkEnd w:id="65"/>
      <w:bookmarkEnd w:id="66"/>
    </w:p>
    <w:p w14:paraId="7CB40264" w14:textId="77777777" w:rsidR="00CC5E4B" w:rsidRDefault="00CC5E4B" w:rsidP="00CC5E4B">
      <w:pPr>
        <w:spacing w:line="360" w:lineRule="auto"/>
        <w:ind w:firstLine="480" w:firstLineChars="200"/>
        <w:jc w:val="both"/>
        <w:rPr>
          <w:rFonts w:hint="eastAsia"/>
        </w:rPr>
      </w:pPr>
      <w:r>
        <w:rPr/>
        <w:t>授权环境代表企业全部合法性与资源支撑，包含国家数字城市试点政策赋权、政企联合出资的主体授权、产学研合作带来的技术人才资源、各级政府项目扶持，示范成果积累的社会口碑持续拓宽授权边界；运营能力是企业转化政策资源的综合体系，涵盖城市大脑、</w:t>
      </w:r>
      <w:r>
        <w:rPr/>
        <w:t>AI</w:t>
      </w:r>
      <w:r>
        <w:rPr/>
        <w:t>政务大模型技术能力，公共数据平台治理能力，博士后工作站、重点实验室人才培育能力，以及数字化项目标准化落地的组织运营能力；公共价值是数字化业务产出的综合社会效益，包含城市治理效率提升、多领域智慧民生服务优化、形成可全国推广的中小城市数字化示范样板三类可量化、可感知的落地成果。</w:t>
      </w:r>
    </w:p>
    <w:p w14:paraId="20CCBBA1" w14:textId="77777777" w:rsidR="00CC5E4B" w:rsidRDefault="00CC5E4B" w:rsidP="00CC5E4B">
      <w:pPr>
        <w:pStyle w:val="a"/>
        <w:spacing w:before="156" w:after="156"/>
        <w:rPr>
          <w:rFonts w:hint="eastAsia"/>
        </w:rPr>
      </w:pPr>
      <w:bookmarkStart w:id="67" w:name="_Toc236777493"/>
      <w:bookmarkStart w:id="68" w:name="_Toc236777866"/>
      <w:bookmarkStart w:id="69" w:name="_Toc236777939"/>
      <w:r>
        <w:rPr/>
        <w:t>本文整体分析框架</w:t>
      </w:r>
      <w:bookmarkEnd w:id="67"/>
      <w:bookmarkEnd w:id="68"/>
      <w:bookmarkEnd w:id="69"/>
    </w:p>
    <w:p w14:paraId="2A8D6E8F" w14:textId="228FB490" w:rsidR="00E2232F" w:rsidRDefault="00CC5E4B" w:rsidP="00E2232F">
      <w:pPr>
        <w:spacing w:line="360" w:lineRule="auto"/>
        <w:ind w:firstLine="480" w:firstLineChars="200"/>
        <w:jc w:val="both"/>
        <w:rPr>
          <w:rFonts w:hint="eastAsia"/>
        </w:rPr>
      </w:pPr>
      <w:r>
        <w:rPr/>
        <w:t xml:space="preserve">全文构建</w:t>
      </w:r>
      <w:r>
        <w:rPr>
          <w:rFonts w:hint="eastAsia" w:ascii="宋体" w:hAnsi="宋体" w:eastAsia="宋体" w:cs="宋体"/>
        </w:rPr>
        <w:t xml:space="preserve">“</w:t>
      </w:r>
      <w:r>
        <w:rPr/>
        <w:t xml:space="preserve">授权—赋能（运营能力）—增值（公共价值）</w:t>
      </w:r>
      <w:r>
        <w:rPr>
          <w:rFonts w:hint="eastAsia" w:ascii="宋体" w:hAnsi="宋体" w:eastAsia="宋体" w:cs="宋体"/>
        </w:rPr>
        <w:t xml:space="preserve">”</w:t>
      </w:r>
      <w:r>
        <w:rPr/>
        <w:t xml:space="preserve">三维联动闭环框架统领全部分析，以国家试点政策、政企共建、产学研协同搭建授权底座，依托技术、数据、人才要素形成运营赋能体系，落地治理提效、民生普惠、示范引领三类增值成果；而价值产出带来的行业荣誉、群众认可、政策认可，又会反向拓宽企业授权来源，三维度双向循环、互相促进，完整呈现政策驱动型地方国企长效创造公共价值的运行逻辑。</w:t>
      </w:r>
      <w:bookmarkStart w:id="70" w:name="_Toc236778232"/>
      <w:bookmarkStart w:id="71" w:name="_Toc236778302"/>
    </w:p>
    <w:p>
      <w:pPr>
        <w:keepNext/>
        <w:widowControl w:val="0"/>
        <w:ind w:firstLineChars="0" w:firstLine="0"/>
        <w:jc w:val="center"/>
      </w:pPr>
      <w:r>
        <w:rPr>
          <w:noProof/>
        </w:rPr>
        <w:lastRenderedPageBreak/>
        <w:drawing>
          <wp:inline distT="0" distB="0" distL="0" distR="0" wp14:anchorId="2E402D00" wp14:editId="6F0B34C9">
            <wp:extent cx="5280660" cy="2278380"/>
            <wp:effectExtent l="0" t="0" r="0" b="7620"/>
            <wp:docPr id="106"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80660" cy="2278380"/>
                    </a:xfrm>
                    <a:prstGeom prst="rect">
                      <a:avLst/>
                    </a:prstGeom>
                    <a:noFill/>
                    <a:ln>
                      <a:noFill/>
                    </a:ln>
                  </pic:spPr>
                </pic:pic>
              </a:graphicData>
            </a:graphic>
          </wp:inline>
        </w:drawing>
      </w:r>
    </w:p>
    <w:p w14:paraId="5B814617" w14:textId="3FE71BE1" w:rsidR="00CC5E4B" w:rsidRPr="00E2232F" w:rsidRDefault="00E2232F" w:rsidP="00E2232F">
      <w:pPr>
        <w:pStyle w:val="af7"/>
        <w:ind w:firstLine="0" w:firstLineChars="0"/>
        <w:jc w:val="center"/>
      </w:pPr>
      <w:bookmarkStart w:id="72" w:name="_Toc236779302"/>
      <w:r>
        <w:rPr/>
        <w:t>图</w:t>
      </w:r>
      <w:r>
        <w:rPr/>
        <w:t xml:space="preserve"> </w:t>
      </w:r>
      <w:r>
        <w:fldChar w:fldCharType="begin"/>
      </w:r>
      <w:r>
        <w:instrText xml:space="preserve"> </w:instrText>
      </w:r>
      <w:r>
        <w:rPr/>
        <w:instrText>STYLEREF 1 \s</w:instrText>
      </w:r>
      <w:r>
        <w:instrText xml:space="preserve"> </w:instrText>
      </w:r>
      <w:r>
        <w:fldChar w:fldCharType="separate"/>
      </w:r>
      <w:r>
        <w:rPr>
          <w:noProof/>
        </w:rPr>
        <w:t>1</w:t>
      </w:r>
      <w:r>
        <w:fldChar w:fldCharType="end"/>
      </w:r>
      <w:r>
        <w:noBreakHyphen/>
      </w:r>
      <w:r>
        <w:fldChar w:fldCharType="begin"/>
      </w:r>
      <w:r>
        <w:instrText xml:space="preserve"> </w:instrText>
      </w:r>
      <w:r>
        <w:rPr/>
        <w:instrText xml:space="preserve">SEQ </w:instrText>
      </w:r>
      <w:r>
        <w:rPr/>
        <w:instrText>图</w:instrText>
      </w:r>
      <w:r>
        <w:rPr/>
        <w:instrText xml:space="preserve"> \* ARABIC \s 1</w:instrText>
      </w:r>
      <w:r>
        <w:instrText xml:space="preserve"> </w:instrText>
      </w:r>
      <w:r>
        <w:fldChar w:fldCharType="separate"/>
      </w:r>
      <w:r>
        <w:rPr>
          <w:noProof/>
        </w:rPr>
        <w:t>11</w:t>
      </w:r>
      <w:r>
        <w:fldChar w:fldCharType="end"/>
      </w:r>
      <w:r w:rsidR="00CC5E4B" w:rsidRPr="00E2232F">
        <w:t>嘉数路径三维联动闭环分析框架图</w:t>
      </w:r>
      <w:bookmarkEnd w:id="70"/>
      <w:bookmarkEnd w:id="71"/>
      <w:bookmarkEnd w:id="72"/>
    </w:p>
    <w:p w14:paraId="3DD7E431" w14:textId="243C1217" w:rsidR="00CC5E4B" w:rsidRDefault="00CC5E4B" w:rsidP="00E2232F">
      <w:pPr>
        <w:widowControl/>
        <w:ind w:firstLine="480"/>
        <w:jc w:val="left"/>
        <w:rPr>
          <w:rFonts w:hint="eastAsia"/>
        </w:rPr>
      </w:pPr>
      <w:r>
        <w:rPr/>
        <w:br w:type="page"/>
      </w:r>
    </w:p>
    <w:p w14:paraId="7F233859" w14:textId="77777777" w:rsidR="00CC5E4B" w:rsidRPr="00CC5E4B" w:rsidRDefault="00CC5E4B" w:rsidP="00CC5E4B">
      <w:pPr>
        <w:pStyle w:val="1"/>
      </w:pPr>
      <w:bookmarkStart w:id="73" w:name="_Toc236777494"/>
      <w:bookmarkStart w:id="74" w:name="_Toc236777867"/>
      <w:bookmarkStart w:id="75" w:name="_Toc236777940"/>
      <w:r w:rsidRPr="00CC5E4B">
        <w:lastRenderedPageBreak/>
        <w:t>案例研究对象</w:t>
      </w:r>
      <w:r w:rsidRPr="00CC5E4B">
        <w:t>——</w:t>
      </w:r>
      <w:r w:rsidRPr="00CC5E4B">
        <w:t>浙江嘉兴数字城市实验室概述</w:t>
      </w:r>
      <w:bookmarkEnd w:id="73"/>
      <w:bookmarkEnd w:id="74"/>
      <w:bookmarkEnd w:id="75"/>
    </w:p>
    <w:p>
      <w:pPr>
        <w:spacing w:line="360" w:lineRule="auto"/>
        <w:ind w:firstLineChars="200" w:firstLine="480"/>
        <w:jc w:val="both"/>
        <w:rPr>
          <w:color w:val="FF0000"/>
          <w:lang w:eastAsia="zh-CN"/>
        </w:rPr>
      </w:pPr>
      <w:r>
        <w:rPr>
          <w:color w:val="FF0000"/>
          <w:lang w:eastAsia="zh-CN"/>
        </w:rPr>
        <w:t xml:space="preserve">案例分析的说服力取决于案例对象本身是否具备可研究性。本章从设立背景、股权与治理结构、人才基础、产品体系与资质演进五个方面刻画嘉数公司的组织画像，回答两个前置问题：其一，该企业是否确为纯粹的政策驱动型主体，其组织形态是否足以承载后文所讨论的公共价值创造机制；其二，其能力成长是否留有可核验的客观痕迹，从而使阶段划分不至沦为事后追认的叙事建构。本章末节以人力资本、资质累计与业务结构三组测算回应第二个问题，并如实披露稿件内部两处指标口径冲突，为后续分析划定可用数据的边界。</w:t>
      </w:r>
    </w:p>
    <w:p w14:paraId="053597E9" w14:textId="5E726E0D" w:rsidR="00CC5E4B" w:rsidRPr="00CC5E4B" w:rsidRDefault="00CC5E4B" w:rsidP="00CC5E4B">
      <w:pPr>
        <w:pStyle w:val="2"/>
        <w:spacing w:before="156" w:after="156"/>
      </w:pPr>
      <w:bookmarkStart w:id="76" w:name="_Toc236777495"/>
      <w:bookmarkStart w:id="77" w:name="_Toc236777868"/>
      <w:bookmarkStart w:id="78" w:name="_Toc236777941"/>
      <w:r w:rsidRPr="00CC5E4B">
        <w:rPr/>
        <w:t>企业简介</w:t>
      </w:r>
      <w:bookmarkEnd w:id="76"/>
      <w:bookmarkEnd w:id="77"/>
      <w:bookmarkEnd w:id="78"/>
    </w:p>
    <w:p w14:paraId="74117692" w14:textId="7D0B8E84" w:rsidR="00CC5E4B" w:rsidRPr="00CC5E4B" w:rsidRDefault="00CC5E4B" w:rsidP="00CC5E4B">
      <w:pPr>
        <w:pStyle w:val="a"/>
        <w:spacing w:before="156" w:after="156"/>
        <w:rPr>
          <w:rFonts w:eastAsia="黑体"/>
          <w:kern w:val="0"/>
          <w:szCs w:val="24"/>
        </w:rPr>
      </w:pPr>
      <w:bookmarkStart w:id="79" w:name="_Toc236777496"/>
      <w:bookmarkStart w:id="80" w:name="_Toc236777869"/>
      <w:bookmarkStart w:id="81" w:name="_Toc236777942"/>
      <w:r w:rsidRPr="00CC5E4B">
        <w:t>设立背景与基本概况</w:t>
      </w:r>
      <w:bookmarkEnd w:id="79"/>
      <w:bookmarkEnd w:id="80"/>
      <w:bookmarkEnd w:id="81"/>
    </w:p>
    <w:p w14:paraId="5CFEB054" w14:textId="77777777" w:rsidR="00CC5E4B" w:rsidRPr="00CC5E4B" w:rsidRDefault="00CC5E4B" w:rsidP="00CC5E4B">
      <w:pPr>
        <w:widowControl/>
        <w:autoSpaceDE w:val="0"/>
        <w:spacing w:before="120" w:after="120" w:line="360" w:lineRule="auto"/>
        <w:ind w:firstLine="480" w:firstLineChars="200"/>
        <w:jc w:val="both"/>
        <w:rPr>
          <w:rFonts w:eastAsia="仿宋_GB2312"/>
          <w:kern w:val="0"/>
          <w:szCs w:val="24"/>
        </w:rPr>
      </w:pPr>
      <w:r w:rsidRPr="00CC5E4B">
        <w:rPr>
          <w:color w:val="000000"/>
          <w:kern w:val="0"/>
        </w:rPr>
        <w:t>浙江嘉兴数字城市实验室有限公司（以下简称</w:t>
      </w:r>
      <w:r w:rsidRPr="00CC5E4B">
        <w:rPr>
          <w:rFonts w:ascii="宋体" w:eastAsia="宋体" w:hAnsi="宋体" w:cs="宋体" w:hint="eastAsia"/>
          <w:color w:val="000000"/>
          <w:kern w:val="0"/>
        </w:rPr>
        <w:t>“</w:t>
      </w:r>
      <w:r w:rsidRPr="00CC5E4B">
        <w:rPr>
          <w:color w:val="000000"/>
          <w:kern w:val="0"/>
        </w:rPr>
        <w:t>嘉数公司</w:t>
      </w:r>
      <w:r w:rsidRPr="00CC5E4B">
        <w:rPr>
          <w:rFonts w:ascii="宋体" w:eastAsia="宋体" w:hAnsi="宋体" w:cs="宋体" w:hint="eastAsia"/>
          <w:color w:val="000000"/>
          <w:kern w:val="0"/>
        </w:rPr>
        <w:t>”</w:t>
      </w:r>
      <w:r w:rsidRPr="00CC5E4B">
        <w:rPr>
          <w:color w:val="000000"/>
          <w:kern w:val="0"/>
        </w:rPr>
        <w:t>）成立于</w:t>
      </w:r>
      <w:r w:rsidRPr="00CC5E4B">
        <w:rPr>
          <w:color w:val="000000"/>
          <w:kern w:val="0"/>
        </w:rPr>
        <w:t>2020</w:t>
      </w:r>
      <w:r w:rsidRPr="00CC5E4B">
        <w:rPr>
          <w:color w:val="000000"/>
          <w:kern w:val="0"/>
        </w:rPr>
        <w:t>年</w:t>
      </w:r>
      <w:r w:rsidRPr="00CC5E4B">
        <w:rPr>
          <w:color w:val="000000"/>
          <w:kern w:val="0"/>
        </w:rPr>
        <w:t>4</w:t>
      </w:r>
      <w:r w:rsidRPr="00CC5E4B">
        <w:rPr>
          <w:color w:val="000000"/>
          <w:kern w:val="0"/>
        </w:rPr>
        <w:t>月</w:t>
      </w:r>
      <w:r w:rsidRPr="00CC5E4B">
        <w:rPr>
          <w:color w:val="000000"/>
          <w:kern w:val="0"/>
        </w:rPr>
        <w:t>30</w:t>
      </w:r>
      <w:r w:rsidRPr="00CC5E4B">
        <w:rPr>
          <w:color w:val="000000"/>
          <w:kern w:val="0"/>
        </w:rPr>
        <w:t>日，由嘉兴市人民政府与中国电子科技集团有限公司共同出资组建。公司以打造</w:t>
      </w:r>
      <w:r w:rsidRPr="00CC5E4B">
        <w:rPr>
          <w:rFonts w:ascii="宋体" w:eastAsia="宋体" w:hAnsi="宋体" w:cs="宋体" w:hint="eastAsia"/>
          <w:color w:val="000000"/>
          <w:kern w:val="0"/>
        </w:rPr>
        <w:t>“</w:t>
      </w:r>
      <w:r w:rsidRPr="00CC5E4B">
        <w:rPr>
          <w:color w:val="000000"/>
          <w:kern w:val="0"/>
        </w:rPr>
        <w:t>数字中国城市实验室</w:t>
      </w:r>
      <w:r w:rsidRPr="00CC5E4B">
        <w:rPr>
          <w:rFonts w:ascii="宋体" w:eastAsia="宋体" w:hAnsi="宋体" w:cs="宋体" w:hint="eastAsia"/>
          <w:color w:val="000000"/>
          <w:kern w:val="0"/>
        </w:rPr>
        <w:t>”</w:t>
      </w:r>
      <w:r w:rsidRPr="00CC5E4B">
        <w:rPr>
          <w:color w:val="000000"/>
          <w:kern w:val="0"/>
        </w:rPr>
        <w:t>为目标，立足嘉兴、面向全国，力争为数字社会、智慧未来的落地实现提供解决方案。作为嘉兴市推进数字化改革的核心载体，公司以整座城市为试验场，承担城市级数字平台的规划、建设与运营，业务覆盖智慧城市、大数据、人工智能及信息系统集成等领域。</w:t>
      </w:r>
    </w:p>
    <w:p w14:paraId="31BF78EF" w14:textId="77777777" w:rsidR="00CC5E4B" w:rsidRPr="00CC5E4B" w:rsidRDefault="00CC5E4B" w:rsidP="00CC5E4B">
      <w:pPr>
        <w:autoSpaceDE w:val="0"/>
        <w:spacing w:before="100" w:beforeAutospacing="1" w:after="100" w:afterAutospacing="1"/>
        <w:ind w:firstLine="0" w:firstLineChars="0"/>
        <w:jc w:val="center"/>
        <w:rPr>
          <w:rFonts w:eastAsia="黑体"/>
          <w:szCs w:val="24"/>
        </w:rPr>
      </w:pPr>
      <w:r w:rsidRPr="00CC5E4B">
        <w:rPr>
          <w:noProof/>
        </w:rPr>
        <w:drawing>
          <wp:inline distT="0" distB="0" distL="0" distR="0" wp14:anchorId="387A0264" wp14:editId="3BBA9AF5">
            <wp:extent cx="4732020" cy="762000"/>
            <wp:effectExtent l="0" t="0" r="0" b="0"/>
            <wp:docPr id="111"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32020" cy="762000"/>
                    </a:xfrm>
                    <a:prstGeom prst="rect">
                      <a:avLst/>
                    </a:prstGeom>
                    <a:noFill/>
                    <a:ln>
                      <a:noFill/>
                    </a:ln>
                  </pic:spPr>
                </pic:pic>
              </a:graphicData>
            </a:graphic>
          </wp:inline>
        </w:drawing>
      </w:r>
    </w:p>
    <w:p w14:paraId="24570F76" w14:textId="70CFC8CA" w:rsidR="00CC5E4B" w:rsidRPr="00E2232F" w:rsidRDefault="00E2232F" w:rsidP="00E2232F">
      <w:pPr>
        <w:pStyle w:val="af7"/>
        <w:ind w:firstLine="0" w:firstLineChars="0"/>
        <w:jc w:val="center"/>
      </w:pPr>
      <w:bookmarkStart w:id="82" w:name="_Toc236778233"/>
      <w:bookmarkStart w:id="83" w:name="_Toc236778303"/>
      <w:bookmarkStart w:id="84" w:name="_Toc236779303"/>
      <w:r>
        <w:rPr/>
        <w:t>图</w:t>
      </w:r>
      <w:r>
        <w:rPr/>
        <w:t xml:space="preserve"> </w:t>
      </w:r>
      <w:r>
        <w:fldChar w:fldCharType="begin"/>
      </w:r>
      <w:r>
        <w:instrText xml:space="preserve"> </w:instrText>
      </w:r>
      <w:r>
        <w:rPr/>
        <w:instrText>STYLEREF 1 \s</w:instrText>
      </w:r>
      <w:r>
        <w:instrText xml:space="preserve"> </w:instrText>
      </w:r>
      <w:r>
        <w:fldChar w:fldCharType="separate"/>
      </w:r>
      <w:r>
        <w:rPr>
          <w:noProof/>
        </w:rPr>
        <w:t>2</w:t>
      </w:r>
      <w:r>
        <w:fldChar w:fldCharType="end"/>
      </w:r>
      <w:r>
        <w:noBreakHyphen/>
      </w:r>
      <w:r>
        <w:fldChar w:fldCharType="begin"/>
      </w:r>
      <w:r>
        <w:instrText xml:space="preserve"> </w:instrText>
      </w:r>
      <w:r>
        <w:rPr/>
        <w:instrText xml:space="preserve">SEQ </w:instrText>
      </w:r>
      <w:r>
        <w:rPr/>
        <w:instrText>图</w:instrText>
      </w:r>
      <w:r>
        <w:rPr/>
        <w:instrText xml:space="preserve"> \* ARABIC \s 1</w:instrText>
      </w:r>
      <w:r>
        <w:instrText xml:space="preserve"> </w:instrText>
      </w:r>
      <w:r>
        <w:fldChar w:fldCharType="separate"/>
      </w:r>
      <w:r>
        <w:rPr>
          <w:noProof/>
        </w:rPr>
        <w:t>1</w:t>
      </w:r>
      <w:r>
        <w:fldChar w:fldCharType="end"/>
      </w:r>
      <w:r w:rsidR="00CC5E4B" w:rsidRPr="00E2232F">
        <w:t xml:space="preserve"> </w:t>
      </w:r>
      <w:r w:rsidR="00CC5E4B" w:rsidRPr="00E2232F">
        <w:t>嘉数公司</w:t>
      </w:r>
      <w:r w:rsidR="00CC5E4B" w:rsidRPr="00E2232F">
        <w:t>LOGO</w:t>
      </w:r>
      <w:bookmarkEnd w:id="82"/>
      <w:bookmarkEnd w:id="83"/>
      <w:bookmarkEnd w:id="84"/>
    </w:p>
    <w:p w14:paraId="7C4A8705" w14:textId="3F675F48" w:rsidR="00CC5E4B" w:rsidRPr="00CC5E4B" w:rsidRDefault="00CC5E4B" w:rsidP="00CC5E4B">
      <w:pPr>
        <w:pStyle w:val="a"/>
        <w:spacing w:before="156" w:after="156"/>
        <w:rPr>
          <w:rFonts w:eastAsia="仿宋_GB2312"/>
          <w:color w:val="000000"/>
          <w:kern w:val="0"/>
          <w:szCs w:val="24"/>
        </w:rPr>
      </w:pPr>
      <w:bookmarkStart w:id="85" w:name="_Toc236777497"/>
      <w:bookmarkStart w:id="86" w:name="_Toc236777870"/>
      <w:bookmarkStart w:id="87" w:name="_Toc236777943"/>
      <w:r w:rsidRPr="00CC5E4B">
        <w:t>股权结构与治理机制</w:t>
      </w:r>
      <w:bookmarkEnd w:id="85"/>
      <w:bookmarkEnd w:id="86"/>
      <w:bookmarkEnd w:id="87"/>
    </w:p>
    <w:p w14:paraId="522AB690" w14:textId="77777777" w:rsidR="00CC5E4B" w:rsidRPr="00CC5E4B" w:rsidRDefault="00CC5E4B" w:rsidP="00CC5E4B">
      <w:pPr>
        <w:widowControl/>
        <w:autoSpaceDE w:val="0"/>
        <w:spacing w:before="120" w:after="120" w:line="360" w:lineRule="auto"/>
        <w:ind w:firstLine="480" w:firstLineChars="200"/>
        <w:jc w:val="both"/>
        <w:rPr>
          <w:rFonts w:eastAsia="仿宋_GB2312"/>
          <w:kern w:val="0"/>
          <w:szCs w:val="24"/>
        </w:rPr>
      </w:pPr>
      <w:r w:rsidRPr="00CC5E4B">
        <w:rPr>
          <w:color w:val="000000"/>
          <w:kern w:val="0"/>
        </w:rPr>
        <w:t>嘉数公司采用</w:t>
      </w:r>
      <w:r w:rsidRPr="00CC5E4B">
        <w:rPr>
          <w:rFonts w:ascii="宋体" w:eastAsia="宋体" w:hAnsi="宋体" w:cs="宋体" w:hint="eastAsia"/>
          <w:color w:val="000000"/>
          <w:kern w:val="0"/>
        </w:rPr>
        <w:t>“</w:t>
      </w:r>
      <w:r w:rsidRPr="00CC5E4B">
        <w:rPr>
          <w:color w:val="000000"/>
          <w:kern w:val="0"/>
        </w:rPr>
        <w:t>地方政府</w:t>
      </w:r>
      <w:r w:rsidRPr="00CC5E4B">
        <w:rPr>
          <w:color w:val="000000"/>
          <w:kern w:val="0"/>
        </w:rPr>
        <w:t>+</w:t>
      </w:r>
      <w:r w:rsidRPr="00CC5E4B">
        <w:rPr>
          <w:color w:val="000000"/>
          <w:kern w:val="0"/>
        </w:rPr>
        <w:t>央企</w:t>
      </w:r>
      <w:r w:rsidRPr="00CC5E4B">
        <w:rPr>
          <w:rFonts w:ascii="宋体" w:eastAsia="宋体" w:hAnsi="宋体" w:cs="宋体" w:hint="eastAsia"/>
          <w:color w:val="000000"/>
          <w:kern w:val="0"/>
        </w:rPr>
        <w:t>”</w:t>
      </w:r>
      <w:r w:rsidRPr="00CC5E4B">
        <w:rPr>
          <w:color w:val="000000"/>
          <w:kern w:val="0"/>
        </w:rPr>
        <w:t>的混合所有制模式，这一股权结构决定了其兼具公共服务属性与技术产业化能力的双重特征。企业性质为国有控股，其中嘉兴市人民政府方面主要通过市属国资平台出资，侧重于提供政策支持、场景开放及公共数据资源授权；中国电子科技集团有限公司则通过旗下专业子集团出资，注入核心技术团队、研发体系及产业链生态资源。</w:t>
      </w:r>
    </w:p>
    <w:p w14:paraId="4BAA93F2" w14:textId="77777777" w:rsidR="00CC5E4B" w:rsidRPr="00CC5E4B" w:rsidRDefault="00CC5E4B" w:rsidP="00CC5E4B">
      <w:pPr>
        <w:widowControl/>
        <w:autoSpaceDE w:val="0"/>
        <w:spacing w:before="120" w:after="120" w:line="360" w:lineRule="auto"/>
        <w:ind w:firstLine="480" w:firstLineChars="200"/>
        <w:jc w:val="both"/>
        <w:rPr>
          <w:rFonts w:eastAsia="仿宋_GB2312"/>
          <w:color w:val="000000"/>
          <w:kern w:val="0"/>
          <w:szCs w:val="24"/>
        </w:rPr>
      </w:pPr>
      <w:r w:rsidRPr="00CC5E4B">
        <w:rPr>
          <w:color w:val="000000"/>
          <w:kern w:val="0"/>
        </w:rPr>
        <w:t>在治理机制上，公司建立了现代企业制度下的董事会领导下的总经理负责制。董事会成员由双方股东按出资比例委派，重大经营决策需经董事会审议。值得关注的是，嘉数公司在治理实践中的一个显著特征是</w:t>
      </w:r>
      <w:r w:rsidRPr="00CC5E4B">
        <w:rPr>
          <w:rFonts w:ascii="宋体" w:eastAsia="宋体" w:hAnsi="宋体" w:cs="宋体" w:hint="eastAsia"/>
          <w:color w:val="000000"/>
          <w:kern w:val="0"/>
        </w:rPr>
        <w:t>“</w:t>
      </w:r>
      <w:r w:rsidRPr="00CC5E4B">
        <w:rPr>
          <w:color w:val="000000"/>
          <w:kern w:val="0"/>
        </w:rPr>
        <w:t>所有权与经营权相对分离</w:t>
      </w:r>
      <w:r w:rsidRPr="00CC5E4B">
        <w:rPr>
          <w:rFonts w:ascii="宋体" w:eastAsia="宋体" w:hAnsi="宋体" w:cs="宋体" w:hint="eastAsia"/>
          <w:color w:val="000000"/>
          <w:kern w:val="0"/>
        </w:rPr>
        <w:t xml:space="preserve">”</w:t>
      </w:r>
      <w:r w:rsidRPr="00CC5E4B">
        <w:rPr>
          <w:color w:val="000000"/>
          <w:kern w:val="0"/>
        </w:rPr>
        <w:t xml:space="preserve">——</w:t>
      </w:r>
      <w:r w:rsidRPr="00CC5E4B">
        <w:rPr>
          <w:color w:val="000000"/>
          <w:kern w:val="0"/>
        </w:rPr>
        <w:t>地方政府虽持有</w:t>
      </w:r>
      <w:r w:rsidRPr="00CC5E4B">
        <w:rPr>
          <w:color w:val="000000"/>
          <w:kern w:val="0"/>
        </w:rPr>
        <w:t>51%</w:t>
      </w:r>
      <w:r w:rsidRPr="00CC5E4B">
        <w:rPr>
          <w:color w:val="000000"/>
          <w:kern w:val="0"/>
        </w:rPr>
        <w:t>的控股股权，却将日常经营主导权赋予中国电科派出的技术管理团队。这一制度安排在国有控股企业中并不多见，其深层逻辑在于：地方政府以控股权换取央企的技术能力与行业资源注入，同时以经营权的适度让渡保障公司在技术决策上的专业性与独立性。正是这一治理设计，使嘉数公司既能</w:t>
      </w:r>
      <w:r w:rsidRPr="00CC5E4B">
        <w:rPr>
          <w:color w:val="000000"/>
          <w:kern w:val="0"/>
        </w:rPr>
        <w:lastRenderedPageBreak/>
        <w:t>凭借国有控股身份获得公共数据资源的授权与政府场景的开放支持，又能以市场化主体的灵活机制开展技术研发与产品创新。</w:t>
      </w:r>
    </w:p>
    <w:p w14:paraId="69FA7863" w14:textId="36B8822B" w:rsidR="00CC5E4B" w:rsidRPr="00CC5E4B" w:rsidRDefault="00CC5E4B" w:rsidP="00CC5E4B">
      <w:pPr>
        <w:pStyle w:val="a"/>
        <w:spacing w:before="156" w:after="156"/>
        <w:rPr>
          <w:rFonts w:eastAsia="黑体"/>
          <w:kern w:val="0"/>
          <w:szCs w:val="24"/>
        </w:rPr>
      </w:pPr>
      <w:bookmarkStart w:id="88" w:name="_Toc236777498"/>
      <w:bookmarkStart w:id="89" w:name="_Toc236777871"/>
      <w:bookmarkStart w:id="90" w:name="_Toc236777944"/>
      <w:r w:rsidRPr="00CC5E4B">
        <w:t>人才队伍与研发基础</w:t>
      </w:r>
      <w:bookmarkEnd w:id="88"/>
      <w:bookmarkEnd w:id="89"/>
      <w:bookmarkEnd w:id="90"/>
    </w:p>
    <w:p w14:paraId="48E96720" w14:textId="77777777" w:rsidR="00CC5E4B" w:rsidRPr="00CC5E4B" w:rsidRDefault="00CC5E4B" w:rsidP="00CC5E4B">
      <w:pPr>
        <w:widowControl/>
        <w:autoSpaceDE w:val="0"/>
        <w:spacing w:before="120" w:after="120" w:line="360" w:lineRule="auto"/>
        <w:ind w:firstLine="480" w:firstLineChars="200"/>
        <w:jc w:val="both"/>
        <w:rPr>
          <w:rFonts w:eastAsia="仿宋_GB2312"/>
          <w:kern w:val="0"/>
          <w:szCs w:val="24"/>
        </w:rPr>
      </w:pPr>
      <w:r w:rsidRPr="00CC5E4B">
        <w:rPr>
          <w:color w:val="000000"/>
          <w:kern w:val="0"/>
        </w:rPr>
        <w:t>公司经营团队主要由来自中国电科的技术专家与本地招聘的专业管理人员组成，形成了</w:t>
      </w:r>
      <w:r w:rsidRPr="00CC5E4B">
        <w:rPr>
          <w:rFonts w:ascii="宋体" w:eastAsia="宋体" w:hAnsi="宋体" w:cs="宋体" w:hint="eastAsia"/>
          <w:color w:val="000000"/>
          <w:kern w:val="0"/>
        </w:rPr>
        <w:t>“</w:t>
      </w:r>
      <w:r w:rsidRPr="00CC5E4B">
        <w:rPr>
          <w:color w:val="000000"/>
          <w:kern w:val="0"/>
        </w:rPr>
        <w:t>技术</w:t>
      </w:r>
      <w:r w:rsidRPr="00CC5E4B">
        <w:rPr>
          <w:color w:val="000000"/>
          <w:kern w:val="0"/>
        </w:rPr>
        <w:t>+</w:t>
      </w:r>
      <w:r w:rsidRPr="00CC5E4B">
        <w:rPr>
          <w:color w:val="000000"/>
          <w:kern w:val="0"/>
        </w:rPr>
        <w:t>管理</w:t>
      </w:r>
      <w:r w:rsidRPr="00CC5E4B">
        <w:rPr>
          <w:rFonts w:ascii="宋体" w:eastAsia="宋体" w:hAnsi="宋体" w:cs="宋体" w:hint="eastAsia"/>
          <w:color w:val="000000"/>
          <w:kern w:val="0"/>
        </w:rPr>
        <w:t>”</w:t>
      </w:r>
      <w:r w:rsidRPr="00CC5E4B">
        <w:rPr>
          <w:color w:val="000000"/>
          <w:kern w:val="0"/>
        </w:rPr>
        <w:t>复合型的人才梯队。在人才规模方面，公司成立初期仅</w:t>
      </w:r>
      <w:r w:rsidRPr="00CC5E4B">
        <w:rPr>
          <w:color w:val="000000"/>
          <w:kern w:val="0"/>
        </w:rPr>
        <w:t>20</w:t>
      </w:r>
      <w:r w:rsidRPr="00CC5E4B">
        <w:rPr>
          <w:color w:val="000000"/>
          <w:kern w:val="0"/>
        </w:rPr>
        <w:t>余人，</w:t>
      </w:r>
      <w:r w:rsidRPr="00CC5E4B">
        <w:rPr>
          <w:color w:val="000000"/>
          <w:kern w:val="0"/>
        </w:rPr>
        <w:t>2021</w:t>
      </w:r>
      <w:r w:rsidRPr="00CC5E4B">
        <w:rPr>
          <w:color w:val="000000"/>
          <w:kern w:val="0"/>
        </w:rPr>
        <w:t>年扩充至</w:t>
      </w:r>
      <w:r w:rsidRPr="00CC5E4B">
        <w:rPr>
          <w:color w:val="000000"/>
          <w:kern w:val="0"/>
        </w:rPr>
        <w:t>50</w:t>
      </w:r>
      <w:r w:rsidRPr="00CC5E4B">
        <w:rPr>
          <w:color w:val="000000"/>
          <w:kern w:val="0"/>
        </w:rPr>
        <w:t>余人，</w:t>
      </w:r>
      <w:r w:rsidRPr="00CC5E4B">
        <w:rPr>
          <w:color w:val="000000"/>
          <w:kern w:val="0"/>
        </w:rPr>
        <w:t>2022</w:t>
      </w:r>
      <w:r w:rsidRPr="00CC5E4B">
        <w:rPr>
          <w:color w:val="000000"/>
          <w:kern w:val="0"/>
        </w:rPr>
        <w:t>年后进入稳步增长阶段，截至调研时点，员工规模稳定在</w:t>
      </w:r>
      <w:r w:rsidRPr="00CC5E4B">
        <w:rPr>
          <w:color w:val="000000"/>
          <w:kern w:val="0"/>
        </w:rPr>
        <w:t>120</w:t>
      </w:r>
      <w:r w:rsidRPr="00CC5E4B">
        <w:rPr>
          <w:color w:val="000000"/>
          <w:kern w:val="0"/>
        </w:rPr>
        <w:t>人，其中研发技术人员占比超过</w:t>
      </w:r>
      <w:r w:rsidRPr="00CC5E4B">
        <w:rPr>
          <w:color w:val="000000"/>
          <w:kern w:val="0"/>
        </w:rPr>
        <w:t>60%</w:t>
      </w:r>
      <w:r w:rsidRPr="00CC5E4B">
        <w:rPr>
          <w:color w:val="000000"/>
          <w:kern w:val="0"/>
        </w:rPr>
        <w:t>，为持续的技术创新提供了人力资本支撑。</w:t>
      </w:r>
    </w:p>
    <w:p w14:paraId="3D260573" w14:textId="0D9A1B3D" w:rsidR="00CC5E4B" w:rsidRPr="00CC5E4B" w:rsidRDefault="00CC5E4B" w:rsidP="00CC5E4B">
      <w:pPr>
        <w:pStyle w:val="2"/>
        <w:spacing w:before="156" w:after="156"/>
        <w:rPr>
          <w:rFonts w:eastAsia="宋体"/>
          <w:sz w:val="36"/>
          <w:szCs w:val="36"/>
        </w:rPr>
      </w:pPr>
      <w:bookmarkStart w:id="91" w:name="_Toc236777499"/>
      <w:bookmarkStart w:id="92" w:name="_Toc236777872"/>
      <w:bookmarkStart w:id="93" w:name="_Toc236777945"/>
      <w:r w:rsidRPr="00CC5E4B">
        <w:t>战略定位与职能演进</w:t>
      </w:r>
      <w:bookmarkEnd w:id="91"/>
      <w:bookmarkEnd w:id="92"/>
      <w:bookmarkEnd w:id="93"/>
    </w:p>
    <w:p w14:paraId="76ABE9E9" w14:textId="77777777" w:rsidR="00CC5E4B" w:rsidRPr="00CC5E4B" w:rsidRDefault="00CC5E4B" w:rsidP="00CC5E4B">
      <w:pPr>
        <w:widowControl/>
        <w:autoSpaceDE w:val="0"/>
        <w:spacing w:before="120" w:after="120" w:line="360" w:lineRule="auto"/>
        <w:ind w:firstLine="480" w:firstLineChars="200"/>
        <w:jc w:val="both"/>
        <w:rPr>
          <w:rFonts w:eastAsia="仿宋_GB2312"/>
          <w:kern w:val="0"/>
          <w:szCs w:val="24"/>
        </w:rPr>
      </w:pPr>
      <w:r w:rsidRPr="00CC5E4B">
        <w:rPr>
          <w:color w:val="000000"/>
          <w:kern w:val="0"/>
        </w:rPr>
        <w:t>嘉数公司的战略定位随嘉兴市数字化改革进程而动态调整，呈现出从</w:t>
      </w:r>
      <w:r w:rsidRPr="00CC5E4B">
        <w:rPr>
          <w:rFonts w:ascii="宋体" w:eastAsia="宋体" w:hAnsi="宋体" w:cs="宋体" w:hint="eastAsia"/>
          <w:color w:val="000000"/>
          <w:kern w:val="0"/>
        </w:rPr>
        <w:t>“</w:t>
      </w:r>
      <w:r w:rsidRPr="00CC5E4B">
        <w:rPr>
          <w:color w:val="000000"/>
          <w:kern w:val="0"/>
        </w:rPr>
        <w:t>项目建设者</w:t>
      </w:r>
      <w:r w:rsidRPr="00CC5E4B">
        <w:rPr>
          <w:rFonts w:ascii="宋体" w:eastAsia="宋体" w:hAnsi="宋体" w:cs="宋体" w:hint="eastAsia"/>
          <w:color w:val="000000"/>
          <w:kern w:val="0"/>
        </w:rPr>
        <w:t>”</w:t>
      </w:r>
      <w:r w:rsidRPr="00CC5E4B">
        <w:rPr>
          <w:color w:val="000000"/>
          <w:kern w:val="0"/>
        </w:rPr>
        <w:t>向</w:t>
      </w:r>
      <w:r w:rsidRPr="00CC5E4B">
        <w:rPr>
          <w:rFonts w:ascii="宋体" w:eastAsia="宋体" w:hAnsi="宋体" w:cs="宋体" w:hint="eastAsia"/>
          <w:color w:val="000000"/>
          <w:kern w:val="0"/>
        </w:rPr>
        <w:t>“</w:t>
      </w:r>
      <w:r w:rsidRPr="00CC5E4B">
        <w:rPr>
          <w:color w:val="000000"/>
          <w:kern w:val="0"/>
        </w:rPr>
        <w:t>城市运营商</w:t>
      </w:r>
      <w:r w:rsidRPr="00CC5E4B">
        <w:rPr>
          <w:rFonts w:ascii="宋体" w:eastAsia="宋体" w:hAnsi="宋体" w:cs="宋体" w:hint="eastAsia"/>
          <w:color w:val="000000"/>
          <w:kern w:val="0"/>
        </w:rPr>
        <w:t>”</w:t>
      </w:r>
      <w:r w:rsidRPr="00CC5E4B">
        <w:rPr>
          <w:color w:val="000000"/>
          <w:kern w:val="0"/>
        </w:rPr>
        <w:t>演进的清晰轨迹。成立初期，公司主要职能是承接嘉兴市智慧城市顶层设计规划及重大信息化项目的集成建设，解决当时存在的系统分散、数据孤岛等问题。随着浙江省数字化改革的深入，公司职能逐步扩展至城市数据资源的运营管理。</w:t>
      </w:r>
    </w:p>
    <w:p w14:paraId="3C398761" w14:textId="77777777" w:rsidR="00CC5E4B" w:rsidRPr="00CC5E4B" w:rsidRDefault="00CC5E4B" w:rsidP="00CC5E4B">
      <w:pPr>
        <w:widowControl/>
        <w:autoSpaceDE w:val="0"/>
        <w:spacing w:before="120" w:after="120" w:line="360" w:lineRule="auto"/>
        <w:ind w:firstLine="480" w:firstLineChars="200"/>
        <w:jc w:val="both"/>
        <w:rPr>
          <w:rFonts w:eastAsia="仿宋_GB2312"/>
          <w:kern w:val="0"/>
          <w:szCs w:val="24"/>
        </w:rPr>
      </w:pPr>
      <w:r w:rsidRPr="00CC5E4B">
        <w:rPr>
          <w:color w:val="000000"/>
          <w:kern w:val="0"/>
        </w:rPr>
        <w:t>具体而言，公司被赋予了两项核心职能：一是作为全市统一的城市级数字底座建设主体，负责统筹建设政务云、视联网、物联感知网等新型基础设施；二是作为公共数据授权运营试点单位，探索数据要素市场化配置的路径。这一战略定位使嘉数公司区别于传统的系统集成商或纯商业科技公司，其业务发展紧密围绕城市治理痛点与民生服务需求展开，具有鲜明的任务导向型特征。</w:t>
      </w:r>
    </w:p>
    <w:p w14:paraId="060B7845" w14:textId="77777777" w:rsidR="00CC5E4B" w:rsidRPr="00CC5E4B" w:rsidRDefault="00CC5E4B" w:rsidP="00CC5E4B">
      <w:pPr>
        <w:widowControl/>
        <w:autoSpaceDE w:val="0"/>
        <w:spacing w:before="120" w:after="120" w:line="360" w:lineRule="auto"/>
        <w:ind w:firstLine="480" w:firstLineChars="200"/>
        <w:jc w:val="both"/>
        <w:rPr>
          <w:rFonts w:eastAsia="仿宋_GB2312"/>
          <w:kern w:val="0"/>
          <w:szCs w:val="24"/>
        </w:rPr>
      </w:pPr>
      <w:r w:rsidRPr="00CC5E4B">
        <w:rPr>
          <w:color w:val="000000"/>
          <w:kern w:val="0"/>
        </w:rPr>
        <w:t>公司发展历程可划分为四个阶段：平台搭建期（</w:t>
      </w:r>
      <w:r w:rsidRPr="00CC5E4B">
        <w:rPr>
          <w:color w:val="000000"/>
          <w:kern w:val="0"/>
        </w:rPr>
        <w:t>2020</w:t>
      </w:r>
      <w:r w:rsidRPr="00CC5E4B">
        <w:rPr>
          <w:color w:val="000000"/>
          <w:kern w:val="0"/>
        </w:rPr>
        <w:t>—</w:t>
      </w:r>
      <w:r w:rsidRPr="00CC5E4B">
        <w:rPr>
          <w:color w:val="000000"/>
          <w:kern w:val="0"/>
        </w:rPr>
        <w:t>2022</w:t>
      </w:r>
      <w:r w:rsidRPr="00CC5E4B">
        <w:rPr>
          <w:color w:val="000000"/>
          <w:kern w:val="0"/>
        </w:rPr>
        <w:t>年）、能力认证期（</w:t>
      </w:r>
      <w:r w:rsidRPr="00CC5E4B">
        <w:rPr>
          <w:color w:val="000000"/>
          <w:kern w:val="0"/>
        </w:rPr>
        <w:t>2023</w:t>
      </w:r>
      <w:r w:rsidRPr="00CC5E4B">
        <w:rPr>
          <w:color w:val="000000"/>
          <w:kern w:val="0"/>
        </w:rPr>
        <w:t>年）、要素运营期（</w:t>
      </w:r>
      <w:r w:rsidRPr="00CC5E4B">
        <w:rPr>
          <w:color w:val="000000"/>
          <w:kern w:val="0"/>
        </w:rPr>
        <w:t>2024</w:t>
      </w:r>
      <w:r w:rsidRPr="00CC5E4B">
        <w:rPr>
          <w:color w:val="000000"/>
          <w:kern w:val="0"/>
        </w:rPr>
        <w:t>年）、品牌外溢期（</w:t>
      </w:r>
      <w:r w:rsidRPr="00CC5E4B">
        <w:rPr>
          <w:color w:val="000000"/>
          <w:kern w:val="0"/>
        </w:rPr>
        <w:t>2025</w:t>
      </w:r>
      <w:r w:rsidRPr="00CC5E4B">
        <w:rPr>
          <w:color w:val="000000"/>
          <w:kern w:val="0"/>
        </w:rPr>
        <w:t>年至今）。各阶段并非简单的时间分段，而是能力逐层跃升的逻辑递进</w:t>
      </w:r>
      <w:r w:rsidRPr="00CC5E4B">
        <w:rPr>
          <w:color w:val="000000"/>
          <w:kern w:val="0"/>
        </w:rPr>
        <w:t>——</w:t>
      </w:r>
      <w:r w:rsidRPr="00CC5E4B">
        <w:rPr>
          <w:color w:val="000000"/>
          <w:kern w:val="0"/>
        </w:rPr>
        <w:t>每一阶段的能力积累构成下一阶段的前提条件，最终形成一条从</w:t>
      </w:r>
      <w:r w:rsidRPr="00CC5E4B">
        <w:rPr>
          <w:rFonts w:ascii="宋体" w:eastAsia="宋体" w:hAnsi="宋体" w:cs="宋体" w:hint="eastAsia"/>
          <w:color w:val="000000"/>
          <w:kern w:val="0"/>
        </w:rPr>
        <w:t>“</w:t>
      </w:r>
      <w:r w:rsidRPr="00CC5E4B">
        <w:rPr>
          <w:color w:val="000000"/>
          <w:kern w:val="0"/>
        </w:rPr>
        <w:t>建好平台</w:t>
      </w:r>
      <w:r w:rsidRPr="00CC5E4B">
        <w:rPr>
          <w:rFonts w:ascii="宋体" w:eastAsia="宋体" w:hAnsi="宋体" w:cs="宋体" w:hint="eastAsia"/>
          <w:color w:val="000000"/>
          <w:kern w:val="0"/>
        </w:rPr>
        <w:t>”</w:t>
      </w:r>
      <w:r w:rsidRPr="00CC5E4B">
        <w:rPr>
          <w:color w:val="000000"/>
          <w:kern w:val="0"/>
        </w:rPr>
        <w:t>到</w:t>
      </w:r>
      <w:r w:rsidRPr="00CC5E4B">
        <w:rPr>
          <w:rFonts w:ascii="宋体" w:eastAsia="宋体" w:hAnsi="宋体" w:cs="宋体" w:hint="eastAsia"/>
          <w:color w:val="000000"/>
          <w:kern w:val="0"/>
        </w:rPr>
        <w:t>“</w:t>
      </w:r>
      <w:r w:rsidRPr="00CC5E4B">
        <w:rPr>
          <w:color w:val="000000"/>
          <w:kern w:val="0"/>
        </w:rPr>
        <w:t>证明能力</w:t>
      </w:r>
      <w:r w:rsidRPr="00CC5E4B">
        <w:rPr>
          <w:rFonts w:ascii="宋体" w:eastAsia="宋体" w:hAnsi="宋体" w:cs="宋体" w:hint="eastAsia"/>
          <w:color w:val="000000"/>
          <w:kern w:val="0"/>
        </w:rPr>
        <w:t>”</w:t>
      </w:r>
      <w:r w:rsidRPr="00CC5E4B">
        <w:rPr>
          <w:color w:val="000000"/>
          <w:kern w:val="0"/>
        </w:rPr>
        <w:t>再到</w:t>
      </w:r>
      <w:r w:rsidRPr="00CC5E4B">
        <w:rPr>
          <w:rFonts w:ascii="宋体" w:eastAsia="宋体" w:hAnsi="宋体" w:cs="宋体" w:hint="eastAsia"/>
          <w:color w:val="000000"/>
          <w:kern w:val="0"/>
        </w:rPr>
        <w:t>“</w:t>
      </w:r>
      <w:r w:rsidRPr="00CC5E4B">
        <w:rPr>
          <w:color w:val="000000"/>
          <w:kern w:val="0"/>
        </w:rPr>
        <w:t>运营数据</w:t>
      </w:r>
      <w:r w:rsidRPr="00CC5E4B">
        <w:rPr>
          <w:rFonts w:ascii="宋体" w:eastAsia="宋体" w:hAnsi="宋体" w:cs="宋体" w:hint="eastAsia"/>
          <w:color w:val="000000"/>
          <w:kern w:val="0"/>
        </w:rPr>
        <w:t>”</w:t>
      </w:r>
      <w:r w:rsidRPr="00CC5E4B">
        <w:rPr>
          <w:color w:val="000000"/>
          <w:kern w:val="0"/>
        </w:rPr>
        <w:t>直至</w:t>
      </w:r>
      <w:r w:rsidRPr="00CC5E4B">
        <w:rPr>
          <w:rFonts w:ascii="宋体" w:eastAsia="宋体" w:hAnsi="宋体" w:cs="宋体" w:hint="eastAsia"/>
          <w:color w:val="000000"/>
          <w:kern w:val="0"/>
        </w:rPr>
        <w:t>“</w:t>
      </w:r>
      <w:r w:rsidRPr="00CC5E4B">
        <w:rPr>
          <w:color w:val="000000"/>
          <w:kern w:val="0"/>
        </w:rPr>
        <w:t>输出标准</w:t>
      </w:r>
      <w:r w:rsidRPr="00CC5E4B">
        <w:rPr>
          <w:rFonts w:ascii="宋体" w:eastAsia="宋体" w:hAnsi="宋体" w:cs="宋体" w:hint="eastAsia"/>
          <w:color w:val="000000"/>
          <w:kern w:val="0"/>
        </w:rPr>
        <w:t>”</w:t>
      </w:r>
      <w:r w:rsidRPr="00CC5E4B">
        <w:rPr>
          <w:color w:val="000000"/>
          <w:kern w:val="0"/>
        </w:rPr>
        <w:t>的完整进阶链条。</w:t>
      </w:r>
    </w:p>
    <w:p w14:paraId="0111B55A" w14:textId="77777777" w:rsidR="00CC5E4B" w:rsidRPr="00CC5E4B" w:rsidRDefault="00CC5E4B" w:rsidP="00CC5E4B">
      <w:pPr>
        <w:autoSpaceDE w:val="0"/>
        <w:spacing w:before="100" w:beforeAutospacing="1" w:after="100" w:afterAutospacing="1"/>
        <w:ind w:firstLine="0" w:firstLineChars="0"/>
        <w:jc w:val="center"/>
        <w:rPr>
          <w:rFonts w:eastAsia="仿宋_GB2312"/>
          <w:szCs w:val="24"/>
        </w:rPr>
      </w:pPr>
      <w:r w:rsidRPr="00CC5E4B">
        <w:rPr>
          <w:noProof/>
        </w:rPr>
        <w:lastRenderedPageBreak/>
        <w:drawing>
          <wp:inline distT="0" distB="0" distL="0" distR="0" wp14:anchorId="00D78C23" wp14:editId="6827DA1A">
            <wp:extent cx="4777740" cy="1798320"/>
            <wp:effectExtent l="0" t="0" r="3810" b="0"/>
            <wp:docPr id="112"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77740" cy="1798320"/>
                    </a:xfrm>
                    <a:prstGeom prst="rect">
                      <a:avLst/>
                    </a:prstGeom>
                    <a:noFill/>
                    <a:ln>
                      <a:noFill/>
                    </a:ln>
                  </pic:spPr>
                </pic:pic>
              </a:graphicData>
            </a:graphic>
          </wp:inline>
        </w:drawing>
      </w:r>
    </w:p>
    <w:p w14:paraId="4D6C9D91" w14:textId="6C3CB3C4" w:rsidR="00CC5E4B" w:rsidRPr="00E2232F" w:rsidRDefault="00E2232F" w:rsidP="00E2232F">
      <w:pPr>
        <w:pStyle w:val="af7"/>
        <w:ind w:firstLine="0" w:firstLineChars="0"/>
        <w:jc w:val="center"/>
        <w:rPr>
          <w:rFonts w:asciiTheme="majorHAnsi"/>
        </w:rPr>
      </w:pPr>
      <w:bookmarkStart w:id="94" w:name="_Toc236778234"/>
      <w:bookmarkStart w:id="95" w:name="_Toc236778304"/>
      <w:bookmarkStart w:id="96" w:name="_Toc236779304"/>
      <w:r>
        <w:rPr/>
        <w:t>图</w:t>
      </w:r>
      <w:r>
        <w:rPr/>
        <w:t xml:space="preserve"> </w:t>
      </w:r>
      <w:r>
        <w:fldChar w:fldCharType="begin"/>
      </w:r>
      <w:r>
        <w:instrText xml:space="preserve"> </w:instrText>
      </w:r>
      <w:r>
        <w:rPr/>
        <w:instrText>STYLEREF 1 \s</w:instrText>
      </w:r>
      <w:r>
        <w:instrText xml:space="preserve"> </w:instrText>
      </w:r>
      <w:r>
        <w:fldChar w:fldCharType="separate"/>
      </w:r>
      <w:r>
        <w:rPr>
          <w:noProof/>
        </w:rPr>
        <w:t>2</w:t>
      </w:r>
      <w:r>
        <w:fldChar w:fldCharType="end"/>
      </w:r>
      <w:r>
        <w:noBreakHyphen/>
      </w:r>
      <w:r>
        <w:fldChar w:fldCharType="begin"/>
      </w:r>
      <w:r>
        <w:instrText xml:space="preserve"> </w:instrText>
      </w:r>
      <w:r>
        <w:rPr/>
        <w:instrText xml:space="preserve">SEQ </w:instrText>
      </w:r>
      <w:r>
        <w:rPr/>
        <w:instrText>图</w:instrText>
      </w:r>
      <w:r>
        <w:rPr/>
        <w:instrText xml:space="preserve"> \* ARABIC \s 1</w:instrText>
      </w:r>
      <w:r>
        <w:instrText xml:space="preserve"> </w:instrText>
      </w:r>
      <w:r>
        <w:fldChar w:fldCharType="separate"/>
      </w:r>
      <w:r>
        <w:rPr>
          <w:noProof/>
        </w:rPr>
        <w:t>2</w:t>
      </w:r>
      <w:r>
        <w:fldChar w:fldCharType="end"/>
      </w:r>
      <w:r w:rsidR="00CC5E4B" w:rsidRPr="00CC5E4B">
        <w:t>嘉数公司关键发展节点（</w:t>
      </w:r>
      <w:r w:rsidR="00CC5E4B" w:rsidRPr="00CC5E4B">
        <w:t>2020—2026</w:t>
      </w:r>
      <w:r w:rsidR="00CC5E4B" w:rsidRPr="00CC5E4B">
        <w:t>）</w:t>
      </w:r>
      <w:bookmarkEnd w:id="94"/>
      <w:bookmarkEnd w:id="95"/>
      <w:bookmarkEnd w:id="96"/>
    </w:p>
    <w:p w14:paraId="386C54FC" w14:textId="7338E2BA" w:rsidR="00CC5E4B" w:rsidRPr="00CC5E4B" w:rsidRDefault="00CC5E4B" w:rsidP="00CC5E4B">
      <w:pPr>
        <w:pStyle w:val="2"/>
        <w:spacing w:before="156" w:after="156"/>
      </w:pPr>
      <w:bookmarkStart w:id="97" w:name="_Toc236777500"/>
      <w:bookmarkStart w:id="98" w:name="_Toc236777873"/>
      <w:bookmarkStart w:id="99" w:name="_Toc236777946"/>
      <w:r w:rsidRPr="00CC5E4B">
        <w:t>产品体系与技术架构</w:t>
      </w:r>
      <w:bookmarkEnd w:id="97"/>
      <w:bookmarkEnd w:id="98"/>
      <w:bookmarkEnd w:id="99"/>
    </w:p>
    <w:p w14:paraId="2F050B5C" w14:textId="77777777" w:rsidR="00CC5E4B" w:rsidRPr="00CC5E4B" w:rsidRDefault="00CC5E4B" w:rsidP="00CC5E4B">
      <w:pPr>
        <w:widowControl/>
        <w:autoSpaceDE w:val="0"/>
        <w:spacing w:before="120" w:after="120" w:line="360" w:lineRule="auto"/>
        <w:ind w:firstLine="480" w:firstLineChars="200"/>
        <w:jc w:val="both"/>
        <w:rPr>
          <w:rFonts w:eastAsia="仿宋_GB2312"/>
          <w:kern w:val="0"/>
          <w:szCs w:val="24"/>
        </w:rPr>
      </w:pPr>
      <w:r w:rsidRPr="00CC5E4B">
        <w:rPr>
          <w:color w:val="000000"/>
          <w:kern w:val="0"/>
        </w:rPr>
        <w:t>嘉数公司产品体系的构建并非一蹴而就，而是紧密呼应了不同发展阶段所面临的核心问题。平台搭建期，嘉兴市数字化建设的首要痛点是各部门数据分散、系统割裂，缺乏统一的数字基础设施。为此，公司聚焦于基础平台的自研攻坚；进入能力认证期后，基础平台初步建成，重心转向行业应用的深度开发与场景落地；要素运营期，则进一步将平台能力与场景经验整合为数据运营服务能力。</w:t>
      </w:r>
    </w:p>
    <w:p w14:paraId="6F918AA8" w14:textId="76ECD0D9" w:rsidR="00CC5E4B" w:rsidRPr="00CC5E4B" w:rsidRDefault="00CC5E4B" w:rsidP="00CC5E4B">
      <w:pPr>
        <w:pStyle w:val="a"/>
        <w:spacing w:before="156" w:after="156"/>
        <w:rPr>
          <w:rFonts w:eastAsia="黑体"/>
          <w:kern w:val="0"/>
          <w:szCs w:val="24"/>
        </w:rPr>
      </w:pPr>
      <w:bookmarkStart w:id="100" w:name="_Toc236777501"/>
      <w:bookmarkStart w:id="101" w:name="_Toc236777874"/>
      <w:bookmarkStart w:id="102" w:name="_Toc236777947"/>
      <w:r w:rsidRPr="00CC5E4B">
        <w:t>核心基础技术平台</w:t>
      </w:r>
      <w:bookmarkEnd w:id="100"/>
      <w:bookmarkEnd w:id="101"/>
      <w:bookmarkEnd w:id="102"/>
    </w:p>
    <w:p w14:paraId="3D813EC0" w14:textId="77777777" w:rsidR="00CC5E4B" w:rsidRPr="00CC5E4B" w:rsidRDefault="00CC5E4B" w:rsidP="00CC5E4B">
      <w:pPr>
        <w:widowControl/>
        <w:autoSpaceDE w:val="0"/>
        <w:spacing w:before="120" w:after="120" w:line="360" w:lineRule="auto"/>
        <w:ind w:firstLine="480" w:firstLineChars="200"/>
        <w:jc w:val="both"/>
        <w:rPr>
          <w:rFonts w:eastAsia="仿宋_GB2312"/>
          <w:kern w:val="0"/>
          <w:szCs w:val="24"/>
        </w:rPr>
      </w:pPr>
      <w:r w:rsidRPr="00CC5E4B">
        <w:rPr>
          <w:color w:val="000000"/>
          <w:kern w:val="0"/>
        </w:rPr>
        <w:t>公司自主研发的核心基础平台共三类，分别对应数据治理、物联感知、边缘计算三大数字城市基础能力，构成了公司业务开展的技术底座。三类平台的具体功能与应用方向如表</w:t>
      </w:r>
      <w:r w:rsidRPr="00CC5E4B">
        <w:rPr>
          <w:color w:val="000000"/>
          <w:kern w:val="0"/>
        </w:rPr>
        <w:t>2-1</w:t>
      </w:r>
      <w:r w:rsidRPr="00CC5E4B">
        <w:rPr>
          <w:color w:val="000000"/>
          <w:kern w:val="0"/>
        </w:rPr>
        <w:t>所示。三大平台的研发均始于平台搭建期（</w:t>
      </w:r>
      <w:r w:rsidRPr="00CC5E4B">
        <w:rPr>
          <w:color w:val="000000"/>
          <w:kern w:val="0"/>
        </w:rPr>
        <w:t>2020</w:t>
      </w:r>
      <w:r w:rsidRPr="00CC5E4B">
        <w:rPr>
          <w:color w:val="000000"/>
          <w:kern w:val="0"/>
        </w:rPr>
        <w:t>—</w:t>
      </w:r>
      <w:r w:rsidRPr="00CC5E4B">
        <w:rPr>
          <w:color w:val="000000"/>
          <w:kern w:val="0"/>
        </w:rPr>
        <w:t>2022</w:t>
      </w:r>
      <w:r w:rsidRPr="00CC5E4B">
        <w:rPr>
          <w:color w:val="000000"/>
          <w:kern w:val="0"/>
        </w:rPr>
        <w:t>年），其中星海大数据平台于</w:t>
      </w:r>
      <w:r w:rsidRPr="00CC5E4B">
        <w:rPr>
          <w:color w:val="000000"/>
          <w:kern w:val="0"/>
        </w:rPr>
        <w:t>2021</w:t>
      </w:r>
      <w:r w:rsidRPr="00CC5E4B">
        <w:rPr>
          <w:color w:val="000000"/>
          <w:kern w:val="0"/>
        </w:rPr>
        <w:t>年率先上线，率先支撑起全市数据归集与共享需求；星网物联平台与星云边缘计算平台随后完成开发部署。</w:t>
      </w:r>
    </w:p>
    <w:p w14:paraId="22511EFF" w14:textId="0551ACA8" w:rsidR="00CC5E4B" w:rsidRPr="00E2232F" w:rsidRDefault="00E2232F" w:rsidP="00E2232F">
      <w:pPr>
        <w:pStyle w:val="af7"/>
        <w:ind w:firstLine="0" w:firstLineChars="0"/>
        <w:jc w:val="center"/>
        <w:rPr>
          <w:rFonts w:asciiTheme="majorHAnsi" w:eastAsia="黑体" w:hAnsiTheme="majorHAnsi" w:cstheme="majorBidi"/>
          <w:sz w:val="20"/>
          <w:szCs w:val="20"/>
        </w:rPr>
      </w:pPr>
      <w:bookmarkStart w:id="103" w:name="_Toc236779325"/>
      <w:r>
        <w:rPr/>
        <w:t>表</w:t>
      </w:r>
      <w:r>
        <w:rPr/>
        <w:t xml:space="preserve"> </w:t>
      </w:r>
      <w:r>
        <w:fldChar w:fldCharType="begin"/>
      </w:r>
      <w:r>
        <w:instrText xml:space="preserve"> </w:instrText>
      </w:r>
      <w:r>
        <w:rPr/>
        <w:instrText>STYLEREF 1 \s</w:instrText>
      </w:r>
      <w:r>
        <w:instrText xml:space="preserve"> </w:instrText>
      </w:r>
      <w:r>
        <w:fldChar w:fldCharType="separate"/>
      </w:r>
      <w:r>
        <w:rPr>
          <w:noProof/>
        </w:rPr>
        <w:t>2</w:t>
      </w:r>
      <w:r>
        <w:fldChar w:fldCharType="end"/>
      </w:r>
      <w:r>
        <w:noBreakHyphen/>
      </w:r>
      <w:r>
        <w:fldChar w:fldCharType="begin"/>
      </w:r>
      <w:r>
        <w:instrText xml:space="preserve"> </w:instrText>
      </w:r>
      <w:r>
        <w:rPr/>
        <w:instrText xml:space="preserve">SEQ </w:instrText>
      </w:r>
      <w:r>
        <w:rPr/>
        <w:instrText>表</w:instrText>
      </w:r>
      <w:r>
        <w:rPr/>
        <w:instrText xml:space="preserve"> \* ARABIC \s 1</w:instrText>
      </w:r>
      <w:r>
        <w:instrText xml:space="preserve"> </w:instrText>
      </w:r>
      <w:r>
        <w:fldChar w:fldCharType="separate"/>
      </w:r>
      <w:r>
        <w:rPr>
          <w:noProof/>
        </w:rPr>
        <w:t>1</w:t>
      </w:r>
      <w:r>
        <w:fldChar w:fldCharType="end"/>
      </w:r>
      <w:r w:rsidR="00CC5E4B" w:rsidRPr="00CC5E4B">
        <w:rPr>
          <w:kern w:val="0"/>
        </w:rPr>
        <w:t xml:space="preserve"> </w:t>
      </w:r>
      <w:r w:rsidR="00CC5E4B" w:rsidRPr="00CC5E4B">
        <w:rPr>
          <w:kern w:val="0"/>
        </w:rPr>
        <w:t>嘉数公司核心自研基础平台功能表</w:t>
      </w:r>
      <w:bookmarkEnd w:id="103"/>
    </w:p>
    <w:tbl>
      <w:tblPr>
        <w:tblStyle w:val="SanXian"/>
        <w:tblW w:w="8519" w:type="dxa"/>
        <w:jc w:val="center"/>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Pr>
      <w:tblGrid>
        <w:gridCol w:w="1888"/>
        <w:gridCol w:w="4433"/>
        <w:gridCol w:w="2198"/>
      </w:tblGrid>
      <w:tr w:rsidR="00CC5E4B" w:rsidRPr="00CC5E4B" w14:paraId="29C9B781" w14:textId="77777777">
        <w:trPr>
          <w:jc w:val="center"/>
        </w:trPr>
        <w:tc>
          <w:tcPr>
            <w:tcW w:w="1888" w:type="dxa"/>
            <w:tcBorders>
              <w:top w:val="single" w:sz="12" w:space="0" w:color="000000"/>
              <w:left w:val="none" w:sz="0" w:space="0" w:color="auto"/>
              <w:bottom w:val="single" w:sz="6" w:space="0" w:color="000000"/>
              <w:right w:val="none" w:sz="0" w:space="0" w:color="auto"/>
            </w:tcBorders>
            <w:vAlign w:val="center"/>
            <w:hideMark/>
          </w:tcPr>
          <w:p w14:paraId="1D1EEEE9" w14:textId="77777777" w:rsidR="00CC5E4B" w:rsidRPr="00CC5E4B" w:rsidRDefault="00CC5E4B" w:rsidP="00CC5E4B">
            <w:pPr>
              <w:widowControl/>
              <w:autoSpaceDE w:val="0"/>
              <w:snapToGrid w:val="0"/>
              <w:spacing w:line="480" w:lineRule="exact"/>
              <w:ind w:firstLine="0" w:firstLineChars="0"/>
              <w:jc w:val="center"/>
              <w:rPr>
                <w:rFonts w:ascii="黑体" w:eastAsia="黑体" w:hAnsi="黑体" w:cs="宋体"/>
                <w:color w:val="000000"/>
                <w:kern w:val="0"/>
                <w:szCs w:val="24"/>
              </w:rPr>
            </w:pPr>
            <w:r w:rsidRPr="00CC5E4B">
              <w:rPr>
                <w:rFonts w:ascii="宋体" w:eastAsia="宋体" w:hAnsi="宋体" w:cs="宋体"/>
                <w:kern w:val="0"/>
                <w:szCs w:val="21"/>
                <w:sz w:val="21"/>
              </w:rPr>
              <w:t>平台名称</w:t>
            </w:r>
          </w:p>
        </w:tc>
        <w:tc>
          <w:tcPr>
            <w:tcW w:w="4433" w:type="dxa"/>
            <w:tcBorders>
              <w:top w:val="single" w:sz="12" w:space="0" w:color="000000"/>
              <w:left w:val="none" w:sz="0" w:space="0" w:color="auto"/>
              <w:bottom w:val="single" w:sz="6" w:space="0" w:color="000000"/>
              <w:right w:val="none" w:sz="0" w:space="0" w:color="auto"/>
            </w:tcBorders>
            <w:vAlign w:val="center"/>
            <w:hideMark/>
          </w:tcPr>
          <w:p w14:paraId="46C0250E" w14:textId="77777777" w:rsidR="00CC5E4B" w:rsidRPr="00CC5E4B" w:rsidRDefault="00CC5E4B" w:rsidP="00CC5E4B">
            <w:pPr>
              <w:widowControl/>
              <w:autoSpaceDE w:val="0"/>
              <w:snapToGrid w:val="0"/>
              <w:spacing w:line="480" w:lineRule="exact"/>
              <w:ind w:firstLine="0" w:firstLineChars="0"/>
              <w:jc w:val="center"/>
              <w:rPr>
                <w:rFonts w:eastAsia="仿宋_GB2312"/>
                <w:color w:val="000000"/>
                <w:kern w:val="0"/>
                <w:szCs w:val="24"/>
              </w:rPr>
            </w:pPr>
            <w:r w:rsidRPr="00CC5E4B">
              <w:rPr>
                <w:rFonts w:ascii="宋体" w:eastAsia="宋体" w:hAnsi="宋体" w:cs="宋体"/>
                <w:kern w:val="0"/>
                <w:szCs w:val="21"/>
                <w:sz w:val="21"/>
              </w:rPr>
              <w:t>核心能力</w:t>
            </w:r>
          </w:p>
        </w:tc>
        <w:tc>
          <w:tcPr>
            <w:tcW w:w="2198" w:type="dxa"/>
            <w:tcBorders>
              <w:top w:val="single" w:sz="12" w:space="0" w:color="000000"/>
              <w:left w:val="none" w:sz="0" w:space="0" w:color="auto"/>
              <w:bottom w:val="single" w:sz="6" w:space="0" w:color="000000"/>
              <w:right w:val="none" w:sz="0" w:space="0" w:color="auto"/>
            </w:tcBorders>
            <w:vAlign w:val="center"/>
            <w:hideMark/>
          </w:tcPr>
          <w:p w14:paraId="545A5DB4" w14:textId="77777777" w:rsidR="00CC5E4B" w:rsidRPr="00CC5E4B" w:rsidRDefault="00CC5E4B" w:rsidP="00CC5E4B">
            <w:pPr>
              <w:widowControl/>
              <w:autoSpaceDE w:val="0"/>
              <w:snapToGrid w:val="0"/>
              <w:spacing w:line="480" w:lineRule="exact"/>
              <w:ind w:firstLine="0" w:firstLineChars="0"/>
              <w:jc w:val="center"/>
              <w:rPr>
                <w:rFonts w:eastAsia="仿宋_GB2312"/>
                <w:color w:val="000000"/>
                <w:kern w:val="0"/>
                <w:szCs w:val="24"/>
              </w:rPr>
            </w:pPr>
            <w:r w:rsidRPr="00CC5E4B">
              <w:rPr>
                <w:rFonts w:ascii="宋体" w:eastAsia="宋体" w:hAnsi="宋体" w:cs="宋体"/>
                <w:kern w:val="0"/>
                <w:szCs w:val="21"/>
                <w:sz w:val="21"/>
              </w:rPr>
              <w:t>典型应用场景</w:t>
            </w:r>
          </w:p>
        </w:tc>
      </w:tr>
      <w:tr w:rsidR="00CC5E4B" w:rsidRPr="00CC5E4B" w14:paraId="41533E85" w14:textId="77777777">
        <w:trPr>
          <w:jc w:val="center"/>
        </w:trPr>
        <w:tc>
          <w:tcPr>
            <w:tcW w:w="1888" w:type="dxa"/>
            <w:tcBorders>
              <w:left w:val="none" w:sz="0" w:space="0" w:color="auto"/>
              <w:right w:val="none" w:sz="0" w:space="0" w:color="auto"/>
            </w:tcBorders>
            <w:vAlign w:val="center"/>
            <w:hideMark/>
          </w:tcPr>
          <w:p w14:paraId="3A91A608" w14:textId="77777777" w:rsidR="00CC5E4B" w:rsidRPr="00CC5E4B" w:rsidRDefault="00CC5E4B" w:rsidP="00CC5E4B">
            <w:pPr>
              <w:widowControl/>
              <w:autoSpaceDE w:val="0"/>
              <w:snapToGrid w:val="0"/>
              <w:spacing w:line="480" w:lineRule="exact"/>
              <w:ind w:firstLine="0" w:firstLineChars="0"/>
              <w:jc w:val="center"/>
              <w:rPr>
                <w:rFonts w:eastAsia="仿宋_GB2312"/>
                <w:kern w:val="0"/>
                <w:szCs w:val="24"/>
              </w:rPr>
            </w:pPr>
            <w:r w:rsidRPr="00CC5E4B">
              <w:rPr>
                <w:rFonts w:ascii="宋体" w:eastAsia="宋体" w:hAnsi="宋体" w:cs="宋体"/>
                <w:kern w:val="0"/>
                <w:szCs w:val="21"/>
                <w:sz w:val="21"/>
              </w:rPr>
              <w:t>星海</w:t>
            </w:r>
          </w:p>
          <w:p w14:paraId="009B5667" w14:textId="77777777" w:rsidR="00CC5E4B" w:rsidRPr="00CC5E4B" w:rsidRDefault="00CC5E4B" w:rsidP="00CC5E4B">
            <w:pPr>
              <w:widowControl/>
              <w:autoSpaceDE w:val="0"/>
              <w:snapToGrid w:val="0"/>
              <w:spacing w:line="480" w:lineRule="exact"/>
              <w:ind w:firstLine="0" w:firstLineChars="0"/>
              <w:jc w:val="center"/>
              <w:rPr>
                <w:rFonts w:eastAsia="仿宋_GB2312"/>
                <w:color w:val="000000"/>
                <w:kern w:val="0"/>
                <w:szCs w:val="24"/>
              </w:rPr>
            </w:pPr>
            <w:r w:rsidRPr="00CC5E4B">
              <w:rPr>
                <w:rFonts w:ascii="宋体" w:eastAsia="宋体" w:hAnsi="宋体" w:cs="宋体"/>
                <w:kern w:val="0"/>
                <w:szCs w:val="21"/>
                <w:sz w:val="21"/>
              </w:rPr>
              <w:t>大数据平台</w:t>
            </w:r>
          </w:p>
        </w:tc>
        <w:tc>
          <w:tcPr>
            <w:tcW w:w="4433" w:type="dxa"/>
            <w:tcBorders>
              <w:left w:val="none" w:sz="0" w:space="0" w:color="auto"/>
              <w:right w:val="none" w:sz="0" w:space="0" w:color="auto"/>
            </w:tcBorders>
            <w:vAlign w:val="center"/>
            <w:hideMark/>
          </w:tcPr>
          <w:p w14:paraId="624E6A8F" w14:textId="77777777" w:rsidR="00CC5E4B" w:rsidRPr="00CC5E4B" w:rsidRDefault="00CC5E4B" w:rsidP="00CC5E4B">
            <w:pPr>
              <w:widowControl/>
              <w:autoSpaceDE w:val="0"/>
              <w:snapToGrid w:val="0"/>
              <w:spacing w:line="480" w:lineRule="exact"/>
              <w:ind w:firstLine="0" w:firstLineChars="0"/>
              <w:jc w:val="center"/>
              <w:rPr>
                <w:rFonts w:eastAsia="仿宋_GB2312"/>
                <w:color w:val="000000"/>
                <w:kern w:val="0"/>
                <w:szCs w:val="24"/>
              </w:rPr>
            </w:pPr>
            <w:r w:rsidRPr="00CC5E4B">
              <w:rPr>
                <w:rFonts w:ascii="宋体" w:eastAsia="宋体" w:hAnsi="宋体" w:cs="宋体"/>
                <w:kern w:val="0"/>
                <w:szCs w:val="21"/>
                <w:sz w:val="21"/>
              </w:rPr>
              <w:t>数据归集、治理、共享、资产化管理</w:t>
            </w:r>
          </w:p>
        </w:tc>
        <w:tc>
          <w:tcPr>
            <w:tcW w:w="2198" w:type="dxa"/>
            <w:tcBorders>
              <w:left w:val="none" w:sz="0" w:space="0" w:color="auto"/>
              <w:right w:val="none" w:sz="0" w:space="0" w:color="auto"/>
            </w:tcBorders>
            <w:vAlign w:val="center"/>
            <w:hideMark/>
          </w:tcPr>
          <w:p w14:paraId="755AD22E" w14:textId="77777777" w:rsidR="00CC5E4B" w:rsidRPr="00CC5E4B" w:rsidRDefault="00CC5E4B" w:rsidP="00CC5E4B">
            <w:pPr>
              <w:widowControl/>
              <w:autoSpaceDE w:val="0"/>
              <w:snapToGrid w:val="0"/>
              <w:spacing w:line="480" w:lineRule="exact"/>
              <w:ind w:firstLine="0" w:firstLineChars="0"/>
              <w:jc w:val="center"/>
              <w:rPr>
                <w:rFonts w:eastAsia="仿宋_GB2312"/>
                <w:kern w:val="0"/>
                <w:szCs w:val="24"/>
              </w:rPr>
            </w:pPr>
            <w:r w:rsidRPr="00CC5E4B">
              <w:rPr>
                <w:rFonts w:ascii="宋体" w:eastAsia="宋体" w:hAnsi="宋体" w:cs="宋体"/>
                <w:kern w:val="0"/>
                <w:szCs w:val="21"/>
                <w:sz w:val="21"/>
              </w:rPr>
              <w:t>政务数据仓、</w:t>
            </w:r>
          </w:p>
          <w:p w14:paraId="383E1909" w14:textId="77777777" w:rsidR="00CC5E4B" w:rsidRPr="00CC5E4B" w:rsidRDefault="00CC5E4B" w:rsidP="00CC5E4B">
            <w:pPr>
              <w:widowControl/>
              <w:autoSpaceDE w:val="0"/>
              <w:snapToGrid w:val="0"/>
              <w:spacing w:line="480" w:lineRule="exact"/>
              <w:ind w:firstLine="0" w:firstLineChars="0"/>
              <w:jc w:val="center"/>
              <w:rPr>
                <w:rFonts w:eastAsia="仿宋_GB2312"/>
                <w:color w:val="000000"/>
                <w:kern w:val="0"/>
                <w:szCs w:val="24"/>
              </w:rPr>
            </w:pPr>
            <w:r w:rsidRPr="00CC5E4B">
              <w:rPr>
                <w:rFonts w:ascii="宋体" w:eastAsia="宋体" w:hAnsi="宋体" w:cs="宋体"/>
                <w:kern w:val="0"/>
                <w:szCs w:val="21"/>
                <w:sz w:val="21"/>
              </w:rPr>
              <w:t>城市数据中台</w:t>
            </w:r>
          </w:p>
        </w:tc>
      </w:tr>
      <w:tr w:rsidR="00CC5E4B" w:rsidRPr="00CC5E4B" w14:paraId="73B7BF35" w14:textId="77777777">
        <w:trPr>
          <w:jc w:val="center"/>
        </w:trPr>
        <w:tc>
          <w:tcPr>
            <w:tcW w:w="1888" w:type="dxa"/>
            <w:tcBorders>
              <w:left w:val="none" w:sz="0" w:space="0" w:color="auto"/>
              <w:right w:val="none" w:sz="0" w:space="0" w:color="auto"/>
            </w:tcBorders>
            <w:vAlign w:val="center"/>
            <w:hideMark/>
          </w:tcPr>
          <w:p w14:paraId="31923C66" w14:textId="77777777" w:rsidR="00CC5E4B" w:rsidRPr="00CC5E4B" w:rsidRDefault="00CC5E4B" w:rsidP="00CC5E4B">
            <w:pPr>
              <w:widowControl/>
              <w:autoSpaceDE w:val="0"/>
              <w:snapToGrid w:val="0"/>
              <w:spacing w:line="480" w:lineRule="exact"/>
              <w:ind w:firstLine="0" w:firstLineChars="0"/>
              <w:jc w:val="center"/>
              <w:rPr>
                <w:rFonts w:eastAsia="仿宋_GB2312"/>
                <w:kern w:val="0"/>
                <w:szCs w:val="24"/>
              </w:rPr>
            </w:pPr>
            <w:r w:rsidRPr="00CC5E4B">
              <w:rPr>
                <w:rFonts w:ascii="宋体" w:eastAsia="宋体" w:hAnsi="宋体" w:cs="宋体"/>
                <w:kern w:val="0"/>
                <w:szCs w:val="21"/>
                <w:sz w:val="21"/>
              </w:rPr>
              <w:t>星网</w:t>
            </w:r>
          </w:p>
          <w:p w14:paraId="5223E4DA" w14:textId="77777777" w:rsidR="00CC5E4B" w:rsidRPr="00CC5E4B" w:rsidRDefault="00CC5E4B" w:rsidP="00CC5E4B">
            <w:pPr>
              <w:widowControl/>
              <w:autoSpaceDE w:val="0"/>
              <w:snapToGrid w:val="0"/>
              <w:spacing w:line="480" w:lineRule="exact"/>
              <w:ind w:firstLine="0" w:firstLineChars="0"/>
              <w:jc w:val="center"/>
              <w:rPr>
                <w:rFonts w:eastAsia="仿宋_GB2312"/>
                <w:color w:val="000000"/>
                <w:kern w:val="0"/>
                <w:szCs w:val="24"/>
              </w:rPr>
            </w:pPr>
            <w:r w:rsidRPr="00CC5E4B">
              <w:rPr>
                <w:rFonts w:ascii="宋体" w:eastAsia="宋体" w:hAnsi="宋体" w:cs="宋体"/>
                <w:kern w:val="0"/>
                <w:szCs w:val="21"/>
                <w:sz w:val="21"/>
              </w:rPr>
              <w:t>物联平台</w:t>
            </w:r>
          </w:p>
        </w:tc>
        <w:tc>
          <w:tcPr>
            <w:tcW w:w="4433" w:type="dxa"/>
            <w:tcBorders>
              <w:left w:val="none" w:sz="0" w:space="0" w:color="auto"/>
              <w:right w:val="none" w:sz="0" w:space="0" w:color="auto"/>
            </w:tcBorders>
            <w:vAlign w:val="center"/>
            <w:hideMark/>
          </w:tcPr>
          <w:p w14:paraId="460F6A31" w14:textId="77777777" w:rsidR="00CC5E4B" w:rsidRPr="00CC5E4B" w:rsidRDefault="00CC5E4B" w:rsidP="00CC5E4B">
            <w:pPr>
              <w:widowControl/>
              <w:autoSpaceDE w:val="0"/>
              <w:snapToGrid w:val="0"/>
              <w:spacing w:line="480" w:lineRule="exact"/>
              <w:ind w:firstLine="0" w:firstLineChars="0"/>
              <w:jc w:val="center"/>
              <w:rPr>
                <w:rFonts w:eastAsia="仿宋_GB2312"/>
                <w:color w:val="000000"/>
                <w:kern w:val="0"/>
                <w:szCs w:val="24"/>
              </w:rPr>
            </w:pPr>
            <w:r w:rsidRPr="00CC5E4B">
              <w:rPr>
                <w:rFonts w:ascii="宋体" w:eastAsia="宋体" w:hAnsi="宋体" w:cs="宋体"/>
                <w:kern w:val="0"/>
                <w:szCs w:val="21"/>
                <w:sz w:val="21"/>
              </w:rPr>
              <w:t>多协议设备接入、全生命周期管控</w:t>
            </w:r>
          </w:p>
        </w:tc>
        <w:tc>
          <w:tcPr>
            <w:tcW w:w="2198" w:type="dxa"/>
            <w:tcBorders>
              <w:left w:val="none" w:sz="0" w:space="0" w:color="auto"/>
              <w:right w:val="none" w:sz="0" w:space="0" w:color="auto"/>
            </w:tcBorders>
            <w:vAlign w:val="center"/>
            <w:hideMark/>
          </w:tcPr>
          <w:p w14:paraId="5869C253" w14:textId="77777777" w:rsidR="00CC5E4B" w:rsidRPr="00CC5E4B" w:rsidRDefault="00CC5E4B" w:rsidP="00CC5E4B">
            <w:pPr>
              <w:widowControl/>
              <w:autoSpaceDE w:val="0"/>
              <w:snapToGrid w:val="0"/>
              <w:spacing w:line="480" w:lineRule="exact"/>
              <w:ind w:firstLine="0" w:firstLineChars="0"/>
              <w:jc w:val="center"/>
              <w:rPr>
                <w:rFonts w:eastAsia="仿宋_GB2312"/>
                <w:kern w:val="0"/>
                <w:szCs w:val="24"/>
              </w:rPr>
            </w:pPr>
            <w:r w:rsidRPr="00CC5E4B">
              <w:rPr>
                <w:rFonts w:ascii="宋体" w:eastAsia="宋体" w:hAnsi="宋体" w:cs="宋体"/>
                <w:kern w:val="0"/>
                <w:szCs w:val="21"/>
                <w:sz w:val="21"/>
              </w:rPr>
              <w:t>城市感知网络、</w:t>
            </w:r>
          </w:p>
          <w:p w14:paraId="6C50D2E6" w14:textId="77777777" w:rsidR="00CC5E4B" w:rsidRPr="00CC5E4B" w:rsidRDefault="00CC5E4B" w:rsidP="00CC5E4B">
            <w:pPr>
              <w:widowControl/>
              <w:autoSpaceDE w:val="0"/>
              <w:snapToGrid w:val="0"/>
              <w:spacing w:line="480" w:lineRule="exact"/>
              <w:ind w:firstLine="0" w:firstLineChars="0"/>
              <w:jc w:val="center"/>
              <w:rPr>
                <w:rFonts w:eastAsia="仿宋_GB2312"/>
                <w:color w:val="000000"/>
                <w:kern w:val="0"/>
                <w:szCs w:val="24"/>
              </w:rPr>
            </w:pPr>
            <w:r w:rsidRPr="00CC5E4B">
              <w:rPr>
                <w:rFonts w:ascii="宋体" w:eastAsia="宋体" w:hAnsi="宋体" w:cs="宋体"/>
                <w:kern w:val="0"/>
                <w:szCs w:val="21"/>
                <w:sz w:val="21"/>
              </w:rPr>
              <w:t>终端统一管理</w:t>
            </w:r>
          </w:p>
        </w:tc>
      </w:tr>
      <w:tr w:rsidR="00CC5E4B" w:rsidRPr="00CC5E4B" w14:paraId="51D4D35D" w14:textId="77777777">
        <w:trPr>
          <w:jc w:val="center"/>
        </w:trPr>
        <w:tc>
          <w:tcPr>
            <w:tcW w:w="1888" w:type="dxa"/>
            <w:tcBorders>
              <w:left w:val="none" w:sz="0" w:space="0" w:color="auto"/>
              <w:bottom w:val="single" w:sz="12" w:space="0" w:color="000000"/>
              <w:right w:val="none" w:sz="0" w:space="0" w:color="auto"/>
            </w:tcBorders>
            <w:vAlign w:val="center"/>
            <w:hideMark/>
          </w:tcPr>
          <w:p w14:paraId="6B2F459E" w14:textId="77777777" w:rsidR="00CC5E4B" w:rsidRPr="00CC5E4B" w:rsidRDefault="00CC5E4B" w:rsidP="00CC5E4B">
            <w:pPr>
              <w:widowControl/>
              <w:autoSpaceDE w:val="0"/>
              <w:snapToGrid w:val="0"/>
              <w:spacing w:line="480" w:lineRule="exact"/>
              <w:ind w:firstLine="0" w:firstLineChars="0"/>
              <w:jc w:val="center"/>
              <w:rPr>
                <w:rFonts w:eastAsia="仿宋_GB2312"/>
                <w:kern w:val="0"/>
                <w:szCs w:val="24"/>
              </w:rPr>
            </w:pPr>
            <w:r w:rsidRPr="00CC5E4B">
              <w:rPr>
                <w:rFonts w:ascii="宋体" w:eastAsia="宋体" w:hAnsi="宋体" w:cs="宋体"/>
                <w:kern w:val="0"/>
                <w:szCs w:val="21"/>
                <w:sz w:val="21"/>
              </w:rPr>
              <w:lastRenderedPageBreak/>
              <w:t>星云</w:t>
            </w:r>
          </w:p>
          <w:p w14:paraId="0F8EB7DC" w14:textId="77777777" w:rsidR="00CC5E4B" w:rsidRPr="00CC5E4B" w:rsidRDefault="00CC5E4B" w:rsidP="00CC5E4B">
            <w:pPr>
              <w:widowControl/>
              <w:autoSpaceDE w:val="0"/>
              <w:snapToGrid w:val="0"/>
              <w:spacing w:line="480" w:lineRule="exact"/>
              <w:ind w:firstLine="0" w:firstLineChars="0"/>
              <w:jc w:val="center"/>
              <w:rPr>
                <w:rFonts w:eastAsia="仿宋_GB2312"/>
                <w:color w:val="000000"/>
                <w:kern w:val="0"/>
                <w:szCs w:val="24"/>
              </w:rPr>
            </w:pPr>
            <w:r w:rsidRPr="00CC5E4B">
              <w:rPr>
                <w:rFonts w:ascii="宋体" w:eastAsia="宋体" w:hAnsi="宋体" w:cs="宋体"/>
                <w:kern w:val="0"/>
                <w:szCs w:val="21"/>
                <w:sz w:val="21"/>
              </w:rPr>
              <w:t>边缘计算平台</w:t>
            </w:r>
          </w:p>
        </w:tc>
        <w:tc>
          <w:tcPr>
            <w:tcW w:w="4433" w:type="dxa"/>
            <w:tcBorders>
              <w:left w:val="none" w:sz="0" w:space="0" w:color="auto"/>
              <w:bottom w:val="single" w:sz="12" w:space="0" w:color="000000"/>
              <w:right w:val="none" w:sz="0" w:space="0" w:color="auto"/>
            </w:tcBorders>
            <w:vAlign w:val="center"/>
            <w:hideMark/>
          </w:tcPr>
          <w:p w14:paraId="71303754" w14:textId="77777777" w:rsidR="00CC5E4B" w:rsidRPr="00CC5E4B" w:rsidRDefault="00CC5E4B" w:rsidP="00CC5E4B">
            <w:pPr>
              <w:widowControl/>
              <w:autoSpaceDE w:val="0"/>
              <w:snapToGrid w:val="0"/>
              <w:spacing w:line="480" w:lineRule="exact"/>
              <w:ind w:firstLine="0" w:firstLineChars="0"/>
              <w:jc w:val="center"/>
              <w:rPr>
                <w:rFonts w:eastAsia="仿宋_GB2312"/>
                <w:kern w:val="0"/>
                <w:szCs w:val="24"/>
              </w:rPr>
            </w:pPr>
            <w:r w:rsidRPr="00CC5E4B">
              <w:rPr>
                <w:rFonts w:ascii="宋体" w:eastAsia="宋体" w:hAnsi="宋体" w:cs="宋体"/>
                <w:kern w:val="0"/>
                <w:szCs w:val="21"/>
                <w:sz w:val="21"/>
              </w:rPr>
              <w:t>前端</w:t>
            </w:r>
            <w:r w:rsidRPr="00CC5E4B">
              <w:rPr>
                <w:rFonts w:eastAsia="宋体" w:ascii="宋体" w:hAnsi="宋体" w:cs="宋体"/>
                <w:kern w:val="0"/>
                <w:szCs w:val="21"/>
                <w:sz w:val="21"/>
              </w:rPr>
              <w:t xml:space="preserve"> AI </w:t>
            </w:r>
            <w:r w:rsidRPr="00CC5E4B">
              <w:rPr>
                <w:rFonts w:ascii="宋体" w:eastAsia="宋体" w:hAnsi="宋体" w:cs="宋体"/>
                <w:kern w:val="0"/>
                <w:szCs w:val="21"/>
                <w:sz w:val="21"/>
              </w:rPr>
              <w:t>部署、</w:t>
            </w:r>
          </w:p>
          <w:p w14:paraId="61C78B7F" w14:textId="77777777" w:rsidR="00CC5E4B" w:rsidRPr="00CC5E4B" w:rsidRDefault="00CC5E4B" w:rsidP="00CC5E4B">
            <w:pPr>
              <w:widowControl/>
              <w:autoSpaceDE w:val="0"/>
              <w:snapToGrid w:val="0"/>
              <w:spacing w:line="480" w:lineRule="exact"/>
              <w:ind w:firstLine="0" w:firstLineChars="0"/>
              <w:jc w:val="center"/>
              <w:rPr>
                <w:rFonts w:eastAsia="仿宋_GB2312"/>
                <w:color w:val="000000"/>
                <w:kern w:val="0"/>
                <w:szCs w:val="24"/>
              </w:rPr>
            </w:pPr>
            <w:r w:rsidRPr="00CC5E4B">
              <w:rPr>
                <w:rFonts w:ascii="宋体" w:eastAsia="宋体" w:hAnsi="宋体" w:cs="宋体"/>
                <w:kern w:val="0"/>
                <w:szCs w:val="21"/>
                <w:sz w:val="21"/>
              </w:rPr>
              <w:t>实时视频分析、事件识别</w:t>
            </w:r>
          </w:p>
        </w:tc>
        <w:tc>
          <w:tcPr>
            <w:tcW w:w="2198" w:type="dxa"/>
            <w:tcBorders>
              <w:left w:val="none" w:sz="0" w:space="0" w:color="auto"/>
              <w:bottom w:val="single" w:sz="12" w:space="0" w:color="000000"/>
              <w:right w:val="none" w:sz="0" w:space="0" w:color="auto"/>
            </w:tcBorders>
            <w:vAlign w:val="center"/>
            <w:hideMark/>
          </w:tcPr>
          <w:p w14:paraId="3F3F7C40" w14:textId="77777777" w:rsidR="00CC5E4B" w:rsidRPr="00CC5E4B" w:rsidRDefault="00CC5E4B" w:rsidP="00CC5E4B">
            <w:pPr>
              <w:widowControl/>
              <w:autoSpaceDE w:val="0"/>
              <w:snapToGrid w:val="0"/>
              <w:spacing w:line="480" w:lineRule="exact"/>
              <w:ind w:firstLine="0" w:firstLineChars="0"/>
              <w:jc w:val="center"/>
              <w:rPr>
                <w:rFonts w:eastAsia="仿宋_GB2312"/>
                <w:kern w:val="0"/>
                <w:szCs w:val="24"/>
              </w:rPr>
            </w:pPr>
            <w:r w:rsidRPr="00CC5E4B">
              <w:rPr>
                <w:rFonts w:ascii="宋体" w:eastAsia="宋体" w:hAnsi="宋体" w:cs="宋体"/>
                <w:kern w:val="0"/>
                <w:szCs w:val="21"/>
                <w:sz w:val="21"/>
              </w:rPr>
              <w:t>智慧交通、</w:t>
            </w:r>
          </w:p>
          <w:p w14:paraId="018E796C" w14:textId="77777777" w:rsidR="00CC5E4B" w:rsidRPr="00CC5E4B" w:rsidRDefault="00CC5E4B" w:rsidP="00CC5E4B">
            <w:pPr>
              <w:widowControl/>
              <w:autoSpaceDE w:val="0"/>
              <w:snapToGrid w:val="0"/>
              <w:spacing w:line="480" w:lineRule="exact"/>
              <w:ind w:firstLine="0" w:firstLineChars="0"/>
              <w:jc w:val="center"/>
              <w:rPr>
                <w:rFonts w:eastAsia="仿宋_GB2312"/>
                <w:color w:val="000000"/>
                <w:kern w:val="0"/>
                <w:szCs w:val="24"/>
              </w:rPr>
            </w:pPr>
            <w:r w:rsidRPr="00CC5E4B">
              <w:rPr>
                <w:rFonts w:ascii="宋体" w:eastAsia="宋体" w:hAnsi="宋体" w:cs="宋体"/>
                <w:kern w:val="0"/>
                <w:szCs w:val="21"/>
                <w:sz w:val="21"/>
              </w:rPr>
              <w:t>基层治理前端场景</w:t>
            </w:r>
          </w:p>
        </w:tc>
      </w:tr>
    </w:tbl>
    <w:p w14:paraId="6CBD7A4A" w14:textId="77777777" w:rsidR="00CC5E4B" w:rsidRPr="00CC5E4B" w:rsidRDefault="00CC5E4B" w:rsidP="00CC5E4B">
      <w:pPr>
        <w:widowControl/>
        <w:autoSpaceDE w:val="0"/>
        <w:spacing w:before="120" w:after="120" w:line="360" w:lineRule="auto"/>
        <w:ind w:firstLine="480" w:firstLineChars="200"/>
        <w:jc w:val="both"/>
        <w:rPr>
          <w:rFonts w:eastAsia="仿宋_GB2312"/>
          <w:kern w:val="0"/>
          <w:szCs w:val="24"/>
        </w:rPr>
      </w:pPr>
      <w:r w:rsidRPr="00CC5E4B">
        <w:rPr>
          <w:color w:val="000000"/>
          <w:kern w:val="0"/>
        </w:rPr>
        <w:t>在技术架构层面，</w:t>
      </w:r>
      <w:r w:rsidRPr="00CC5E4B">
        <w:rPr>
          <w:color w:val="000000"/>
          <w:kern w:val="0"/>
        </w:rPr>
        <w:t>AI</w:t>
      </w:r>
      <w:r w:rsidRPr="00CC5E4B">
        <w:rPr>
          <w:color w:val="000000"/>
          <w:kern w:val="0"/>
        </w:rPr>
        <w:t>与数字孪生融合技术是公司技术体系的关键组成部分，已广泛应用于智慧交通、市域治理等复杂场景。该技术架构自下而上划分为四层：物理实体与多源数据采集层、数据融合与处理中心、</w:t>
      </w:r>
      <w:r w:rsidRPr="00CC5E4B">
        <w:rPr>
          <w:color w:val="000000"/>
          <w:kern w:val="0"/>
        </w:rPr>
        <w:t>AI</w:t>
      </w:r>
      <w:r w:rsidRPr="00CC5E4B">
        <w:rPr>
          <w:color w:val="000000"/>
          <w:kern w:val="0"/>
        </w:rPr>
        <w:t>智能引擎与数字孪生模型层、业务应用与决策支持层。通过仿真数据与真实数据的双向交互，实现了对现实场景的数字化映射与智能推演。图</w:t>
      </w:r>
      <w:r w:rsidRPr="00CC5E4B">
        <w:rPr>
          <w:color w:val="000000"/>
          <w:kern w:val="0"/>
        </w:rPr>
        <w:t>2-3</w:t>
      </w:r>
      <w:r w:rsidRPr="00CC5E4B">
        <w:rPr>
          <w:color w:val="000000"/>
          <w:kern w:val="0"/>
        </w:rPr>
        <w:t>展示了该技术架构的逻辑关系。</w:t>
      </w:r>
    </w:p>
    <w:p w14:paraId="3C095694" w14:textId="77777777" w:rsidR="00CC5E4B" w:rsidRPr="00CC5E4B" w:rsidRDefault="00CC5E4B" w:rsidP="00CC5E4B">
      <w:pPr>
        <w:autoSpaceDE w:val="0"/>
        <w:spacing w:before="100" w:beforeAutospacing="1" w:after="100" w:afterAutospacing="1"/>
        <w:ind w:firstLine="0" w:firstLineChars="0"/>
        <w:jc w:val="center"/>
        <w:rPr>
          <w:rFonts w:eastAsia="仿宋_GB2312"/>
          <w:szCs w:val="24"/>
        </w:rPr>
      </w:pPr>
      <w:r w:rsidRPr="00CC5E4B">
        <w:rPr>
          <w:noProof/>
        </w:rPr>
        <w:drawing>
          <wp:inline distT="0" distB="0" distL="0" distR="0" wp14:anchorId="5BE70AE9" wp14:editId="499A6E6D">
            <wp:extent cx="3733800" cy="2667000"/>
            <wp:effectExtent l="0" t="0" r="0" b="0"/>
            <wp:docPr id="113"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33800" cy="2667000"/>
                    </a:xfrm>
                    <a:prstGeom prst="rect">
                      <a:avLst/>
                    </a:prstGeom>
                    <a:noFill/>
                    <a:ln>
                      <a:noFill/>
                    </a:ln>
                  </pic:spPr>
                </pic:pic>
              </a:graphicData>
            </a:graphic>
          </wp:inline>
        </w:drawing>
      </w:r>
    </w:p>
    <w:p w14:paraId="5B472227" w14:textId="47CE7D8D" w:rsidR="00CC5E4B" w:rsidRPr="00E2232F" w:rsidRDefault="00E2232F" w:rsidP="00E2232F">
      <w:pPr>
        <w:pStyle w:val="af7"/>
        <w:ind w:firstLine="0" w:firstLineChars="0"/>
        <w:jc w:val="center"/>
        <w:rPr>
          <w:rFonts w:asciiTheme="majorHAnsi" w:eastAsia="黑体" w:hAnsiTheme="majorHAnsi"/>
          <w:sz w:val="20"/>
          <w:szCs w:val="20"/>
        </w:rPr>
      </w:pPr>
      <w:bookmarkStart w:id="104" w:name="_Toc236779305"/>
      <w:r>
        <w:rPr/>
        <w:t>图</w:t>
      </w:r>
      <w:r>
        <w:rPr/>
        <w:t xml:space="preserve"> </w:t>
      </w:r>
      <w:r>
        <w:fldChar w:fldCharType="begin"/>
      </w:r>
      <w:r>
        <w:instrText xml:space="preserve"> </w:instrText>
      </w:r>
      <w:r>
        <w:rPr/>
        <w:instrText>STYLEREF 1 \s</w:instrText>
      </w:r>
      <w:r>
        <w:instrText xml:space="preserve"> </w:instrText>
      </w:r>
      <w:r>
        <w:fldChar w:fldCharType="separate"/>
      </w:r>
      <w:r>
        <w:rPr>
          <w:noProof/>
        </w:rPr>
        <w:t>2</w:t>
      </w:r>
      <w:r>
        <w:fldChar w:fldCharType="end"/>
      </w:r>
      <w:r>
        <w:noBreakHyphen/>
      </w:r>
      <w:r>
        <w:fldChar w:fldCharType="begin"/>
      </w:r>
      <w:r>
        <w:instrText xml:space="preserve"> </w:instrText>
      </w:r>
      <w:r>
        <w:rPr/>
        <w:instrText xml:space="preserve">SEQ </w:instrText>
      </w:r>
      <w:r>
        <w:rPr/>
        <w:instrText>图</w:instrText>
      </w:r>
      <w:r>
        <w:rPr/>
        <w:instrText xml:space="preserve"> \* ARABIC \s 1</w:instrText>
      </w:r>
      <w:r>
        <w:instrText xml:space="preserve"> </w:instrText>
      </w:r>
      <w:r>
        <w:fldChar w:fldCharType="separate"/>
      </w:r>
      <w:r>
        <w:rPr>
          <w:noProof/>
        </w:rPr>
        <w:t>3</w:t>
      </w:r>
      <w:r>
        <w:fldChar w:fldCharType="end"/>
      </w:r>
      <w:r>
        <w:rPr/>
        <w:t xml:space="preserve"> </w:t>
      </w:r>
      <w:r w:rsidR="00CC5E4B" w:rsidRPr="00CC5E4B">
        <w:rPr/>
        <w:t>嘉数公司</w:t>
      </w:r>
      <w:r w:rsidR="00CC5E4B" w:rsidRPr="00CC5E4B">
        <w:rPr/>
        <w:t>AI</w:t>
      </w:r>
      <w:r w:rsidR="00CC5E4B" w:rsidRPr="00CC5E4B">
        <w:rPr/>
        <w:t>与数字孪生融合架构图</w:t>
      </w:r>
      <w:bookmarkEnd w:id="104"/>
    </w:p>
    <w:p w14:paraId="45DB2784" w14:textId="0EADD016" w:rsidR="00CC5E4B" w:rsidRPr="00CC5E4B" w:rsidRDefault="00CC5E4B" w:rsidP="00CC5E4B">
      <w:pPr>
        <w:pStyle w:val="a"/>
        <w:spacing w:before="156" w:after="156"/>
        <w:rPr>
          <w:rFonts w:eastAsia="黑体"/>
          <w:color w:val="000000"/>
          <w:kern w:val="0"/>
          <w:szCs w:val="24"/>
        </w:rPr>
      </w:pPr>
      <w:bookmarkStart w:id="105" w:name="_Toc236777502"/>
      <w:bookmarkStart w:id="106" w:name="_Toc236777875"/>
      <w:bookmarkStart w:id="107" w:name="_Toc236777948"/>
      <w:r w:rsidRPr="00CC5E4B">
        <w:t>垂直行业解决方案</w:t>
      </w:r>
      <w:bookmarkEnd w:id="105"/>
      <w:bookmarkEnd w:id="106"/>
      <w:bookmarkEnd w:id="107"/>
    </w:p>
    <w:p w14:paraId="0387D87C" w14:textId="77777777" w:rsidR="00CC5E4B" w:rsidRPr="00CC5E4B" w:rsidRDefault="00CC5E4B" w:rsidP="00CC5E4B">
      <w:pPr>
        <w:widowControl/>
        <w:autoSpaceDE w:val="0"/>
        <w:spacing w:before="120" w:after="120" w:line="360" w:lineRule="auto"/>
        <w:ind w:firstLine="480" w:firstLineChars="200"/>
        <w:jc w:val="both"/>
        <w:rPr>
          <w:rFonts w:eastAsia="仿宋_GB2312"/>
          <w:kern w:val="0"/>
          <w:szCs w:val="24"/>
        </w:rPr>
      </w:pPr>
      <w:r w:rsidRPr="00CC5E4B">
        <w:rPr>
          <w:color w:val="000000"/>
          <w:kern w:val="0"/>
        </w:rPr>
        <w:t>基于上述基础平台与数字孪生能力，嘉数公司形成了覆盖城市核心领域的行业解决方案矩阵。这些行业应用的开发遵循了明确的阶段节奏：平台搭建期，以</w:t>
      </w:r>
      <w:r w:rsidRPr="00CC5E4B">
        <w:rPr>
          <w:rFonts w:ascii="宋体" w:eastAsia="宋体" w:hAnsi="宋体" w:cs="宋体" w:hint="eastAsia"/>
          <w:color w:val="000000"/>
          <w:kern w:val="0"/>
        </w:rPr>
        <w:t>“</w:t>
      </w:r>
      <w:r w:rsidRPr="00CC5E4B">
        <w:rPr>
          <w:color w:val="000000"/>
          <w:kern w:val="0"/>
        </w:rPr>
        <w:t>社会治理</w:t>
      </w:r>
      <w:r w:rsidRPr="00CC5E4B">
        <w:rPr>
          <w:rFonts w:ascii="宋体" w:eastAsia="宋体" w:hAnsi="宋体" w:cs="宋体" w:hint="eastAsia"/>
          <w:color w:val="000000"/>
          <w:kern w:val="0"/>
        </w:rPr>
        <w:t>”</w:t>
      </w:r>
      <w:r w:rsidRPr="00CC5E4B">
        <w:rPr>
          <w:color w:val="000000"/>
          <w:kern w:val="0"/>
        </w:rPr>
        <w:t>领域为突破口，率先上线</w:t>
      </w:r>
      <w:r w:rsidRPr="00CC5E4B">
        <w:rPr>
          <w:rFonts w:ascii="宋体" w:eastAsia="宋体" w:hAnsi="宋体" w:cs="宋体" w:hint="eastAsia"/>
          <w:color w:val="000000"/>
          <w:kern w:val="0"/>
        </w:rPr>
        <w:t>“</w:t>
      </w:r>
      <w:r w:rsidRPr="00CC5E4B">
        <w:rPr>
          <w:color w:val="000000"/>
          <w:kern w:val="0"/>
        </w:rPr>
        <w:t>嘉兴社会治理一朵云</w:t>
      </w:r>
      <w:r w:rsidRPr="00CC5E4B">
        <w:rPr>
          <w:rFonts w:ascii="宋体" w:eastAsia="宋体" w:hAnsi="宋体" w:cs="宋体" w:hint="eastAsia"/>
          <w:color w:val="000000"/>
          <w:kern w:val="0"/>
        </w:rPr>
        <w:t>”</w:t>
      </w:r>
      <w:r w:rsidRPr="00CC5E4B">
        <w:rPr>
          <w:color w:val="000000"/>
          <w:kern w:val="0"/>
        </w:rPr>
        <w:t>等治理类应用，解决基层治理信息不对称的痛点；能力认证期，伴随</w:t>
      </w:r>
      <w:r w:rsidRPr="00CC5E4B">
        <w:rPr>
          <w:color w:val="000000"/>
          <w:kern w:val="0"/>
        </w:rPr>
        <w:t>CMMI5</w:t>
      </w:r>
      <w:r w:rsidRPr="00CC5E4B">
        <w:rPr>
          <w:color w:val="000000"/>
          <w:kern w:val="0"/>
        </w:rPr>
        <w:t>级等研发管理能力的确认，公司加速向</w:t>
      </w:r>
      <w:r w:rsidRPr="00CC5E4B">
        <w:rPr>
          <w:rFonts w:ascii="宋体" w:eastAsia="宋体" w:hAnsi="宋体" w:cs="宋体" w:hint="eastAsia"/>
          <w:color w:val="000000"/>
          <w:kern w:val="0"/>
        </w:rPr>
        <w:t>“</w:t>
      </w:r>
      <w:r w:rsidRPr="00CC5E4B">
        <w:rPr>
          <w:color w:val="000000"/>
          <w:kern w:val="0"/>
        </w:rPr>
        <w:t>智慧交通</w:t>
      </w:r>
      <w:r w:rsidRPr="00CC5E4B">
        <w:rPr>
          <w:rFonts w:ascii="宋体" w:eastAsia="宋体" w:hAnsi="宋体" w:cs="宋体" w:hint="eastAsia"/>
          <w:color w:val="000000"/>
          <w:kern w:val="0"/>
        </w:rPr>
        <w:t>”“</w:t>
      </w:r>
      <w:r w:rsidRPr="00CC5E4B">
        <w:rPr>
          <w:color w:val="000000"/>
          <w:kern w:val="0"/>
        </w:rPr>
        <w:t>数字乡村</w:t>
      </w:r>
      <w:r w:rsidRPr="00CC5E4B">
        <w:rPr>
          <w:rFonts w:ascii="宋体" w:eastAsia="宋体" w:hAnsi="宋体" w:cs="宋体" w:hint="eastAsia"/>
          <w:color w:val="000000"/>
          <w:kern w:val="0"/>
        </w:rPr>
        <w:t>”</w:t>
      </w:r>
      <w:r w:rsidRPr="00CC5E4B">
        <w:rPr>
          <w:color w:val="000000"/>
          <w:kern w:val="0"/>
        </w:rPr>
        <w:t>等领域拓展，</w:t>
      </w:r>
      <w:r w:rsidRPr="00CC5E4B">
        <w:rPr>
          <w:rFonts w:ascii="宋体" w:eastAsia="宋体" w:hAnsi="宋体" w:cs="宋体" w:hint="eastAsia"/>
          <w:color w:val="000000"/>
          <w:kern w:val="0"/>
        </w:rPr>
        <w:t>“</w:t>
      </w:r>
      <w:r w:rsidRPr="00CC5E4B">
        <w:rPr>
          <w:color w:val="000000"/>
          <w:kern w:val="0"/>
        </w:rPr>
        <w:t>事故云快处</w:t>
      </w:r>
      <w:r w:rsidRPr="00CC5E4B">
        <w:rPr>
          <w:rFonts w:ascii="宋体" w:eastAsia="宋体" w:hAnsi="宋体" w:cs="宋体" w:hint="eastAsia"/>
          <w:color w:val="000000"/>
          <w:kern w:val="0"/>
        </w:rPr>
        <w:t>”“</w:t>
      </w:r>
      <w:r w:rsidRPr="00CC5E4B">
        <w:rPr>
          <w:color w:val="000000"/>
          <w:kern w:val="0"/>
        </w:rPr>
        <w:t>种粮宝</w:t>
      </w:r>
      <w:r w:rsidRPr="00CC5E4B">
        <w:rPr>
          <w:rFonts w:ascii="宋体" w:eastAsia="宋体" w:hAnsi="宋体" w:cs="宋体" w:hint="eastAsia"/>
          <w:color w:val="000000"/>
          <w:kern w:val="0"/>
        </w:rPr>
        <w:t>”</w:t>
      </w:r>
      <w:r w:rsidRPr="00CC5E4B">
        <w:rPr>
          <w:color w:val="000000"/>
          <w:kern w:val="0"/>
        </w:rPr>
        <w:t>等应用集中上线；要素运营期，公司进一步将技术能力向</w:t>
      </w:r>
      <w:r w:rsidRPr="00CC5E4B">
        <w:rPr>
          <w:rFonts w:ascii="宋体" w:eastAsia="宋体" w:hAnsi="宋体" w:cs="宋体" w:hint="eastAsia"/>
          <w:color w:val="000000"/>
          <w:kern w:val="0"/>
        </w:rPr>
        <w:t>“</w:t>
      </w:r>
      <w:r w:rsidRPr="00CC5E4B">
        <w:rPr>
          <w:color w:val="000000"/>
          <w:kern w:val="0"/>
        </w:rPr>
        <w:t>智慧教育</w:t>
      </w:r>
      <w:r w:rsidRPr="00CC5E4B">
        <w:rPr>
          <w:rFonts w:ascii="宋体" w:eastAsia="宋体" w:hAnsi="宋体" w:cs="宋体" w:hint="eastAsia"/>
          <w:color w:val="000000"/>
          <w:kern w:val="0"/>
        </w:rPr>
        <w:t>”“</w:t>
      </w:r>
      <w:r w:rsidRPr="00CC5E4B">
        <w:rPr>
          <w:color w:val="000000"/>
          <w:kern w:val="0"/>
        </w:rPr>
        <w:t>数字人社</w:t>
      </w:r>
      <w:r w:rsidRPr="00CC5E4B">
        <w:rPr>
          <w:rFonts w:ascii="宋体" w:eastAsia="宋体" w:hAnsi="宋体" w:cs="宋体" w:hint="eastAsia"/>
          <w:color w:val="000000"/>
          <w:kern w:val="0"/>
        </w:rPr>
        <w:t>”</w:t>
      </w:r>
      <w:r w:rsidRPr="00CC5E4B">
        <w:rPr>
          <w:color w:val="000000"/>
          <w:kern w:val="0"/>
        </w:rPr>
        <w:t>等民生服务领域延伸，形成六大类垂直解决方案。所有方案均已在嘉兴市域内形成实际落地项目，服务于城市治理效能提升与公共服务优化，验证了技术体系在实际业务场景中的适用性与有效性。</w:t>
      </w:r>
    </w:p>
    <w:p w14:paraId="0D88C53F" w14:textId="487139C0" w:rsidR="00CC5E4B" w:rsidRPr="00E2232F" w:rsidRDefault="00E2232F" w:rsidP="00E2232F">
      <w:pPr>
        <w:pStyle w:val="af7"/>
        <w:ind w:firstLine="0" w:firstLineChars="0"/>
        <w:jc w:val="center"/>
        <w:rPr>
          <w:rFonts w:asciiTheme="majorHAnsi" w:eastAsia="黑体" w:hAnsiTheme="majorHAnsi"/>
          <w:sz w:val="20"/>
          <w:szCs w:val="20"/>
        </w:rPr>
      </w:pPr>
      <w:bookmarkStart w:id="108" w:name="_Toc236779326"/>
      <w:r>
        <w:rPr/>
        <w:lastRenderedPageBreak/>
        <w:t>表</w:t>
      </w:r>
      <w:r>
        <w:rPr/>
        <w:t xml:space="preserve"> </w:t>
      </w:r>
      <w:r>
        <w:fldChar w:fldCharType="begin"/>
      </w:r>
      <w:r>
        <w:instrText xml:space="preserve"> </w:instrText>
      </w:r>
      <w:r>
        <w:rPr/>
        <w:instrText>STYLEREF 1 \s</w:instrText>
      </w:r>
      <w:r>
        <w:instrText xml:space="preserve"> </w:instrText>
      </w:r>
      <w:r>
        <w:fldChar w:fldCharType="separate"/>
      </w:r>
      <w:r>
        <w:rPr>
          <w:noProof/>
        </w:rPr>
        <w:t>2</w:t>
      </w:r>
      <w:r>
        <w:fldChar w:fldCharType="end"/>
      </w:r>
      <w:r>
        <w:noBreakHyphen/>
      </w:r>
      <w:r>
        <w:fldChar w:fldCharType="begin"/>
      </w:r>
      <w:r>
        <w:instrText xml:space="preserve"> </w:instrText>
      </w:r>
      <w:r>
        <w:rPr/>
        <w:instrText xml:space="preserve">SEQ </w:instrText>
      </w:r>
      <w:r>
        <w:rPr/>
        <w:instrText>表</w:instrText>
      </w:r>
      <w:r>
        <w:rPr/>
        <w:instrText xml:space="preserve"> \* ARABIC \s 1</w:instrText>
      </w:r>
      <w:r>
        <w:instrText xml:space="preserve"> </w:instrText>
      </w:r>
      <w:r>
        <w:fldChar w:fldCharType="separate"/>
      </w:r>
      <w:r>
        <w:rPr>
          <w:noProof/>
        </w:rPr>
        <w:t>2</w:t>
      </w:r>
      <w:r>
        <w:fldChar w:fldCharType="end"/>
      </w:r>
      <w:r w:rsidR="00CC5E4B" w:rsidRPr="00CC5E4B">
        <w:rPr>
          <w:kern w:val="0"/>
        </w:rPr>
        <w:t>嘉数公司产品层汇总表</w:t>
      </w:r>
      <w:bookmarkEnd w:id="108"/>
    </w:p>
    <w:tbl>
      <w:tblPr>
        <w:tblStyle w:val="SanXian"/>
        <w:tblW w:w="8519" w:type="dxa"/>
        <w:jc w:val="center"/>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Pr>
      <w:tblGrid>
        <w:gridCol w:w="1207"/>
        <w:gridCol w:w="3366"/>
        <w:gridCol w:w="3946"/>
      </w:tblGrid>
      <w:tr w:rsidR="00CC5E4B" w:rsidRPr="00CC5E4B" w14:paraId="37C46658" w14:textId="77777777">
        <w:trPr>
          <w:jc w:val="center"/>
        </w:trPr>
        <w:tc>
          <w:tcPr>
            <w:tcW w:w="1207" w:type="dxa"/>
            <w:tcBorders>
              <w:top w:val="single" w:sz="12" w:space="0" w:color="000000"/>
              <w:left w:val="none" w:sz="0" w:space="0" w:color="auto"/>
              <w:bottom w:val="single" w:sz="6" w:space="0" w:color="000000"/>
              <w:right w:val="none" w:sz="0" w:space="0" w:color="auto"/>
            </w:tcBorders>
            <w:vAlign w:val="center"/>
            <w:hideMark/>
          </w:tcPr>
          <w:p w14:paraId="5303BE34" w14:textId="77777777" w:rsidR="00CC5E4B" w:rsidRPr="00CC5E4B" w:rsidRDefault="00CC5E4B" w:rsidP="00CC5E4B">
            <w:pPr>
              <w:widowControl/>
              <w:autoSpaceDE w:val="0"/>
              <w:snapToGrid w:val="0"/>
              <w:spacing w:line="480" w:lineRule="exact"/>
              <w:ind w:firstLine="0" w:firstLineChars="0"/>
              <w:jc w:val="center"/>
              <w:rPr>
                <w:rFonts w:eastAsia="仿宋_GB2312"/>
                <w:color w:val="000000"/>
                <w:kern w:val="0"/>
                <w:szCs w:val="24"/>
              </w:rPr>
            </w:pPr>
            <w:r w:rsidRPr="00CC5E4B">
              <w:rPr>
                <w:rFonts w:ascii="宋体" w:eastAsia="宋体" w:hAnsi="宋体" w:cs="宋体"/>
                <w:color w:val="000000"/>
                <w:kern w:val="0"/>
                <w:szCs w:val="21"/>
                <w:sz w:val="21"/>
              </w:rPr>
              <w:t>应用场景</w:t>
            </w:r>
          </w:p>
        </w:tc>
        <w:tc>
          <w:tcPr>
            <w:tcW w:w="3366" w:type="dxa"/>
            <w:tcBorders>
              <w:top w:val="single" w:sz="12" w:space="0" w:color="000000"/>
              <w:left w:val="none" w:sz="0" w:space="0" w:color="auto"/>
              <w:bottom w:val="single" w:sz="6" w:space="0" w:color="000000"/>
              <w:right w:val="none" w:sz="0" w:space="0" w:color="auto"/>
            </w:tcBorders>
            <w:vAlign w:val="center"/>
            <w:hideMark/>
          </w:tcPr>
          <w:p w14:paraId="51A4B332" w14:textId="77777777" w:rsidR="00CC5E4B" w:rsidRPr="00CC5E4B" w:rsidRDefault="00CC5E4B" w:rsidP="00CC5E4B">
            <w:pPr>
              <w:widowControl/>
              <w:autoSpaceDE w:val="0"/>
              <w:snapToGrid w:val="0"/>
              <w:spacing w:line="480" w:lineRule="exact"/>
              <w:ind w:firstLine="0" w:firstLineChars="0"/>
              <w:jc w:val="center"/>
              <w:rPr>
                <w:rFonts w:eastAsia="仿宋_GB2312"/>
                <w:color w:val="000000"/>
                <w:kern w:val="0"/>
                <w:szCs w:val="24"/>
              </w:rPr>
            </w:pPr>
            <w:r w:rsidRPr="00CC5E4B">
              <w:rPr>
                <w:rFonts w:ascii="宋体" w:eastAsia="宋体" w:hAnsi="宋体" w:cs="宋体"/>
                <w:color w:val="000000"/>
                <w:kern w:val="0"/>
                <w:szCs w:val="21"/>
                <w:sz w:val="21"/>
              </w:rPr>
              <w:t>核心产品</w:t>
            </w:r>
          </w:p>
        </w:tc>
        <w:tc>
          <w:tcPr>
            <w:tcW w:w="3946" w:type="dxa"/>
            <w:tcBorders>
              <w:top w:val="single" w:sz="12" w:space="0" w:color="000000"/>
              <w:left w:val="none" w:sz="0" w:space="0" w:color="auto"/>
              <w:bottom w:val="single" w:sz="6" w:space="0" w:color="000000"/>
              <w:right w:val="none" w:sz="0" w:space="0" w:color="auto"/>
            </w:tcBorders>
            <w:vAlign w:val="center"/>
            <w:hideMark/>
          </w:tcPr>
          <w:p w14:paraId="367B6AFE" w14:textId="77777777" w:rsidR="00CC5E4B" w:rsidRPr="00CC5E4B" w:rsidRDefault="00CC5E4B" w:rsidP="00CC5E4B">
            <w:pPr>
              <w:widowControl/>
              <w:autoSpaceDE w:val="0"/>
              <w:snapToGrid w:val="0"/>
              <w:spacing w:line="480" w:lineRule="exact"/>
              <w:ind w:firstLine="0" w:firstLineChars="0"/>
              <w:jc w:val="center"/>
              <w:rPr>
                <w:rFonts w:eastAsia="仿宋_GB2312"/>
                <w:color w:val="000000"/>
                <w:kern w:val="0"/>
                <w:szCs w:val="24"/>
              </w:rPr>
            </w:pPr>
            <w:r w:rsidRPr="00CC5E4B">
              <w:rPr>
                <w:rFonts w:ascii="宋体" w:eastAsia="宋体" w:hAnsi="宋体" w:cs="宋体"/>
                <w:color w:val="000000"/>
                <w:kern w:val="0"/>
                <w:szCs w:val="21"/>
                <w:sz w:val="21"/>
              </w:rPr>
              <w:t>公共价值</w:t>
            </w:r>
          </w:p>
        </w:tc>
      </w:tr>
      <w:tr w:rsidR="00CC5E4B" w:rsidRPr="00CC5E4B" w14:paraId="7AEF75F5" w14:textId="77777777">
        <w:trPr>
          <w:jc w:val="center"/>
        </w:trPr>
        <w:tc>
          <w:tcPr>
            <w:tcW w:w="1207" w:type="dxa"/>
            <w:tcBorders>
              <w:left w:val="none" w:sz="0" w:space="0" w:color="auto"/>
              <w:right w:val="none" w:sz="0" w:space="0" w:color="auto"/>
            </w:tcBorders>
            <w:vAlign w:val="center"/>
            <w:hideMark/>
          </w:tcPr>
          <w:p w14:paraId="0497102B" w14:textId="77777777" w:rsidR="00CC5E4B" w:rsidRPr="00CC5E4B" w:rsidRDefault="00CC5E4B" w:rsidP="00CC5E4B">
            <w:pPr>
              <w:widowControl/>
              <w:autoSpaceDE w:val="0"/>
              <w:snapToGrid w:val="0"/>
              <w:spacing w:line="480" w:lineRule="exact"/>
              <w:ind w:firstLine="0" w:firstLineChars="0"/>
              <w:jc w:val="center"/>
              <w:rPr>
                <w:rFonts w:eastAsia="仿宋_GB2312"/>
                <w:color w:val="000000"/>
                <w:kern w:val="0"/>
                <w:szCs w:val="24"/>
              </w:rPr>
            </w:pPr>
            <w:r w:rsidRPr="00CC5E4B">
              <w:rPr>
                <w:rFonts w:ascii="宋体" w:eastAsia="宋体" w:hAnsi="宋体" w:cs="宋体"/>
                <w:color w:val="000000"/>
                <w:kern w:val="0"/>
                <w:szCs w:val="21"/>
                <w:sz w:val="21"/>
              </w:rPr>
              <w:t>智慧教育</w:t>
            </w:r>
          </w:p>
        </w:tc>
        <w:tc>
          <w:tcPr>
            <w:tcW w:w="3366" w:type="dxa"/>
            <w:tcBorders>
              <w:left w:val="none" w:sz="0" w:space="0" w:color="auto"/>
              <w:right w:val="none" w:sz="0" w:space="0" w:color="auto"/>
            </w:tcBorders>
            <w:vAlign w:val="center"/>
            <w:hideMark/>
          </w:tcPr>
          <w:p w14:paraId="3253FF10" w14:textId="77777777" w:rsidR="00CC5E4B" w:rsidRPr="00CC5E4B" w:rsidRDefault="00CC5E4B" w:rsidP="00CC5E4B">
            <w:pPr>
              <w:widowControl/>
              <w:autoSpaceDE w:val="0"/>
              <w:snapToGrid w:val="0"/>
              <w:spacing w:line="480" w:lineRule="exact"/>
              <w:ind w:firstLine="0" w:firstLineChars="0"/>
              <w:jc w:val="center"/>
              <w:rPr>
                <w:rFonts w:eastAsia="仿宋_GB2312"/>
                <w:color w:val="000000"/>
                <w:kern w:val="0"/>
                <w:szCs w:val="24"/>
              </w:rPr>
            </w:pPr>
            <w:r w:rsidRPr="00CC5E4B">
              <w:rPr>
                <w:rFonts w:ascii="宋体" w:eastAsia="宋体" w:hAnsi="宋体" w:cs="宋体"/>
                <w:color w:val="000000"/>
                <w:kern w:val="0"/>
                <w:szCs w:val="21"/>
                <w:sz w:val="21"/>
              </w:rPr>
              <w:t>招生一体化、研学管理平台</w:t>
            </w:r>
          </w:p>
        </w:tc>
        <w:tc>
          <w:tcPr>
            <w:tcW w:w="3946" w:type="dxa"/>
            <w:tcBorders>
              <w:left w:val="none" w:sz="0" w:space="0" w:color="auto"/>
              <w:right w:val="none" w:sz="0" w:space="0" w:color="auto"/>
            </w:tcBorders>
            <w:vAlign w:val="center"/>
            <w:hideMark/>
          </w:tcPr>
          <w:p w14:paraId="5B6CE08D" w14:textId="77777777" w:rsidR="00CC5E4B" w:rsidRPr="00CC5E4B" w:rsidRDefault="00CC5E4B" w:rsidP="00CC5E4B">
            <w:pPr>
              <w:widowControl/>
              <w:autoSpaceDE w:val="0"/>
              <w:snapToGrid w:val="0"/>
              <w:spacing w:line="480" w:lineRule="exact"/>
              <w:ind w:firstLine="0" w:firstLineChars="0"/>
              <w:jc w:val="center"/>
              <w:rPr>
                <w:rFonts w:eastAsia="仿宋_GB2312"/>
                <w:color w:val="000000"/>
                <w:kern w:val="0"/>
                <w:szCs w:val="24"/>
              </w:rPr>
            </w:pPr>
            <w:r w:rsidRPr="00CC5E4B">
              <w:rPr>
                <w:rFonts w:ascii="宋体" w:eastAsia="宋体" w:hAnsi="宋体" w:cs="宋体"/>
                <w:color w:val="000000"/>
                <w:kern w:val="0"/>
                <w:szCs w:val="21"/>
                <w:sz w:val="21"/>
              </w:rPr>
              <w:t>优化教育资源配置，推进服务均等化</w:t>
            </w:r>
          </w:p>
        </w:tc>
      </w:tr>
      <w:tr w:rsidR="00CC5E4B" w:rsidRPr="00CC5E4B" w14:paraId="6F35861E" w14:textId="77777777">
        <w:trPr>
          <w:jc w:val="center"/>
        </w:trPr>
        <w:tc>
          <w:tcPr>
            <w:tcW w:w="1207" w:type="dxa"/>
            <w:tcBorders>
              <w:left w:val="none" w:sz="0" w:space="0" w:color="auto"/>
              <w:right w:val="none" w:sz="0" w:space="0" w:color="auto"/>
            </w:tcBorders>
            <w:vAlign w:val="center"/>
            <w:hideMark/>
          </w:tcPr>
          <w:p w14:paraId="4F8D380E" w14:textId="77777777" w:rsidR="00CC5E4B" w:rsidRPr="00CC5E4B" w:rsidRDefault="00CC5E4B" w:rsidP="00CC5E4B">
            <w:pPr>
              <w:widowControl/>
              <w:autoSpaceDE w:val="0"/>
              <w:snapToGrid w:val="0"/>
              <w:spacing w:line="480" w:lineRule="exact"/>
              <w:ind w:firstLine="0" w:firstLineChars="0"/>
              <w:jc w:val="center"/>
              <w:rPr>
                <w:rFonts w:eastAsia="仿宋_GB2312"/>
                <w:color w:val="000000"/>
                <w:kern w:val="0"/>
                <w:szCs w:val="24"/>
              </w:rPr>
            </w:pPr>
            <w:r w:rsidRPr="00CC5E4B">
              <w:rPr>
                <w:rFonts w:ascii="宋体" w:eastAsia="宋体" w:hAnsi="宋体" w:cs="宋体"/>
                <w:color w:val="000000"/>
                <w:kern w:val="0"/>
                <w:szCs w:val="21"/>
                <w:sz w:val="21"/>
              </w:rPr>
              <w:t>智慧交通</w:t>
            </w:r>
          </w:p>
        </w:tc>
        <w:tc>
          <w:tcPr>
            <w:tcW w:w="3366" w:type="dxa"/>
            <w:tcBorders>
              <w:left w:val="none" w:sz="0" w:space="0" w:color="auto"/>
              <w:right w:val="none" w:sz="0" w:space="0" w:color="auto"/>
            </w:tcBorders>
            <w:vAlign w:val="center"/>
            <w:hideMark/>
          </w:tcPr>
          <w:p w14:paraId="77AC5B42" w14:textId="77777777" w:rsidR="00CC5E4B" w:rsidRPr="00CC5E4B" w:rsidRDefault="00CC5E4B" w:rsidP="00CC5E4B">
            <w:pPr>
              <w:widowControl/>
              <w:autoSpaceDE w:val="0"/>
              <w:snapToGrid w:val="0"/>
              <w:spacing w:line="480" w:lineRule="exact"/>
              <w:ind w:firstLine="0" w:firstLineChars="0"/>
              <w:jc w:val="center"/>
              <w:rPr>
                <w:rFonts w:eastAsia="仿宋_GB2312"/>
                <w:color w:val="000000"/>
                <w:kern w:val="0"/>
                <w:szCs w:val="24"/>
              </w:rPr>
            </w:pPr>
            <w:r w:rsidRPr="00CC5E4B">
              <w:rPr>
                <w:rFonts w:ascii="宋体" w:eastAsia="宋体" w:hAnsi="宋体" w:cs="宋体"/>
                <w:color w:val="000000"/>
                <w:kern w:val="0"/>
                <w:szCs w:val="21"/>
                <w:sz w:val="21"/>
              </w:rPr>
              <w:t>事故云快处、交通违法</w:t>
            </w:r>
            <w:r w:rsidRPr="00CC5E4B">
              <w:rPr>
                <w:rFonts w:eastAsia="宋体" w:ascii="宋体" w:hAnsi="宋体" w:cs="宋体"/>
                <w:color w:val="000000"/>
                <w:kern w:val="0"/>
                <w:szCs w:val="21"/>
                <w:sz w:val="21"/>
              </w:rPr>
              <w:t>AI</w:t>
            </w:r>
            <w:r w:rsidRPr="00CC5E4B">
              <w:rPr>
                <w:rFonts w:ascii="宋体" w:eastAsia="宋体" w:hAnsi="宋体" w:cs="宋体"/>
                <w:color w:val="000000"/>
                <w:kern w:val="0"/>
                <w:szCs w:val="21"/>
                <w:sz w:val="21"/>
              </w:rPr>
              <w:t>识别</w:t>
            </w:r>
          </w:p>
        </w:tc>
        <w:tc>
          <w:tcPr>
            <w:tcW w:w="3946" w:type="dxa"/>
            <w:tcBorders>
              <w:left w:val="none" w:sz="0" w:space="0" w:color="auto"/>
              <w:right w:val="none" w:sz="0" w:space="0" w:color="auto"/>
            </w:tcBorders>
            <w:vAlign w:val="center"/>
            <w:hideMark/>
          </w:tcPr>
          <w:p w14:paraId="2A35DB94" w14:textId="77777777" w:rsidR="00CC5E4B" w:rsidRPr="00CC5E4B" w:rsidRDefault="00CC5E4B" w:rsidP="00CC5E4B">
            <w:pPr>
              <w:widowControl/>
              <w:autoSpaceDE w:val="0"/>
              <w:snapToGrid w:val="0"/>
              <w:spacing w:line="480" w:lineRule="exact"/>
              <w:ind w:firstLine="0" w:firstLineChars="0"/>
              <w:jc w:val="center"/>
              <w:rPr>
                <w:rFonts w:eastAsia="仿宋_GB2312"/>
                <w:color w:val="000000"/>
                <w:kern w:val="0"/>
                <w:szCs w:val="24"/>
              </w:rPr>
            </w:pPr>
            <w:r w:rsidRPr="00CC5E4B">
              <w:rPr>
                <w:rFonts w:ascii="宋体" w:eastAsia="宋体" w:hAnsi="宋体" w:cs="宋体"/>
                <w:color w:val="000000"/>
                <w:kern w:val="0"/>
                <w:szCs w:val="21"/>
                <w:sz w:val="21"/>
              </w:rPr>
              <w:t>提升通行效率，重塑事故处理流程</w:t>
            </w:r>
          </w:p>
        </w:tc>
      </w:tr>
      <w:tr w:rsidR="00CC5E4B" w:rsidRPr="00CC5E4B" w14:paraId="4DE33EB7" w14:textId="77777777">
        <w:trPr>
          <w:jc w:val="center"/>
        </w:trPr>
        <w:tc>
          <w:tcPr>
            <w:tcW w:w="1207" w:type="dxa"/>
            <w:tcBorders>
              <w:left w:val="none" w:sz="0" w:space="0" w:color="auto"/>
              <w:right w:val="none" w:sz="0" w:space="0" w:color="auto"/>
            </w:tcBorders>
            <w:vAlign w:val="center"/>
            <w:hideMark/>
          </w:tcPr>
          <w:p w14:paraId="7367266E" w14:textId="77777777" w:rsidR="00CC5E4B" w:rsidRPr="00CC5E4B" w:rsidRDefault="00CC5E4B" w:rsidP="00CC5E4B">
            <w:pPr>
              <w:widowControl/>
              <w:autoSpaceDE w:val="0"/>
              <w:snapToGrid w:val="0"/>
              <w:spacing w:line="480" w:lineRule="exact"/>
              <w:ind w:firstLine="0" w:firstLineChars="0"/>
              <w:jc w:val="center"/>
              <w:rPr>
                <w:rFonts w:eastAsia="仿宋_GB2312"/>
                <w:color w:val="000000"/>
                <w:kern w:val="0"/>
                <w:szCs w:val="24"/>
              </w:rPr>
            </w:pPr>
            <w:r w:rsidRPr="00CC5E4B">
              <w:rPr>
                <w:rFonts w:ascii="宋体" w:eastAsia="宋体" w:hAnsi="宋体" w:cs="宋体"/>
                <w:color w:val="000000"/>
                <w:kern w:val="0"/>
                <w:szCs w:val="21"/>
                <w:sz w:val="21"/>
              </w:rPr>
              <w:t>社会治理</w:t>
            </w:r>
          </w:p>
        </w:tc>
        <w:tc>
          <w:tcPr>
            <w:tcW w:w="3366" w:type="dxa"/>
            <w:tcBorders>
              <w:left w:val="none" w:sz="0" w:space="0" w:color="auto"/>
              <w:right w:val="none" w:sz="0" w:space="0" w:color="auto"/>
            </w:tcBorders>
            <w:vAlign w:val="center"/>
            <w:hideMark/>
          </w:tcPr>
          <w:p w14:paraId="573A3BC7" w14:textId="77777777" w:rsidR="00CC5E4B" w:rsidRPr="00CC5E4B" w:rsidRDefault="00CC5E4B" w:rsidP="00CC5E4B">
            <w:pPr>
              <w:widowControl/>
              <w:autoSpaceDE w:val="0"/>
              <w:snapToGrid w:val="0"/>
              <w:spacing w:line="480" w:lineRule="exact"/>
              <w:ind w:firstLine="0" w:firstLineChars="0"/>
              <w:jc w:val="center"/>
              <w:rPr>
                <w:rFonts w:eastAsia="仿宋_GB2312"/>
                <w:color w:val="000000"/>
                <w:kern w:val="0"/>
                <w:szCs w:val="24"/>
              </w:rPr>
            </w:pPr>
            <w:r w:rsidRPr="00CC5E4B">
              <w:rPr>
                <w:rFonts w:ascii="宋体" w:eastAsia="宋体" w:hAnsi="宋体" w:cs="宋体"/>
                <w:color w:val="000000"/>
                <w:kern w:val="0"/>
                <w:szCs w:val="21"/>
                <w:sz w:val="21"/>
              </w:rPr>
              <w:t>联合行政检查预警系统</w:t>
            </w:r>
          </w:p>
        </w:tc>
        <w:tc>
          <w:tcPr>
            <w:tcW w:w="3946" w:type="dxa"/>
            <w:tcBorders>
              <w:left w:val="none" w:sz="0" w:space="0" w:color="auto"/>
              <w:right w:val="none" w:sz="0" w:space="0" w:color="auto"/>
            </w:tcBorders>
            <w:vAlign w:val="center"/>
            <w:hideMark/>
          </w:tcPr>
          <w:p w14:paraId="701417D5" w14:textId="77777777" w:rsidR="00CC5E4B" w:rsidRPr="00CC5E4B" w:rsidRDefault="00CC5E4B" w:rsidP="00CC5E4B">
            <w:pPr>
              <w:widowControl/>
              <w:autoSpaceDE w:val="0"/>
              <w:snapToGrid w:val="0"/>
              <w:spacing w:line="480" w:lineRule="exact"/>
              <w:ind w:firstLine="0" w:firstLineChars="0"/>
              <w:jc w:val="center"/>
              <w:rPr>
                <w:rFonts w:eastAsia="仿宋_GB2312"/>
                <w:color w:val="000000"/>
                <w:kern w:val="0"/>
                <w:szCs w:val="24"/>
              </w:rPr>
            </w:pPr>
            <w:r w:rsidRPr="00CC5E4B">
              <w:rPr>
                <w:rFonts w:ascii="宋体" w:eastAsia="宋体" w:hAnsi="宋体" w:cs="宋体"/>
                <w:color w:val="000000"/>
                <w:kern w:val="0"/>
                <w:szCs w:val="21"/>
                <w:sz w:val="21"/>
              </w:rPr>
              <w:t>构建执法闭环，提升治理精准度</w:t>
            </w:r>
          </w:p>
        </w:tc>
      </w:tr>
      <w:tr w:rsidR="00CC5E4B" w:rsidRPr="00CC5E4B" w14:paraId="0C072C02" w14:textId="77777777">
        <w:trPr>
          <w:jc w:val="center"/>
        </w:trPr>
        <w:tc>
          <w:tcPr>
            <w:tcW w:w="1207" w:type="dxa"/>
            <w:tcBorders>
              <w:left w:val="none" w:sz="0" w:space="0" w:color="auto"/>
              <w:right w:val="none" w:sz="0" w:space="0" w:color="auto"/>
            </w:tcBorders>
            <w:vAlign w:val="center"/>
            <w:hideMark/>
          </w:tcPr>
          <w:p w14:paraId="21E9C188" w14:textId="77777777" w:rsidR="00CC5E4B" w:rsidRPr="00CC5E4B" w:rsidRDefault="00CC5E4B" w:rsidP="00CC5E4B">
            <w:pPr>
              <w:widowControl/>
              <w:autoSpaceDE w:val="0"/>
              <w:snapToGrid w:val="0"/>
              <w:spacing w:line="480" w:lineRule="exact"/>
              <w:ind w:firstLine="0" w:firstLineChars="0"/>
              <w:jc w:val="center"/>
              <w:rPr>
                <w:rFonts w:eastAsia="仿宋_GB2312"/>
                <w:color w:val="000000"/>
                <w:kern w:val="0"/>
                <w:szCs w:val="24"/>
              </w:rPr>
            </w:pPr>
            <w:r w:rsidRPr="00CC5E4B">
              <w:rPr>
                <w:rFonts w:ascii="宋体" w:eastAsia="宋体" w:hAnsi="宋体" w:cs="宋体"/>
                <w:color w:val="000000"/>
                <w:kern w:val="0"/>
                <w:szCs w:val="21"/>
                <w:sz w:val="21"/>
              </w:rPr>
              <w:t>数字乡村</w:t>
            </w:r>
          </w:p>
        </w:tc>
        <w:tc>
          <w:tcPr>
            <w:tcW w:w="3366" w:type="dxa"/>
            <w:tcBorders>
              <w:left w:val="none" w:sz="0" w:space="0" w:color="auto"/>
              <w:right w:val="none" w:sz="0" w:space="0" w:color="auto"/>
            </w:tcBorders>
            <w:vAlign w:val="center"/>
            <w:hideMark/>
          </w:tcPr>
          <w:p w14:paraId="1FB24A16" w14:textId="77777777" w:rsidR="00CC5E4B" w:rsidRPr="00CC5E4B" w:rsidRDefault="00CC5E4B" w:rsidP="00CC5E4B">
            <w:pPr>
              <w:widowControl/>
              <w:autoSpaceDE w:val="0"/>
              <w:snapToGrid w:val="0"/>
              <w:spacing w:line="480" w:lineRule="exact"/>
              <w:ind w:firstLine="0" w:firstLineChars="0"/>
              <w:jc w:val="center"/>
              <w:rPr>
                <w:rFonts w:eastAsia="仿宋_GB2312"/>
                <w:color w:val="000000"/>
                <w:kern w:val="0"/>
                <w:szCs w:val="24"/>
              </w:rPr>
            </w:pPr>
            <w:r w:rsidRPr="00CC5E4B">
              <w:rPr>
                <w:rFonts w:ascii="宋体" w:eastAsia="宋体" w:hAnsi="宋体" w:cs="宋体"/>
                <w:color w:val="000000"/>
                <w:kern w:val="0"/>
                <w:szCs w:val="21"/>
                <w:sz w:val="21"/>
              </w:rPr>
              <w:t>粮食生产、数字化管理平台</w:t>
            </w:r>
          </w:p>
        </w:tc>
        <w:tc>
          <w:tcPr>
            <w:tcW w:w="3946" w:type="dxa"/>
            <w:tcBorders>
              <w:left w:val="none" w:sz="0" w:space="0" w:color="auto"/>
              <w:right w:val="none" w:sz="0" w:space="0" w:color="auto"/>
            </w:tcBorders>
            <w:vAlign w:val="center"/>
            <w:hideMark/>
          </w:tcPr>
          <w:p w14:paraId="15D0F301" w14:textId="77777777" w:rsidR="00CC5E4B" w:rsidRPr="00CC5E4B" w:rsidRDefault="00CC5E4B" w:rsidP="00CC5E4B">
            <w:pPr>
              <w:widowControl/>
              <w:autoSpaceDE w:val="0"/>
              <w:snapToGrid w:val="0"/>
              <w:spacing w:line="480" w:lineRule="exact"/>
              <w:ind w:firstLine="0" w:firstLineChars="0"/>
              <w:jc w:val="center"/>
              <w:rPr>
                <w:rFonts w:eastAsia="仿宋_GB2312"/>
                <w:color w:val="000000"/>
                <w:kern w:val="0"/>
                <w:szCs w:val="24"/>
              </w:rPr>
            </w:pPr>
            <w:r w:rsidRPr="00CC5E4B">
              <w:rPr>
                <w:rFonts w:ascii="宋体" w:eastAsia="宋体" w:hAnsi="宋体" w:cs="宋体"/>
                <w:color w:val="000000"/>
                <w:kern w:val="0"/>
                <w:szCs w:val="21"/>
                <w:sz w:val="21"/>
              </w:rPr>
              <w:t>保障粮食安全，助力乡村振兴</w:t>
            </w:r>
          </w:p>
        </w:tc>
      </w:tr>
      <w:tr w:rsidR="00CC5E4B" w:rsidRPr="00CC5E4B" w14:paraId="5A59F947" w14:textId="77777777">
        <w:trPr>
          <w:jc w:val="center"/>
        </w:trPr>
        <w:tc>
          <w:tcPr>
            <w:tcW w:w="1207" w:type="dxa"/>
            <w:tcBorders>
              <w:left w:val="none" w:sz="0" w:space="0" w:color="auto"/>
              <w:right w:val="none" w:sz="0" w:space="0" w:color="auto"/>
            </w:tcBorders>
            <w:vAlign w:val="center"/>
            <w:hideMark/>
          </w:tcPr>
          <w:p w14:paraId="0A2FF683" w14:textId="77777777" w:rsidR="00CC5E4B" w:rsidRPr="00CC5E4B" w:rsidRDefault="00CC5E4B" w:rsidP="00CC5E4B">
            <w:pPr>
              <w:widowControl/>
              <w:autoSpaceDE w:val="0"/>
              <w:snapToGrid w:val="0"/>
              <w:spacing w:line="480" w:lineRule="exact"/>
              <w:ind w:firstLine="0" w:firstLineChars="0"/>
              <w:jc w:val="center"/>
              <w:rPr>
                <w:rFonts w:eastAsia="仿宋_GB2312"/>
                <w:color w:val="000000"/>
                <w:kern w:val="0"/>
                <w:szCs w:val="24"/>
              </w:rPr>
            </w:pPr>
            <w:r w:rsidRPr="00CC5E4B">
              <w:rPr>
                <w:rFonts w:ascii="宋体" w:eastAsia="宋体" w:hAnsi="宋体" w:cs="宋体"/>
                <w:color w:val="000000"/>
                <w:kern w:val="0"/>
                <w:szCs w:val="21"/>
                <w:sz w:val="21"/>
              </w:rPr>
              <w:t>数字人社</w:t>
            </w:r>
          </w:p>
        </w:tc>
        <w:tc>
          <w:tcPr>
            <w:tcW w:w="3366" w:type="dxa"/>
            <w:tcBorders>
              <w:left w:val="none" w:sz="0" w:space="0" w:color="auto"/>
              <w:right w:val="none" w:sz="0" w:space="0" w:color="auto"/>
            </w:tcBorders>
            <w:vAlign w:val="center"/>
            <w:hideMark/>
          </w:tcPr>
          <w:p w14:paraId="6D10B264" w14:textId="77777777" w:rsidR="00CC5E4B" w:rsidRPr="00CC5E4B" w:rsidRDefault="00CC5E4B" w:rsidP="00CC5E4B">
            <w:pPr>
              <w:widowControl/>
              <w:autoSpaceDE w:val="0"/>
              <w:snapToGrid w:val="0"/>
              <w:spacing w:line="480" w:lineRule="exact"/>
              <w:ind w:firstLine="0" w:firstLineChars="0"/>
              <w:jc w:val="center"/>
              <w:rPr>
                <w:rFonts w:eastAsia="仿宋_GB2312"/>
                <w:color w:val="000000"/>
                <w:kern w:val="0"/>
                <w:szCs w:val="24"/>
              </w:rPr>
            </w:pPr>
            <w:r w:rsidRPr="00CC5E4B">
              <w:rPr>
                <w:rFonts w:ascii="宋体" w:eastAsia="宋体" w:hAnsi="宋体" w:cs="宋体"/>
                <w:color w:val="000000"/>
                <w:kern w:val="0"/>
                <w:szCs w:val="21"/>
                <w:sz w:val="21"/>
              </w:rPr>
              <w:t>灵活就业服务、人才服务系统</w:t>
            </w:r>
          </w:p>
        </w:tc>
        <w:tc>
          <w:tcPr>
            <w:tcW w:w="3946" w:type="dxa"/>
            <w:tcBorders>
              <w:left w:val="none" w:sz="0" w:space="0" w:color="auto"/>
              <w:right w:val="none" w:sz="0" w:space="0" w:color="auto"/>
            </w:tcBorders>
            <w:vAlign w:val="center"/>
            <w:hideMark/>
          </w:tcPr>
          <w:p w14:paraId="34988603" w14:textId="77777777" w:rsidR="00CC5E4B" w:rsidRPr="00CC5E4B" w:rsidRDefault="00CC5E4B" w:rsidP="00CC5E4B">
            <w:pPr>
              <w:widowControl/>
              <w:autoSpaceDE w:val="0"/>
              <w:snapToGrid w:val="0"/>
              <w:spacing w:line="480" w:lineRule="exact"/>
              <w:ind w:firstLine="0" w:firstLineChars="0"/>
              <w:jc w:val="center"/>
              <w:rPr>
                <w:rFonts w:eastAsia="仿宋_GB2312"/>
                <w:color w:val="000000"/>
                <w:kern w:val="0"/>
                <w:szCs w:val="24"/>
              </w:rPr>
            </w:pPr>
            <w:r w:rsidRPr="00CC5E4B">
              <w:rPr>
                <w:rFonts w:ascii="宋体" w:eastAsia="宋体" w:hAnsi="宋体" w:cs="宋体"/>
                <w:color w:val="000000"/>
                <w:kern w:val="0"/>
                <w:szCs w:val="21"/>
                <w:sz w:val="21"/>
              </w:rPr>
              <w:t>促进就业创业，优化人才环境</w:t>
            </w:r>
          </w:p>
        </w:tc>
      </w:tr>
      <w:tr w:rsidR="00CC5E4B" w:rsidRPr="00CC5E4B" w14:paraId="2AAD6AE3" w14:textId="77777777">
        <w:trPr>
          <w:jc w:val="center"/>
        </w:trPr>
        <w:tc>
          <w:tcPr>
            <w:tcW w:w="1207" w:type="dxa"/>
            <w:tcBorders>
              <w:left w:val="none" w:sz="0" w:space="0" w:color="auto"/>
              <w:bottom w:val="single" w:sz="12" w:space="0" w:color="000000"/>
              <w:right w:val="none" w:sz="0" w:space="0" w:color="auto"/>
            </w:tcBorders>
            <w:vAlign w:val="center"/>
            <w:hideMark/>
          </w:tcPr>
          <w:p w14:paraId="48BD10FA" w14:textId="77777777" w:rsidR="00CC5E4B" w:rsidRPr="00CC5E4B" w:rsidRDefault="00CC5E4B" w:rsidP="00CC5E4B">
            <w:pPr>
              <w:widowControl/>
              <w:autoSpaceDE w:val="0"/>
              <w:snapToGrid w:val="0"/>
              <w:spacing w:line="480" w:lineRule="exact"/>
              <w:ind w:firstLine="0" w:firstLineChars="0"/>
              <w:jc w:val="center"/>
              <w:rPr>
                <w:rFonts w:eastAsia="仿宋_GB2312"/>
                <w:color w:val="000000"/>
                <w:kern w:val="0"/>
                <w:szCs w:val="24"/>
              </w:rPr>
            </w:pPr>
            <w:r w:rsidRPr="00CC5E4B">
              <w:rPr>
                <w:rFonts w:ascii="宋体" w:eastAsia="宋体" w:hAnsi="宋体" w:cs="宋体"/>
                <w:color w:val="000000"/>
                <w:kern w:val="0"/>
                <w:szCs w:val="21"/>
                <w:sz w:val="21"/>
              </w:rPr>
              <w:t>智慧园区</w:t>
            </w:r>
          </w:p>
        </w:tc>
        <w:tc>
          <w:tcPr>
            <w:tcW w:w="3366" w:type="dxa"/>
            <w:tcBorders>
              <w:left w:val="none" w:sz="0" w:space="0" w:color="auto"/>
              <w:bottom w:val="single" w:sz="12" w:space="0" w:color="000000"/>
              <w:right w:val="none" w:sz="0" w:space="0" w:color="auto"/>
            </w:tcBorders>
            <w:vAlign w:val="center"/>
            <w:hideMark/>
          </w:tcPr>
          <w:p w14:paraId="18412E26" w14:textId="77777777" w:rsidR="00CC5E4B" w:rsidRPr="00CC5E4B" w:rsidRDefault="00CC5E4B" w:rsidP="00CC5E4B">
            <w:pPr>
              <w:widowControl/>
              <w:autoSpaceDE w:val="0"/>
              <w:snapToGrid w:val="0"/>
              <w:spacing w:line="480" w:lineRule="exact"/>
              <w:ind w:firstLine="0" w:firstLineChars="0"/>
              <w:jc w:val="center"/>
              <w:rPr>
                <w:rFonts w:eastAsia="仿宋_GB2312"/>
                <w:color w:val="000000"/>
                <w:kern w:val="0"/>
                <w:szCs w:val="24"/>
              </w:rPr>
            </w:pPr>
            <w:r w:rsidRPr="00CC5E4B">
              <w:rPr>
                <w:rFonts w:ascii="宋体" w:eastAsia="宋体" w:hAnsi="宋体" w:cs="宋体"/>
                <w:color w:val="000000"/>
                <w:kern w:val="0"/>
                <w:szCs w:val="21"/>
                <w:sz w:val="21"/>
              </w:rPr>
              <w:t>智慧后勤、安全隐患监测</w:t>
            </w:r>
          </w:p>
        </w:tc>
        <w:tc>
          <w:tcPr>
            <w:tcW w:w="3946" w:type="dxa"/>
            <w:tcBorders>
              <w:left w:val="none" w:sz="0" w:space="0" w:color="auto"/>
              <w:bottom w:val="single" w:sz="12" w:space="0" w:color="000000"/>
              <w:right w:val="none" w:sz="0" w:space="0" w:color="auto"/>
            </w:tcBorders>
            <w:vAlign w:val="center"/>
            <w:hideMark/>
          </w:tcPr>
          <w:p w14:paraId="17942DCA" w14:textId="77777777" w:rsidR="00CC5E4B" w:rsidRPr="00CC5E4B" w:rsidRDefault="00CC5E4B" w:rsidP="00CC5E4B">
            <w:pPr>
              <w:widowControl/>
              <w:autoSpaceDE w:val="0"/>
              <w:snapToGrid w:val="0"/>
              <w:spacing w:line="480" w:lineRule="exact"/>
              <w:ind w:firstLine="0" w:firstLineChars="0"/>
              <w:jc w:val="center"/>
              <w:rPr>
                <w:rFonts w:eastAsia="仿宋_GB2312"/>
                <w:color w:val="000000"/>
                <w:kern w:val="0"/>
                <w:szCs w:val="24"/>
              </w:rPr>
            </w:pPr>
            <w:r w:rsidRPr="00CC5E4B">
              <w:rPr>
                <w:rFonts w:ascii="宋体" w:eastAsia="宋体" w:hAnsi="宋体" w:cs="宋体"/>
                <w:color w:val="000000"/>
                <w:kern w:val="0"/>
                <w:szCs w:val="21"/>
                <w:sz w:val="21"/>
              </w:rPr>
              <w:t>提升园区管理效率，保障公共安全</w:t>
            </w:r>
          </w:p>
        </w:tc>
      </w:tr>
    </w:tbl>
    <w:p w14:paraId="59EA4B66" w14:textId="3C413182" w:rsidR="00CC5E4B" w:rsidRPr="00CC5E4B" w:rsidRDefault="00CC5E4B" w:rsidP="00CC5E4B">
      <w:pPr>
        <w:pStyle w:val="2"/>
        <w:spacing w:before="156" w:after="156"/>
      </w:pPr>
      <w:bookmarkStart w:id="109" w:name="_Toc236777503"/>
      <w:bookmarkStart w:id="110" w:name="_Toc236777876"/>
      <w:bookmarkStart w:id="111" w:name="_Toc236777949"/>
      <w:r w:rsidRPr="00CC5E4B">
        <w:t>资质认证与行业声誉</w:t>
      </w:r>
      <w:bookmarkEnd w:id="109"/>
      <w:bookmarkEnd w:id="110"/>
      <w:bookmarkEnd w:id="111"/>
    </w:p>
    <w:p>
      <w:pPr>
        <w:spacing w:line="360" w:lineRule="auto"/>
        <w:ind w:firstLineChars="200" w:firstLine="480"/>
        <w:jc w:val="both"/>
        <w:rPr>
          <w:color w:val="FF0000"/>
          <w:lang w:eastAsia="zh-CN"/>
        </w:rPr>
      </w:pPr>
      <w:r>
        <w:rPr>
          <w:color w:val="FF0000"/>
          <w:lang w:eastAsia="zh-CN"/>
        </w:rPr>
        <w:t xml:space="preserve">嘉数公司成立以来，其技术能力与服务水平持续获得外部权威机构的阶段性确认。资质认证之所以值得作为独立一节加以考察，原因在于它是少数不依赖企业自述、可由第三方核验的能力证据：认证机构的评审标准公开、评审过程外部化，其授予时点与所确认的能力维度因而可以作为观察企业能力演进的客观标尺。从各项关键资质与行业荣誉的获得时间来看，一条清晰的能力进阶轨迹与公司战略发展阶段的演进高度吻合，二者的对应关系并非事后拼接，而是可以逐年比对的。</w:t>
      </w:r>
    </w:p>
    <w:p w14:paraId="2968589F" w14:textId="77777777" w:rsidR="00CC5E4B" w:rsidRPr="00CC5E4B" w:rsidRDefault="00CC5E4B" w:rsidP="00CC5E4B">
      <w:pPr>
        <w:widowControl/>
        <w:autoSpaceDE w:val="0"/>
        <w:spacing w:before="120" w:after="120" w:line="360" w:lineRule="auto"/>
        <w:ind w:firstLine="480" w:firstLineChars="200"/>
        <w:jc w:val="both"/>
        <w:rPr>
          <w:rFonts w:eastAsia="仿宋_GB2312"/>
          <w:color w:val="000000"/>
          <w:kern w:val="0"/>
          <w:szCs w:val="24"/>
        </w:rPr>
      </w:pPr>
      <w:r w:rsidRPr="00CC5E4B">
        <w:rPr>
          <w:color w:val="000000"/>
          <w:kern w:val="0"/>
        </w:rPr>
        <w:t>2021</w:t>
      </w:r>
      <w:r w:rsidRPr="00CC5E4B">
        <w:rPr>
          <w:color w:val="000000"/>
          <w:kern w:val="0"/>
        </w:rPr>
        <w:t>至</w:t>
      </w:r>
      <w:r w:rsidRPr="00CC5E4B">
        <w:rPr>
          <w:color w:val="000000"/>
          <w:kern w:val="0"/>
        </w:rPr>
        <w:t>2022</w:t>
      </w:r>
      <w:r w:rsidRPr="00CC5E4B">
        <w:rPr>
          <w:color w:val="000000"/>
          <w:kern w:val="0"/>
        </w:rPr>
        <w:t>年，公司先后通过</w:t>
      </w:r>
      <w:r w:rsidRPr="00CC5E4B">
        <w:rPr>
          <w:color w:val="000000"/>
          <w:kern w:val="0"/>
        </w:rPr>
        <w:t>CS1</w:t>
      </w:r>
      <w:r w:rsidRPr="00CC5E4B">
        <w:rPr>
          <w:color w:val="000000"/>
          <w:kern w:val="0"/>
        </w:rPr>
        <w:t>级信息系统建设和服务能力认证、</w:t>
      </w:r>
      <w:r w:rsidRPr="00CC5E4B">
        <w:rPr>
          <w:color w:val="000000"/>
          <w:kern w:val="0"/>
        </w:rPr>
        <w:t>CMMI3</w:t>
      </w:r>
      <w:r w:rsidRPr="00CC5E4B">
        <w:rPr>
          <w:color w:val="000000"/>
          <w:kern w:val="0"/>
        </w:rPr>
        <w:t>级软件能力成熟度认证及</w:t>
      </w:r>
      <w:r w:rsidRPr="00CC5E4B">
        <w:rPr>
          <w:color w:val="000000"/>
          <w:kern w:val="0"/>
        </w:rPr>
        <w:t>ITSS</w:t>
      </w:r>
      <w:r w:rsidRPr="00CC5E4B">
        <w:rPr>
          <w:color w:val="000000"/>
          <w:kern w:val="0"/>
        </w:rPr>
        <w:t>运维能力成熟度三级认证，标志着公司在信息系统建设、软件开发规范和运维服务能力方面具备了承接大型城市数字化项目的基本工程资质，也印证了基础平台研发是在规范化的工程管理体系之上展开的；</w:t>
      </w:r>
      <w:r w:rsidRPr="00CC5E4B">
        <w:rPr>
          <w:color w:val="000000"/>
          <w:kern w:val="0"/>
        </w:rPr>
        <w:t>2023</w:t>
      </w:r>
      <w:r w:rsidRPr="00CC5E4B">
        <w:rPr>
          <w:color w:val="000000"/>
          <w:kern w:val="0"/>
        </w:rPr>
        <w:t>年，公司接连入选国家级博士后科研工作站、通过</w:t>
      </w:r>
      <w:r w:rsidRPr="00CC5E4B">
        <w:rPr>
          <w:color w:val="000000"/>
          <w:kern w:val="0"/>
        </w:rPr>
        <w:t>CMMI5</w:t>
      </w:r>
      <w:r w:rsidRPr="00CC5E4B">
        <w:rPr>
          <w:color w:val="000000"/>
          <w:kern w:val="0"/>
        </w:rPr>
        <w:t>级（国际最高等级）软件能力成熟度认证，其高层次人才平台建设与研发管理能力已达到行业领先水平，这一阶段的资质跃升恰好对应了行业应用集中开发对研发管理能力提出的更高要求；</w:t>
      </w:r>
      <w:r w:rsidRPr="00CC5E4B">
        <w:rPr>
          <w:color w:val="000000"/>
          <w:kern w:val="0"/>
        </w:rPr>
        <w:t>2024</w:t>
      </w:r>
      <w:r w:rsidRPr="00CC5E4B">
        <w:rPr>
          <w:color w:val="000000"/>
          <w:kern w:val="0"/>
        </w:rPr>
        <w:t>年，随着公司数据管理能力成熟度</w:t>
      </w:r>
      <w:r w:rsidRPr="00CC5E4B">
        <w:rPr>
          <w:color w:val="000000"/>
          <w:kern w:val="0"/>
        </w:rPr>
        <w:t>DCMM</w:t>
      </w:r>
      <w:r w:rsidRPr="00CC5E4B">
        <w:rPr>
          <w:color w:val="000000"/>
          <w:kern w:val="0"/>
        </w:rPr>
        <w:t>三级认证的获得与首批</w:t>
      </w:r>
      <w:r w:rsidRPr="00CC5E4B">
        <w:rPr>
          <w:rFonts w:ascii="宋体" w:eastAsia="宋体" w:hAnsi="宋体" w:cs="宋体" w:hint="eastAsia"/>
          <w:color w:val="000000"/>
          <w:kern w:val="0"/>
        </w:rPr>
        <w:lastRenderedPageBreak/>
        <w:t>“</w:t>
      </w:r>
      <w:r w:rsidRPr="00CC5E4B">
        <w:rPr>
          <w:color w:val="000000"/>
          <w:kern w:val="0"/>
        </w:rPr>
        <w:t>成长型浙江数商</w:t>
      </w:r>
      <w:r w:rsidRPr="00CC5E4B">
        <w:rPr>
          <w:rFonts w:ascii="宋体" w:eastAsia="宋体" w:hAnsi="宋体" w:cs="宋体" w:hint="eastAsia"/>
          <w:color w:val="000000"/>
          <w:kern w:val="0"/>
        </w:rPr>
        <w:t>”</w:t>
      </w:r>
      <w:r w:rsidRPr="00CC5E4B">
        <w:rPr>
          <w:color w:val="000000"/>
          <w:kern w:val="0"/>
        </w:rPr>
        <w:t>的入选，从数据治理与数据要素市场化两个维度确认了公司的核心能力转型，支撑了公司从</w:t>
      </w:r>
      <w:r w:rsidRPr="00CC5E4B">
        <w:rPr>
          <w:rFonts w:ascii="宋体" w:eastAsia="宋体" w:hAnsi="宋体" w:cs="宋体" w:hint="eastAsia"/>
          <w:color w:val="000000"/>
          <w:kern w:val="0"/>
        </w:rPr>
        <w:t>“</w:t>
      </w:r>
      <w:r w:rsidRPr="00CC5E4B">
        <w:rPr>
          <w:color w:val="000000"/>
          <w:kern w:val="0"/>
        </w:rPr>
        <w:t>做项目</w:t>
      </w:r>
      <w:r w:rsidRPr="00CC5E4B">
        <w:rPr>
          <w:rFonts w:ascii="宋体" w:eastAsia="宋体" w:hAnsi="宋体" w:cs="宋体" w:hint="eastAsia"/>
          <w:color w:val="000000"/>
          <w:kern w:val="0"/>
        </w:rPr>
        <w:t>”</w:t>
      </w:r>
      <w:r w:rsidRPr="00CC5E4B">
        <w:rPr>
          <w:color w:val="000000"/>
          <w:kern w:val="0"/>
        </w:rPr>
        <w:t>向</w:t>
      </w:r>
      <w:r w:rsidRPr="00CC5E4B">
        <w:rPr>
          <w:rFonts w:ascii="宋体" w:eastAsia="宋体" w:hAnsi="宋体" w:cs="宋体" w:hint="eastAsia"/>
          <w:color w:val="000000"/>
          <w:kern w:val="0"/>
        </w:rPr>
        <w:t>“</w:t>
      </w:r>
      <w:r w:rsidRPr="00CC5E4B">
        <w:rPr>
          <w:color w:val="000000"/>
          <w:kern w:val="0"/>
        </w:rPr>
        <w:t>运营数据</w:t>
      </w:r>
      <w:r w:rsidRPr="00CC5E4B">
        <w:rPr>
          <w:rFonts w:ascii="宋体" w:eastAsia="宋体" w:hAnsi="宋体" w:cs="宋体" w:hint="eastAsia"/>
          <w:color w:val="000000"/>
          <w:kern w:val="0"/>
        </w:rPr>
        <w:t>”</w:t>
      </w:r>
      <w:r w:rsidRPr="00CC5E4B">
        <w:rPr>
          <w:color w:val="000000"/>
          <w:kern w:val="0"/>
        </w:rPr>
        <w:t>的战略升级；</w:t>
      </w:r>
      <w:r w:rsidRPr="00CC5E4B">
        <w:rPr>
          <w:color w:val="000000"/>
          <w:kern w:val="0"/>
        </w:rPr>
        <w:t>2025</w:t>
      </w:r>
      <w:r w:rsidRPr="00CC5E4B">
        <w:rPr>
          <w:color w:val="000000"/>
          <w:kern w:val="0"/>
        </w:rPr>
        <w:t>年，公司参与编制的国家标准《智慧城市城市智能中枢参考架构》（</w:t>
      </w:r>
      <w:r w:rsidRPr="00CC5E4B">
        <w:rPr>
          <w:color w:val="000000"/>
          <w:kern w:val="0"/>
        </w:rPr>
        <w:t>GB/T 45402-2025</w:t>
      </w:r>
      <w:r w:rsidRPr="00CC5E4B">
        <w:rPr>
          <w:color w:val="000000"/>
          <w:kern w:val="0"/>
        </w:rPr>
        <w:t>）正式发布，其实践经验开始向行业规范转化。参与国家标准的制定，意味着一家企业的技术路线和实践经验获得了行业层面的认可，这正是品牌外溢期最核心的标志。上述认证与荣誉并非孤立的事件性罗列，而是一条逐层递进的外部确认链条，印证了公司从</w:t>
      </w:r>
      <w:r w:rsidRPr="00CC5E4B">
        <w:rPr>
          <w:rFonts w:ascii="宋体" w:eastAsia="宋体" w:hAnsi="宋体" w:cs="宋体" w:hint="eastAsia"/>
          <w:color w:val="000000"/>
          <w:kern w:val="0"/>
        </w:rPr>
        <w:t>“</w:t>
      </w:r>
      <w:r w:rsidRPr="00CC5E4B">
        <w:rPr>
          <w:color w:val="000000"/>
          <w:kern w:val="0"/>
        </w:rPr>
        <w:t>项目建设能力</w:t>
      </w:r>
      <w:r w:rsidRPr="00CC5E4B">
        <w:rPr>
          <w:rFonts w:ascii="宋体" w:eastAsia="宋体" w:hAnsi="宋体" w:cs="宋体" w:hint="eastAsia"/>
          <w:color w:val="000000"/>
          <w:kern w:val="0"/>
        </w:rPr>
        <w:t>”</w:t>
      </w:r>
      <w:r w:rsidRPr="00CC5E4B">
        <w:rPr>
          <w:color w:val="000000"/>
          <w:kern w:val="0"/>
        </w:rPr>
        <w:t>到</w:t>
      </w:r>
      <w:r w:rsidRPr="00CC5E4B">
        <w:rPr>
          <w:rFonts w:ascii="宋体" w:eastAsia="宋体" w:hAnsi="宋体" w:cs="宋体" w:hint="eastAsia"/>
          <w:color w:val="000000"/>
          <w:kern w:val="0"/>
        </w:rPr>
        <w:t>“</w:t>
      </w:r>
      <w:r w:rsidRPr="00CC5E4B">
        <w:rPr>
          <w:color w:val="000000"/>
          <w:kern w:val="0"/>
        </w:rPr>
        <w:t>数据运营能力</w:t>
      </w:r>
      <w:r w:rsidRPr="00CC5E4B">
        <w:rPr>
          <w:rFonts w:ascii="宋体" w:eastAsia="宋体" w:hAnsi="宋体" w:cs="宋体" w:hint="eastAsia"/>
          <w:color w:val="000000"/>
          <w:kern w:val="0"/>
        </w:rPr>
        <w:t>”</w:t>
      </w:r>
      <w:r w:rsidRPr="00CC5E4B">
        <w:rPr>
          <w:color w:val="000000"/>
          <w:kern w:val="0"/>
        </w:rPr>
        <w:t>再到</w:t>
      </w:r>
      <w:r w:rsidRPr="00CC5E4B">
        <w:rPr>
          <w:rFonts w:ascii="宋体" w:eastAsia="宋体" w:hAnsi="宋体" w:cs="宋体" w:hint="eastAsia"/>
          <w:color w:val="000000"/>
          <w:kern w:val="0"/>
        </w:rPr>
        <w:t>“</w:t>
      </w:r>
      <w:r w:rsidRPr="00CC5E4B">
        <w:rPr>
          <w:color w:val="000000"/>
          <w:kern w:val="0"/>
        </w:rPr>
        <w:t>行业话语能力</w:t>
      </w:r>
      <w:r w:rsidRPr="00CC5E4B">
        <w:rPr>
          <w:rFonts w:ascii="宋体" w:eastAsia="宋体" w:hAnsi="宋体" w:cs="宋体" w:hint="eastAsia"/>
          <w:color w:val="000000"/>
          <w:kern w:val="0"/>
        </w:rPr>
        <w:t>”</w:t>
      </w:r>
      <w:r w:rsidRPr="00CC5E4B">
        <w:rPr>
          <w:color w:val="000000"/>
          <w:kern w:val="0"/>
        </w:rPr>
        <w:t>的持续跃迁。表</w:t>
      </w:r>
      <w:r w:rsidRPr="00CC5E4B">
        <w:rPr>
          <w:color w:val="000000"/>
          <w:kern w:val="0"/>
        </w:rPr>
        <w:t>2-3</w:t>
      </w:r>
      <w:r w:rsidRPr="00CC5E4B">
        <w:rPr>
          <w:color w:val="000000"/>
          <w:kern w:val="0"/>
        </w:rPr>
        <w:t>汇总了各项关键认证对应的战略阶段与能力含义。</w:t>
      </w:r>
    </w:p>
    <w:p w14:paraId="7D65BA3C" w14:textId="52E717FC" w:rsidR="00B610B0" w:rsidRPr="00E2232F" w:rsidRDefault="00E2232F" w:rsidP="00E2232F">
      <w:pPr>
        <w:pStyle w:val="af7"/>
        <w:ind w:firstLine="0" w:firstLineChars="0"/>
        <w:jc w:val="center"/>
        <w:rPr>
          <w:rFonts w:eastAsia="黑体" w:cstheme="majorBidi" w:hint="eastAsia"/>
          <w:szCs w:val="20"/>
        </w:rPr>
      </w:pPr>
      <w:bookmarkStart w:id="112" w:name="_Toc236779327"/>
      <w:r>
        <w:rPr/>
        <w:t>表</w:t>
      </w:r>
      <w:r>
        <w:rPr/>
        <w:t xml:space="preserve"> </w:t>
      </w:r>
      <w:r>
        <w:rPr/>
        <w:fldChar w:fldCharType="begin"/>
      </w:r>
      <w:r>
        <w:rPr/>
        <w:instrText xml:space="preserve"> STYLEREF 1 \s </w:instrText>
      </w:r>
      <w:r>
        <w:rPr/>
        <w:fldChar w:fldCharType="separate"/>
      </w:r>
      <w:r>
        <w:rPr>
          <w:noProof/>
        </w:rPr>
        <w:t>2</w:t>
      </w:r>
      <w:r>
        <w:rPr/>
        <w:fldChar w:fldCharType="end"/>
      </w:r>
      <w:r>
        <w:rPr/>
        <w:noBreakHyphen/>
      </w:r>
      <w:r>
        <w:rPr/>
        <w:fldChar w:fldCharType="begin"/>
      </w:r>
      <w:r>
        <w:rPr/>
        <w:instrText xml:space="preserve"> SEQ </w:instrText>
      </w:r>
      <w:r>
        <w:rPr/>
        <w:instrText>表</w:instrText>
      </w:r>
      <w:r>
        <w:rPr/>
        <w:instrText xml:space="preserve"> \* ARABIC \s 1 </w:instrText>
      </w:r>
      <w:r>
        <w:rPr/>
        <w:fldChar w:fldCharType="separate"/>
      </w:r>
      <w:r>
        <w:rPr>
          <w:noProof/>
        </w:rPr>
        <w:t>3</w:t>
      </w:r>
      <w:r>
        <w:rPr/>
        <w:fldChar w:fldCharType="end"/>
      </w:r>
      <w:r w:rsidR="00CC5E4B" w:rsidRPr="00CC5E4B">
        <w:rPr>
          <w:kern w:val="0"/>
        </w:rPr>
        <w:t xml:space="preserve">资质 </w:t>
      </w:r>
      <w:r w:rsidR="00CC5E4B" w:rsidRPr="00CC5E4B">
        <w:rPr>
          <w:kern w:val="0"/>
        </w:rPr>
        <w:t xml:space="preserve">- </w:t>
      </w:r>
      <w:r w:rsidR="00CC5E4B" w:rsidRPr="00CC5E4B">
        <w:rPr>
          <w:kern w:val="0"/>
        </w:rPr>
        <w:t>阶段对应表</w:t>
      </w:r>
      <w:bookmarkEnd w:id="112"/>
    </w:p>
    <w:tbl>
      <w:tblPr>
        <w:tblStyle w:val="SanXian"/>
        <w:tblW w:w="8522" w:type="dxa"/>
        <w:jc w:val="center"/>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CellMar>
          <w:top w:w="15" w:type="dxa"/>
          <w:left w:w="15" w:type="dxa"/>
          <w:bottom w:w="15" w:type="dxa"/>
          <w:right w:w="15" w:type="dxa"/>
        </w:tblCellMar>
        <w:tblLook w:val="04A0" w:firstRow="1" w:lastRow="0" w:firstColumn="1" w:lastColumn="0" w:noHBand="0" w:noVBand="1"/>
      </w:tblPr>
      <w:tblGrid>
        <w:gridCol w:w="1442"/>
        <w:gridCol w:w="2906"/>
        <w:gridCol w:w="1655"/>
        <w:gridCol w:w="2064"/>
        <w:gridCol w:w="455"/>
      </w:tblGrid>
      <w:tr w:rsidR="00B610B0" w:rsidRPr="00B610B0" w14:paraId="1AADD5AA" w14:textId="77777777" w:rsidTr="00B610B0">
        <w:trPr>
          <w:gridAfter w:val="1"/>
          <w:wAfter w:w="455" w:type="dxa"/>
          <w:jc w:val="center"/>
        </w:trPr>
        <w:tc>
          <w:tcPr>
            <w:tcW w:w="1442" w:type="dxa"/>
            <w:tcBorders>
              <w:top w:val="single" w:sz="12" w:space="0" w:color="000000"/>
              <w:left w:val="none" w:sz="0" w:space="0" w:color="auto"/>
              <w:bottom w:val="single" w:sz="6" w:space="0" w:color="000000"/>
              <w:right w:val="none" w:sz="0" w:space="0" w:color="auto"/>
            </w:tcBorders>
            <w:tcMar>
              <w:top w:w="120" w:type="dxa"/>
              <w:left w:w="160" w:type="dxa"/>
              <w:bottom w:w="120" w:type="dxa"/>
              <w:right w:w="160" w:type="dxa"/>
            </w:tcMar>
            <w:vAlign w:val="center"/>
            <w:hideMark/>
          </w:tcPr>
          <w:p w14:paraId="42A692FF" w14:textId="77777777" w:rsidR="00B610B0" w:rsidRPr="00B610B0" w:rsidRDefault="00B610B0" w:rsidP="00B610B0">
            <w:pPr>
              <w:keepNext/>
              <w:widowControl/>
              <w:autoSpaceDE w:val="0"/>
              <w:snapToGrid w:val="0"/>
              <w:spacing w:line="240" w:lineRule="auto"/>
              <w:ind w:firstLineChars="0" w:firstLine="0"/>
              <w:jc w:val="center"/>
              <w:textAlignment w:val="center"/>
              <w:rPr>
                <w:rFonts w:ascii="黑体" w:eastAsia="黑体" w:hAnsi="黑体" w:cs="宋体"/>
                <w:color w:val="000000"/>
                <w:kern w:val="0"/>
                <w:szCs w:val="24"/>
              </w:rPr>
            </w:pPr>
            <w:r w:rsidRPr="00B610B0">
              <w:rPr>
                <w:rFonts w:ascii="宋体" w:eastAsia="宋体" w:hAnsi="宋体" w:cs="宋体"/>
                <w:color w:val="000000"/>
                <w:kern w:val="0"/>
                <w:szCs w:val="21"/>
                <w:sz w:val="21"/>
              </w:rPr>
              <w:t>战略阶段</w:t>
            </w:r>
          </w:p>
        </w:tc>
        <w:tc>
          <w:tcPr>
            <w:tcW w:w="2906" w:type="dxa"/>
            <w:tcBorders>
              <w:top w:val="single" w:sz="12" w:space="0" w:color="000000"/>
              <w:left w:val="none" w:sz="0" w:space="0" w:color="auto"/>
              <w:bottom w:val="single" w:sz="6" w:space="0" w:color="000000"/>
              <w:right w:val="none" w:sz="0" w:space="0" w:color="auto"/>
            </w:tcBorders>
            <w:tcMar>
              <w:top w:w="120" w:type="dxa"/>
              <w:left w:w="160" w:type="dxa"/>
              <w:bottom w:w="120" w:type="dxa"/>
              <w:right w:w="160" w:type="dxa"/>
            </w:tcMar>
            <w:vAlign w:val="center"/>
            <w:hideMark/>
          </w:tcPr>
          <w:p w14:paraId="0B621C94" w14:textId="77777777" w:rsidR="00B610B0" w:rsidRPr="00B610B0" w:rsidRDefault="00B610B0" w:rsidP="00B610B0">
            <w:pPr>
              <w:keepNext/>
              <w:widowControl/>
              <w:autoSpaceDE w:val="0"/>
              <w:snapToGrid w:val="0"/>
              <w:spacing w:line="240" w:lineRule="auto"/>
              <w:ind w:firstLineChars="0" w:firstLine="0"/>
              <w:jc w:val="center"/>
              <w:textAlignment w:val="center"/>
              <w:rPr>
                <w:rFonts w:eastAsia="仿宋_GB2312"/>
                <w:color w:val="000000"/>
                <w:kern w:val="0"/>
                <w:szCs w:val="24"/>
              </w:rPr>
            </w:pPr>
            <w:r w:rsidRPr="00B610B0">
              <w:rPr>
                <w:rFonts w:ascii="宋体" w:eastAsia="宋体" w:hAnsi="宋体" w:cs="宋体"/>
                <w:color w:val="000000"/>
                <w:kern w:val="0"/>
                <w:szCs w:val="21"/>
                <w:sz w:val="21"/>
              </w:rPr>
              <w:t>关键资质</w:t>
            </w:r>
            <w:r w:rsidRPr="00B610B0">
              <w:rPr>
                <w:rFonts w:eastAsia="宋体" w:ascii="宋体" w:hAnsi="宋体" w:cs="宋体"/>
                <w:color w:val="000000"/>
                <w:kern w:val="0"/>
                <w:szCs w:val="21"/>
                <w:sz w:val="21"/>
              </w:rPr>
              <w:t>/</w:t>
            </w:r>
            <w:r w:rsidRPr="00B610B0">
              <w:rPr>
                <w:rFonts w:ascii="宋体" w:eastAsia="宋体" w:hAnsi="宋体" w:cs="宋体"/>
                <w:color w:val="000000"/>
                <w:kern w:val="0"/>
                <w:szCs w:val="21"/>
                <w:sz w:val="21"/>
              </w:rPr>
              <w:t>荣誉</w:t>
            </w:r>
          </w:p>
        </w:tc>
        <w:tc>
          <w:tcPr>
            <w:tcW w:w="1655" w:type="dxa"/>
            <w:tcBorders>
              <w:top w:val="single" w:sz="12" w:space="0" w:color="000000"/>
              <w:left w:val="none" w:sz="0" w:space="0" w:color="auto"/>
              <w:bottom w:val="single" w:sz="6" w:space="0" w:color="000000"/>
              <w:right w:val="none" w:sz="0" w:space="0" w:color="auto"/>
            </w:tcBorders>
            <w:tcMar>
              <w:top w:w="120" w:type="dxa"/>
              <w:left w:w="160" w:type="dxa"/>
              <w:bottom w:w="120" w:type="dxa"/>
              <w:right w:w="160" w:type="dxa"/>
            </w:tcMar>
            <w:vAlign w:val="center"/>
            <w:hideMark/>
          </w:tcPr>
          <w:p w14:paraId="4DEF085F" w14:textId="77777777" w:rsidR="00B610B0" w:rsidRPr="00B610B0" w:rsidRDefault="00B610B0" w:rsidP="00B610B0">
            <w:pPr>
              <w:keepNext/>
              <w:widowControl/>
              <w:autoSpaceDE w:val="0"/>
              <w:snapToGrid w:val="0"/>
              <w:spacing w:line="240" w:lineRule="auto"/>
              <w:ind w:firstLineChars="0" w:firstLine="0"/>
              <w:jc w:val="center"/>
              <w:textAlignment w:val="center"/>
              <w:rPr>
                <w:rFonts w:eastAsia="仿宋_GB2312"/>
                <w:color w:val="000000"/>
                <w:kern w:val="0"/>
                <w:szCs w:val="24"/>
              </w:rPr>
            </w:pPr>
            <w:r w:rsidRPr="00B610B0">
              <w:rPr>
                <w:rFonts w:ascii="宋体" w:eastAsia="宋体" w:hAnsi="宋体" w:cs="宋体"/>
                <w:color w:val="000000"/>
                <w:kern w:val="0"/>
                <w:szCs w:val="21"/>
                <w:sz w:val="21"/>
              </w:rPr>
              <w:t>获得时间</w:t>
            </w:r>
          </w:p>
        </w:tc>
        <w:tc>
          <w:tcPr>
            <w:tcW w:w="2064" w:type="dxa"/>
            <w:tcBorders>
              <w:top w:val="single" w:sz="12" w:space="0" w:color="000000"/>
              <w:left w:val="none" w:sz="0" w:space="0" w:color="auto"/>
              <w:bottom w:val="single" w:sz="6" w:space="0" w:color="000000"/>
              <w:right w:val="none" w:sz="0" w:space="0" w:color="auto"/>
            </w:tcBorders>
            <w:tcMar>
              <w:top w:w="120" w:type="dxa"/>
              <w:left w:w="160" w:type="dxa"/>
              <w:bottom w:w="120" w:type="dxa"/>
              <w:right w:w="160" w:type="dxa"/>
            </w:tcMar>
            <w:vAlign w:val="center"/>
            <w:hideMark/>
          </w:tcPr>
          <w:p w14:paraId="6620FD99" w14:textId="77777777" w:rsidR="00B610B0" w:rsidRPr="00B610B0" w:rsidRDefault="00B610B0" w:rsidP="00B610B0">
            <w:pPr>
              <w:keepNext/>
              <w:widowControl/>
              <w:autoSpaceDE w:val="0"/>
              <w:snapToGrid w:val="0"/>
              <w:spacing w:line="240" w:lineRule="auto"/>
              <w:ind w:firstLineChars="0" w:firstLine="0"/>
              <w:jc w:val="center"/>
              <w:textAlignment w:val="center"/>
              <w:rPr>
                <w:rFonts w:eastAsia="仿宋_GB2312"/>
                <w:color w:val="000000"/>
                <w:kern w:val="0"/>
                <w:szCs w:val="24"/>
              </w:rPr>
            </w:pPr>
            <w:r w:rsidRPr="00B610B0">
              <w:rPr>
                <w:rFonts w:ascii="宋体" w:eastAsia="宋体" w:hAnsi="宋体" w:cs="宋体"/>
                <w:color w:val="000000"/>
                <w:kern w:val="0"/>
                <w:szCs w:val="21"/>
                <w:sz w:val="21"/>
              </w:rPr>
              <w:t>确认的能力维度</w:t>
            </w:r>
          </w:p>
        </w:tc>
      </w:tr>
      <w:tr w:rsidR="00B610B0" w:rsidRPr="00B610B0" w14:paraId="11860F90" w14:textId="77777777" w:rsidTr="00B610B0">
        <w:trPr>
          <w:gridAfter w:val="1"/>
          <w:wAfter w:w="455" w:type="dxa"/>
          <w:jc w:val="center"/>
        </w:trPr>
        <w:tc>
          <w:tcPr>
            <w:tcW w:w="1442" w:type="dxa"/>
            <w:tcBorders>
              <w:left w:val="none" w:sz="0" w:space="0" w:color="auto"/>
              <w:right w:val="none" w:sz="0" w:space="0" w:color="auto"/>
            </w:tcBorders>
            <w:tcMar>
              <w:top w:w="120" w:type="dxa"/>
              <w:left w:w="160" w:type="dxa"/>
              <w:bottom w:w="120" w:type="dxa"/>
              <w:right w:w="160" w:type="dxa"/>
            </w:tcMar>
            <w:vAlign w:val="center"/>
            <w:hideMark/>
          </w:tcPr>
          <w:p w14:paraId="19EA90A2" w14:textId="77777777" w:rsidR="00B610B0" w:rsidRPr="00B610B0" w:rsidRDefault="00B610B0" w:rsidP="00B610B0">
            <w:pPr>
              <w:keepNext/>
              <w:widowControl/>
              <w:autoSpaceDE w:val="0"/>
              <w:snapToGrid w:val="0"/>
              <w:spacing w:line="240" w:lineRule="auto"/>
              <w:ind w:firstLineChars="0" w:firstLine="0"/>
              <w:jc w:val="center"/>
              <w:textAlignment w:val="center"/>
              <w:rPr>
                <w:rFonts w:eastAsia="仿宋_GB2312"/>
                <w:color w:val="000000"/>
                <w:kern w:val="0"/>
                <w:szCs w:val="24"/>
              </w:rPr>
            </w:pPr>
            <w:r w:rsidRPr="00B610B0">
              <w:rPr>
                <w:rFonts w:ascii="宋体" w:eastAsia="宋体" w:hAnsi="宋体" w:cs="宋体"/>
                <w:color w:val="000000"/>
                <w:kern w:val="0"/>
                <w:szCs w:val="21"/>
                <w:sz w:val="21"/>
              </w:rPr>
              <w:t>平台搭建期</w:t>
            </w:r>
          </w:p>
        </w:tc>
        <w:tc>
          <w:tcPr>
            <w:tcW w:w="2906" w:type="dxa"/>
            <w:tcBorders>
              <w:left w:val="none" w:sz="0" w:space="0" w:color="auto"/>
              <w:right w:val="none" w:sz="0" w:space="0" w:color="auto"/>
            </w:tcBorders>
            <w:tcMar>
              <w:top w:w="120" w:type="dxa"/>
              <w:left w:w="160" w:type="dxa"/>
              <w:bottom w:w="120" w:type="dxa"/>
              <w:right w:w="160" w:type="dxa"/>
            </w:tcMar>
            <w:vAlign w:val="center"/>
            <w:hideMark/>
          </w:tcPr>
          <w:p w14:paraId="56BB6154" w14:textId="77777777" w:rsidR="00B610B0" w:rsidRPr="00B610B0" w:rsidRDefault="00B610B0" w:rsidP="00B610B0">
            <w:pPr>
              <w:keepNext/>
              <w:widowControl/>
              <w:autoSpaceDE w:val="0"/>
              <w:snapToGrid w:val="0"/>
              <w:spacing w:line="240" w:lineRule="auto"/>
              <w:ind w:firstLineChars="0" w:firstLine="0"/>
              <w:jc w:val="center"/>
              <w:textAlignment w:val="center"/>
              <w:rPr>
                <w:rFonts w:eastAsia="仿宋_GB2312"/>
                <w:color w:val="000000"/>
                <w:kern w:val="0"/>
                <w:szCs w:val="24"/>
              </w:rPr>
            </w:pPr>
            <w:r w:rsidRPr="00B610B0">
              <w:rPr>
                <w:rFonts w:eastAsia="宋体" w:ascii="宋体" w:hAnsi="宋体" w:cs="宋体"/>
                <w:color w:val="000000"/>
                <w:kern w:val="0"/>
                <w:szCs w:val="21"/>
                <w:sz w:val="21"/>
              </w:rPr>
              <w:t>CS1</w:t>
            </w:r>
            <w:r w:rsidRPr="00B610B0">
              <w:rPr>
                <w:rFonts w:ascii="宋体" w:eastAsia="宋体" w:hAnsi="宋体" w:cs="宋体"/>
                <w:color w:val="000000"/>
                <w:kern w:val="0"/>
                <w:szCs w:val="21"/>
                <w:sz w:val="21"/>
              </w:rPr>
              <w:t>级认证、</w:t>
            </w:r>
            <w:r w:rsidRPr="00B610B0">
              <w:rPr>
                <w:rFonts w:eastAsia="宋体" w:ascii="宋体" w:hAnsi="宋体" w:cs="宋体"/>
                <w:color w:val="000000"/>
                <w:kern w:val="0"/>
                <w:szCs w:val="21"/>
                <w:sz w:val="21"/>
              </w:rPr>
              <w:t>CMMI3</w:t>
            </w:r>
            <w:r w:rsidRPr="00B610B0">
              <w:rPr>
                <w:rFonts w:ascii="宋体" w:eastAsia="宋体" w:hAnsi="宋体" w:cs="宋体"/>
                <w:color w:val="000000"/>
                <w:kern w:val="0"/>
                <w:szCs w:val="21"/>
                <w:sz w:val="21"/>
              </w:rPr>
              <w:t>级、</w:t>
            </w:r>
            <w:r w:rsidRPr="00B610B0">
              <w:rPr>
                <w:rFonts w:eastAsia="宋体" w:ascii="宋体" w:hAnsi="宋体" w:cs="宋体"/>
                <w:color w:val="000000"/>
                <w:kern w:val="0"/>
                <w:szCs w:val="21"/>
                <w:sz w:val="21"/>
              </w:rPr>
              <w:t>ITSS</w:t>
            </w:r>
            <w:r w:rsidRPr="00B610B0">
              <w:rPr>
                <w:rFonts w:ascii="宋体" w:eastAsia="宋体" w:hAnsi="宋体" w:cs="宋体"/>
                <w:color w:val="000000"/>
                <w:kern w:val="0"/>
                <w:szCs w:val="21"/>
                <w:sz w:val="21"/>
              </w:rPr>
              <w:t>三级</w:t>
            </w:r>
          </w:p>
        </w:tc>
        <w:tc>
          <w:tcPr>
            <w:tcW w:w="1655" w:type="dxa"/>
            <w:tcBorders>
              <w:left w:val="none" w:sz="0" w:space="0" w:color="auto"/>
              <w:right w:val="none" w:sz="0" w:space="0" w:color="auto"/>
            </w:tcBorders>
            <w:tcMar>
              <w:top w:w="120" w:type="dxa"/>
              <w:left w:w="160" w:type="dxa"/>
              <w:bottom w:w="120" w:type="dxa"/>
              <w:right w:w="160" w:type="dxa"/>
            </w:tcMar>
            <w:vAlign w:val="center"/>
            <w:hideMark/>
          </w:tcPr>
          <w:p w14:paraId="6D91C27B" w14:textId="77777777" w:rsidR="00B610B0" w:rsidRPr="00B610B0" w:rsidRDefault="00B610B0" w:rsidP="00B610B0">
            <w:pPr>
              <w:keepNext/>
              <w:widowControl/>
              <w:autoSpaceDE w:val="0"/>
              <w:snapToGrid w:val="0"/>
              <w:spacing w:line="240" w:lineRule="auto"/>
              <w:ind w:firstLineChars="0" w:firstLine="0"/>
              <w:jc w:val="center"/>
              <w:textAlignment w:val="center"/>
              <w:rPr>
                <w:rFonts w:eastAsia="仿宋_GB2312"/>
                <w:color w:val="000000"/>
                <w:kern w:val="0"/>
                <w:szCs w:val="24"/>
              </w:rPr>
            </w:pPr>
            <w:r w:rsidRPr="00B610B0">
              <w:rPr>
                <w:rFonts w:eastAsia="宋体" w:ascii="宋体" w:hAnsi="宋体" w:cs="宋体"/>
                <w:color w:val="000000"/>
                <w:kern w:val="0"/>
                <w:szCs w:val="21"/>
                <w:sz w:val="21"/>
              </w:rPr>
              <w:t>2021-2022</w:t>
            </w:r>
            <w:r w:rsidRPr="00B610B0">
              <w:rPr>
                <w:rFonts w:ascii="宋体" w:eastAsia="宋体" w:hAnsi="宋体" w:cs="宋体"/>
                <w:color w:val="000000"/>
                <w:kern w:val="0"/>
                <w:szCs w:val="21"/>
                <w:sz w:val="21"/>
              </w:rPr>
              <w:t>年</w:t>
            </w:r>
          </w:p>
        </w:tc>
        <w:tc>
          <w:tcPr>
            <w:tcW w:w="2064" w:type="dxa"/>
            <w:tcBorders>
              <w:left w:val="none" w:sz="0" w:space="0" w:color="auto"/>
              <w:right w:val="none" w:sz="0" w:space="0" w:color="auto"/>
            </w:tcBorders>
            <w:tcMar>
              <w:top w:w="120" w:type="dxa"/>
              <w:left w:w="160" w:type="dxa"/>
              <w:bottom w:w="120" w:type="dxa"/>
              <w:right w:w="160" w:type="dxa"/>
            </w:tcMar>
            <w:vAlign w:val="center"/>
            <w:hideMark/>
          </w:tcPr>
          <w:p w14:paraId="0BDEE944" w14:textId="77777777" w:rsidR="00B610B0" w:rsidRPr="00B610B0" w:rsidRDefault="00B610B0" w:rsidP="00B610B0">
            <w:pPr>
              <w:keepNext/>
              <w:widowControl/>
              <w:autoSpaceDE w:val="0"/>
              <w:snapToGrid w:val="0"/>
              <w:spacing w:line="240" w:lineRule="auto"/>
              <w:ind w:firstLineChars="0" w:firstLine="0"/>
              <w:jc w:val="center"/>
              <w:textAlignment w:val="center"/>
              <w:rPr>
                <w:rFonts w:eastAsia="仿宋_GB2312"/>
                <w:color w:val="000000"/>
                <w:kern w:val="0"/>
                <w:szCs w:val="24"/>
              </w:rPr>
            </w:pPr>
            <w:r w:rsidRPr="00B610B0">
              <w:rPr>
                <w:rFonts w:ascii="宋体" w:eastAsia="宋体" w:hAnsi="宋体" w:cs="宋体"/>
                <w:color w:val="000000"/>
                <w:kern w:val="0"/>
                <w:szCs w:val="21"/>
                <w:sz w:val="21"/>
              </w:rPr>
              <w:t>工程实施与</w:t>
            </w:r>
          </w:p>
          <w:p w14:paraId="01A77D7F" w14:textId="77777777" w:rsidR="00B610B0" w:rsidRPr="00B610B0" w:rsidRDefault="00B610B0" w:rsidP="00B610B0">
            <w:pPr>
              <w:keepNext/>
              <w:widowControl/>
              <w:autoSpaceDE w:val="0"/>
              <w:snapToGrid w:val="0"/>
              <w:spacing w:line="240" w:lineRule="auto"/>
              <w:ind w:firstLineChars="0" w:firstLine="0"/>
              <w:jc w:val="center"/>
              <w:textAlignment w:val="center"/>
              <w:rPr>
                <w:rFonts w:eastAsia="仿宋_GB2312"/>
                <w:color w:val="000000"/>
                <w:kern w:val="0"/>
                <w:szCs w:val="24"/>
              </w:rPr>
            </w:pPr>
            <w:r w:rsidRPr="00B610B0">
              <w:rPr>
                <w:rFonts w:ascii="宋体" w:eastAsia="宋体" w:hAnsi="宋体" w:cs="宋体"/>
                <w:color w:val="000000"/>
                <w:kern w:val="0"/>
                <w:szCs w:val="21"/>
                <w:sz w:val="21"/>
              </w:rPr>
              <w:t>规范开发能力</w:t>
            </w:r>
          </w:p>
        </w:tc>
      </w:tr>
      <w:tr w:rsidR="00B610B0" w:rsidRPr="00B610B0" w14:paraId="640A5790" w14:textId="77777777" w:rsidTr="00B610B0">
        <w:trPr>
          <w:gridAfter w:val="1"/>
          <w:wAfter w:w="455" w:type="dxa"/>
          <w:jc w:val="center"/>
        </w:trPr>
        <w:tc>
          <w:tcPr>
            <w:tcW w:w="1442" w:type="dxa"/>
            <w:tcBorders>
              <w:left w:val="none" w:sz="0" w:space="0" w:color="auto"/>
              <w:right w:val="none" w:sz="0" w:space="0" w:color="auto"/>
            </w:tcBorders>
            <w:tcMar>
              <w:top w:w="120" w:type="dxa"/>
              <w:left w:w="160" w:type="dxa"/>
              <w:bottom w:w="120" w:type="dxa"/>
              <w:right w:w="160" w:type="dxa"/>
            </w:tcMar>
            <w:vAlign w:val="center"/>
            <w:hideMark/>
          </w:tcPr>
          <w:p w14:paraId="5F0FB10C" w14:textId="77777777" w:rsidR="00B610B0" w:rsidRPr="00B610B0" w:rsidRDefault="00B610B0" w:rsidP="00B610B0">
            <w:pPr>
              <w:keepNext/>
              <w:widowControl/>
              <w:autoSpaceDE w:val="0"/>
              <w:snapToGrid w:val="0"/>
              <w:spacing w:line="240" w:lineRule="auto"/>
              <w:ind w:firstLineChars="0" w:firstLine="0"/>
              <w:jc w:val="center"/>
              <w:textAlignment w:val="center"/>
              <w:rPr>
                <w:rFonts w:eastAsia="仿宋_GB2312"/>
                <w:color w:val="000000"/>
                <w:kern w:val="0"/>
                <w:szCs w:val="24"/>
              </w:rPr>
            </w:pPr>
            <w:r w:rsidRPr="00B610B0">
              <w:rPr>
                <w:rFonts w:ascii="宋体" w:eastAsia="宋体" w:hAnsi="宋体" w:cs="宋体"/>
                <w:color w:val="000000"/>
                <w:kern w:val="0"/>
                <w:szCs w:val="21"/>
                <w:sz w:val="21"/>
              </w:rPr>
              <w:t>能力认证期</w:t>
            </w:r>
          </w:p>
        </w:tc>
        <w:tc>
          <w:tcPr>
            <w:tcW w:w="2906" w:type="dxa"/>
            <w:tcBorders>
              <w:left w:val="none" w:sz="0" w:space="0" w:color="auto"/>
              <w:right w:val="none" w:sz="0" w:space="0" w:color="auto"/>
            </w:tcBorders>
            <w:tcMar>
              <w:top w:w="120" w:type="dxa"/>
              <w:left w:w="160" w:type="dxa"/>
              <w:bottom w:w="120" w:type="dxa"/>
              <w:right w:w="160" w:type="dxa"/>
            </w:tcMar>
            <w:vAlign w:val="center"/>
            <w:hideMark/>
          </w:tcPr>
          <w:p w14:paraId="7808055E" w14:textId="77777777" w:rsidR="00B610B0" w:rsidRPr="00B610B0" w:rsidRDefault="00B610B0" w:rsidP="00B610B0">
            <w:pPr>
              <w:keepNext/>
              <w:widowControl/>
              <w:autoSpaceDE w:val="0"/>
              <w:snapToGrid w:val="0"/>
              <w:spacing w:line="240" w:lineRule="auto"/>
              <w:ind w:firstLineChars="0" w:firstLine="0"/>
              <w:jc w:val="center"/>
              <w:textAlignment w:val="center"/>
              <w:rPr>
                <w:rFonts w:eastAsia="仿宋_GB2312"/>
                <w:color w:val="000000"/>
                <w:kern w:val="0"/>
                <w:szCs w:val="24"/>
              </w:rPr>
            </w:pPr>
            <w:r w:rsidRPr="00B610B0">
              <w:rPr>
                <w:rFonts w:ascii="宋体" w:eastAsia="宋体" w:hAnsi="宋体" w:cs="宋体"/>
                <w:color w:val="000000"/>
                <w:kern w:val="0"/>
                <w:szCs w:val="21"/>
                <w:sz w:val="21"/>
              </w:rPr>
              <w:t>国家级博士后科研工作站、</w:t>
            </w:r>
            <w:r w:rsidRPr="00B610B0">
              <w:rPr>
                <w:rFonts w:eastAsia="宋体" w:ascii="宋体" w:hAnsi="宋体" w:cs="宋体"/>
                <w:color w:val="000000"/>
                <w:kern w:val="0"/>
                <w:szCs w:val="21"/>
                <w:sz w:val="21"/>
              </w:rPr>
              <w:t>CS2</w:t>
            </w:r>
            <w:r w:rsidRPr="00B610B0">
              <w:rPr>
                <w:rFonts w:ascii="宋体" w:eastAsia="宋体" w:hAnsi="宋体" w:cs="宋体"/>
                <w:color w:val="000000"/>
                <w:kern w:val="0"/>
                <w:szCs w:val="21"/>
                <w:sz w:val="21"/>
              </w:rPr>
              <w:t>级认证、</w:t>
            </w:r>
            <w:r w:rsidRPr="00B610B0">
              <w:rPr>
                <w:rFonts w:eastAsia="宋体" w:ascii="宋体" w:hAnsi="宋体" w:cs="宋体"/>
                <w:color w:val="000000"/>
                <w:kern w:val="0"/>
                <w:szCs w:val="21"/>
                <w:sz w:val="21"/>
              </w:rPr>
              <w:t>CMMI5</w:t>
            </w:r>
            <w:r w:rsidRPr="00B610B0">
              <w:rPr>
                <w:rFonts w:ascii="宋体" w:eastAsia="宋体" w:hAnsi="宋体" w:cs="宋体"/>
                <w:color w:val="000000"/>
                <w:kern w:val="0"/>
                <w:szCs w:val="21"/>
                <w:sz w:val="21"/>
              </w:rPr>
              <w:t>级</w:t>
            </w:r>
          </w:p>
        </w:tc>
        <w:tc>
          <w:tcPr>
            <w:tcW w:w="1655" w:type="dxa"/>
            <w:tcBorders>
              <w:left w:val="none" w:sz="0" w:space="0" w:color="auto"/>
              <w:right w:val="none" w:sz="0" w:space="0" w:color="auto"/>
            </w:tcBorders>
            <w:tcMar>
              <w:top w:w="120" w:type="dxa"/>
              <w:left w:w="160" w:type="dxa"/>
              <w:bottom w:w="120" w:type="dxa"/>
              <w:right w:w="160" w:type="dxa"/>
            </w:tcMar>
            <w:vAlign w:val="center"/>
            <w:hideMark/>
          </w:tcPr>
          <w:p w14:paraId="66C2CDCC" w14:textId="77777777" w:rsidR="00B610B0" w:rsidRPr="00B610B0" w:rsidRDefault="00B610B0" w:rsidP="00B610B0">
            <w:pPr>
              <w:keepNext/>
              <w:widowControl/>
              <w:autoSpaceDE w:val="0"/>
              <w:snapToGrid w:val="0"/>
              <w:spacing w:line="240" w:lineRule="auto"/>
              <w:ind w:firstLineChars="0" w:firstLine="0"/>
              <w:jc w:val="center"/>
              <w:textAlignment w:val="center"/>
              <w:rPr>
                <w:rFonts w:eastAsia="仿宋_GB2312"/>
                <w:color w:val="000000"/>
                <w:kern w:val="0"/>
                <w:szCs w:val="24"/>
              </w:rPr>
            </w:pPr>
            <w:r w:rsidRPr="00B610B0">
              <w:rPr>
                <w:rFonts w:eastAsia="宋体" w:ascii="宋体" w:hAnsi="宋体" w:cs="宋体"/>
                <w:color w:val="000000"/>
                <w:kern w:val="0"/>
                <w:szCs w:val="21"/>
                <w:sz w:val="21"/>
              </w:rPr>
              <w:t>2023</w:t>
            </w:r>
            <w:r w:rsidRPr="00B610B0">
              <w:rPr>
                <w:rFonts w:ascii="宋体" w:eastAsia="宋体" w:hAnsi="宋体" w:cs="宋体"/>
                <w:color w:val="000000"/>
                <w:kern w:val="0"/>
                <w:szCs w:val="21"/>
                <w:sz w:val="21"/>
              </w:rPr>
              <w:t>年</w:t>
            </w:r>
          </w:p>
        </w:tc>
        <w:tc>
          <w:tcPr>
            <w:tcW w:w="2064" w:type="dxa"/>
            <w:tcBorders>
              <w:left w:val="none" w:sz="0" w:space="0" w:color="auto"/>
              <w:right w:val="none" w:sz="0" w:space="0" w:color="auto"/>
            </w:tcBorders>
            <w:tcMar>
              <w:top w:w="120" w:type="dxa"/>
              <w:left w:w="160" w:type="dxa"/>
              <w:bottom w:w="120" w:type="dxa"/>
              <w:right w:w="160" w:type="dxa"/>
            </w:tcMar>
            <w:vAlign w:val="center"/>
            <w:hideMark/>
          </w:tcPr>
          <w:p w14:paraId="5A5E059E" w14:textId="77777777" w:rsidR="00B610B0" w:rsidRPr="00B610B0" w:rsidRDefault="00B610B0" w:rsidP="00B610B0">
            <w:pPr>
              <w:keepNext/>
              <w:widowControl/>
              <w:autoSpaceDE w:val="0"/>
              <w:snapToGrid w:val="0"/>
              <w:spacing w:line="240" w:lineRule="auto"/>
              <w:ind w:firstLineChars="0" w:firstLine="0"/>
              <w:jc w:val="center"/>
              <w:textAlignment w:val="center"/>
              <w:rPr>
                <w:rFonts w:eastAsia="仿宋_GB2312"/>
                <w:color w:val="000000"/>
                <w:kern w:val="0"/>
                <w:szCs w:val="24"/>
              </w:rPr>
            </w:pPr>
            <w:r w:rsidRPr="00B610B0">
              <w:rPr>
                <w:rFonts w:ascii="宋体" w:eastAsia="宋体" w:hAnsi="宋体" w:cs="宋体"/>
                <w:color w:val="000000"/>
                <w:kern w:val="0"/>
                <w:szCs w:val="21"/>
                <w:sz w:val="21"/>
              </w:rPr>
              <w:t>研发管理与高层次人才平台能力</w:t>
            </w:r>
          </w:p>
        </w:tc>
      </w:tr>
      <w:tr w:rsidR="00B610B0" w:rsidRPr="00B610B0" w14:paraId="7FF72919" w14:textId="77777777" w:rsidTr="00B610B0">
        <w:trPr>
          <w:gridAfter w:val="1"/>
          <w:wAfter w:w="455" w:type="dxa"/>
          <w:jc w:val="center"/>
        </w:trPr>
        <w:tc>
          <w:tcPr>
            <w:tcW w:w="1442" w:type="dxa"/>
            <w:tcBorders>
              <w:left w:val="none" w:sz="0" w:space="0" w:color="auto"/>
              <w:right w:val="none" w:sz="0" w:space="0" w:color="auto"/>
            </w:tcBorders>
            <w:tcMar>
              <w:top w:w="120" w:type="dxa"/>
              <w:left w:w="160" w:type="dxa"/>
              <w:bottom w:w="120" w:type="dxa"/>
              <w:right w:w="160" w:type="dxa"/>
            </w:tcMar>
            <w:vAlign w:val="center"/>
            <w:hideMark/>
          </w:tcPr>
          <w:p w14:paraId="7BCE0EFE" w14:textId="77777777" w:rsidR="00B610B0" w:rsidRPr="00B610B0" w:rsidRDefault="00B610B0" w:rsidP="00B610B0">
            <w:pPr>
              <w:keepNext/>
              <w:widowControl/>
              <w:autoSpaceDE w:val="0"/>
              <w:snapToGrid w:val="0"/>
              <w:spacing w:line="240" w:lineRule="auto"/>
              <w:ind w:firstLineChars="0" w:firstLine="0"/>
              <w:jc w:val="center"/>
              <w:textAlignment w:val="center"/>
              <w:rPr>
                <w:rFonts w:eastAsia="仿宋_GB2312"/>
                <w:color w:val="000000"/>
                <w:kern w:val="0"/>
                <w:szCs w:val="24"/>
              </w:rPr>
            </w:pPr>
            <w:r w:rsidRPr="00B610B0">
              <w:rPr>
                <w:rFonts w:ascii="宋体" w:eastAsia="宋体" w:hAnsi="宋体" w:cs="宋体"/>
                <w:color w:val="000000"/>
                <w:kern w:val="0"/>
                <w:szCs w:val="21"/>
                <w:sz w:val="21"/>
              </w:rPr>
              <w:t>要素运营期</w:t>
            </w:r>
          </w:p>
        </w:tc>
        <w:tc>
          <w:tcPr>
            <w:tcW w:w="2906" w:type="dxa"/>
            <w:tcBorders>
              <w:left w:val="none" w:sz="0" w:space="0" w:color="auto"/>
              <w:right w:val="none" w:sz="0" w:space="0" w:color="auto"/>
            </w:tcBorders>
            <w:tcMar>
              <w:top w:w="120" w:type="dxa"/>
              <w:left w:w="160" w:type="dxa"/>
              <w:bottom w:w="120" w:type="dxa"/>
              <w:right w:w="160" w:type="dxa"/>
            </w:tcMar>
            <w:vAlign w:val="center"/>
            <w:hideMark/>
          </w:tcPr>
          <w:p w14:paraId="2B2224C1" w14:textId="77777777" w:rsidR="00B610B0" w:rsidRPr="00B610B0" w:rsidRDefault="00B610B0" w:rsidP="00B610B0">
            <w:pPr>
              <w:keepNext/>
              <w:widowControl/>
              <w:autoSpaceDE w:val="0"/>
              <w:snapToGrid w:val="0"/>
              <w:spacing w:line="240" w:lineRule="auto"/>
              <w:ind w:firstLineChars="0" w:firstLine="0"/>
              <w:jc w:val="center"/>
              <w:textAlignment w:val="center"/>
              <w:rPr>
                <w:rFonts w:eastAsia="仿宋_GB2312"/>
                <w:color w:val="000000"/>
                <w:kern w:val="0"/>
                <w:szCs w:val="24"/>
              </w:rPr>
            </w:pPr>
            <w:r w:rsidRPr="00B610B0">
              <w:rPr>
                <w:rFonts w:eastAsia="宋体" w:ascii="宋体" w:hAnsi="宋体" w:cs="宋体"/>
                <w:color w:val="000000"/>
                <w:kern w:val="0"/>
                <w:szCs w:val="21"/>
                <w:sz w:val="21"/>
              </w:rPr>
              <w:t>DCMM</w:t>
            </w:r>
            <w:r w:rsidRPr="00B610B0">
              <w:rPr>
                <w:rFonts w:ascii="宋体" w:eastAsia="宋体" w:hAnsi="宋体" w:cs="宋体"/>
                <w:color w:val="000000"/>
                <w:kern w:val="0"/>
                <w:szCs w:val="21"/>
                <w:sz w:val="21"/>
              </w:rPr>
              <w:t>三级、</w:t>
            </w:r>
          </w:p>
          <w:p w14:paraId="57E8CAF7" w14:textId="77777777" w:rsidR="00B610B0" w:rsidRPr="00B610B0" w:rsidRDefault="00B610B0" w:rsidP="00B610B0">
            <w:pPr>
              <w:keepNext/>
              <w:widowControl/>
              <w:autoSpaceDE w:val="0"/>
              <w:snapToGrid w:val="0"/>
              <w:spacing w:line="240" w:lineRule="auto"/>
              <w:ind w:firstLineChars="0" w:firstLine="0"/>
              <w:jc w:val="center"/>
              <w:textAlignment w:val="center"/>
              <w:rPr>
                <w:rFonts w:eastAsia="仿宋_GB2312"/>
                <w:color w:val="000000"/>
                <w:kern w:val="0"/>
                <w:szCs w:val="24"/>
              </w:rPr>
            </w:pPr>
            <w:r w:rsidRPr="00B610B0">
              <w:rPr>
                <w:rFonts w:ascii="宋体" w:eastAsia="宋体" w:hAnsi="宋体" w:cs="宋体" w:hint="eastAsia"/>
                <w:color w:val="000000"/>
                <w:kern w:val="0"/>
                <w:szCs w:val="24"/>
              </w:rPr>
              <w:t>“</w:t>
            </w:r>
            <w:r w:rsidRPr="00B610B0">
              <w:rPr>
                <w:rFonts w:ascii="宋体" w:eastAsia="宋体" w:hAnsi="宋体" w:cs="宋体"/>
                <w:color w:val="000000"/>
                <w:kern w:val="0"/>
                <w:szCs w:val="21"/>
                <w:sz w:val="21"/>
              </w:rPr>
              <w:t>成长型浙江数商</w:t>
            </w:r>
            <w:r w:rsidRPr="00B610B0">
              <w:rPr>
                <w:rFonts w:ascii="宋体" w:eastAsia="宋体" w:hAnsi="宋体" w:cs="宋体" w:hint="eastAsia"/>
                <w:color w:val="000000"/>
                <w:kern w:val="0"/>
                <w:szCs w:val="24"/>
              </w:rPr>
              <w:t>”</w:t>
            </w:r>
          </w:p>
        </w:tc>
        <w:tc>
          <w:tcPr>
            <w:tcW w:w="1655" w:type="dxa"/>
            <w:tcBorders>
              <w:left w:val="none" w:sz="0" w:space="0" w:color="auto"/>
              <w:right w:val="none" w:sz="0" w:space="0" w:color="auto"/>
            </w:tcBorders>
            <w:tcMar>
              <w:top w:w="120" w:type="dxa"/>
              <w:left w:w="160" w:type="dxa"/>
              <w:bottom w:w="120" w:type="dxa"/>
              <w:right w:w="160" w:type="dxa"/>
            </w:tcMar>
            <w:vAlign w:val="center"/>
            <w:hideMark/>
          </w:tcPr>
          <w:p w14:paraId="18BF512E" w14:textId="77777777" w:rsidR="00B610B0" w:rsidRPr="00B610B0" w:rsidRDefault="00B610B0" w:rsidP="00B610B0">
            <w:pPr>
              <w:keepNext/>
              <w:widowControl/>
              <w:autoSpaceDE w:val="0"/>
              <w:snapToGrid w:val="0"/>
              <w:spacing w:line="240" w:lineRule="auto"/>
              <w:ind w:firstLineChars="0" w:firstLine="0"/>
              <w:jc w:val="center"/>
              <w:textAlignment w:val="center"/>
              <w:rPr>
                <w:rFonts w:eastAsia="仿宋_GB2312"/>
                <w:color w:val="000000"/>
                <w:kern w:val="0"/>
                <w:szCs w:val="24"/>
              </w:rPr>
            </w:pPr>
            <w:r w:rsidRPr="00B610B0">
              <w:rPr>
                <w:rFonts w:eastAsia="宋体" w:ascii="宋体" w:hAnsi="宋体" w:cs="宋体"/>
                <w:color w:val="000000"/>
                <w:kern w:val="0"/>
                <w:szCs w:val="21"/>
                <w:sz w:val="21"/>
              </w:rPr>
              <w:t>2024</w:t>
            </w:r>
            <w:r w:rsidRPr="00B610B0">
              <w:rPr>
                <w:rFonts w:ascii="宋体" w:eastAsia="宋体" w:hAnsi="宋体" w:cs="宋体"/>
                <w:color w:val="000000"/>
                <w:kern w:val="0"/>
                <w:szCs w:val="21"/>
                <w:sz w:val="21"/>
              </w:rPr>
              <w:t>年</w:t>
            </w:r>
          </w:p>
        </w:tc>
        <w:tc>
          <w:tcPr>
            <w:tcW w:w="2064" w:type="dxa"/>
            <w:tcBorders>
              <w:left w:val="none" w:sz="0" w:space="0" w:color="auto"/>
              <w:right w:val="none" w:sz="0" w:space="0" w:color="auto"/>
            </w:tcBorders>
            <w:tcMar>
              <w:top w:w="120" w:type="dxa"/>
              <w:left w:w="160" w:type="dxa"/>
              <w:bottom w:w="120" w:type="dxa"/>
              <w:right w:w="160" w:type="dxa"/>
            </w:tcMar>
            <w:vAlign w:val="center"/>
            <w:hideMark/>
          </w:tcPr>
          <w:p w14:paraId="7E9A1751" w14:textId="77777777" w:rsidR="00B610B0" w:rsidRPr="00B610B0" w:rsidRDefault="00B610B0" w:rsidP="00B610B0">
            <w:pPr>
              <w:keepNext/>
              <w:widowControl/>
              <w:autoSpaceDE w:val="0"/>
              <w:snapToGrid w:val="0"/>
              <w:spacing w:line="240" w:lineRule="auto"/>
              <w:ind w:firstLineChars="0" w:firstLine="0"/>
              <w:jc w:val="center"/>
              <w:textAlignment w:val="center"/>
              <w:rPr>
                <w:rFonts w:eastAsia="仿宋_GB2312"/>
                <w:color w:val="000000"/>
                <w:kern w:val="0"/>
                <w:szCs w:val="24"/>
              </w:rPr>
            </w:pPr>
            <w:r w:rsidRPr="00B610B0">
              <w:rPr>
                <w:rFonts w:ascii="宋体" w:eastAsia="宋体" w:hAnsi="宋体" w:cs="宋体"/>
                <w:color w:val="000000"/>
                <w:kern w:val="0"/>
                <w:szCs w:val="21"/>
                <w:sz w:val="21"/>
              </w:rPr>
              <w:t>数据治理与</w:t>
            </w:r>
          </w:p>
          <w:p w14:paraId="787D74CF" w14:textId="77777777" w:rsidR="00B610B0" w:rsidRPr="00B610B0" w:rsidRDefault="00B610B0" w:rsidP="00B610B0">
            <w:pPr>
              <w:keepNext/>
              <w:widowControl/>
              <w:autoSpaceDE w:val="0"/>
              <w:snapToGrid w:val="0"/>
              <w:spacing w:line="240" w:lineRule="auto"/>
              <w:ind w:firstLineChars="0" w:firstLine="0"/>
              <w:jc w:val="center"/>
              <w:textAlignment w:val="center"/>
              <w:rPr>
                <w:rFonts w:eastAsia="仿宋_GB2312"/>
                <w:color w:val="000000"/>
                <w:kern w:val="0"/>
                <w:szCs w:val="24"/>
              </w:rPr>
            </w:pPr>
            <w:r w:rsidRPr="00B610B0">
              <w:rPr>
                <w:rFonts w:ascii="宋体" w:eastAsia="宋体" w:hAnsi="宋体" w:cs="宋体"/>
                <w:color w:val="000000"/>
                <w:kern w:val="0"/>
                <w:szCs w:val="21"/>
                <w:sz w:val="21"/>
              </w:rPr>
              <w:t>要素运营能力</w:t>
            </w:r>
          </w:p>
        </w:tc>
      </w:tr>
      <w:tr w:rsidR="00B610B0" w:rsidRPr="00B610B0" w14:paraId="6F524BA0" w14:textId="77777777" w:rsidTr="00B610B0">
        <w:trPr>
          <w:gridAfter w:val="1"/>
          <w:wAfter w:w="455" w:type="dxa"/>
          <w:trHeight w:val="638"/>
          <w:jc w:val="center"/>
        </w:trPr>
        <w:tc>
          <w:tcPr>
            <w:tcW w:w="1442" w:type="dxa"/>
            <w:tcBorders>
              <w:left w:val="none" w:sz="0" w:space="0" w:color="auto"/>
              <w:bottom w:val="single" w:sz="12" w:space="0" w:color="000000"/>
              <w:right w:val="none" w:sz="0" w:space="0" w:color="auto"/>
            </w:tcBorders>
            <w:tcMar>
              <w:top w:w="120" w:type="dxa"/>
              <w:left w:w="160" w:type="dxa"/>
              <w:bottom w:w="120" w:type="dxa"/>
              <w:right w:w="160" w:type="dxa"/>
            </w:tcMar>
            <w:vAlign w:val="center"/>
            <w:hideMark/>
          </w:tcPr>
          <w:p w14:paraId="47F0A6AF" w14:textId="77777777" w:rsidR="00B610B0" w:rsidRPr="00B610B0" w:rsidRDefault="00B610B0" w:rsidP="00B610B0">
            <w:pPr>
              <w:keepNext/>
              <w:widowControl/>
              <w:autoSpaceDE w:val="0"/>
              <w:snapToGrid w:val="0"/>
              <w:spacing w:line="240" w:lineRule="auto"/>
              <w:ind w:firstLineChars="0" w:firstLine="0"/>
              <w:jc w:val="center"/>
              <w:textAlignment w:val="center"/>
              <w:rPr>
                <w:rFonts w:eastAsia="仿宋_GB2312"/>
                <w:color w:val="000000"/>
                <w:kern w:val="0"/>
                <w:szCs w:val="24"/>
              </w:rPr>
            </w:pPr>
            <w:r w:rsidRPr="00B610B0">
              <w:rPr>
                <w:rFonts w:ascii="宋体" w:eastAsia="宋体" w:hAnsi="宋体" w:cs="宋体"/>
                <w:color w:val="000000"/>
                <w:kern w:val="0"/>
                <w:szCs w:val="21"/>
                <w:sz w:val="21"/>
              </w:rPr>
              <w:t>品牌外溢期</w:t>
            </w:r>
          </w:p>
        </w:tc>
        <w:tc>
          <w:tcPr>
            <w:tcW w:w="2906" w:type="dxa"/>
            <w:tcBorders>
              <w:left w:val="none" w:sz="0" w:space="0" w:color="auto"/>
              <w:bottom w:val="single" w:sz="12" w:space="0" w:color="000000"/>
              <w:right w:val="none" w:sz="0" w:space="0" w:color="auto"/>
            </w:tcBorders>
            <w:tcMar>
              <w:top w:w="120" w:type="dxa"/>
              <w:left w:w="160" w:type="dxa"/>
              <w:bottom w:w="120" w:type="dxa"/>
              <w:right w:w="160" w:type="dxa"/>
            </w:tcMar>
            <w:vAlign w:val="center"/>
            <w:hideMark/>
          </w:tcPr>
          <w:p w14:paraId="76375220" w14:textId="77777777" w:rsidR="00B610B0" w:rsidRPr="00B610B0" w:rsidRDefault="00B610B0" w:rsidP="00B610B0">
            <w:pPr>
              <w:keepNext/>
              <w:widowControl/>
              <w:autoSpaceDE w:val="0"/>
              <w:snapToGrid w:val="0"/>
              <w:spacing w:line="240" w:lineRule="auto"/>
              <w:ind w:firstLineChars="0" w:firstLine="0"/>
              <w:jc w:val="center"/>
              <w:textAlignment w:val="center"/>
              <w:rPr>
                <w:rFonts w:eastAsia="仿宋_GB2312"/>
                <w:color w:val="000000"/>
                <w:kern w:val="0"/>
                <w:szCs w:val="24"/>
              </w:rPr>
            </w:pPr>
            <w:r w:rsidRPr="00B610B0">
              <w:rPr>
                <w:rFonts w:ascii="宋体" w:eastAsia="宋体" w:hAnsi="宋体" w:cs="宋体"/>
                <w:color w:val="000000"/>
                <w:kern w:val="0"/>
                <w:szCs w:val="21"/>
                <w:sz w:val="21"/>
              </w:rPr>
              <w:t>国家标准</w:t>
            </w:r>
          </w:p>
          <w:p w14:paraId="43568B90" w14:textId="77777777" w:rsidR="00B610B0" w:rsidRPr="00B610B0" w:rsidRDefault="00B610B0" w:rsidP="00B610B0">
            <w:pPr>
              <w:keepNext/>
              <w:widowControl/>
              <w:autoSpaceDE w:val="0"/>
              <w:snapToGrid w:val="0"/>
              <w:spacing w:line="240" w:lineRule="auto"/>
              <w:ind w:firstLineChars="0" w:firstLine="0"/>
              <w:jc w:val="center"/>
              <w:textAlignment w:val="center"/>
              <w:rPr>
                <w:rFonts w:eastAsia="仿宋_GB2312"/>
                <w:color w:val="000000"/>
                <w:kern w:val="0"/>
                <w:szCs w:val="24"/>
              </w:rPr>
            </w:pPr>
            <w:r w:rsidRPr="00B610B0">
              <w:rPr>
                <w:rFonts w:eastAsia="宋体" w:ascii="宋体" w:hAnsi="宋体" w:cs="宋体"/>
                <w:color w:val="000000"/>
                <w:kern w:val="0"/>
                <w:szCs w:val="21"/>
                <w:sz w:val="21"/>
              </w:rPr>
              <w:t>GB/T 45402-2025</w:t>
            </w:r>
            <w:r w:rsidRPr="00B610B0">
              <w:rPr>
                <w:rFonts w:ascii="宋体" w:eastAsia="宋体" w:hAnsi="宋体" w:cs="宋体"/>
                <w:color w:val="000000"/>
                <w:kern w:val="0"/>
                <w:szCs w:val="21"/>
                <w:sz w:val="21"/>
              </w:rPr>
              <w:t>发布</w:t>
            </w:r>
          </w:p>
        </w:tc>
        <w:tc>
          <w:tcPr>
            <w:tcW w:w="1655" w:type="dxa"/>
            <w:tcBorders>
              <w:left w:val="none" w:sz="0" w:space="0" w:color="auto"/>
              <w:bottom w:val="single" w:sz="12" w:space="0" w:color="000000"/>
              <w:right w:val="none" w:sz="0" w:space="0" w:color="auto"/>
            </w:tcBorders>
            <w:tcMar>
              <w:top w:w="120" w:type="dxa"/>
              <w:left w:w="160" w:type="dxa"/>
              <w:bottom w:w="120" w:type="dxa"/>
              <w:right w:w="160" w:type="dxa"/>
            </w:tcMar>
            <w:vAlign w:val="center"/>
            <w:hideMark/>
          </w:tcPr>
          <w:p w14:paraId="6A34E98D" w14:textId="77777777" w:rsidR="00B610B0" w:rsidRPr="00B610B0" w:rsidRDefault="00B610B0" w:rsidP="00B610B0">
            <w:pPr>
              <w:keepNext/>
              <w:widowControl/>
              <w:autoSpaceDE w:val="0"/>
              <w:snapToGrid w:val="0"/>
              <w:spacing w:line="240" w:lineRule="auto"/>
              <w:ind w:firstLineChars="0" w:firstLine="0"/>
              <w:jc w:val="center"/>
              <w:textAlignment w:val="center"/>
              <w:rPr>
                <w:rFonts w:eastAsia="仿宋_GB2312"/>
                <w:color w:val="000000"/>
                <w:kern w:val="0"/>
                <w:szCs w:val="24"/>
              </w:rPr>
            </w:pPr>
            <w:r w:rsidRPr="00B610B0">
              <w:rPr>
                <w:rFonts w:eastAsia="宋体" w:ascii="宋体" w:hAnsi="宋体" w:cs="宋体"/>
                <w:color w:val="000000"/>
                <w:kern w:val="0"/>
                <w:szCs w:val="21"/>
                <w:sz w:val="21"/>
              </w:rPr>
              <w:t>2025-2026</w:t>
            </w:r>
            <w:r w:rsidRPr="00B610B0">
              <w:rPr>
                <w:rFonts w:ascii="宋体" w:eastAsia="宋体" w:hAnsi="宋体" w:cs="宋体"/>
                <w:color w:val="000000"/>
                <w:kern w:val="0"/>
                <w:szCs w:val="21"/>
                <w:sz w:val="21"/>
              </w:rPr>
              <w:t>年</w:t>
            </w:r>
          </w:p>
        </w:tc>
        <w:tc>
          <w:tcPr>
            <w:tcW w:w="2064" w:type="dxa"/>
            <w:tcBorders>
              <w:left w:val="none" w:sz="0" w:space="0" w:color="auto"/>
              <w:bottom w:val="single" w:sz="12" w:space="0" w:color="000000"/>
              <w:right w:val="none" w:sz="0" w:space="0" w:color="auto"/>
            </w:tcBorders>
            <w:tcMar>
              <w:top w:w="120" w:type="dxa"/>
              <w:left w:w="160" w:type="dxa"/>
              <w:bottom w:w="120" w:type="dxa"/>
              <w:right w:w="160" w:type="dxa"/>
            </w:tcMar>
            <w:vAlign w:val="center"/>
            <w:hideMark/>
          </w:tcPr>
          <w:p w14:paraId="0AF0C90D" w14:textId="77777777" w:rsidR="00B610B0" w:rsidRPr="00B610B0" w:rsidRDefault="00B610B0" w:rsidP="00B610B0">
            <w:pPr>
              <w:keepNext/>
              <w:widowControl/>
              <w:autoSpaceDE w:val="0"/>
              <w:snapToGrid w:val="0"/>
              <w:spacing w:line="240" w:lineRule="auto"/>
              <w:ind w:firstLineChars="0" w:firstLine="0"/>
              <w:jc w:val="center"/>
              <w:textAlignment w:val="center"/>
              <w:rPr>
                <w:rFonts w:eastAsia="仿宋_GB2312"/>
                <w:color w:val="000000"/>
                <w:kern w:val="0"/>
                <w:szCs w:val="24"/>
              </w:rPr>
            </w:pPr>
            <w:r w:rsidRPr="00B610B0">
              <w:rPr>
                <w:rFonts w:ascii="宋体" w:eastAsia="宋体" w:hAnsi="宋体" w:cs="宋体"/>
                <w:color w:val="000000"/>
                <w:kern w:val="0"/>
                <w:szCs w:val="21"/>
                <w:sz w:val="21"/>
              </w:rPr>
              <w:t>行业话语权与</w:t>
            </w:r>
          </w:p>
          <w:p w14:paraId="525DB0BE" w14:textId="77777777" w:rsidR="00B610B0" w:rsidRPr="00B610B0" w:rsidRDefault="00B610B0" w:rsidP="00B610B0">
            <w:pPr>
              <w:keepNext/>
              <w:widowControl/>
              <w:autoSpaceDE w:val="0"/>
              <w:snapToGrid w:val="0"/>
              <w:spacing w:line="240" w:lineRule="auto"/>
              <w:ind w:firstLineChars="0" w:firstLine="0"/>
              <w:jc w:val="center"/>
              <w:textAlignment w:val="center"/>
              <w:rPr>
                <w:rFonts w:eastAsia="仿宋_GB2312"/>
                <w:color w:val="000000"/>
                <w:kern w:val="0"/>
                <w:szCs w:val="24"/>
              </w:rPr>
            </w:pPr>
            <w:r w:rsidRPr="00B610B0">
              <w:rPr>
                <w:rFonts w:ascii="宋体" w:eastAsia="宋体" w:hAnsi="宋体" w:cs="宋体"/>
                <w:color w:val="000000"/>
                <w:kern w:val="0"/>
                <w:szCs w:val="21"/>
                <w:sz w:val="21"/>
              </w:rPr>
              <w:t>标准输出能力</w:t>
            </w:r>
          </w:p>
        </w:tc>
      </w:tr>
    </w:tbl>
    <w:p w14:paraId="432C3AD3" w14:textId="77777777" w:rsidR="00B610B0" w:rsidRPr="00B610B0" w:rsidRDefault="00B610B0" w:rsidP="00B610B0">
      <w:pPr>
        <w:widowControl/>
        <w:autoSpaceDE w:val="0"/>
        <w:spacing w:before="100" w:beforeAutospacing="1" w:after="100" w:afterAutospacing="1"/>
        <w:ind w:firstLineChars="0" w:firstLine="0"/>
        <w:jc w:val="center"/>
        <w:rPr>
          <w:rFonts w:eastAsia="仿宋_GB2312"/>
          <w:kern w:val="0"/>
          <w:szCs w:val="24"/>
        </w:rPr>
      </w:pPr>
      <w:r w:rsidRPr="00B610B0">
        <w:rPr>
          <w:noProof/>
          <w:kern w:val="0"/>
        </w:rPr>
        <w:drawing>
          <wp:inline distT="0" distB="0" distL="0" distR="0" wp14:anchorId="7EDD0BDB" wp14:editId="6D219949">
            <wp:extent cx="4899660" cy="2290290"/>
            <wp:effectExtent l="0" t="0" r="0" b="0"/>
            <wp:docPr id="151"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13352" cy="2296690"/>
                    </a:xfrm>
                    <a:prstGeom prst="rect">
                      <a:avLst/>
                    </a:prstGeom>
                    <a:noFill/>
                    <a:ln>
                      <a:noFill/>
                    </a:ln>
                  </pic:spPr>
                </pic:pic>
              </a:graphicData>
            </a:graphic>
          </wp:inline>
        </w:drawing>
      </w:r>
    </w:p>
    <w:p w14:paraId="410FB983" w14:textId="223C23F1" w:rsidR="00B610B0" w:rsidRPr="00E2232F" w:rsidRDefault="00E2232F" w:rsidP="00E2232F">
      <w:pPr>
        <w:pStyle w:val="af7"/>
        <w:ind w:firstLine="0" w:firstLineChars="0"/>
        <w:jc w:val="center"/>
      </w:pPr>
      <w:bookmarkStart w:id="113" w:name="_Toc236778235"/>
      <w:bookmarkStart w:id="114" w:name="_Toc236778305"/>
      <w:bookmarkStart w:id="115" w:name="_Toc236779306"/>
      <w:r>
        <w:rPr/>
        <w:t>图</w:t>
      </w:r>
      <w:r>
        <w:rPr/>
        <w:t xml:space="preserve"> </w:t>
      </w:r>
      <w:r>
        <w:fldChar w:fldCharType="begin"/>
      </w:r>
      <w:r>
        <w:instrText xml:space="preserve"> </w:instrText>
      </w:r>
      <w:r>
        <w:rPr/>
        <w:instrText>STYLEREF 1 \s</w:instrText>
      </w:r>
      <w:r>
        <w:instrText xml:space="preserve"> </w:instrText>
      </w:r>
      <w:r>
        <w:fldChar w:fldCharType="separate"/>
      </w:r>
      <w:r>
        <w:rPr>
          <w:noProof/>
        </w:rPr>
        <w:t>2</w:t>
      </w:r>
      <w:r>
        <w:fldChar w:fldCharType="end"/>
      </w:r>
      <w:r>
        <w:noBreakHyphen/>
      </w:r>
      <w:r>
        <w:fldChar w:fldCharType="begin"/>
      </w:r>
      <w:r>
        <w:instrText xml:space="preserve"> </w:instrText>
      </w:r>
      <w:r>
        <w:rPr/>
        <w:instrText xml:space="preserve">SEQ </w:instrText>
      </w:r>
      <w:r>
        <w:rPr/>
        <w:instrText>图</w:instrText>
      </w:r>
      <w:r>
        <w:rPr/>
        <w:instrText xml:space="preserve"> \* ARABIC \s 1</w:instrText>
      </w:r>
      <w:r>
        <w:instrText xml:space="preserve"> </w:instrText>
      </w:r>
      <w:r>
        <w:fldChar w:fldCharType="separate"/>
      </w:r>
      <w:r>
        <w:rPr>
          <w:noProof/>
        </w:rPr>
        <w:t>4</w:t>
      </w:r>
      <w:r>
        <w:fldChar w:fldCharType="end"/>
      </w:r>
      <w:r w:rsidR="00B610B0" w:rsidRPr="00E2232F">
        <w:t>嘉数公司主要资质与荣誉一览</w:t>
      </w:r>
      <w:bookmarkEnd w:id="113"/>
      <w:bookmarkEnd w:id="114"/>
      <w:bookmarkEnd w:id="115"/>
    </w:p>
    <w:p>
      <w:pPr>
        <w:pStyle w:val="2"/>
        <w:rPr>
          <w:color w:val="FF0000"/>
          <w:lang w:eastAsia="zh-CN"/>
        </w:rPr>
      </w:pPr>
      <w:r>
        <w:rPr>
          <w:color w:val="FF0000"/>
          <w:lang w:eastAsia="zh-CN"/>
        </w:rPr>
        <w:t xml:space="preserve">能力进阶的量化刻画</w:t>
      </w:r>
    </w:p>
    <w:p>
      <w:pPr>
        <w:spacing w:line="360" w:lineRule="auto"/>
        <w:ind w:firstLineChars="200" w:firstLine="480"/>
        <w:jc w:val="both"/>
        <w:rPr>
          <w:color w:val="FF0000"/>
          <w:lang w:eastAsia="zh-CN"/>
        </w:rPr>
      </w:pPr>
      <w:r>
        <w:rPr>
          <w:color w:val="FF0000"/>
          <w:lang w:eastAsia="zh-CN"/>
        </w:rPr>
        <w:t xml:space="preserve">前述发展阶段与资质演进如以定性叙述呈现，读者难以判断</w:t>
      </w:r>
      <w:r>
        <w:rPr>
          <w:rFonts w:hint="eastAsia" w:ascii="宋体" w:hAnsi="宋体" w:eastAsia="宋体" w:cs="宋体"/>
          <w:color w:val="FF0000"/>
          <w:lang w:eastAsia="zh-CN"/>
        </w:rPr>
        <w:t xml:space="preserve">“</w:t>
      </w:r>
      <w:r>
        <w:rPr>
          <w:color w:val="FF0000"/>
          <w:lang w:eastAsia="zh-CN"/>
        </w:rPr>
        <w:t xml:space="preserve">能力逐层跃升</w:t>
      </w:r>
      <w:r>
        <w:rPr>
          <w:rFonts w:hint="eastAsia" w:ascii="宋体" w:hAnsi="宋体" w:eastAsia="宋体" w:cs="宋体"/>
          <w:color w:val="FF0000"/>
          <w:lang w:eastAsia="zh-CN"/>
        </w:rPr>
        <w:t xml:space="preserve">”</w:t>
      </w:r>
      <w:r>
        <w:rPr>
          <w:color w:val="FF0000"/>
          <w:lang w:eastAsia="zh-CN"/>
        </w:rPr>
        <w:t xml:space="preserve">究竟是回溯性的叙事建构，还是有客观痕迹可循的事实过程。为此，本节以稿件已披露的时点数据为基础作一简要量化刻画。需先行说明的是，本案例不存在抽样数据，全部数值均取自企业自述与公开资料，下述测算仅为描述性刻画，不承担统计推断功能。</w:t>
      </w:r>
    </w:p>
    <w:p>
      <w:pPr>
        <w:spacing w:line="360" w:lineRule="auto"/>
        <w:ind w:firstLineChars="200" w:firstLine="480"/>
        <w:jc w:val="both"/>
        <w:rPr>
          <w:color w:val="FF0000"/>
          <w:lang w:eastAsia="zh-CN"/>
        </w:rPr>
      </w:pPr>
      <w:r>
        <w:rPr>
          <w:color w:val="FF0000"/>
          <w:lang w:eastAsia="zh-CN"/>
        </w:rPr>
        <w:t xml:space="preserve">就人力资本积累而言，公司员工规模由成立初期的约20人扩充至2021年的约50人，至调研时点稳定在120人，两个阶段的增幅分别为150%与140%，累计增至成立初期的6倍；研发技术人员占比超过六成，按下界估算约72人。值得注意的是，规模扩张与结构优化是同步发生的：研发人员占比在总量扩张六倍的同时未被稀释，说明扩张并非以行政与支持岗位的膨胀为代价，而是围绕技术能力这一核心约束展开的定向补强。</w:t>
      </w:r>
    </w:p>
    <w:p xmlns:a="http://schemas.openxmlformats.org/drawingml/2006/main" xmlns:pic="http://schemas.openxmlformats.org/drawingml/2006/picture">
      <w:pPr>
        <w:keepNext/>
        <w:widowControl w:val="0"/>
        <w:ind w:firstLineChars="0" w:firstLine="0"/>
        <w:jc w:val="center"/>
      </w:pPr>
      <w:r>
        <w:rPr>
          <w:noProof/>
          <w:kern w:val="2"/>
          <w:lang w:eastAsia="zh-CN"/>
        </w:rPr>
        <w:drawing>
          <wp:inline distT="0" distB="0" distL="114300" distR="114300">
            <wp:extent cx="4300000" cy="2339513"/>
            <wp:effectExtent l="0" t="0" r="0" b="0"/>
            <wp:docPr id="902" name="图片 902"/>
            <wp:cNvGraphicFramePr>
              <a:graphicFrameLocks noChangeAspect="1"/>
            </wp:cNvGraphicFramePr>
            <a:graphic>
              <a:graphicData uri="http://schemas.openxmlformats.org/drawingml/2006/picture">
                <pic:pic>
                  <pic:nvPicPr>
                    <pic:cNvPr id="902" name="图片 902"/>
                    <pic:cNvPicPr>
                      <a:picLocks noChangeAspect="1"/>
                    </pic:cNvPicPr>
                  </pic:nvPicPr>
                  <pic:blipFill>
                    <a:blip r:embed="rId207"/>
                    <a:stretch>
                      <a:fillRect/>
                    </a:stretch>
                  </pic:blipFill>
                  <pic:spPr>
                    <a:xfrm>
                      <a:off x="0" y="0"/>
                      <a:ext cx="4300000" cy="2339513"/>
                    </a:xfrm>
                    <a:prstGeom prst="rect">
                      <a:avLst/>
                    </a:prstGeom>
                    <a:ln>
                      <a:noFill/>
                    </a:ln>
                  </pic:spPr>
                </pic:pic>
              </a:graphicData>
            </a:graphic>
          </wp:inline>
        </w:drawing>
      </w:r>
    </w:p>
    <w:p>
      <w:pPr>
        <w:pStyle w:val="af7"/>
        <w:ind w:firstLineChars="0" w:firstLine="0"/>
        <w:jc w:val="center"/>
        <w:rPr>
          <w:color w:val="FF0000"/>
          <w:lang w:eastAsia="zh-CN"/>
        </w:rPr>
      </w:pPr>
      <w:r>
        <w:rPr>
          <w:color w:val="FF0000"/>
          <w:lang w:eastAsia="zh-CN"/>
        </w:rPr>
        <w:t>图</w:t>
      </w:r>
      <w:r>
        <w:rPr>
          <w:color w:val="FF0000"/>
          <w:lang w:eastAsia="zh-CN"/>
        </w:rPr>
        <w:t xml:space="preserve"> </w:t>
      </w:r>
      <w:r>
        <w:rPr>
          <w:color w:val="FF0000"/>
          <w:lang w:eastAsia="zh-CN"/>
        </w:rPr>
        <w:t>2</w:t>
      </w:r>
      <w:r>
        <w:rPr>
          <w:color w:val="FF0000"/>
          <w:lang w:eastAsia="zh-CN"/>
        </w:rPr>
        <w:noBreakHyphen/>
      </w:r>
      <w:r>
        <w:rPr>
          <w:color w:val="FF0000"/>
          <w:lang w:eastAsia="zh-CN"/>
        </w:rPr>
        <w:fldChar w:fldCharType="begin"/>
      </w:r>
      <w:r>
        <w:rPr>
          <w:color w:val="FF0000"/>
          <w:lang w:eastAsia="zh-CN"/>
        </w:rPr>
        <w:instrText xml:space="preserve"> SEQ 图 \* ARABIC \s 1 </w:instrText>
      </w:r>
      <w:r>
        <w:rPr>
          <w:color w:val="FF0000"/>
          <w:lang w:eastAsia="zh-CN"/>
        </w:rPr>
        <w:fldChar w:fldCharType="separate"/>
      </w:r>
      <w:r>
        <w:rPr>
          <w:color w:val="FF0000"/>
          <w:noProof/>
          <w:lang w:eastAsia="zh-CN"/>
        </w:rPr>
        <w:t>5</w:t>
      </w:r>
      <w:r>
        <w:rPr>
          <w:color w:val="FF0000"/>
          <w:lang w:eastAsia="zh-CN"/>
        </w:rPr>
        <w:fldChar w:fldCharType="end"/>
      </w:r>
      <w:r>
        <w:rPr>
          <w:color w:val="FF0000"/>
          <w:lang w:eastAsia="zh-CN"/>
        </w:rPr>
        <w:t xml:space="preserve"> </w:t>
      </w:r>
      <w:r>
        <w:rPr>
          <w:color w:val="FF0000"/>
          <w:lang w:eastAsia="zh-CN"/>
        </w:rPr>
        <w:t xml:space="preserve">嘉数公司员工规模与研发人员结构演进图</w:t>
      </w:r>
    </w:p>
    <w:p>
      <w:pPr>
        <w:ind w:firstLineChars="0" w:firstLine="0"/>
        <w:jc w:val="center"/>
        <w:rPr>
          <w:color w:val="FF0000"/>
          <w:lang w:eastAsia="zh-CN"/>
        </w:rPr>
      </w:pPr>
      <w:r>
        <w:rPr>
          <w:sz w:val="18"/>
          <w:szCs w:val="18"/>
          <w:color w:val="FF0000"/>
          <w:lang w:eastAsia="zh-CN"/>
        </w:rPr>
        <w:t xml:space="preserve">注：研发技术人员数量按稿件所述</w:t>
      </w:r>
      <w:r>
        <w:rPr>
          <w:rFonts w:hint="eastAsia" w:ascii="宋体" w:hAnsi="宋体" w:eastAsia="宋体" w:cs="宋体"/>
          <w:sz w:val="18"/>
          <w:szCs w:val="18"/>
          <w:color w:val="FF0000"/>
          <w:lang w:eastAsia="zh-CN"/>
        </w:rPr>
        <w:t xml:space="preserve">“</w:t>
      </w:r>
      <w:r>
        <w:rPr>
          <w:sz w:val="18"/>
          <w:szCs w:val="18"/>
          <w:color w:val="FF0000"/>
          <w:lang w:eastAsia="zh-CN"/>
        </w:rPr>
        <w:t xml:space="preserve">超过60%</w:t>
      </w:r>
      <w:r>
        <w:rPr>
          <w:rFonts w:hint="eastAsia" w:ascii="宋体" w:hAnsi="宋体" w:eastAsia="宋体" w:cs="宋体"/>
          <w:sz w:val="18"/>
          <w:szCs w:val="18"/>
          <w:color w:val="FF0000"/>
          <w:lang w:eastAsia="zh-CN"/>
        </w:rPr>
        <w:t xml:space="preserve">”</w:t>
      </w:r>
      <w:r>
        <w:rPr>
          <w:sz w:val="18"/>
          <w:szCs w:val="18"/>
          <w:color w:val="FF0000"/>
          <w:lang w:eastAsia="zh-CN"/>
        </w:rPr>
        <w:t xml:space="preserve">的下界估算，属保守口径。</w:t>
      </w:r>
    </w:p>
    <w:p>
      <w:pPr>
        <w:spacing w:line="360" w:lineRule="auto"/>
        <w:ind w:firstLineChars="200" w:firstLine="480"/>
        <w:jc w:val="both"/>
        <w:rPr>
          <w:color w:val="FF0000"/>
          <w:lang w:eastAsia="zh-CN"/>
        </w:rPr>
      </w:pPr>
      <w:r>
        <w:rPr>
          <w:color w:val="FF0000"/>
          <w:lang w:eastAsia="zh-CN"/>
        </w:rPr>
        <w:t xml:space="preserve">就外部能力确认而言，公司资质由2022年的3项累计至2025年的9项，当期新增数呈3、3、2、1的递减态势。这一递减并不意味着能力建设放缓，恰恰相反，它反映了资质获取由</w:t>
      </w:r>
      <w:r>
        <w:rPr>
          <w:rFonts w:hint="eastAsia" w:ascii="宋体" w:hAnsi="宋体" w:eastAsia="宋体" w:cs="宋体"/>
          <w:color w:val="FF0000"/>
          <w:lang w:eastAsia="zh-CN"/>
        </w:rPr>
        <w:t xml:space="preserve">“</w:t>
      </w:r>
      <w:r>
        <w:rPr>
          <w:color w:val="FF0000"/>
          <w:lang w:eastAsia="zh-CN"/>
        </w:rPr>
        <w:t xml:space="preserve">数量补齐</w:t>
      </w:r>
      <w:r>
        <w:rPr>
          <w:rFonts w:hint="eastAsia" w:ascii="宋体" w:hAnsi="宋体" w:eastAsia="宋体" w:cs="宋体"/>
          <w:color w:val="FF0000"/>
          <w:lang w:eastAsia="zh-CN"/>
        </w:rPr>
        <w:t xml:space="preserve">”</w:t>
      </w:r>
      <w:r>
        <w:rPr>
          <w:color w:val="FF0000"/>
          <w:lang w:eastAsia="zh-CN"/>
        </w:rPr>
        <w:t xml:space="preserve">向</w:t>
      </w:r>
      <w:r>
        <w:rPr>
          <w:rFonts w:hint="eastAsia" w:ascii="宋体" w:hAnsi="宋体" w:eastAsia="宋体" w:cs="宋体"/>
          <w:color w:val="FF0000"/>
          <w:lang w:eastAsia="zh-CN"/>
        </w:rPr>
        <w:t xml:space="preserve">“</w:t>
      </w:r>
      <w:r>
        <w:rPr>
          <w:color w:val="FF0000"/>
          <w:lang w:eastAsia="zh-CN"/>
        </w:rPr>
        <w:t xml:space="preserve">层级跃升</w:t>
      </w:r>
      <w:r>
        <w:rPr>
          <w:rFonts w:hint="eastAsia" w:ascii="宋体" w:hAnsi="宋体" w:eastAsia="宋体" w:cs="宋体"/>
          <w:color w:val="FF0000"/>
          <w:lang w:eastAsia="zh-CN"/>
        </w:rPr>
        <w:t xml:space="preserve">”</w:t>
      </w:r>
      <w:r>
        <w:rPr>
          <w:color w:val="FF0000"/>
          <w:lang w:eastAsia="zh-CN"/>
        </w:rPr>
        <w:t xml:space="preserve">的转变——2022年的三项资质集中于工程实施与规范开发，属承接项目的准入门槛；而2025年虽仅新增一项，却是参与国家标准编制，其含金量与前者不在同一量级。资质确认的能力维度沿</w:t>
      </w:r>
      <w:r>
        <w:rPr>
          <w:rFonts w:hint="eastAsia" w:ascii="宋体" w:hAnsi="宋体" w:eastAsia="宋体" w:cs="宋体"/>
          <w:color w:val="FF0000"/>
          <w:lang w:eastAsia="zh-CN"/>
        </w:rPr>
        <w:t xml:space="preserve">“</w:t>
      </w:r>
      <w:r>
        <w:rPr>
          <w:color w:val="FF0000"/>
          <w:lang w:eastAsia="zh-CN"/>
        </w:rPr>
        <w:t xml:space="preserve">工程实施—研发管理—数据治理—标准输出</w:t>
      </w:r>
      <w:r>
        <w:rPr>
          <w:rFonts w:hint="eastAsia" w:ascii="宋体" w:hAnsi="宋体" w:eastAsia="宋体" w:cs="宋体"/>
          <w:color w:val="FF0000"/>
          <w:lang w:eastAsia="zh-CN"/>
        </w:rPr>
        <w:t xml:space="preserve">”</w:t>
      </w:r>
      <w:r>
        <w:rPr>
          <w:color w:val="FF0000"/>
          <w:lang w:eastAsia="zh-CN"/>
        </w:rPr>
        <w:t xml:space="preserve">依次推进，与公司</w:t>
      </w:r>
      <w:r>
        <w:rPr>
          <w:rFonts w:hint="eastAsia" w:ascii="宋体" w:hAnsi="宋体" w:eastAsia="宋体" w:cs="宋体"/>
          <w:color w:val="FF0000"/>
          <w:lang w:eastAsia="zh-CN"/>
        </w:rPr>
        <w:t xml:space="preserve">“</w:t>
      </w:r>
      <w:r>
        <w:rPr>
          <w:color w:val="FF0000"/>
          <w:lang w:eastAsia="zh-CN"/>
        </w:rPr>
        <w:t xml:space="preserve">平台搭建—能力认证—要素运营—品牌外溢</w:t>
      </w:r>
      <w:r>
        <w:rPr>
          <w:rFonts w:hint="eastAsia" w:ascii="宋体" w:hAnsi="宋体" w:eastAsia="宋体" w:cs="宋体"/>
          <w:color w:val="FF0000"/>
          <w:lang w:eastAsia="zh-CN"/>
        </w:rPr>
        <w:t xml:space="preserve">”</w:t>
      </w:r>
      <w:r>
        <w:rPr>
          <w:color w:val="FF0000"/>
          <w:lang w:eastAsia="zh-CN"/>
        </w:rPr>
        <w:t xml:space="preserve">的四阶段划分严格对应，构成对阶段划分并非事后追认的外部佐证。</w:t>
      </w:r>
    </w:p>
    <w:p xmlns:a="http://schemas.openxmlformats.org/drawingml/2006/main" xmlns:pic="http://schemas.openxmlformats.org/drawingml/2006/picture">
      <w:pPr>
        <w:keepNext/>
        <w:widowControl w:val="0"/>
        <w:ind w:firstLineChars="0" w:firstLine="0"/>
        <w:jc w:val="center"/>
      </w:pPr>
      <w:r>
        <w:rPr>
          <w:noProof/>
          <w:kern w:val="2"/>
          <w:lang w:eastAsia="zh-CN"/>
        </w:rPr>
        <w:drawing>
          <wp:inline distT="0" distB="0" distL="114300" distR="114300">
            <wp:extent cx="4900000" cy="2405912"/>
            <wp:effectExtent l="0" t="0" r="0" b="0"/>
            <wp:docPr id="903" name="图片 903"/>
            <wp:cNvGraphicFramePr>
              <a:graphicFrameLocks noChangeAspect="1"/>
            </wp:cNvGraphicFramePr>
            <a:graphic>
              <a:graphicData uri="http://schemas.openxmlformats.org/drawingml/2006/picture">
                <pic:pic>
                  <pic:nvPicPr>
                    <pic:cNvPr id="903" name="图片 903"/>
                    <pic:cNvPicPr>
                      <a:picLocks noChangeAspect="1"/>
                    </pic:cNvPicPr>
                  </pic:nvPicPr>
                  <pic:blipFill>
                    <a:blip r:embed="rId208"/>
                    <a:stretch>
                      <a:fillRect/>
                    </a:stretch>
                  </pic:blipFill>
                  <pic:spPr>
                    <a:xfrm>
                      <a:off x="0" y="0"/>
                      <a:ext cx="4900000" cy="2405912"/>
                    </a:xfrm>
                    <a:prstGeom prst="rect">
                      <a:avLst/>
                    </a:prstGeom>
                    <a:ln>
                      <a:noFill/>
                    </a:ln>
                  </pic:spPr>
                </pic:pic>
              </a:graphicData>
            </a:graphic>
          </wp:inline>
        </w:drawing>
      </w:r>
    </w:p>
    <w:p>
      <w:pPr>
        <w:pStyle w:val="af7"/>
        <w:ind w:firstLineChars="0" w:firstLine="0"/>
        <w:jc w:val="center"/>
        <w:rPr>
          <w:color w:val="FF0000"/>
          <w:lang w:eastAsia="zh-CN"/>
        </w:rPr>
      </w:pPr>
      <w:r>
        <w:rPr>
          <w:color w:val="FF0000"/>
          <w:lang w:eastAsia="zh-CN"/>
        </w:rPr>
        <w:t>图</w:t>
      </w:r>
      <w:r>
        <w:rPr>
          <w:color w:val="FF0000"/>
          <w:lang w:eastAsia="zh-CN"/>
        </w:rPr>
        <w:t xml:space="preserve"> </w:t>
      </w:r>
      <w:r>
        <w:rPr>
          <w:color w:val="FF0000"/>
          <w:lang w:eastAsia="zh-CN"/>
        </w:rPr>
        <w:t>2</w:t>
      </w:r>
      <w:r>
        <w:rPr>
          <w:color w:val="FF0000"/>
          <w:lang w:eastAsia="zh-CN"/>
        </w:rPr>
        <w:noBreakHyphen/>
      </w:r>
      <w:r>
        <w:rPr>
          <w:color w:val="FF0000"/>
          <w:lang w:eastAsia="zh-CN"/>
        </w:rPr>
        <w:fldChar w:fldCharType="begin"/>
      </w:r>
      <w:r>
        <w:rPr>
          <w:color w:val="FF0000"/>
          <w:lang w:eastAsia="zh-CN"/>
        </w:rPr>
        <w:instrText xml:space="preserve"> SEQ 图 \* ARABIC \s 1 </w:instrText>
      </w:r>
      <w:r>
        <w:rPr>
          <w:color w:val="FF0000"/>
          <w:lang w:eastAsia="zh-CN"/>
        </w:rPr>
        <w:fldChar w:fldCharType="separate"/>
      </w:r>
      <w:r>
        <w:rPr>
          <w:color w:val="FF0000"/>
          <w:noProof/>
          <w:lang w:eastAsia="zh-CN"/>
        </w:rPr>
        <w:t>6</w:t>
      </w:r>
      <w:r>
        <w:rPr>
          <w:color w:val="FF0000"/>
          <w:lang w:eastAsia="zh-CN"/>
        </w:rPr>
        <w:fldChar w:fldCharType="end"/>
      </w:r>
      <w:r>
        <w:rPr>
          <w:color w:val="FF0000"/>
          <w:lang w:eastAsia="zh-CN"/>
        </w:rPr>
        <w:t xml:space="preserve"> </w:t>
      </w:r>
      <w:r>
        <w:rPr>
          <w:color w:val="FF0000"/>
          <w:lang w:eastAsia="zh-CN"/>
        </w:rPr>
        <w:t xml:space="preserve">外部资质认证的累计进阶与能力维度跃迁图</w:t>
      </w:r>
    </w:p>
    <w:p>
      <w:pPr>
        <w:spacing w:line="360" w:lineRule="auto"/>
        <w:ind w:firstLineChars="200" w:firstLine="480"/>
        <w:jc w:val="both"/>
        <w:rPr>
          <w:color w:val="FF0000"/>
          <w:lang w:eastAsia="zh-CN"/>
        </w:rPr>
      </w:pPr>
      <w:r>
        <w:rPr>
          <w:color w:val="FF0000"/>
          <w:lang w:eastAsia="zh-CN"/>
        </w:rPr>
        <w:t xml:space="preserve">最后需就数据口径作出说明。稿件在不同章节对两项指标存在不一致表述：知识产权存量一处记为发明专利25项、软件著作权35项，另一处记为累计专利44项、软著98项；高层次人才一处记为累计引进硕博50余人，另一处记为博士后11人、硕博占比30%（按120人计约36人）。二者差异难以由统计时点单独解释，可能源于</w:t>
      </w:r>
      <w:r>
        <w:rPr>
          <w:rFonts w:hint="eastAsia" w:ascii="宋体" w:hAnsi="宋体" w:eastAsia="宋体" w:cs="宋体"/>
          <w:color w:val="FF0000"/>
          <w:lang w:eastAsia="zh-CN"/>
        </w:rPr>
        <w:t xml:space="preserve">“</w:t>
      </w:r>
      <w:r>
        <w:rPr>
          <w:color w:val="FF0000"/>
          <w:lang w:eastAsia="zh-CN"/>
        </w:rPr>
        <w:t xml:space="preserve">累计申请</w:t>
      </w:r>
      <w:r>
        <w:rPr>
          <w:rFonts w:hint="eastAsia" w:ascii="宋体" w:hAnsi="宋体" w:eastAsia="宋体" w:cs="宋体"/>
          <w:color w:val="FF0000"/>
          <w:lang w:eastAsia="zh-CN"/>
        </w:rPr>
        <w:t xml:space="preserve">”</w:t>
      </w:r>
      <w:r>
        <w:rPr>
          <w:color w:val="FF0000"/>
          <w:lang w:eastAsia="zh-CN"/>
        </w:rPr>
        <w:t xml:space="preserve">与</w:t>
      </w:r>
      <w:r>
        <w:rPr>
          <w:rFonts w:hint="eastAsia" w:ascii="宋体" w:hAnsi="宋体" w:eastAsia="宋体" w:cs="宋体"/>
          <w:color w:val="FF0000"/>
          <w:lang w:eastAsia="zh-CN"/>
        </w:rPr>
        <w:t xml:space="preserve">“</w:t>
      </w:r>
      <w:r>
        <w:rPr>
          <w:color w:val="FF0000"/>
          <w:lang w:eastAsia="zh-CN"/>
        </w:rPr>
        <w:t xml:space="preserve">累计授权</w:t>
      </w:r>
      <w:r>
        <w:rPr>
          <w:rFonts w:hint="eastAsia" w:ascii="宋体" w:hAnsi="宋体" w:eastAsia="宋体" w:cs="宋体"/>
          <w:color w:val="FF0000"/>
          <w:lang w:eastAsia="zh-CN"/>
        </w:rPr>
        <w:t xml:space="preserve">”</w:t>
      </w:r>
      <w:r>
        <w:rPr>
          <w:color w:val="FF0000"/>
          <w:lang w:eastAsia="zh-CN"/>
        </w:rPr>
        <w:t xml:space="preserve">、</w:t>
      </w:r>
      <w:r>
        <w:rPr>
          <w:rFonts w:hint="eastAsia" w:ascii="宋体" w:hAnsi="宋体" w:eastAsia="宋体" w:cs="宋体"/>
          <w:color w:val="FF0000"/>
          <w:lang w:eastAsia="zh-CN"/>
        </w:rPr>
        <w:t xml:space="preserve">“</w:t>
      </w:r>
      <w:r>
        <w:rPr>
          <w:color w:val="FF0000"/>
          <w:lang w:eastAsia="zh-CN"/>
        </w:rPr>
        <w:t xml:space="preserve">累计引进</w:t>
      </w:r>
      <w:r>
        <w:rPr>
          <w:rFonts w:hint="eastAsia" w:ascii="宋体" w:hAnsi="宋体" w:eastAsia="宋体" w:cs="宋体"/>
          <w:color w:val="FF0000"/>
          <w:lang w:eastAsia="zh-CN"/>
        </w:rPr>
        <w:t xml:space="preserve">”</w:t>
      </w:r>
      <w:r>
        <w:rPr>
          <w:color w:val="FF0000"/>
          <w:lang w:eastAsia="zh-CN"/>
        </w:rPr>
        <w:t xml:space="preserve">与</w:t>
      </w:r>
      <w:r>
        <w:rPr>
          <w:rFonts w:hint="eastAsia" w:ascii="宋体" w:hAnsi="宋体" w:eastAsia="宋体" w:cs="宋体"/>
          <w:color w:val="FF0000"/>
          <w:lang w:eastAsia="zh-CN"/>
        </w:rPr>
        <w:t xml:space="preserve">“</w:t>
      </w:r>
      <w:r>
        <w:rPr>
          <w:color w:val="FF0000"/>
          <w:lang w:eastAsia="zh-CN"/>
        </w:rPr>
        <w:t xml:space="preserve">在职存量</w:t>
      </w:r>
      <w:r>
        <w:rPr>
          <w:rFonts w:hint="eastAsia" w:ascii="宋体" w:hAnsi="宋体" w:eastAsia="宋体" w:cs="宋体"/>
          <w:color w:val="FF0000"/>
          <w:lang w:eastAsia="zh-CN"/>
        </w:rPr>
        <w:t xml:space="preserve">”</w:t>
      </w:r>
      <w:r>
        <w:rPr>
          <w:color w:val="FF0000"/>
          <w:lang w:eastAsia="zh-CN"/>
        </w:rPr>
        <w:t xml:space="preserve">的口径差别。在企业确认前，本文对上述两项指标仅作定性引用，不纳入量化测算，相关待核实事项汇总于表2-4。</w:t>
      </w:r>
    </w:p>
    <w:p>
      <w:pPr>
        <w:pStyle w:val="af7"/>
        <w:keepNext/>
        <w:ind w:firstLineChars="0" w:firstLine="0"/>
        <w:jc w:val="center"/>
        <w:rPr>
          <w:color w:val="FF0000"/>
          <w:lang w:eastAsia="zh-CN"/>
        </w:rPr>
      </w:pPr>
      <w:r>
        <w:rPr>
          <w:color w:val="FF0000"/>
          <w:lang w:eastAsia="zh-CN"/>
        </w:rPr>
        <w:t>表</w:t>
      </w:r>
      <w:r>
        <w:rPr>
          <w:color w:val="FF0000"/>
          <w:lang w:eastAsia="zh-CN"/>
        </w:rPr>
        <w:t xml:space="preserve"> </w:t>
      </w:r>
      <w:r>
        <w:rPr>
          <w:color w:val="FF0000"/>
          <w:lang w:eastAsia="zh-CN"/>
        </w:rPr>
        <w:t>2</w:t>
      </w:r>
      <w:r>
        <w:rPr>
          <w:color w:val="FF0000"/>
          <w:lang w:eastAsia="zh-CN"/>
        </w:rPr>
        <w:noBreakHyphen/>
      </w:r>
      <w:r>
        <w:rPr>
          <w:color w:val="FF0000"/>
          <w:lang w:eastAsia="zh-CN"/>
        </w:rPr>
        <w:fldChar w:fldCharType="begin"/>
      </w:r>
      <w:r>
        <w:rPr>
          <w:color w:val="FF0000"/>
          <w:lang w:eastAsia="zh-CN"/>
        </w:rPr>
        <w:instrText xml:space="preserve"> SEQ 表 \* ARABIC \s 1 </w:instrText>
      </w:r>
      <w:r>
        <w:rPr>
          <w:color w:val="FF0000"/>
          <w:lang w:eastAsia="zh-CN"/>
        </w:rPr>
        <w:fldChar w:fldCharType="separate"/>
      </w:r>
      <w:r>
        <w:rPr>
          <w:color w:val="FF0000"/>
          <w:noProof/>
          <w:lang w:eastAsia="zh-CN"/>
        </w:rPr>
        <w:t>4</w:t>
      </w:r>
      <w:r>
        <w:rPr>
          <w:color w:val="FF0000"/>
          <w:lang w:eastAsia="zh-CN"/>
        </w:rPr>
        <w:fldChar w:fldCharType="end"/>
      </w:r>
      <w:r>
        <w:rPr>
          <w:color w:val="FF0000"/>
          <w:lang w:eastAsia="zh-CN"/>
        </w:rPr>
        <w:t xml:space="preserve"> </w:t>
      </w:r>
      <w:r>
        <w:rPr>
          <w:color w:val="FF0000"/>
          <w:lang w:eastAsia="zh-CN"/>
        </w:rPr>
        <w:t xml:space="preserve">关键指标口径差异与待核实事项表</w:t>
      </w:r>
    </w:p>
    <w:tbl>
      <w:tblPr>
        <w:tblStyle w:val="SanXian"/>
        <w:tblW w:w="8296" w:type="dxa"/>
        <w:jc w:val="center"/>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ayout w:type="fixed"/>
        <w:tblLook w:val="04A0" w:firstRow="1" w:lastRow="0" w:firstColumn="0" w:lastColumn="0" w:noHBand="0" w:noVBand="1"/>
      </w:tblPr>
      <w:tblGrid>
        <w:gridCol w:w="1451"/>
        <w:gridCol w:w="2501"/>
        <w:gridCol w:w="2148"/>
        <w:gridCol w:w="2196"/>
      </w:tblGrid>
      <w:tr>
        <w:trPr>
          <w:tblHeader/>
          <w:jc w:val="center"/>
        </w:trPr>
        <w:tc>
          <w:tcPr>
            <w:tcW w:w="1451" w:type="dxa"/>
            <w:tcBorders>
              <w:top w:val="single" w:sz="12" w:space="0" w:color="000000"/>
              <w:left w:val="none" w:sz="0" w:space="0" w:color="auto"/>
              <w:bottom w:val="single" w:sz="6"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b/>
                <w:bCs/>
                <w:sz w:val="21"/>
                <w:szCs w:val="21"/>
                <w:color w:val="FF0000"/>
                <w:lang w:eastAsia="zh-CN"/>
              </w:rPr>
              <w:t xml:space="preserve">指标</w:t>
            </w:r>
          </w:p>
        </w:tc>
        <w:tc>
          <w:tcPr>
            <w:tcW w:w="2501" w:type="dxa"/>
            <w:tcBorders>
              <w:top w:val="single" w:sz="12" w:space="0" w:color="000000"/>
              <w:left w:val="none" w:sz="0" w:space="0" w:color="auto"/>
              <w:bottom w:val="single" w:sz="6"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b/>
                <w:bCs/>
                <w:sz w:val="21"/>
                <w:szCs w:val="21"/>
                <w:color w:val="FF0000"/>
                <w:lang w:eastAsia="zh-CN"/>
              </w:rPr>
              <w:t xml:space="preserve">表述一</w:t>
            </w:r>
          </w:p>
        </w:tc>
        <w:tc>
          <w:tcPr>
            <w:tcW w:w="2148" w:type="dxa"/>
            <w:tcBorders>
              <w:top w:val="single" w:sz="12" w:space="0" w:color="000000"/>
              <w:left w:val="none" w:sz="0" w:space="0" w:color="auto"/>
              <w:bottom w:val="single" w:sz="6"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b/>
                <w:bCs/>
                <w:sz w:val="21"/>
                <w:szCs w:val="21"/>
                <w:color w:val="FF0000"/>
                <w:lang w:eastAsia="zh-CN"/>
              </w:rPr>
              <w:t xml:space="preserve">表述二</w:t>
            </w:r>
          </w:p>
        </w:tc>
        <w:tc>
          <w:tcPr>
            <w:tcW w:w="2196" w:type="dxa"/>
            <w:tcBorders>
              <w:top w:val="single" w:sz="12" w:space="0" w:color="000000"/>
              <w:left w:val="none" w:sz="0" w:space="0" w:color="auto"/>
              <w:bottom w:val="single" w:sz="6"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b/>
                <w:bCs/>
                <w:sz w:val="21"/>
                <w:szCs w:val="21"/>
                <w:color w:val="FF0000"/>
                <w:lang w:eastAsia="zh-CN"/>
              </w:rPr>
              <w:t xml:space="preserve">处理方式</w:t>
            </w:r>
          </w:p>
        </w:tc>
      </w:tr>
      <w:tr>
        <w:trPr>
          <w:jc w:val="center"/>
        </w:trPr>
        <w:tc>
          <w:tcPr>
            <w:tcW w:w="1451"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sz w:val="21"/>
                <w:szCs w:val="21"/>
                <w:color w:val="FF0000"/>
                <w:lang w:eastAsia="zh-CN"/>
              </w:rPr>
              <w:t xml:space="preserve">知识产权存量</w:t>
            </w:r>
          </w:p>
        </w:tc>
        <w:tc>
          <w:tcPr>
            <w:tcW w:w="2501"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ascii="宋体" w:hAnsi="宋体" w:eastAsia="宋体" w:cs="宋体"/>
                <w:sz w:val="21"/>
                <w:szCs w:val="21"/>
                <w:color w:val="FF0000"/>
                <w:lang w:eastAsia="zh-CN"/>
              </w:rPr>
              <w:t xml:space="preserve">发明专利25项、软著35项（第三章）</w:t>
            </w:r>
          </w:p>
        </w:tc>
        <w:tc>
          <w:tcPr>
            <w:tcW w:w="2148"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ascii="宋体" w:hAnsi="宋体" w:eastAsia="宋体" w:cs="宋体"/>
                <w:sz w:val="21"/>
                <w:szCs w:val="21"/>
                <w:color w:val="FF0000"/>
                <w:lang w:eastAsia="zh-CN"/>
              </w:rPr>
              <w:t xml:space="preserve">累计专利44项、软著98项（第五章）</w:t>
            </w:r>
          </w:p>
        </w:tc>
        <w:tc>
          <w:tcPr>
            <w:tcW w:w="2196"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ascii="宋体" w:hAnsi="宋体" w:eastAsia="宋体" w:cs="宋体"/>
                <w:sz w:val="21"/>
                <w:szCs w:val="21"/>
                <w:color w:val="FF0000"/>
                <w:lang w:eastAsia="zh-CN"/>
              </w:rPr>
              <w:t xml:space="preserve">暂不纳入量化测算，待企业确认口径</w:t>
            </w:r>
          </w:p>
        </w:tc>
      </w:tr>
      <w:tr>
        <w:trPr>
          <w:jc w:val="center"/>
        </w:trPr>
        <w:tc>
          <w:tcPr>
            <w:tcW w:w="1451"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sz w:val="21"/>
                <w:szCs w:val="21"/>
                <w:color w:val="FF0000"/>
                <w:lang w:eastAsia="zh-CN"/>
              </w:rPr>
              <w:t xml:space="preserve">高层次人才规模</w:t>
            </w:r>
          </w:p>
        </w:tc>
        <w:tc>
          <w:tcPr>
            <w:tcW w:w="2501"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ascii="宋体" w:hAnsi="宋体" w:eastAsia="宋体" w:cs="宋体"/>
                <w:sz w:val="21"/>
                <w:szCs w:val="21"/>
                <w:color w:val="FF0000"/>
                <w:lang w:eastAsia="zh-CN"/>
              </w:rPr>
              <w:t xml:space="preserve">累计引进硕博50余人（第三章）</w:t>
            </w:r>
          </w:p>
        </w:tc>
        <w:tc>
          <w:tcPr>
            <w:tcW w:w="2148"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ascii="宋体" w:hAnsi="宋体" w:eastAsia="宋体" w:cs="宋体"/>
                <w:sz w:val="21"/>
                <w:szCs w:val="21"/>
                <w:color w:val="FF0000"/>
                <w:lang w:eastAsia="zh-CN"/>
              </w:rPr>
              <w:t xml:space="preserve">博士后11人、硕博占比30%（第五章）</w:t>
            </w:r>
          </w:p>
        </w:tc>
        <w:tc>
          <w:tcPr>
            <w:tcW w:w="2196"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ascii="宋体" w:hAnsi="宋体" w:eastAsia="宋体" w:cs="宋体"/>
                <w:sz w:val="21"/>
                <w:szCs w:val="21"/>
                <w:color w:val="FF0000"/>
                <w:lang w:eastAsia="zh-CN"/>
              </w:rPr>
              <w:t xml:space="preserve">疑为累计引进与在职存量之别，待确认</w:t>
            </w:r>
          </w:p>
        </w:tc>
      </w:tr>
      <w:tr>
        <w:trPr>
          <w:jc w:val="center"/>
        </w:trPr>
        <w:tc>
          <w:tcPr>
            <w:tcW w:w="1451"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sz w:val="21"/>
                <w:szCs w:val="21"/>
                <w:color w:val="FF0000"/>
                <w:lang w:eastAsia="zh-CN"/>
              </w:rPr>
              <w:t xml:space="preserve">员工规模</w:t>
            </w:r>
          </w:p>
        </w:tc>
        <w:tc>
          <w:tcPr>
            <w:tcW w:w="2501"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ascii="宋体" w:hAnsi="宋体" w:eastAsia="宋体" w:cs="宋体"/>
                <w:sz w:val="21"/>
                <w:szCs w:val="21"/>
                <w:color w:val="FF0000"/>
                <w:lang w:eastAsia="zh-CN"/>
              </w:rPr>
              <w:t xml:space="preserve">成立初约20人、2021年约50人、调研时点120人</w:t>
            </w:r>
          </w:p>
        </w:tc>
        <w:tc>
          <w:tcPr>
            <w:tcW w:w="2148"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sz w:val="21"/>
                <w:szCs w:val="21"/>
                <w:color w:val="FF0000"/>
                <w:lang w:eastAsia="zh-CN"/>
              </w:rPr>
              <w:t xml:space="preserve">—</w:t>
            </w:r>
          </w:p>
        </w:tc>
        <w:tc>
          <w:tcPr>
            <w:tcW w:w="2196"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ascii="宋体" w:hAnsi="宋体" w:eastAsia="宋体" w:cs="宋体"/>
                <w:sz w:val="21"/>
                <w:szCs w:val="21"/>
                <w:color w:val="FF0000"/>
                <w:lang w:eastAsia="zh-CN"/>
              </w:rPr>
              <w:t xml:space="preserve">三处时点表述一致，可用于测算</w:t>
            </w:r>
          </w:p>
        </w:tc>
      </w:tr>
      <w:tr>
        <w:trPr>
          <w:jc w:val="center"/>
        </w:trPr>
        <w:tc>
          <w:tcPr>
            <w:tcW w:w="1451" w:type="dxa"/>
            <w:tcBorders>
              <w:left w:val="none" w:sz="0" w:space="0" w:color="auto"/>
              <w:bottom w:val="single" w:sz="12"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sz w:val="21"/>
                <w:szCs w:val="21"/>
                <w:color w:val="FF0000"/>
                <w:lang w:eastAsia="zh-CN"/>
              </w:rPr>
              <w:t xml:space="preserve">研发人员占比</w:t>
            </w:r>
          </w:p>
        </w:tc>
        <w:tc>
          <w:tcPr>
            <w:tcW w:w="2501" w:type="dxa"/>
            <w:tcBorders>
              <w:left w:val="none" w:sz="0" w:space="0" w:color="auto"/>
              <w:bottom w:val="single" w:sz="12"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sz w:val="21"/>
                <w:szCs w:val="21"/>
                <w:color w:val="FF0000"/>
                <w:lang w:eastAsia="zh-CN"/>
              </w:rPr>
              <w:t xml:space="preserve">超过60%</w:t>
            </w:r>
          </w:p>
        </w:tc>
        <w:tc>
          <w:tcPr>
            <w:tcW w:w="2148" w:type="dxa"/>
            <w:tcBorders>
              <w:left w:val="none" w:sz="0" w:space="0" w:color="auto"/>
              <w:bottom w:val="single" w:sz="12"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sz w:val="21"/>
                <w:szCs w:val="21"/>
                <w:color w:val="FF0000"/>
                <w:lang w:eastAsia="zh-CN"/>
              </w:rPr>
              <w:t xml:space="preserve">—</w:t>
            </w:r>
          </w:p>
        </w:tc>
        <w:tc>
          <w:tcPr>
            <w:tcW w:w="2196" w:type="dxa"/>
            <w:tcBorders>
              <w:left w:val="none" w:sz="0" w:space="0" w:color="auto"/>
              <w:bottom w:val="single" w:sz="12"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sz w:val="21"/>
                <w:szCs w:val="21"/>
                <w:color w:val="FF0000"/>
                <w:lang w:eastAsia="zh-CN"/>
              </w:rPr>
              <w:t xml:space="preserve">按下界60%保守估算</w:t>
            </w:r>
          </w:p>
        </w:tc>
      </w:tr>
    </w:tbl>
    <w:p xmlns:a="http://schemas.openxmlformats.org/drawingml/2006/main" xmlns:pic="http://schemas.openxmlformats.org/drawingml/2006/picture">
      <w:pPr>
        <w:keepNext/>
        <w:widowControl w:val="0"/>
        <w:ind w:firstLineChars="0" w:firstLine="0"/>
        <w:jc w:val="center"/>
      </w:pPr>
      <w:r>
        <w:rPr>
          <w:noProof/>
          <w:kern w:val="2"/>
          <w:lang w:eastAsia="zh-CN"/>
        </w:rPr>
        <w:drawing>
          <wp:inline distT="0" distB="0" distL="114300" distR="114300">
            <wp:extent cx="5270000" cy="2303443"/>
            <wp:effectExtent l="0" t="0" r="0" b="0"/>
            <wp:docPr id="904" name="图片 904"/>
            <wp:cNvGraphicFramePr>
              <a:graphicFrameLocks noChangeAspect="1"/>
            </wp:cNvGraphicFramePr>
            <a:graphic>
              <a:graphicData uri="http://schemas.openxmlformats.org/drawingml/2006/picture">
                <pic:pic>
                  <pic:nvPicPr>
                    <pic:cNvPr id="904" name="图片 904"/>
                    <pic:cNvPicPr>
                      <a:picLocks noChangeAspect="1"/>
                    </pic:cNvPicPr>
                  </pic:nvPicPr>
                  <pic:blipFill>
                    <a:blip r:embed="rId209"/>
                    <a:stretch>
                      <a:fillRect/>
                    </a:stretch>
                  </pic:blipFill>
                  <pic:spPr>
                    <a:xfrm>
                      <a:off x="0" y="0"/>
                      <a:ext cx="5270000" cy="2303443"/>
                    </a:xfrm>
                    <a:prstGeom prst="rect">
                      <a:avLst/>
                    </a:prstGeom>
                    <a:ln>
                      <a:noFill/>
                    </a:ln>
                  </pic:spPr>
                </pic:pic>
              </a:graphicData>
            </a:graphic>
          </wp:inline>
        </w:drawing>
      </w:r>
    </w:p>
    <w:p>
      <w:pPr>
        <w:pStyle w:val="af7"/>
        <w:ind w:firstLineChars="0" w:firstLine="0"/>
        <w:jc w:val="center"/>
        <w:rPr>
          <w:color w:val="FF0000"/>
          <w:lang w:eastAsia="zh-CN"/>
        </w:rPr>
      </w:pPr>
      <w:r>
        <w:rPr>
          <w:color w:val="FF0000"/>
          <w:lang w:eastAsia="zh-CN"/>
        </w:rPr>
        <w:t>图</w:t>
      </w:r>
      <w:r>
        <w:rPr>
          <w:color w:val="FF0000"/>
          <w:lang w:eastAsia="zh-CN"/>
        </w:rPr>
        <w:t xml:space="preserve"> </w:t>
      </w:r>
      <w:r>
        <w:rPr>
          <w:color w:val="FF0000"/>
          <w:lang w:eastAsia="zh-CN"/>
        </w:rPr>
        <w:t>2</w:t>
      </w:r>
      <w:r>
        <w:rPr>
          <w:color w:val="FF0000"/>
          <w:lang w:eastAsia="zh-CN"/>
        </w:rPr>
        <w:noBreakHyphen/>
      </w:r>
      <w:r>
        <w:rPr>
          <w:color w:val="FF0000"/>
          <w:lang w:eastAsia="zh-CN"/>
        </w:rPr>
        <w:fldChar w:fldCharType="begin"/>
      </w:r>
      <w:r>
        <w:rPr>
          <w:color w:val="FF0000"/>
          <w:lang w:eastAsia="zh-CN"/>
        </w:rPr>
        <w:instrText xml:space="preserve"> SEQ 图 \* ARABIC \s 1 </w:instrText>
      </w:r>
      <w:r>
        <w:rPr>
          <w:color w:val="FF0000"/>
          <w:lang w:eastAsia="zh-CN"/>
        </w:rPr>
        <w:fldChar w:fldCharType="separate"/>
      </w:r>
      <w:r>
        <w:rPr>
          <w:color w:val="FF0000"/>
          <w:noProof/>
          <w:lang w:eastAsia="zh-CN"/>
        </w:rPr>
        <w:t>7</w:t>
      </w:r>
      <w:r>
        <w:rPr>
          <w:color w:val="FF0000"/>
          <w:lang w:eastAsia="zh-CN"/>
        </w:rPr>
        <w:fldChar w:fldCharType="end"/>
      </w:r>
      <w:r>
        <w:rPr>
          <w:color w:val="FF0000"/>
          <w:lang w:eastAsia="zh-CN"/>
        </w:rPr>
        <w:t xml:space="preserve"> </w:t>
      </w:r>
      <w:r>
        <w:rPr>
          <w:color w:val="FF0000"/>
          <w:lang w:eastAsia="zh-CN"/>
        </w:rPr>
        <w:t xml:space="preserve">垂直解决方案的领域构成与价值属性分布图</w:t>
      </w:r>
    </w:p>
    <w:p>
      <w:pPr>
        <w:spacing w:line="360" w:lineRule="auto"/>
        <w:ind w:firstLineChars="200" w:firstLine="480"/>
        <w:jc w:val="both"/>
        <w:rPr>
          <w:color w:val="FF0000"/>
          <w:lang w:eastAsia="zh-CN"/>
        </w:rPr>
      </w:pPr>
      <w:r>
        <w:rPr>
          <w:color w:val="FF0000"/>
          <w:lang w:eastAsia="zh-CN"/>
        </w:rPr>
        <w:t xml:space="preserve">就业务结构而言，六大垂直解决方案按其主要价值指向可分为民生服务、产业赋能与治理效能三类，其中民生服务类三个、产业赋能类两个、治理效能类一个，民生服务类占比50%。这一比例与稿件另处依12个数字化产品统计所得的</w:t>
      </w:r>
      <w:r>
        <w:rPr>
          <w:rFonts w:hint="eastAsia" w:ascii="宋体" w:hAnsi="宋体" w:eastAsia="宋体" w:cs="宋体"/>
          <w:color w:val="FF0000"/>
          <w:lang w:eastAsia="zh-CN"/>
        </w:rPr>
        <w:t xml:space="preserve">“</w:t>
      </w:r>
      <w:r>
        <w:rPr>
          <w:color w:val="FF0000"/>
          <w:lang w:eastAsia="zh-CN"/>
        </w:rPr>
        <w:t xml:space="preserve">民生类占比50%</w:t>
      </w:r>
      <w:r>
        <w:rPr>
          <w:rFonts w:hint="eastAsia" w:ascii="宋体" w:hAnsi="宋体" w:eastAsia="宋体" w:cs="宋体"/>
          <w:color w:val="FF0000"/>
          <w:lang w:eastAsia="zh-CN"/>
        </w:rPr>
        <w:t xml:space="preserve">”</w:t>
      </w:r>
      <w:r>
        <w:rPr>
          <w:color w:val="FF0000"/>
          <w:lang w:eastAsia="zh-CN"/>
        </w:rPr>
        <w:t xml:space="preserve">相互吻合，两组独立口径得出同一结论，构成业务重心确实偏向民生服务的双重佐证。对于一家国有控股的政策驱动型企业而言，业务结构中民生服务占据半数，本身即是其公共属性在资源配置层面的直接体现。</w:t>
      </w:r>
    </w:p>
    <w:p w14:paraId="51643640" w14:textId="77777777" w:rsidR="00B610B0" w:rsidRDefault="00B610B0" w:rsidP="00CC5E4B">
      <w:pPr>
        <w:ind w:firstLine="480"/>
        <w:sectPr w:rsidR="00B610B0" w:rsidSect="00B610B0">
          <w:footerReference w:type="default" r:id="rId27"/>
          <w:pgSz w:w="11906" w:h="16838"/>
          <w:pgMar w:top="1440" w:right="1800" w:bottom="1440" w:left="1800" w:header="851" w:footer="992" w:gutter="0"/>
          <w:pgNumType w:start="1"/>
          <w:cols w:space="425"/>
          <w:docGrid w:type="lines" w:linePitch="312"/>
        </w:sectPr>
      </w:pPr>
    </w:p>
    <w:p w14:paraId="67697C36" w14:textId="77777777" w:rsidR="00CC5E4B" w:rsidRPr="00B610B0" w:rsidRDefault="00CC5E4B" w:rsidP="00CC5E4B">
      <w:pPr>
        <w:ind w:firstLine="480"/>
      </w:pPr>
    </w:p>
    <w:p w14:paraId="7EC86779" w14:textId="77777777" w:rsidR="00CC5E4B" w:rsidRPr="00CC5E4B" w:rsidRDefault="00CC5E4B" w:rsidP="00CC5E4B">
      <w:pPr>
        <w:pStyle w:val="1"/>
      </w:pPr>
      <w:bookmarkStart w:id="116" w:name="_Toc236777504"/>
      <w:bookmarkStart w:id="117" w:name="_Toc236777877"/>
      <w:bookmarkStart w:id="118" w:name="_Toc236777950"/>
      <w:r w:rsidRPr="00CC5E4B">
        <w:t>案例主体</w:t>
      </w:r>
      <w:r w:rsidRPr="00CC5E4B">
        <w:t xml:space="preserve">——</w:t>
      </w:r>
      <w:r w:rsidRPr="00CC5E4B">
        <w:rPr>
          <w:rFonts w:ascii="宋体" w:hAnsi="宋体" w:eastAsia="宋体" w:cs="宋体" w:hint="eastAsia"/>
        </w:rPr>
        <w:t xml:space="preserve">“</w:t>
      </w:r>
      <w:r w:rsidRPr="00CC5E4B">
        <w:t>授权</w:t>
      </w:r>
      <w:r w:rsidRPr="00CC5E4B">
        <w:t>·</w:t>
      </w:r>
      <w:r w:rsidRPr="00CC5E4B">
        <w:t>赋能</w:t>
      </w:r>
      <w:r w:rsidRPr="00CC5E4B">
        <w:t>·</w:t>
      </w:r>
      <w:r w:rsidRPr="00CC5E4B">
        <w:t>增值</w:t>
      </w:r>
      <w:r w:rsidRPr="00CC5E4B">
        <w:rPr>
          <w:rFonts w:ascii="宋体" w:hAnsi="宋体" w:eastAsia="宋体" w:cs="宋体" w:hint="eastAsia"/>
        </w:rPr>
        <w:t>”</w:t>
      </w:r>
      <w:r w:rsidRPr="00CC5E4B">
        <w:t>三维联动的公共价值创造路径</w:t>
      </w:r>
      <w:bookmarkEnd w:id="116"/>
      <w:bookmarkEnd w:id="117"/>
      <w:bookmarkEnd w:id="118"/>
    </w:p>
    <w:p>
      <w:pPr>
        <w:spacing w:line="360" w:lineRule="auto"/>
        <w:ind w:firstLineChars="200" w:firstLine="480"/>
        <w:jc w:val="both"/>
        <w:rPr>
          <w:color w:val="FF0000"/>
          <w:lang w:eastAsia="zh-CN"/>
        </w:rPr>
      </w:pPr>
      <w:r>
        <w:rPr>
          <w:color w:val="FF0000"/>
          <w:lang w:eastAsia="zh-CN"/>
        </w:rPr>
        <w:t xml:space="preserve">第二章确立了嘉数公司作为研究对象的典型性与可研究性，本章转入实践层面，回答该企业究竟做了什么、做到何种程度。本章的呈现并非事迹罗列，而是以战略三角的三个维度为骨架展开：授权部分回答企业凭何取得建设资格与资源，赋能部分回答政策资源经由何种组织装置转化为可交付的数字化服务，增值部分回答这些服务最终产出了何种可观测的公共价值，末节则提炼</w:t>
      </w:r>
      <w:r>
        <w:rPr>
          <w:rFonts w:hint="eastAsia" w:ascii="宋体" w:hAnsi="宋体" w:eastAsia="宋体" w:cs="宋体"/>
          <w:color w:val="FF0000"/>
          <w:lang w:eastAsia="zh-CN"/>
        </w:rPr>
        <w:t xml:space="preserve">“</w:t>
      </w:r>
      <w:r>
        <w:rPr>
          <w:color w:val="FF0000"/>
          <w:lang w:eastAsia="zh-CN"/>
        </w:rPr>
        <w:t xml:space="preserve">嘉数路径</w:t>
      </w:r>
      <w:r>
        <w:rPr>
          <w:rFonts w:hint="eastAsia" w:ascii="宋体" w:hAnsi="宋体" w:eastAsia="宋体" w:cs="宋体"/>
          <w:color w:val="FF0000"/>
          <w:lang w:eastAsia="zh-CN"/>
        </w:rPr>
        <w:t xml:space="preserve">”</w:t>
      </w:r>
      <w:r>
        <w:rPr>
          <w:color w:val="FF0000"/>
          <w:lang w:eastAsia="zh-CN"/>
        </w:rPr>
        <w:t xml:space="preserve">的整体形态。三部分之间存在严格的前后依存关系，缺少任一环节，价值创造链条即告中断。为便于把握授权来源的层次与效力，先以表 3-1 汇总三类授权的具体载体及其所解决的核心约束。</w:t>
      </w:r>
    </w:p>
    <w:p>
      <w:pPr>
        <w:pStyle w:val="af7"/>
        <w:keepNext/>
        <w:ind w:firstLineChars="0" w:firstLine="0"/>
        <w:jc w:val="center"/>
        <w:rPr>
          <w:color w:val="FF0000"/>
          <w:lang w:eastAsia="zh-CN"/>
        </w:rPr>
      </w:pPr>
      <w:r>
        <w:rPr>
          <w:color w:val="FF0000"/>
          <w:lang w:eastAsia="zh-CN"/>
        </w:rPr>
        <w:t>表</w:t>
      </w:r>
      <w:r>
        <w:rPr>
          <w:color w:val="FF0000"/>
          <w:lang w:eastAsia="zh-CN"/>
        </w:rPr>
        <w:t xml:space="preserve"> </w:t>
      </w:r>
      <w:r>
        <w:rPr>
          <w:color w:val="FF0000"/>
          <w:lang w:eastAsia="zh-CN"/>
        </w:rPr>
        <w:t>3</w:t>
      </w:r>
      <w:r>
        <w:rPr>
          <w:color w:val="FF0000"/>
          <w:lang w:eastAsia="zh-CN"/>
        </w:rPr>
        <w:noBreakHyphen/>
      </w:r>
      <w:r>
        <w:rPr>
          <w:color w:val="FF0000"/>
          <w:lang w:eastAsia="zh-CN"/>
        </w:rPr>
        <w:fldChar w:fldCharType="begin"/>
      </w:r>
      <w:r>
        <w:rPr>
          <w:color w:val="FF0000"/>
          <w:lang w:eastAsia="zh-CN"/>
        </w:rPr>
        <w:instrText xml:space="preserve"> SEQ 表 \* ARABIC \s 1 </w:instrText>
      </w:r>
      <w:r>
        <w:rPr>
          <w:color w:val="FF0000"/>
          <w:lang w:eastAsia="zh-CN"/>
        </w:rPr>
        <w:fldChar w:fldCharType="separate"/>
      </w:r>
      <w:r>
        <w:rPr>
          <w:color w:val="FF0000"/>
          <w:noProof/>
          <w:lang w:eastAsia="zh-CN"/>
        </w:rPr>
        <w:t>1</w:t>
      </w:r>
      <w:r>
        <w:rPr>
          <w:color w:val="FF0000"/>
          <w:lang w:eastAsia="zh-CN"/>
        </w:rPr>
        <w:fldChar w:fldCharType="end"/>
      </w:r>
      <w:r>
        <w:rPr>
          <w:color w:val="FF0000"/>
          <w:lang w:eastAsia="zh-CN"/>
        </w:rPr>
        <w:t xml:space="preserve"> </w:t>
      </w:r>
      <w:r>
        <w:rPr>
          <w:color w:val="FF0000"/>
          <w:lang w:eastAsia="zh-CN"/>
        </w:rPr>
        <w:t xml:space="preserve">嘉数公司三重授权来源与效力对照表</w:t>
      </w:r>
    </w:p>
    <w:tbl>
      <w:tblPr>
        <w:tblStyle w:val="SanXian"/>
        <w:tblW w:w="8296" w:type="dxa"/>
        <w:jc w:val="center"/>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ayout w:type="fixed"/>
        <w:tblLook w:val="04A0" w:firstRow="1" w:lastRow="0" w:firstColumn="0" w:lastColumn="0" w:noHBand="0" w:noVBand="1"/>
      </w:tblPr>
      <w:tblGrid>
        <w:gridCol w:w="1367"/>
        <w:gridCol w:w="3235"/>
        <w:gridCol w:w="2092"/>
        <w:gridCol w:w="1602"/>
      </w:tblGrid>
      <w:tr>
        <w:trPr>
          <w:tblHeader/>
          <w:jc w:val="center"/>
        </w:trPr>
        <w:tc>
          <w:tcPr>
            <w:tcW w:w="1367" w:type="dxa"/>
            <w:tcBorders>
              <w:top w:val="single" w:sz="12" w:space="0" w:color="000000"/>
              <w:left w:val="none" w:sz="0" w:space="0" w:color="auto"/>
              <w:bottom w:val="single" w:sz="6"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b/>
                <w:bCs/>
                <w:sz w:val="21"/>
                <w:szCs w:val="21"/>
                <w:color w:val="FF0000"/>
                <w:lang w:eastAsia="zh-CN"/>
              </w:rPr>
              <w:t xml:space="preserve">授权类型</w:t>
            </w:r>
          </w:p>
        </w:tc>
        <w:tc>
          <w:tcPr>
            <w:tcW w:w="3235" w:type="dxa"/>
            <w:tcBorders>
              <w:top w:val="single" w:sz="12" w:space="0" w:color="000000"/>
              <w:left w:val="none" w:sz="0" w:space="0" w:color="auto"/>
              <w:bottom w:val="single" w:sz="6"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b/>
                <w:bCs/>
                <w:sz w:val="21"/>
                <w:szCs w:val="21"/>
                <w:color w:val="FF0000"/>
                <w:lang w:eastAsia="zh-CN"/>
              </w:rPr>
              <w:t xml:space="preserve">具体载体</w:t>
            </w:r>
          </w:p>
        </w:tc>
        <w:tc>
          <w:tcPr>
            <w:tcW w:w="2092" w:type="dxa"/>
            <w:tcBorders>
              <w:top w:val="single" w:sz="12" w:space="0" w:color="000000"/>
              <w:left w:val="none" w:sz="0" w:space="0" w:color="auto"/>
              <w:bottom w:val="single" w:sz="6"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b/>
                <w:bCs/>
                <w:sz w:val="21"/>
                <w:szCs w:val="21"/>
                <w:color w:val="FF0000"/>
                <w:lang w:eastAsia="zh-CN"/>
              </w:rPr>
              <w:t xml:space="preserve">所授予的权限或资源</w:t>
            </w:r>
          </w:p>
        </w:tc>
        <w:tc>
          <w:tcPr>
            <w:tcW w:w="1602" w:type="dxa"/>
            <w:tcBorders>
              <w:top w:val="single" w:sz="12" w:space="0" w:color="000000"/>
              <w:left w:val="none" w:sz="0" w:space="0" w:color="auto"/>
              <w:bottom w:val="single" w:sz="6"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b/>
                <w:bCs/>
                <w:sz w:val="21"/>
                <w:szCs w:val="21"/>
                <w:color w:val="FF0000"/>
                <w:lang w:eastAsia="zh-CN"/>
              </w:rPr>
              <w:t xml:space="preserve">解决的核心约束</w:t>
            </w:r>
          </w:p>
        </w:tc>
      </w:tr>
      <w:tr>
        <w:trPr>
          <w:jc w:val="center"/>
        </w:trPr>
        <w:tc>
          <w:tcPr>
            <w:tcW w:w="1367"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sz w:val="21"/>
                <w:szCs w:val="21"/>
                <w:color w:val="FF0000"/>
                <w:lang w:eastAsia="zh-CN"/>
              </w:rPr>
              <w:t xml:space="preserve">政策授权</w:t>
            </w:r>
          </w:p>
        </w:tc>
        <w:tc>
          <w:tcPr>
            <w:tcW w:w="3235"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ascii="宋体" w:hAnsi="宋体" w:eastAsia="宋体" w:cs="宋体"/>
                <w:sz w:val="21"/>
                <w:szCs w:val="21"/>
                <w:color w:val="FF0000"/>
                <w:lang w:eastAsia="zh-CN"/>
              </w:rPr>
              <w:t xml:space="preserve">国家</w:t>
            </w:r>
            <w:r>
              <w:rPr>
                <w:rFonts w:hint="eastAsia" w:ascii="宋体" w:hAnsi="宋体" w:eastAsia="宋体" w:cs="宋体"/>
                <w:sz w:val="21"/>
                <w:szCs w:val="21"/>
                <w:color w:val="FF0000"/>
                <w:lang w:eastAsia="zh-CN"/>
              </w:rPr>
              <w:t xml:space="preserve">“</w:t>
            </w:r>
            <w:r>
              <w:rPr>
                <w:rFonts w:hint="eastAsia" w:ascii="宋体" w:hAnsi="宋体" w:eastAsia="宋体" w:cs="宋体"/>
                <w:sz w:val="21"/>
                <w:szCs w:val="21"/>
                <w:color w:val="FF0000"/>
                <w:lang w:eastAsia="zh-CN"/>
              </w:rPr>
              <w:t xml:space="preserve">十四五</w:t>
            </w:r>
            <w:r>
              <w:rPr>
                <w:rFonts w:hint="eastAsia" w:ascii="宋体" w:hAnsi="宋体" w:eastAsia="宋体" w:cs="宋体"/>
                <w:sz w:val="21"/>
                <w:szCs w:val="21"/>
                <w:color w:val="FF0000"/>
                <w:lang w:eastAsia="zh-CN"/>
              </w:rPr>
              <w:t xml:space="preserve">”</w:t>
            </w:r>
            <w:r>
              <w:rPr>
                <w:rFonts w:hint="eastAsia" w:ascii="宋体" w:hAnsi="宋体" w:eastAsia="宋体" w:cs="宋体"/>
                <w:sz w:val="21"/>
                <w:szCs w:val="21"/>
                <w:color w:val="FF0000"/>
                <w:lang w:eastAsia="zh-CN"/>
              </w:rPr>
              <w:t xml:space="preserve">重点研发专项、科技部百城百园、工信部智慧城市试点、省级数字化改革部署</w:t>
            </w:r>
          </w:p>
        </w:tc>
        <w:tc>
          <w:tcPr>
            <w:tcW w:w="2092"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ascii="宋体" w:hAnsi="宋体" w:eastAsia="宋体" w:cs="宋体"/>
                <w:sz w:val="21"/>
                <w:szCs w:val="21"/>
                <w:color w:val="FF0000"/>
                <w:lang w:eastAsia="zh-CN"/>
              </w:rPr>
              <w:t xml:space="preserve">先行先试豁免空间、跨部门数据协调资格</w:t>
            </w:r>
          </w:p>
        </w:tc>
        <w:tc>
          <w:tcPr>
            <w:tcW w:w="1602"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ascii="宋体" w:hAnsi="宋体" w:eastAsia="宋体" w:cs="宋体"/>
                <w:sz w:val="21"/>
                <w:szCs w:val="21"/>
                <w:color w:val="FF0000"/>
                <w:lang w:eastAsia="zh-CN"/>
              </w:rPr>
              <w:t xml:space="preserve">创新缺乏制度依据与试错空间</w:t>
            </w:r>
          </w:p>
        </w:tc>
      </w:tr>
      <w:tr>
        <w:trPr>
          <w:jc w:val="center"/>
        </w:trPr>
        <w:tc>
          <w:tcPr>
            <w:tcW w:w="1367"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sz w:val="21"/>
                <w:szCs w:val="21"/>
                <w:color w:val="FF0000"/>
                <w:lang w:eastAsia="zh-CN"/>
              </w:rPr>
              <w:t xml:space="preserve">出资授权</w:t>
            </w:r>
          </w:p>
        </w:tc>
        <w:tc>
          <w:tcPr>
            <w:tcW w:w="3235"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ascii="宋体" w:hAnsi="宋体" w:eastAsia="宋体" w:cs="宋体"/>
                <w:sz w:val="21"/>
                <w:szCs w:val="21"/>
                <w:color w:val="FF0000"/>
                <w:lang w:eastAsia="zh-CN"/>
              </w:rPr>
              <w:t xml:space="preserve">嘉兴市政府平台公司与中国电科联合出资五亿元组建，国有控股</w:t>
            </w:r>
          </w:p>
        </w:tc>
        <w:tc>
          <w:tcPr>
            <w:tcW w:w="2092"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ascii="宋体" w:hAnsi="宋体" w:eastAsia="宋体" w:cs="宋体"/>
                <w:sz w:val="21"/>
                <w:szCs w:val="21"/>
                <w:color w:val="FF0000"/>
                <w:lang w:eastAsia="zh-CN"/>
              </w:rPr>
              <w:t xml:space="preserve">资本金、央企底层技术体系、政务准入资质</w:t>
            </w:r>
          </w:p>
        </w:tc>
        <w:tc>
          <w:tcPr>
            <w:tcW w:w="1602"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ascii="宋体" w:hAnsi="宋体" w:eastAsia="宋体" w:cs="宋体"/>
                <w:sz w:val="21"/>
                <w:szCs w:val="21"/>
                <w:color w:val="FF0000"/>
                <w:lang w:eastAsia="zh-CN"/>
              </w:rPr>
              <w:t xml:space="preserve">中小城市资金与高端技术储备不足</w:t>
            </w:r>
          </w:p>
        </w:tc>
      </w:tr>
      <w:tr>
        <w:trPr>
          <w:jc w:val="center"/>
        </w:trPr>
        <w:tc>
          <w:tcPr>
            <w:tcW w:w="1367"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sz w:val="21"/>
                <w:szCs w:val="21"/>
                <w:color w:val="FF0000"/>
                <w:lang w:eastAsia="zh-CN"/>
              </w:rPr>
              <w:t xml:space="preserve">行政授权</w:t>
            </w:r>
          </w:p>
        </w:tc>
        <w:tc>
          <w:tcPr>
            <w:tcW w:w="3235"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ascii="宋体" w:hAnsi="宋体" w:eastAsia="宋体" w:cs="宋体"/>
                <w:sz w:val="21"/>
                <w:szCs w:val="21"/>
                <w:color w:val="FF0000"/>
                <w:lang w:eastAsia="zh-CN"/>
              </w:rPr>
              <w:t xml:space="preserve">数字城市试点唯一市场化运营主体身份</w:t>
            </w:r>
          </w:p>
        </w:tc>
        <w:tc>
          <w:tcPr>
            <w:tcW w:w="2092"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ascii="宋体" w:hAnsi="宋体" w:eastAsia="宋体" w:cs="宋体"/>
                <w:sz w:val="21"/>
                <w:szCs w:val="21"/>
                <w:color w:val="FF0000"/>
                <w:lang w:eastAsia="zh-CN"/>
              </w:rPr>
              <w:t xml:space="preserve">全市域政务数据统筹归集权、城市大脑建设运维权</w:t>
            </w:r>
          </w:p>
        </w:tc>
        <w:tc>
          <w:tcPr>
            <w:tcW w:w="1602"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sz w:val="21"/>
                <w:szCs w:val="21"/>
                <w:color w:val="FF0000"/>
                <w:lang w:eastAsia="zh-CN"/>
              </w:rPr>
              <w:t xml:space="preserve">部门数据壁垒与业务孤岛</w:t>
            </w:r>
          </w:p>
        </w:tc>
      </w:tr>
      <w:tr>
        <w:trPr>
          <w:jc w:val="center"/>
        </w:trPr>
        <w:tc>
          <w:tcPr>
            <w:tcW w:w="1367" w:type="dxa"/>
            <w:tcBorders>
              <w:left w:val="none" w:sz="0" w:space="0" w:color="auto"/>
              <w:bottom w:val="single" w:sz="12"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sz w:val="21"/>
                <w:szCs w:val="21"/>
                <w:color w:val="FF0000"/>
                <w:lang w:eastAsia="zh-CN"/>
              </w:rPr>
              <w:t xml:space="preserve">协同授权</w:t>
            </w:r>
          </w:p>
        </w:tc>
        <w:tc>
          <w:tcPr>
            <w:tcW w:w="3235" w:type="dxa"/>
            <w:tcBorders>
              <w:left w:val="none" w:sz="0" w:space="0" w:color="auto"/>
              <w:bottom w:val="single" w:sz="12" w:space="0" w:color="000000"/>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ascii="宋体" w:hAnsi="宋体" w:eastAsia="宋体" w:cs="宋体"/>
                <w:sz w:val="21"/>
                <w:szCs w:val="21"/>
                <w:color w:val="FF0000"/>
                <w:lang w:eastAsia="zh-CN"/>
              </w:rPr>
              <w:t xml:space="preserve">北京理工大学长三角研究院共建市级A类数据要素运营重点实验室、省级博士后工作站</w:t>
            </w:r>
          </w:p>
        </w:tc>
        <w:tc>
          <w:tcPr>
            <w:tcW w:w="2092" w:type="dxa"/>
            <w:tcBorders>
              <w:left w:val="none" w:sz="0" w:space="0" w:color="auto"/>
              <w:bottom w:val="single" w:sz="12" w:space="0" w:color="000000"/>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ascii="宋体" w:hAnsi="宋体" w:eastAsia="宋体" w:cs="宋体"/>
                <w:sz w:val="21"/>
                <w:szCs w:val="21"/>
                <w:color w:val="FF0000"/>
                <w:lang w:eastAsia="zh-CN"/>
              </w:rPr>
              <w:t xml:space="preserve">算法攻关能力、高端人才通道、标准编制资格</w:t>
            </w:r>
          </w:p>
        </w:tc>
        <w:tc>
          <w:tcPr>
            <w:tcW w:w="1602" w:type="dxa"/>
            <w:tcBorders>
              <w:left w:val="none" w:sz="0" w:space="0" w:color="auto"/>
              <w:bottom w:val="single" w:sz="12"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sz w:val="21"/>
                <w:szCs w:val="21"/>
                <w:color w:val="FF0000"/>
                <w:lang w:eastAsia="zh-CN"/>
              </w:rPr>
              <w:t xml:space="preserve">本土科研与人才供给薄弱</w:t>
            </w:r>
          </w:p>
        </w:tc>
      </w:tr>
    </w:tbl>
    <w:p w14:paraId="6936800B" w14:textId="77777777" w:rsidR="00CC5E4B" w:rsidRPr="00CC5E4B" w:rsidRDefault="00CC5E4B" w:rsidP="00CC5E4B">
      <w:pPr>
        <w:pStyle w:val="2"/>
        <w:spacing w:before="156" w:after="156"/>
      </w:pPr>
      <w:bookmarkStart w:id="119" w:name="_Ref236743653"/>
      <w:bookmarkStart w:id="120" w:name="_Toc236744670"/>
      <w:bookmarkStart w:id="121" w:name="_Toc236777505"/>
      <w:bookmarkStart w:id="122" w:name="_Toc236777878"/>
      <w:bookmarkStart w:id="123" w:name="_Toc236777951"/>
      <w:bookmarkEnd w:id="119"/>
      <w:r w:rsidRPr="00CC5E4B">
        <w:t>政策锚定</w:t>
      </w:r>
      <w:r w:rsidRPr="00CC5E4B">
        <w:t>·</w:t>
      </w:r>
      <w:r w:rsidRPr="00CC5E4B">
        <w:t>政企共建：公共价值创造的</w:t>
      </w:r>
      <w:r w:rsidRPr="00CC5E4B">
        <w:rPr>
          <w:rFonts w:ascii="宋体" w:hAnsi="宋体" w:eastAsia="宋体" w:cs="宋体" w:hint="eastAsia"/>
        </w:rPr>
        <w:t>“</w:t>
      </w:r>
      <w:r w:rsidRPr="00CC5E4B">
        <w:t>授权</w:t>
      </w:r>
      <w:r w:rsidRPr="00CC5E4B">
        <w:rPr>
          <w:rFonts w:ascii="宋体" w:hAnsi="宋体" w:eastAsia="宋体" w:cs="宋体" w:hint="eastAsia"/>
        </w:rPr>
        <w:t>”</w:t>
      </w:r>
      <w:r w:rsidRPr="00CC5E4B">
        <w:t>之基</w:t>
      </w:r>
      <w:bookmarkEnd w:id="120"/>
      <w:bookmarkEnd w:id="121"/>
      <w:bookmarkEnd w:id="122"/>
      <w:bookmarkEnd w:id="123"/>
    </w:p>
    <w:p w14:paraId="6ADB2632" w14:textId="77777777" w:rsidR="00CC5E4B" w:rsidRPr="00CC5E4B" w:rsidRDefault="00CC5E4B" w:rsidP="00CC5E4B">
      <w:pPr>
        <w:spacing w:before="100" w:beforeAutospacing="1" w:after="160" w:line="360" w:lineRule="auto"/>
        <w:ind w:firstLine="480" w:firstLineChars="200"/>
        <w:jc w:val="both"/>
        <w:rPr>
          <w:rFonts w:ascii="宋体" w:eastAsia="宋体" w:hAnsi="宋体"/>
          <w:szCs w:val="24"/>
        </w:rPr>
      </w:pPr>
      <w:r w:rsidRPr="00CC5E4B">
        <w:rPr/>
        <w:t xml:space="preserve">授权环境是地方国企开展公共价值创造的前置条件，核心解决 </w:t>
      </w:r>
      <w:r w:rsidRPr="00CC5E4B">
        <w:rPr>
          <w:rFonts w:ascii="宋体" w:eastAsia="宋体" w:hAnsi="宋体" w:cs="宋体" w:hint="eastAsia"/>
        </w:rPr>
        <w:t xml:space="preserve">“</w:t>
      </w:r>
      <w:r w:rsidRPr="00CC5E4B">
        <w:rPr/>
        <w:t xml:space="preserve">企业凭什么开展数字城市建设、从何处获取资源与合法身份</w:t>
      </w:r>
      <w:r w:rsidRPr="00CC5E4B">
        <w:rPr>
          <w:rFonts w:ascii="宋体" w:eastAsia="宋体" w:hAnsi="宋体" w:cs="宋体" w:hint="eastAsia"/>
        </w:rPr>
        <w:t xml:space="preserve">”</w:t>
      </w:r>
      <w:r w:rsidRPr="00CC5E4B">
        <w:rPr/>
        <w:t xml:space="preserve"> 的核心问题。嘉数公司以政策锚定锁定制度授权，以政企共建夯实资源授权，以多元产学研协同拓展协同授权，三重支撑共同筑牢公共价值创造的合法性根基。</w:t>
      </w:r>
    </w:p>
    <w:p w14:paraId="74554432" w14:textId="77777777" w:rsidR="00CC5E4B" w:rsidRPr="00CC5E4B" w:rsidRDefault="00CC5E4B" w:rsidP="00CC5E4B">
      <w:pPr>
        <w:pStyle w:val="a"/>
        <w:spacing w:before="156" w:after="156"/>
        <w:rPr>
          <w:rFonts w:ascii="黑体" w:hAnsi="黑体"/>
        </w:rPr>
      </w:pPr>
      <w:bookmarkStart w:id="124" w:name="_Toc236744671"/>
      <w:bookmarkStart w:id="125" w:name="_Toc236777506"/>
      <w:bookmarkStart w:id="126" w:name="_Toc236777879"/>
      <w:bookmarkStart w:id="127" w:name="_Toc236777952"/>
      <w:bookmarkEnd w:id="124"/>
      <w:r w:rsidRPr="00CC5E4B">
        <w:t>政策锚定：对接国家战略，获取先行先试制度授权</w:t>
      </w:r>
      <w:bookmarkEnd w:id="125"/>
      <w:bookmarkEnd w:id="126"/>
      <w:bookmarkEnd w:id="127"/>
    </w:p>
    <w:p>
      <w:pPr>
        <w:spacing w:line="360" w:lineRule="auto"/>
        <w:ind w:firstLineChars="200" w:firstLine="480"/>
        <w:jc w:val="both"/>
        <w:rPr>
          <w:color w:val="FF0000"/>
          <w:lang w:eastAsia="zh-CN"/>
        </w:rPr>
      </w:pPr>
      <w:r>
        <w:rPr>
          <w:color w:val="FF0000"/>
          <w:lang w:eastAsia="zh-CN"/>
        </w:rPr>
        <w:t xml:space="preserve">数字中国与新型智慧城市建设已上升为国家战略，</w:t>
      </w:r>
      <w:r>
        <w:rPr>
          <w:rFonts w:hint="eastAsia" w:ascii="宋体" w:hAnsi="宋体" w:eastAsia="宋体" w:cs="宋体"/>
          <w:color w:val="FF0000"/>
          <w:lang w:eastAsia="zh-CN"/>
        </w:rPr>
        <w:t xml:space="preserve">“</w:t>
      </w:r>
      <w:r>
        <w:rPr>
          <w:color w:val="FF0000"/>
          <w:lang w:eastAsia="zh-CN"/>
        </w:rPr>
        <w:t xml:space="preserve">十四五</w:t>
      </w:r>
      <w:r>
        <w:rPr>
          <w:rFonts w:hint="eastAsia" w:ascii="宋体" w:hAnsi="宋体" w:eastAsia="宋体" w:cs="宋体"/>
          <w:color w:val="FF0000"/>
          <w:lang w:eastAsia="zh-CN"/>
        </w:rPr>
        <w:t xml:space="preserve">”</w:t>
      </w:r>
      <w:r>
        <w:rPr>
          <w:color w:val="FF0000"/>
          <w:lang w:eastAsia="zh-CN"/>
        </w:rPr>
        <w:t xml:space="preserve">规划将数字化发展独立设篇，嘉兴亦被列入全国数字城市试点，享有改革先行先试的制度红利。嘉数公司的做法是把企业使命与国家试点任务直接绑定，沿国家、省、市三个层级逐级承接授权。在国家层级，企业牵头承担国家</w:t>
      </w:r>
      <w:r>
        <w:rPr>
          <w:rFonts w:hint="eastAsia" w:ascii="宋体" w:hAnsi="宋体" w:eastAsia="宋体" w:cs="宋体"/>
          <w:color w:val="FF0000"/>
          <w:lang w:eastAsia="zh-CN"/>
        </w:rPr>
        <w:t xml:space="preserve">“</w:t>
      </w:r>
      <w:r>
        <w:rPr>
          <w:color w:val="FF0000"/>
          <w:lang w:eastAsia="zh-CN"/>
        </w:rPr>
        <w:t xml:space="preserve">十四五</w:t>
      </w:r>
      <w:r>
        <w:rPr>
          <w:rFonts w:hint="eastAsia" w:ascii="宋体" w:hAnsi="宋体" w:eastAsia="宋体" w:cs="宋体"/>
          <w:color w:val="FF0000"/>
          <w:lang w:eastAsia="zh-CN"/>
        </w:rPr>
        <w:t xml:space="preserve">”</w:t>
      </w:r>
      <w:r>
        <w:rPr>
          <w:color w:val="FF0000"/>
          <w:lang w:eastAsia="zh-CN"/>
        </w:rPr>
        <w:t xml:space="preserve">数字领域重点研发专项，并入选科技部</w:t>
      </w:r>
      <w:r>
        <w:rPr>
          <w:rFonts w:hint="eastAsia" w:ascii="宋体" w:hAnsi="宋体" w:eastAsia="宋体" w:cs="宋体"/>
          <w:color w:val="FF0000"/>
          <w:lang w:eastAsia="zh-CN"/>
        </w:rPr>
        <w:t xml:space="preserve">“</w:t>
      </w:r>
      <w:r>
        <w:rPr>
          <w:color w:val="FF0000"/>
          <w:lang w:eastAsia="zh-CN"/>
        </w:rPr>
        <w:t xml:space="preserve">百城百园</w:t>
      </w:r>
      <w:r>
        <w:rPr>
          <w:rFonts w:hint="eastAsia" w:ascii="宋体" w:hAnsi="宋体" w:eastAsia="宋体" w:cs="宋体"/>
          <w:color w:val="FF0000"/>
          <w:lang w:eastAsia="zh-CN"/>
        </w:rPr>
        <w:t xml:space="preserve">”</w:t>
      </w:r>
      <w:r>
        <w:rPr>
          <w:color w:val="FF0000"/>
          <w:lang w:eastAsia="zh-CN"/>
        </w:rPr>
        <w:t xml:space="preserve">与工信部智慧城市试点，依托国家级项目背书取得跨部门数据协调资格与数字化创新的容错空间；在省级层级，企业紧跟浙江省城市大脑建设、数据要素市场化与数字治理等改革部署，承接省级数商创新与数字治理试点项目，获得专项资金与配套政策支撑；在市级层级，企业作为嘉兴数字城市试点唯一的市场化运营主体，由政府将城市大脑建设、公共数据归集、基层数字治理与智慧民生场景开发等核心任务统一交由其统筹，并授予全市域政务数据的统筹权限。</w:t>
      </w:r>
    </w:p>
    <w:p>
      <w:pPr>
        <w:spacing w:line="360" w:lineRule="auto"/>
        <w:ind w:firstLineChars="200" w:firstLine="480"/>
        <w:jc w:val="both"/>
        <w:rPr>
          <w:color w:val="FF0000"/>
          <w:lang w:eastAsia="zh-CN"/>
        </w:rPr>
      </w:pPr>
      <w:r>
        <w:rPr>
          <w:color w:val="FF0000"/>
          <w:lang w:eastAsia="zh-CN"/>
        </w:rPr>
        <w:t xml:space="preserve">三个层级的授权并非简单叠加，而是各自解决不同性质的约束。国家级试点资质提供的是创新行为的合法性依据，使企业得以突破常规政务信息化建设在流程与场景上的既有边界；省级部署提供的是资金与政策配套，降低了长周期投入的财务压力；市级行政授权提供的则是数据与场景的实际可及性，没有这一层，前两层授权仍无法落到具体业务。三者叠加使嘉数具备了普通民营科技企业不具备的制度合法性，大幅压降了跨部门协同的沟通成本与数字化创新的试错成本，这正是后续运营能力得以搭建的前提。</w:t>
      </w:r>
    </w:p>
    <w:p w14:paraId="47BC1D8E" w14:textId="77777777" w:rsidR="00CC5E4B" w:rsidRPr="00CC5E4B" w:rsidRDefault="00CC5E4B" w:rsidP="00CC5E4B">
      <w:pPr>
        <w:pStyle w:val="a"/>
        <w:spacing w:before="156" w:after="156"/>
        <w:rPr>
          <w:rFonts w:ascii="黑体" w:hAnsi="黑体"/>
        </w:rPr>
      </w:pPr>
      <w:bookmarkStart w:id="128" w:name="_Toc236744672"/>
      <w:bookmarkStart w:id="129" w:name="_Toc236777507"/>
      <w:bookmarkStart w:id="130" w:name="_Toc236777880"/>
      <w:bookmarkStart w:id="131" w:name="_Toc236777953"/>
      <w:bookmarkEnd w:id="128"/>
      <w:r w:rsidRPr="00CC5E4B">
        <w:t>政企共建：双主体出资，构建资金与技术双重资源授权</w:t>
      </w:r>
      <w:bookmarkEnd w:id="129"/>
      <w:bookmarkEnd w:id="130"/>
      <w:bookmarkEnd w:id="131"/>
    </w:p>
    <w:p>
      <w:pPr>
        <w:spacing w:line="360" w:lineRule="auto"/>
        <w:ind w:firstLineChars="200" w:firstLine="480"/>
        <w:jc w:val="both"/>
        <w:rPr>
          <w:color w:val="FF0000"/>
          <w:lang w:eastAsia="zh-CN"/>
        </w:rPr>
      </w:pPr>
      <w:r>
        <w:rPr>
          <w:color w:val="FF0000"/>
          <w:lang w:eastAsia="zh-CN"/>
        </w:rPr>
        <w:t xml:space="preserve">2020 年，嘉兴市政府联合中国电子科技集团共同出资五亿元组建嘉数公司，国有控股的股权架构构成了企业最核心的资源授权来源。这一架构的实质，是让政府的公共需求与央企的技术资源在同一法人主体内部实现双向供给，从而避免了纯政府主导下技术能力不足、或纯市场主导下公共使命缺位的两难。就政府一侧而言，其出资带来的并不只是资本金：政府统筹开放全市机关、街道、医院、学校、交通等公共落地场景，协调各部门将业务数据归集至企业的公共数据平台，并在税收、科研补贴、项目采购与产业用地等方面给予配套支持，为企业的产品研发与验证提供了充足且真实的应用场域。就央企一侧而言，中国电科在大数据、物联网、人工智能与信创安全领域的技术储备，为城市大脑、数据安全体系与政务大模型提供了底层技术支撑，精准补齐了中小城市本土数字产业在高端技术上的短板。资本、场景与技术三类要素由此在同一主体内完成配置，这是单一出资方难以达成的组合。</w:t>
      </w:r>
    </w:p>
    <w:p w14:paraId="1FE7E22B" w14:textId="77777777" w:rsidR="00CC5E4B" w:rsidRPr="00CC5E4B" w:rsidRDefault="00CC5E4B" w:rsidP="00CC5E4B">
      <w:pPr>
        <w:pStyle w:val="a"/>
        <w:spacing w:before="156" w:after="156"/>
        <w:rPr>
          <w:rFonts w:ascii="黑体" w:hAnsi="黑体"/>
        </w:rPr>
      </w:pPr>
      <w:bookmarkStart w:id="132" w:name="_Toc236744673"/>
      <w:bookmarkStart w:id="133" w:name="_Toc236777508"/>
      <w:bookmarkStart w:id="134" w:name="_Toc236777881"/>
      <w:bookmarkStart w:id="135" w:name="_Toc236777954"/>
      <w:bookmarkEnd w:id="132"/>
      <w:r w:rsidRPr="00CC5E4B">
        <w:t>产学研协同：多元主体合作，拓宽协同授权边界</w:t>
      </w:r>
      <w:bookmarkEnd w:id="133"/>
      <w:bookmarkEnd w:id="134"/>
      <w:bookmarkEnd w:id="135"/>
    </w:p>
    <w:p>
      <w:pPr>
        <w:spacing w:line="360" w:lineRule="auto"/>
        <w:ind w:firstLineChars="200" w:firstLine="480"/>
        <w:jc w:val="both"/>
        <w:rPr>
          <w:color w:val="FF0000"/>
          <w:lang w:eastAsia="zh-CN"/>
        </w:rPr>
      </w:pPr>
      <w:r>
        <w:rPr>
          <w:color w:val="FF0000"/>
          <w:lang w:eastAsia="zh-CN"/>
        </w:rPr>
        <w:t xml:space="preserve">政企双主体的资源组合虽已相当完整，但在基础算法研究与高端人才供给上仍存在局限，嘉数因此进一步搭建产学研合作网络，将高校与科研院所纳入授权来源。企业与北京理工大学长三角研究院合作建成嘉兴首家市级 A 类数据要素运营重点实验室，形成集技术攻关、数据研究、人才培育与标准编制于一体的创新试验载体；同时运营浙江省博士后工作站与市级高新技术研发中心，联动本地高校及细分领域科技企业开展联合课题攻关。三类主体的分工建立在能力禀赋的互补之上：高校承担算法攻关、理论研究与高端人才输送，重点实验室为企业开展数据要素合规流转与数据资产价值测算提供受保护的试验空间，合作科技企业则补齐各类细分应用场景的落地能力。这一网络的意义不止于资源补充，更在于它把企业的授权来源由行政序列扩展至学术与市场序列——重点实验室与博士后工作站本身即是可被外部识别的能力凭证，其存在反过来强化了企业在政策序列中的议价地位。</w:t>
      </w:r>
    </w:p>
    <w:p w14:paraId="68E00212" w14:textId="76268500" w:rsidR="00CC5E4B" w:rsidRPr="00CC5E4B" w:rsidRDefault="00CC5E4B" w:rsidP="00CC5E4B">
      <w:pPr>
        <w:pStyle w:val="2"/>
        <w:spacing w:before="156" w:after="156"/>
      </w:pPr>
      <w:bookmarkStart w:id="136" w:name="_Toc236744674"/>
      <w:bookmarkStart w:id="137" w:name="_Toc236777509"/>
      <w:bookmarkStart w:id="138" w:name="_Toc236777882"/>
      <w:bookmarkStart w:id="139" w:name="_Toc236777955"/>
      <w:bookmarkEnd w:id="136"/>
      <w:r w:rsidRPr="00CC5E4B">
        <w:t>平台筑基</w:t>
      </w:r>
      <w:r w:rsidRPr="00CC5E4B">
        <w:rPr/>
        <w:t>・</w:t>
      </w:r>
      <w:r w:rsidRPr="00CC5E4B">
        <w:rPr/>
        <w:t>要素聚合：公共价值创造的</w:t>
      </w:r>
      <w:r w:rsidRPr="00CC5E4B">
        <w:rPr>
          <w:rFonts w:ascii="宋体" w:hAnsi="宋体" w:eastAsia="宋体" w:cs="宋体" w:hint="eastAsia"/>
        </w:rPr>
        <w:t>“</w:t>
      </w:r>
      <w:r w:rsidRPr="00CC5E4B">
        <w:t>赋能</w:t>
      </w:r>
      <w:r w:rsidRPr="00CC5E4B">
        <w:rPr>
          <w:rFonts w:ascii="宋体" w:hAnsi="宋体" w:eastAsia="宋体" w:cs="宋体" w:hint="eastAsia"/>
        </w:rPr>
        <w:t>”</w:t>
      </w:r>
      <w:r w:rsidRPr="00CC5E4B">
        <w:t>之擎</w:t>
      </w:r>
      <w:bookmarkEnd w:id="137"/>
      <w:bookmarkEnd w:id="138"/>
      <w:bookmarkEnd w:id="139"/>
    </w:p>
    <w:p>
      <w:pPr>
        <w:spacing w:line="360" w:lineRule="auto"/>
        <w:ind w:firstLineChars="200" w:firstLine="480"/>
        <w:jc w:val="both"/>
        <w:rPr>
          <w:color w:val="FF0000"/>
          <w:lang w:eastAsia="zh-CN"/>
        </w:rPr>
      </w:pPr>
      <w:r>
        <w:rPr>
          <w:color w:val="FF0000"/>
          <w:lang w:eastAsia="zh-CN"/>
        </w:rPr>
        <w:t xml:space="preserve">运营能力是连接授权环境与公共价值产出的核心中介，决定企业能否把政策、资金、场景等授权资源转化为实体化的数字服务成果。对中小城市而言，这一环节的难度往往高于取得授权本身：政策文件可以一次性下达，场景可以一次性开放，但把它们转化为稳定可交付的系统与服务，需要长期的技术积累、数据治理与人才储备，任一要素缺位都会使授权停留在纸面。嘉数公司的做法是以统一数字平台为底座，围绕技术、数据、人才三类要素同步建设，并使三者在同一运营架构下相互支撑：技术平台为数据归集与人才施展提供工具，数据资源为技术迭代与模型训练提供原料，人才队伍则决定前两者能否持续升级。本节依次呈现三类要素的建设路径及其耦合方式。</w:t>
      </w:r>
    </w:p>
    <w:p w14:paraId="7990BE9E" w14:textId="2739B629" w:rsidR="00CC5E4B" w:rsidRPr="00CC5E4B" w:rsidRDefault="00CC5E4B" w:rsidP="00CC5E4B">
      <w:pPr>
        <w:pStyle w:val="a"/>
        <w:spacing w:before="156" w:after="156"/>
        <w:rPr>
          <w:rFonts w:ascii="黑体" w:hAnsi="黑体"/>
        </w:rPr>
      </w:pPr>
      <w:bookmarkStart w:id="140" w:name="_Toc236744675"/>
      <w:bookmarkStart w:id="141" w:name="_Toc236777510"/>
      <w:bookmarkStart w:id="142" w:name="_Toc236777883"/>
      <w:bookmarkStart w:id="143" w:name="_Toc236777956"/>
      <w:r w:rsidRPr="00CC5E4B">
        <w:t>技术筑基：搭建城市数字底座，打造可复用</w:t>
      </w:r>
      <w:r w:rsidRPr="00CC5E4B">
        <w:rPr/>
        <w:t>AI</w:t>
      </w:r>
      <w:r w:rsidRPr="00CC5E4B">
        <w:t>政务解决方案</w:t>
      </w:r>
      <w:bookmarkEnd w:id="140"/>
      <w:bookmarkEnd w:id="141"/>
      <w:bookmarkEnd w:id="142"/>
      <w:bookmarkEnd w:id="143"/>
    </w:p>
    <w:p>
      <w:pPr>
        <w:spacing w:line="360" w:lineRule="auto"/>
        <w:ind w:firstLineChars="200" w:firstLine="480"/>
        <w:jc w:val="both"/>
        <w:rPr>
          <w:color w:val="FF0000"/>
          <w:lang w:eastAsia="zh-CN"/>
        </w:rPr>
      </w:pPr>
      <w:r>
        <w:rPr>
          <w:color w:val="FF0000"/>
          <w:lang w:eastAsia="zh-CN"/>
        </w:rPr>
        <w:t xml:space="preserve">技术能力的建设围绕城市新基建与城市大脑展开，形成了一条自底层设施向上层应用逐级延伸的完整链条。最底层是全域统一的城市大脑技术中台：企业统筹建设全市算力、网络与安全数字新基建，并将统一身份认证、地理信息、视频融合、安全防护等通用模块整合其中，避免各区县、各部门重复建设，实现技术资源的集约共享，为全市智慧场景提供共同底座。中层是</w:t>
      </w:r>
      <w:r>
        <w:rPr>
          <w:rFonts w:hint="eastAsia" w:ascii="宋体" w:hAnsi="宋体" w:eastAsia="宋体" w:cs="宋体"/>
          <w:color w:val="FF0000"/>
          <w:lang w:eastAsia="zh-CN"/>
        </w:rPr>
        <w:t xml:space="preserve">“</w:t>
      </w:r>
      <w:r>
        <w:rPr>
          <w:color w:val="FF0000"/>
          <w:lang w:eastAsia="zh-CN"/>
        </w:rPr>
        <w:t xml:space="preserve">AI＋政务</w:t>
      </w:r>
      <w:r>
        <w:rPr>
          <w:rFonts w:hint="eastAsia" w:ascii="宋体" w:hAnsi="宋体" w:eastAsia="宋体" w:cs="宋体"/>
          <w:color w:val="FF0000"/>
          <w:lang w:eastAsia="zh-CN"/>
        </w:rPr>
        <w:t xml:space="preserve">”</w:t>
      </w:r>
      <w:r>
        <w:rPr>
          <w:color w:val="FF0000"/>
          <w:lang w:eastAsia="zh-CN"/>
        </w:rPr>
        <w:t xml:space="preserve">标准化行业大模型：企业依托数据要素实验室的算力资源，自主研发适配基层治理与政务服务的专用大模型，并率先落地智慧政法与智慧教育两大标杆场景，将智能文本分析、风险自动研判与预警识别嵌入具体业务流程，进而把单点应用沉淀为模块化、可复制的行业解决方案。</w:t>
      </w:r>
    </w:p>
    <w:p>
      <w:pPr>
        <w:spacing w:line="360" w:lineRule="auto"/>
        <w:ind w:firstLineChars="200" w:firstLine="480"/>
        <w:jc w:val="both"/>
        <w:rPr>
          <w:color w:val="FF0000"/>
          <w:lang w:eastAsia="zh-CN"/>
        </w:rPr>
      </w:pPr>
      <w:r>
        <w:rPr>
          <w:color w:val="FF0000"/>
          <w:lang w:eastAsia="zh-CN"/>
        </w:rPr>
        <w:t xml:space="preserve">与上述两层并行的是贯穿全流程的数据安全与信创防护体系。企业结合中国电科的信创技术优势，搭建了城市数据分级分类、脱敏加密与访问审计的全流程管控工具，保障政务与民生敏感数据的合规使用。值得注意的是，安全体系在此并非附加的合规成本，而是数据得以跨部门归集与流通的前置条件——若无可验证的安全管控，各部门交出数据的意愿将显著下降，前述中台与大模型也就失去了运行所需的数据供给。三层技术能力由此构成相互支撑的整体，而非彼此独立的产品线。</w:t>
      </w:r>
    </w:p>
    <w:p w14:paraId="73A7E693" w14:textId="77777777" w:rsidR="00CC5E4B" w:rsidRPr="00CC5E4B" w:rsidRDefault="00CC5E4B" w:rsidP="00CC5E4B">
      <w:pPr>
        <w:pStyle w:val="a"/>
        <w:spacing w:before="156" w:after="156"/>
        <w:rPr>
          <w:rFonts w:ascii="黑体" w:hAnsi="黑体"/>
        </w:rPr>
      </w:pPr>
      <w:bookmarkStart w:id="144" w:name="_Toc236744676"/>
      <w:bookmarkStart w:id="145" w:name="_Toc236777511"/>
      <w:bookmarkStart w:id="146" w:name="_Toc236777884"/>
      <w:bookmarkStart w:id="147" w:name="_Toc236777957"/>
      <w:bookmarkEnd w:id="144"/>
      <w:r w:rsidRPr="00CC5E4B">
        <w:t>数据聚能：归集全域公共数据，推进数据治理与资产化运营</w:t>
      </w:r>
      <w:bookmarkEnd w:id="145"/>
      <w:bookmarkEnd w:id="146"/>
      <w:bookmarkEnd w:id="147"/>
    </w:p>
    <w:p>
      <w:pPr>
        <w:spacing w:line="360" w:lineRule="auto"/>
        <w:ind w:firstLineChars="200" w:firstLine="480"/>
        <w:jc w:val="both"/>
        <w:rPr>
          <w:color w:val="FF0000"/>
          <w:lang w:eastAsia="zh-CN"/>
        </w:rPr>
      </w:pPr>
      <w:r>
        <w:rPr>
          <w:color w:val="FF0000"/>
          <w:lang w:eastAsia="zh-CN"/>
        </w:rPr>
        <w:t xml:space="preserve">依托政府授予的数据统筹权限，企业搭建市级公共数据平台，完成了从归集、治理到流通的全链路建设。归集环节，企业建成市级公共数据资源池，整合政务、交通、教育、医疗、网格治理与应急管理等多领域数据，破除长期存在的部门数据孤岛，并在此基础上打造出标志性数据产品</w:t>
      </w:r>
      <w:r>
        <w:rPr>
          <w:rFonts w:hint="eastAsia" w:ascii="宋体" w:hAnsi="宋体" w:eastAsia="宋体" w:cs="宋体"/>
          <w:color w:val="FF0000"/>
          <w:lang w:eastAsia="zh-CN"/>
        </w:rPr>
        <w:t xml:space="preserve">“</w:t>
      </w:r>
      <w:r>
        <w:rPr>
          <w:color w:val="FF0000"/>
          <w:lang w:eastAsia="zh-CN"/>
        </w:rPr>
        <w:t xml:space="preserve">社会治理一张图</w:t>
      </w:r>
      <w:r>
        <w:rPr>
          <w:rFonts w:hint="eastAsia" w:ascii="宋体" w:hAnsi="宋体" w:eastAsia="宋体" w:cs="宋体"/>
          <w:color w:val="FF0000"/>
          <w:lang w:eastAsia="zh-CN"/>
        </w:rPr>
        <w:t xml:space="preserve">”</w:t>
      </w:r>
      <w:r>
        <w:rPr>
          <w:color w:val="FF0000"/>
          <w:lang w:eastAsia="zh-CN"/>
        </w:rPr>
        <w:t xml:space="preserve">，汇聚人口、房屋、事件等要素信息，实现基层治理的全域可视化。治理环节，企业牵头编制数字治理与数据要素流通相关团体标准，统一全市数据采集、清洗、标注与共享规则，提升公共数据的互通性与整体质量。流通环节，企业在保障隐私与数据安全的前提下，依托市级 A 类数据要素实验室开展数据价值评估与合规数据产品的市场化试点，探索政务数据赋能民生与产业发展的可持续模式。</w:t>
      </w:r>
    </w:p>
    <w:p>
      <w:pPr>
        <w:spacing w:line="360" w:lineRule="auto"/>
        <w:ind w:firstLineChars="200" w:firstLine="480"/>
        <w:jc w:val="both"/>
        <w:rPr>
          <w:color w:val="FF0000"/>
          <w:lang w:eastAsia="zh-CN"/>
        </w:rPr>
      </w:pPr>
      <w:r>
        <w:rPr>
          <w:color w:val="FF0000"/>
          <w:lang w:eastAsia="zh-CN"/>
        </w:rPr>
        <w:t xml:space="preserve">三个环节的排列顺序具有内在必然性。归集解决数据</w:t>
      </w:r>
      <w:r>
        <w:rPr>
          <w:rFonts w:hint="eastAsia" w:ascii="宋体" w:hAnsi="宋体" w:eastAsia="宋体" w:cs="宋体"/>
          <w:color w:val="FF0000"/>
          <w:lang w:eastAsia="zh-CN"/>
        </w:rPr>
        <w:t xml:space="preserve">“</w:t>
      </w:r>
      <w:r>
        <w:rPr>
          <w:color w:val="FF0000"/>
          <w:lang w:eastAsia="zh-CN"/>
        </w:rPr>
        <w:t xml:space="preserve">有没有</w:t>
      </w:r>
      <w:r>
        <w:rPr>
          <w:rFonts w:hint="eastAsia" w:ascii="宋体" w:hAnsi="宋体" w:eastAsia="宋体" w:cs="宋体"/>
          <w:color w:val="FF0000"/>
          <w:lang w:eastAsia="zh-CN"/>
        </w:rPr>
        <w:t xml:space="preserve">”</w:t>
      </w:r>
      <w:r>
        <w:rPr>
          <w:color w:val="FF0000"/>
          <w:lang w:eastAsia="zh-CN"/>
        </w:rPr>
        <w:t xml:space="preserve">的问题，治理解决数据</w:t>
      </w:r>
      <w:r>
        <w:rPr>
          <w:rFonts w:hint="eastAsia" w:ascii="宋体" w:hAnsi="宋体" w:eastAsia="宋体" w:cs="宋体"/>
          <w:color w:val="FF0000"/>
          <w:lang w:eastAsia="zh-CN"/>
        </w:rPr>
        <w:t xml:space="preserve">“</w:t>
      </w:r>
      <w:r>
        <w:rPr>
          <w:color w:val="FF0000"/>
          <w:lang w:eastAsia="zh-CN"/>
        </w:rPr>
        <w:t xml:space="preserve">能不能用</w:t>
      </w:r>
      <w:r>
        <w:rPr>
          <w:rFonts w:hint="eastAsia" w:ascii="宋体" w:hAnsi="宋体" w:eastAsia="宋体" w:cs="宋体"/>
          <w:color w:val="FF0000"/>
          <w:lang w:eastAsia="zh-CN"/>
        </w:rPr>
        <w:t xml:space="preserve">”</w:t>
      </w:r>
      <w:r>
        <w:rPr>
          <w:color w:val="FF0000"/>
          <w:lang w:eastAsia="zh-CN"/>
        </w:rPr>
        <w:t xml:space="preserve">的问题，流通则解决数据</w:t>
      </w:r>
      <w:r>
        <w:rPr>
          <w:rFonts w:hint="eastAsia" w:ascii="宋体" w:hAnsi="宋体" w:eastAsia="宋体" w:cs="宋体"/>
          <w:color w:val="FF0000"/>
          <w:lang w:eastAsia="zh-CN"/>
        </w:rPr>
        <w:t xml:space="preserve">“</w:t>
      </w:r>
      <w:r>
        <w:rPr>
          <w:color w:val="FF0000"/>
          <w:lang w:eastAsia="zh-CN"/>
        </w:rPr>
        <w:t xml:space="preserve">能否产生价值</w:t>
      </w:r>
      <w:r>
        <w:rPr>
          <w:rFonts w:hint="eastAsia" w:ascii="宋体" w:hAnsi="宋体" w:eastAsia="宋体" w:cs="宋体"/>
          <w:color w:val="FF0000"/>
          <w:lang w:eastAsia="zh-CN"/>
        </w:rPr>
        <w:t xml:space="preserve">”</w:t>
      </w:r>
      <w:r>
        <w:rPr>
          <w:color w:val="FF0000"/>
          <w:lang w:eastAsia="zh-CN"/>
        </w:rPr>
        <w:t xml:space="preserve">的问题，前者不完成，后者便无从谈起。这也解释了企业何以能够在要素运营期实现从</w:t>
      </w:r>
      <w:r>
        <w:rPr>
          <w:rFonts w:hint="eastAsia" w:ascii="宋体" w:hAnsi="宋体" w:eastAsia="宋体" w:cs="宋体"/>
          <w:color w:val="FF0000"/>
          <w:lang w:eastAsia="zh-CN"/>
        </w:rPr>
        <w:t xml:space="preserve">“</w:t>
      </w:r>
      <w:r>
        <w:rPr>
          <w:color w:val="FF0000"/>
          <w:lang w:eastAsia="zh-CN"/>
        </w:rPr>
        <w:t xml:space="preserve">做项目</w:t>
      </w:r>
      <w:r>
        <w:rPr>
          <w:rFonts w:hint="eastAsia" w:ascii="宋体" w:hAnsi="宋体" w:eastAsia="宋体" w:cs="宋体"/>
          <w:color w:val="FF0000"/>
          <w:lang w:eastAsia="zh-CN"/>
        </w:rPr>
        <w:t xml:space="preserve">”</w:t>
      </w:r>
      <w:r>
        <w:rPr>
          <w:color w:val="FF0000"/>
          <w:lang w:eastAsia="zh-CN"/>
        </w:rPr>
        <w:t xml:space="preserve">向</w:t>
      </w:r>
      <w:r>
        <w:rPr>
          <w:rFonts w:hint="eastAsia" w:ascii="宋体" w:hAnsi="宋体" w:eastAsia="宋体" w:cs="宋体"/>
          <w:color w:val="FF0000"/>
          <w:lang w:eastAsia="zh-CN"/>
        </w:rPr>
        <w:t xml:space="preserve">“</w:t>
      </w:r>
      <w:r>
        <w:rPr>
          <w:color w:val="FF0000"/>
          <w:lang w:eastAsia="zh-CN"/>
        </w:rPr>
        <w:t xml:space="preserve">运营数据</w:t>
      </w:r>
      <w:r>
        <w:rPr>
          <w:rFonts w:hint="eastAsia" w:ascii="宋体" w:hAnsi="宋体" w:eastAsia="宋体" w:cs="宋体"/>
          <w:color w:val="FF0000"/>
          <w:lang w:eastAsia="zh-CN"/>
        </w:rPr>
        <w:t xml:space="preserve">”</w:t>
      </w:r>
      <w:r>
        <w:rPr>
          <w:color w:val="FF0000"/>
          <w:lang w:eastAsia="zh-CN"/>
        </w:rPr>
        <w:t xml:space="preserve">的战略跃升：支撑这一跃升的并非某项单一技术突破，而是前期归集与治理所积累的、难以被后来者短期复制的数据资产存量与规则话语权。</w:t>
      </w:r>
    </w:p>
    <w:p w14:paraId="414A2A6B" w14:textId="77777777" w:rsidR="00CC5E4B" w:rsidRPr="00CC5E4B" w:rsidRDefault="00CC5E4B" w:rsidP="00CC5E4B">
      <w:pPr>
        <w:pStyle w:val="a"/>
        <w:spacing w:before="156" w:after="156"/>
        <w:rPr>
          <w:rFonts w:ascii="黑体" w:hAnsi="黑体"/>
        </w:rPr>
      </w:pPr>
      <w:bookmarkStart w:id="148" w:name="_Toc236744677"/>
      <w:bookmarkStart w:id="149" w:name="_Toc236777512"/>
      <w:bookmarkStart w:id="150" w:name="_Toc236777885"/>
      <w:bookmarkStart w:id="151" w:name="_Toc236777958"/>
      <w:bookmarkEnd w:id="148"/>
      <w:r w:rsidRPr="00CC5E4B">
        <w:t>人才汇智：搭建科创引育体系，沉淀长效创新智力支撑</w:t>
      </w:r>
      <w:bookmarkEnd w:id="149"/>
      <w:bookmarkEnd w:id="150"/>
      <w:bookmarkEnd w:id="151"/>
    </w:p>
    <w:p>
      <w:pPr>
        <w:spacing w:line="360" w:lineRule="auto"/>
        <w:ind w:firstLineChars="200" w:firstLine="480"/>
        <w:jc w:val="both"/>
        <w:rPr>
          <w:color w:val="FF0000"/>
          <w:lang w:eastAsia="zh-CN"/>
        </w:rPr>
      </w:pPr>
      <w:r>
        <w:rPr>
          <w:color w:val="FF0000"/>
          <w:lang w:eastAsia="zh-CN"/>
        </w:rPr>
        <w:t xml:space="preserve">技术平台与数据要素的长期迭代依赖稳定的高端人才队伍，嘉数因此依托自有科创平台建立了系统化的人才引育机制。在引进端，企业以省级博士后工作站与市级数据要素重点实验室为载体，累计引进硕博层次高端人才五十余人，覆盖人工智能、大数据、数据法学、城市治理与网络安全等核心专业方向。这一引才路径的关键在于载体本身的稀缺性：对高层次人才而言，中小城市的区位吸引力有限，真正构成吸引条件的是可供开展前沿研究的平台与课题，而博士后工作站与重点实验室恰恰提供了这类难以被薪酬直接替代的发展空间。</w:t>
      </w:r>
    </w:p>
    <w:p>
      <w:pPr>
        <w:keepNext/>
        <w:widowControl w:val="0"/>
        <w:ind w:firstLineChars="0" w:firstLine="0"/>
        <w:jc w:val="center"/>
      </w:pPr>
      <w:r w:rsidRPr="00CC5E4B">
        <w:rPr>
          <w:noProof/>
        </w:rPr>
        <w:drawing>
          <wp:inline distT="0" distB="0" distL="0" distR="0" wp14:anchorId="700CB7A2" wp14:editId="32EDA9DA">
            <wp:extent cx="5280660" cy="2918460"/>
            <wp:effectExtent l="0" t="0" r="0" b="0"/>
            <wp:docPr id="131"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80660" cy="2918460"/>
                    </a:xfrm>
                    <a:prstGeom prst="rect">
                      <a:avLst/>
                    </a:prstGeom>
                    <a:noFill/>
                    <a:ln>
                      <a:noFill/>
                    </a:ln>
                  </pic:spPr>
                </pic:pic>
              </a:graphicData>
            </a:graphic>
          </wp:inline>
        </w:drawing>
      </w:r>
    </w:p>
    <w:p w14:paraId="4C72D0B5" w14:textId="4E1D869A" w:rsidR="00E2232F" w:rsidRPr="00E2232F" w:rsidRDefault="00E2232F" w:rsidP="00E2232F">
      <w:pPr>
        <w:pStyle w:val="af7"/>
        <w:keepNext/>
        <w:ind w:firstLine="0" w:firstLineChars="0"/>
        <w:jc w:val="center"/>
        <w:rPr>
          <w:rFonts w:hint="eastAsia"/>
        </w:rPr>
      </w:pPr>
      <w:bookmarkStart w:id="152" w:name="_Toc236779307"/>
      <w:r>
        <w:rPr/>
        <w:t>图</w:t>
      </w:r>
      <w:r>
        <w:rPr/>
        <w:t xml:space="preserve"> </w:t>
      </w:r>
      <w:r>
        <w:fldChar w:fldCharType="begin"/>
      </w:r>
      <w:r>
        <w:instrText xml:space="preserve"> </w:instrText>
      </w:r>
      <w:r>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instrText xml:space="preserve">SEQ </w:instrText>
      </w:r>
      <w:r>
        <w:rPr/>
        <w:instrText>图</w:instrText>
      </w:r>
      <w:r>
        <w:rPr/>
        <w:instrText xml:space="preserve"> \* ARABIC \s 1</w:instrText>
      </w:r>
      <w:r>
        <w:instrText xml:space="preserve"> </w:instrText>
      </w:r>
      <w:r>
        <w:fldChar w:fldCharType="separate"/>
      </w:r>
      <w:r>
        <w:rPr>
          <w:noProof/>
        </w:rPr>
        <w:t>1</w:t>
      </w:r>
      <w:r>
        <w:fldChar w:fldCharType="end"/>
      </w:r>
      <w:bookmarkStart w:id="153" w:name="_Toc236778306"/>
      <w:r>
        <w:rPr/>
        <w:t xml:space="preserve"> </w:t>
      </w:r>
      <w:r w:rsidRPr="00E2232F">
        <w:t>高层次人次服务平台</w:t>
      </w:r>
      <w:bookmarkEnd w:id="152"/>
      <w:bookmarkEnd w:id="153"/>
    </w:p>
    <w:p>
      <w:pPr>
        <w:spacing w:line="360" w:lineRule="auto"/>
        <w:ind w:firstLineChars="200" w:firstLine="480"/>
        <w:jc w:val="both"/>
        <w:rPr>
          <w:color w:val="FF0000"/>
          <w:lang w:eastAsia="zh-CN"/>
        </w:rPr>
      </w:pPr>
      <w:r>
        <w:rPr>
          <w:color w:val="FF0000"/>
          <w:lang w:eastAsia="zh-CN"/>
        </w:rPr>
        <w:t xml:space="preserve">在培育端，企业与北京理工大学长三角研究院及本地高校开展联合课题与实习实训合作，定向培养适配数字城市建设的交叉型技术人才，使人才供给由外部引进的单一渠道转为引育并举。在成果固化端，企业持续开展技术研发创新，累计申请发明专利与登记软件著作权，将人才的个体智力转化为归属于组织、可复用于后续项目的技术资产。三个环节构成闭环：引进解决存量不足，培育解决增量接续，成果固化则解决人才流动可能带来的能力流失，使运营能力不至于因个别关键人员的去留而出现断层。需要说明的是，稿件在知识产权与高层次人才规模两项指标上存在前后不一致的表述，本文已在第二章表 2-4 中列出待核实事项，此处仅作定性引用。</w:t>
      </w:r>
    </w:p>
    <w:p w14:paraId="32063A1E" w14:textId="77777777" w:rsidR="00CC5E4B" w:rsidRPr="00CC5E4B" w:rsidRDefault="00CC5E4B" w:rsidP="00CC5E4B">
      <w:pPr>
        <w:pStyle w:val="2"/>
        <w:spacing w:before="156" w:after="156"/>
      </w:pPr>
      <w:bookmarkStart w:id="154" w:name="_Toc236744678"/>
      <w:bookmarkStart w:id="155" w:name="_Toc236777513"/>
      <w:bookmarkStart w:id="156" w:name="_Toc236777886"/>
      <w:bookmarkStart w:id="157" w:name="_Toc236777959"/>
      <w:bookmarkEnd w:id="154"/>
      <w:r w:rsidRPr="00CC5E4B">
        <w:t>治理提效</w:t>
      </w:r>
      <w:r w:rsidRPr="00CC5E4B">
        <w:rPr/>
        <w:t>・</w:t>
      </w:r>
      <w:r w:rsidRPr="00CC5E4B">
        <w:rPr/>
        <w:t>民生普惠：公共价值创造的</w:t>
      </w:r>
      <w:r w:rsidRPr="00CC5E4B">
        <w:t xml:space="preserve"> </w:t>
      </w:r>
      <w:r w:rsidRPr="00CC5E4B">
        <w:rPr>
          <w:rFonts w:ascii="宋体" w:hAnsi="宋体" w:eastAsia="宋体" w:cs="宋体" w:hint="eastAsia"/>
        </w:rPr>
        <w:t xml:space="preserve">“</w:t>
      </w:r>
      <w:r w:rsidRPr="00CC5E4B">
        <w:t>增值</w:t>
      </w:r>
      <w:r w:rsidRPr="00CC5E4B">
        <w:rPr>
          <w:rFonts w:ascii="宋体" w:hAnsi="宋体" w:eastAsia="宋体" w:cs="宋体" w:hint="eastAsia"/>
        </w:rPr>
        <w:t xml:space="preserve">”</w:t>
      </w:r>
      <w:r w:rsidRPr="00CC5E4B">
        <w:t xml:space="preserve"> </w:t>
      </w:r>
      <w:r w:rsidRPr="00CC5E4B">
        <w:t>之果</w:t>
      </w:r>
      <w:bookmarkEnd w:id="155"/>
      <w:bookmarkEnd w:id="156"/>
      <w:bookmarkEnd w:id="157"/>
    </w:p>
    <w:p>
      <w:pPr>
        <w:spacing w:line="360" w:lineRule="auto"/>
        <w:ind w:firstLineChars="200" w:firstLine="480"/>
        <w:jc w:val="both"/>
        <w:rPr>
          <w:color w:val="FF0000"/>
          <w:lang w:eastAsia="zh-CN"/>
        </w:rPr>
      </w:pPr>
      <w:r>
        <w:rPr>
          <w:color w:val="FF0000"/>
          <w:lang w:eastAsia="zh-CN"/>
        </w:rPr>
        <w:t xml:space="preserve">公共价值是整套路径的最终产出，也是检验前两个环节成效的评价标尺。授权是否恰当、赋能是否有效，最终都要以公众可感知、政府可考核、同行可参照的成果来回答，否则投入再多也只是自我循环。嘉数公司将由技术、数据、人才构成的运营赋能能力落地到各类城市场景，产出治理效能、民生福利与示范辐射三类成果：治理提效面向政府端，回应的是行政运行成本与响应速度；民生普惠面向居民端，回应的是高频事项的办事体验；示范外溢面向行业端，回应的是经验能否被复制。三类成果的受益主体不同、计量方式各异，但共同构成对公共价值这一抽象概念的可操作分解，本节依次予以呈现。</w:t>
      </w:r>
    </w:p>
    <w:p w14:paraId="2938C677" w14:textId="77777777" w:rsidR="00CC5E4B" w:rsidRPr="00CC5E4B" w:rsidRDefault="00CC5E4B" w:rsidP="00CC5E4B">
      <w:pPr>
        <w:pStyle w:val="a"/>
        <w:spacing w:before="156" w:after="156"/>
        <w:rPr>
          <w:rFonts w:ascii="黑体" w:hAnsi="黑体"/>
        </w:rPr>
      </w:pPr>
      <w:r w:rsidRPr="00CC5E4B">
        <w:rPr/>
        <w:lastRenderedPageBreak/>
        <w:t xml:space="preserve"> </w:t>
      </w:r>
      <w:bookmarkStart w:id="158" w:name="_Toc236744679"/>
      <w:bookmarkStart w:id="159" w:name="_Toc236777514"/>
      <w:bookmarkStart w:id="160" w:name="_Toc236777887"/>
      <w:bookmarkStart w:id="161" w:name="_Toc236777960"/>
      <w:r w:rsidRPr="00CC5E4B">
        <w:t>治理提效：数字化再造政务流程，压缩行政运行成本</w:t>
      </w:r>
      <w:bookmarkEnd w:id="158"/>
      <w:bookmarkEnd w:id="159"/>
      <w:bookmarkEnd w:id="160"/>
      <w:bookmarkEnd w:id="161"/>
    </w:p>
    <w:p>
      <w:pPr>
        <w:spacing w:line="360" w:lineRule="auto"/>
        <w:ind w:firstLineChars="200" w:firstLine="480"/>
        <w:jc w:val="both"/>
        <w:rPr>
          <w:color w:val="FF0000"/>
          <w:lang w:eastAsia="zh-CN"/>
        </w:rPr>
      </w:pPr>
      <w:r>
        <w:rPr>
          <w:color w:val="FF0000"/>
          <w:lang w:eastAsia="zh-CN"/>
        </w:rPr>
        <w:t xml:space="preserve">治理提效集中体现于</w:t>
      </w:r>
      <w:r>
        <w:rPr>
          <w:rFonts w:hint="eastAsia" w:ascii="宋体" w:hAnsi="宋体" w:eastAsia="宋体" w:cs="宋体"/>
          <w:color w:val="FF0000"/>
          <w:lang w:eastAsia="zh-CN"/>
        </w:rPr>
        <w:t xml:space="preserve">“</w:t>
      </w:r>
      <w:r>
        <w:rPr>
          <w:color w:val="FF0000"/>
          <w:lang w:eastAsia="zh-CN"/>
        </w:rPr>
        <w:t xml:space="preserve">社会治理一张图</w:t>
      </w:r>
      <w:r>
        <w:rPr>
          <w:rFonts w:hint="eastAsia" w:ascii="宋体" w:hAnsi="宋体" w:eastAsia="宋体" w:cs="宋体"/>
          <w:color w:val="FF0000"/>
          <w:lang w:eastAsia="zh-CN"/>
        </w:rPr>
        <w:t xml:space="preserve">”</w:t>
      </w:r>
      <w:r>
        <w:rPr>
          <w:color w:val="FF0000"/>
          <w:lang w:eastAsia="zh-CN"/>
        </w:rPr>
        <w:t xml:space="preserve">与智慧政法 AI 大模型对政府治理模式的重塑，并在三个层面产生了可量化或可观察的效果。在业务处理时长上，传统人工梳理矛盾纠纷特征需三个工作日，AI 自动提取仅需三十分钟；纠纷风险的人工综合研判原需六小时，大模型多维数据研判缩短至四十分钟，风险预警的准确率与处置的及时性同步提升，基层人员的重复性工作负担大幅减轻。在流程闭环上，</w:t>
      </w:r>
      <w:r>
        <w:rPr>
          <w:rFonts w:hint="eastAsia" w:ascii="宋体" w:hAnsi="宋体" w:eastAsia="宋体" w:cs="宋体"/>
          <w:color w:val="FF0000"/>
          <w:lang w:eastAsia="zh-CN"/>
        </w:rPr>
        <w:t xml:space="preserve">“</w:t>
      </w:r>
      <w:r>
        <w:rPr>
          <w:color w:val="FF0000"/>
          <w:lang w:eastAsia="zh-CN"/>
        </w:rPr>
        <w:t xml:space="preserve">社会治理一张图</w:t>
      </w:r>
      <w:r>
        <w:rPr>
          <w:rFonts w:hint="eastAsia" w:ascii="宋体" w:hAnsi="宋体" w:eastAsia="宋体" w:cs="宋体"/>
          <w:color w:val="FF0000"/>
          <w:lang w:eastAsia="zh-CN"/>
        </w:rPr>
        <w:t xml:space="preserve">”</w:t>
      </w:r>
      <w:r>
        <w:rPr>
          <w:color w:val="FF0000"/>
          <w:lang w:eastAsia="zh-CN"/>
        </w:rPr>
        <w:t xml:space="preserve">整合城市人、地、事、物、组织等要素，使网格员上报、部门处置与结果反馈全程线上流转，跨部门沟通成本显著下降，基层隐患的响应与处置速度随之提高。</w:t>
      </w:r>
    </w:p>
    <w:p>
      <w:pPr>
        <w:keepNext/>
        <w:widowControl w:val="0"/>
        <w:ind w:firstLineChars="0" w:firstLine="0"/>
        <w:jc w:val="center"/>
      </w:pPr>
      <w:r w:rsidRPr="00CC5E4B">
        <w:rPr>
          <w:rStyle w:val="af"/>
        </w:rPr>
        <w:drawing>
          <wp:inline distT="0" distB="0" distL="0" distR="0" wp14:anchorId="6299EE87" wp14:editId="4660A52F">
            <wp:extent cx="5280660" cy="2644140"/>
            <wp:effectExtent l="0" t="0" r="0" b="3810"/>
            <wp:docPr id="132"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80660" cy="2644140"/>
                    </a:xfrm>
                    <a:prstGeom prst="rect">
                      <a:avLst/>
                    </a:prstGeom>
                    <a:noFill/>
                    <a:ln>
                      <a:noFill/>
                    </a:ln>
                  </pic:spPr>
                </pic:pic>
              </a:graphicData>
            </a:graphic>
          </wp:inline>
        </w:drawing>
      </w:r>
    </w:p>
    <w:p w14:paraId="52C0FB4F" w14:textId="648ABC16" w:rsidR="00CC5E4B" w:rsidRPr="00E2232F" w:rsidRDefault="00E2232F" w:rsidP="00E2232F">
      <w:pPr>
        <w:pStyle w:val="af7"/>
        <w:ind w:firstLine="0" w:firstLineChars="0"/>
        <w:jc w:val="center"/>
      </w:pPr>
      <w:bookmarkStart w:id="163" w:name="_Toc236779308"/>
      <w:r>
        <w:rPr/>
        <w:t>图</w:t>
      </w:r>
      <w:r>
        <w:rPr/>
        <w:t xml:space="preserve"> </w:t>
      </w:r>
      <w:r>
        <w:fldChar w:fldCharType="begin"/>
      </w:r>
      <w:r>
        <w:instrText xml:space="preserve"> </w:instrText>
      </w:r>
      <w:r>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instrText xml:space="preserve">SEQ </w:instrText>
      </w:r>
      <w:r>
        <w:rPr/>
        <w:instrText>图</w:instrText>
      </w:r>
      <w:r>
        <w:rPr/>
        <w:instrText xml:space="preserve"> \* ARABIC \s 1</w:instrText>
      </w:r>
      <w:r>
        <w:instrText xml:space="preserve"> </w:instrText>
      </w:r>
      <w:r>
        <w:fldChar w:fldCharType="separate"/>
      </w:r>
      <w:r>
        <w:rPr>
          <w:noProof/>
        </w:rPr>
        <w:t>2</w:t>
      </w:r>
      <w:r>
        <w:fldChar w:fldCharType="end"/>
      </w:r>
      <w:r w:rsidR="00CC5E4B" w:rsidRPr="00E2232F">
        <w:t>社会治理一张图</w:t>
      </w:r>
      <w:bookmarkEnd w:id="162"/>
      <w:bookmarkEnd w:id="163"/>
    </w:p>
    <w:p>
      <w:pPr>
        <w:spacing w:line="360" w:lineRule="auto"/>
        <w:ind w:firstLineChars="200" w:firstLine="480"/>
        <w:jc w:val="both"/>
        <w:rPr>
          <w:color w:val="FF0000"/>
          <w:lang w:eastAsia="zh-CN"/>
        </w:rPr>
      </w:pPr>
      <w:r>
        <w:rPr>
          <w:color w:val="FF0000"/>
          <w:lang w:eastAsia="zh-CN"/>
        </w:rPr>
        <w:t xml:space="preserve">在协同调度层面，城市大脑打通交通、气象、安防、消防等领域的实时数据，实现突发事件的自动预警与多部门联动调度，把原本依赖逐级上报与电话协调的应急响应转为基于统一态势的同步处置，城市精细化管理水平随之提升。三个层面的改造存在清晰的递进关系：业务处理时长的压缩改善的是单个环节的效率，流程线上闭环改善的是环节之间的衔接，而跨领域协同调度改善的则是部门之间的组织边界。换言之，数字化对治理的作用并不止于替代人力，更在于重构了治理活动的组织方式，这一点在下文的量化刻画中可以得到更清楚的呈现。</w:t>
      </w:r>
    </w:p>
    <w:p>
      <w:pPr>
        <w:spacing w:line="360" w:lineRule="auto"/>
        <w:ind w:firstLineChars="200" w:firstLine="480"/>
        <w:jc w:val="both"/>
        <w:rPr>
          <w:color w:val="FF0000"/>
          <w:lang w:eastAsia="zh-CN"/>
        </w:rPr>
      </w:pPr>
      <w:r>
        <w:rPr>
          <w:color w:val="FF0000"/>
          <w:lang w:eastAsia="zh-CN"/>
        </w:rPr>
        <w:t xml:space="preserve">上述治理场景的成效可作进一步的量化刻画。以工作日折合八小时计，矛盾纠纷特征提炼环节的单次时耗由三个工作日（1440分钟）压缩至30分钟，压缩率97.9%，相当于处理效率提升48倍；纠纷风险综合研判环节由6小时（360分钟）压缩至40分钟，压缩率88.9%，效率提升9倍。两环节平均时耗压缩93.4%。</w:t>
      </w:r>
    </w:p>
    <w:p xmlns:a="http://schemas.openxmlformats.org/drawingml/2006/main" xmlns:pic="http://schemas.openxmlformats.org/drawingml/2006/picture">
      <w:pPr>
        <w:keepNext/>
        <w:widowControl w:val="0"/>
        <w:ind w:firstLineChars="0" w:firstLine="0"/>
        <w:jc w:val="center"/>
      </w:pPr>
      <w:r>
        <w:rPr>
          <w:noProof/>
          <w:kern w:val="2"/>
          <w:lang w:eastAsia="zh-CN"/>
        </w:rPr>
        <w:drawing>
          <wp:inline distT="0" distB="0" distL="114300" distR="114300">
            <wp:extent cx="5270000" cy="2086292"/>
            <wp:effectExtent l="0" t="0" r="0" b="0"/>
            <wp:docPr id="905" name="图片 905"/>
            <wp:cNvGraphicFramePr>
              <a:graphicFrameLocks noChangeAspect="1"/>
            </wp:cNvGraphicFramePr>
            <a:graphic>
              <a:graphicData uri="http://schemas.openxmlformats.org/drawingml/2006/picture">
                <pic:pic>
                  <pic:nvPicPr>
                    <pic:cNvPr id="905" name="图片 905"/>
                    <pic:cNvPicPr>
                      <a:picLocks noChangeAspect="1"/>
                    </pic:cNvPicPr>
                  </pic:nvPicPr>
                  <pic:blipFill>
                    <a:blip r:embed="rId206"/>
                    <a:stretch>
                      <a:fillRect/>
                    </a:stretch>
                  </pic:blipFill>
                  <pic:spPr>
                    <a:xfrm>
                      <a:off x="0" y="0"/>
                      <a:ext cx="5270000" cy="2086292"/>
                    </a:xfrm>
                    <a:prstGeom prst="rect">
                      <a:avLst/>
                    </a:prstGeom>
                    <a:ln>
                      <a:noFill/>
                    </a:ln>
                  </pic:spPr>
                </pic:pic>
              </a:graphicData>
            </a:graphic>
          </wp:inline>
        </w:drawing>
      </w:r>
    </w:p>
    <w:p>
      <w:pPr>
        <w:pStyle w:val="af7"/>
        <w:ind w:firstLineChars="0" w:firstLine="0"/>
        <w:jc w:val="center"/>
        <w:rPr>
          <w:color w:val="FF0000"/>
          <w:lang w:eastAsia="zh-CN"/>
        </w:rPr>
      </w:pPr>
      <w:r>
        <w:rPr>
          <w:color w:val="FF0000"/>
          <w:lang w:eastAsia="zh-CN"/>
        </w:rPr>
        <w:t>图</w:t>
      </w:r>
      <w:r>
        <w:rPr>
          <w:color w:val="FF0000"/>
          <w:lang w:eastAsia="zh-CN"/>
        </w:rPr>
        <w:t xml:space="preserve"> </w:t>
      </w:r>
      <w:r>
        <w:rPr>
          <w:color w:val="FF0000"/>
          <w:lang w:eastAsia="zh-CN"/>
        </w:rPr>
        <w:t>3</w:t>
      </w:r>
      <w:r>
        <w:rPr>
          <w:color w:val="FF0000"/>
          <w:lang w:eastAsia="zh-CN"/>
        </w:rPr>
        <w:noBreakHyphen/>
      </w:r>
      <w:r>
        <w:rPr>
          <w:color w:val="FF0000"/>
          <w:lang w:eastAsia="zh-CN"/>
        </w:rPr>
        <w:fldChar w:fldCharType="begin"/>
      </w:r>
      <w:r>
        <w:rPr>
          <w:color w:val="FF0000"/>
          <w:lang w:eastAsia="zh-CN"/>
        </w:rPr>
        <w:instrText xml:space="preserve"> SEQ 图 \* ARABIC \s 1 </w:instrText>
      </w:r>
      <w:r>
        <w:rPr>
          <w:color w:val="FF0000"/>
          <w:lang w:eastAsia="zh-CN"/>
        </w:rPr>
        <w:fldChar w:fldCharType="separate"/>
      </w:r>
      <w:r>
        <w:rPr>
          <w:color w:val="FF0000"/>
          <w:noProof/>
          <w:lang w:eastAsia="zh-CN"/>
        </w:rPr>
        <w:t>3</w:t>
      </w:r>
      <w:r>
        <w:rPr>
          <w:color w:val="FF0000"/>
          <w:lang w:eastAsia="zh-CN"/>
        </w:rPr>
        <w:fldChar w:fldCharType="end"/>
      </w:r>
      <w:r>
        <w:rPr>
          <w:color w:val="FF0000"/>
          <w:lang w:eastAsia="zh-CN"/>
        </w:rPr>
        <w:t xml:space="preserve"> </w:t>
      </w:r>
      <w:r>
        <w:rPr>
          <w:color w:val="FF0000"/>
          <w:lang w:eastAsia="zh-CN"/>
        </w:rPr>
        <w:t xml:space="preserve">智慧政法关键业务环节的时耗压缩与效率提升</w:t>
      </w:r>
    </w:p>
    <w:p>
      <w:pPr>
        <w:ind w:firstLineChars="0" w:firstLine="0"/>
        <w:jc w:val="center"/>
        <w:rPr>
          <w:color w:val="FF0000"/>
          <w:lang w:eastAsia="zh-CN"/>
        </w:rPr>
      </w:pPr>
      <w:r>
        <w:rPr>
          <w:sz w:val="18"/>
          <w:szCs w:val="18"/>
          <w:color w:val="FF0000"/>
          <w:lang w:eastAsia="zh-CN"/>
        </w:rPr>
        <w:t xml:space="preserve">注：工作日按八小时折算；（a）横轴为对数刻度；数据源自案例调研，为单次业务处理时耗。</w:t>
      </w:r>
    </w:p>
    <w:p>
      <w:pPr>
        <w:spacing w:line="360" w:lineRule="auto"/>
        <w:ind w:firstLineChars="200" w:firstLine="480"/>
        <w:jc w:val="both"/>
        <w:rPr>
          <w:color w:val="FF0000"/>
          <w:lang w:eastAsia="zh-CN"/>
        </w:rPr>
      </w:pPr>
      <w:r>
        <w:rPr>
          <w:color w:val="FF0000"/>
          <w:lang w:eastAsia="zh-CN"/>
        </w:rPr>
        <w:t xml:space="preserve">两个环节的压缩幅度存在显著落差，这一落差本身具有解释价值。特征提炼属于规则明确、可完全代码化的结构性任务，人工投入主要消耗于文本翻检等机械劳动，因而自动化替代的边际收益极高；风险研判则需综合多源信息并作出价值判断，算法只能压缩信息汇集与初筛环节，最终裁量仍依赖人工，压缩空间因而受限。由此可以看出，数字化对治理效率的改造并非均质推进，其成效梯度取决于业务环节的可编码程度。这一判断提示同类城市在场景选择上应优先切入高可编码性环节，以较小投入换取较大成效，而非追求全流程的一次性替代。</w:t>
      </w:r>
    </w:p>
    <w:p w14:paraId="4E9D9F88" w14:textId="77777777" w:rsidR="00CC5E4B" w:rsidRPr="00CC5E4B" w:rsidRDefault="00CC5E4B" w:rsidP="00CC5E4B">
      <w:pPr>
        <w:pStyle w:val="a"/>
        <w:spacing w:before="156" w:after="156"/>
        <w:rPr>
          <w:rFonts w:ascii="黑体" w:hAnsi="黑体"/>
        </w:rPr>
      </w:pPr>
      <w:r w:rsidRPr="00CC5E4B">
        <w:rPr/>
        <w:t xml:space="preserve"> </w:t>
      </w:r>
      <w:bookmarkStart w:id="164" w:name="_Toc236744680"/>
      <w:bookmarkStart w:id="165" w:name="_Toc236777515"/>
      <w:bookmarkStart w:id="166" w:name="_Toc236777888"/>
      <w:bookmarkStart w:id="167" w:name="_Toc236777961"/>
      <w:r w:rsidRPr="00CC5E4B">
        <w:t>民生普惠：覆盖高频生活场景，提升市民获得感</w:t>
      </w:r>
      <w:bookmarkEnd w:id="164"/>
      <w:bookmarkEnd w:id="165"/>
      <w:bookmarkEnd w:id="166"/>
      <w:bookmarkEnd w:id="167"/>
    </w:p>
    <w:p>
      <w:pPr>
        <w:spacing w:line="360" w:lineRule="auto"/>
        <w:ind w:firstLineChars="200" w:firstLine="480"/>
        <w:jc w:val="both"/>
        <w:rPr>
          <w:color w:val="FF0000"/>
          <w:lang w:eastAsia="zh-CN"/>
        </w:rPr>
      </w:pPr>
      <w:r>
        <w:rPr>
          <w:color w:val="FF0000"/>
          <w:lang w:eastAsia="zh-CN"/>
        </w:rPr>
        <w:t xml:space="preserve">民生普惠是将数字化能力延伸至群众日常服务场景的结果，落地领域覆盖教育、交通、医疗与政务四类高频事项。在智慧教育领域，企业建设了教育综合服务平台与研学旅行平台两类产品。前者搭建</w:t>
      </w:r>
      <w:r>
        <w:rPr>
          <w:rFonts w:hint="eastAsia" w:ascii="宋体" w:hAnsi="宋体" w:eastAsia="宋体" w:cs="宋体"/>
          <w:color w:val="FF0000"/>
          <w:lang w:eastAsia="zh-CN"/>
        </w:rPr>
        <w:t xml:space="preserve">“</w:t>
      </w:r>
      <w:r>
        <w:rPr>
          <w:color w:val="FF0000"/>
          <w:lang w:eastAsia="zh-CN"/>
        </w:rPr>
        <w:t xml:space="preserve">教育网格</w:t>
      </w:r>
      <w:r>
        <w:rPr>
          <w:rFonts w:hint="eastAsia" w:ascii="宋体" w:hAnsi="宋体" w:eastAsia="宋体" w:cs="宋体"/>
          <w:color w:val="FF0000"/>
          <w:lang w:eastAsia="zh-CN"/>
        </w:rPr>
        <w:t xml:space="preserve">”</w:t>
      </w:r>
      <w:r>
        <w:rPr>
          <w:color w:val="FF0000"/>
          <w:lang w:eastAsia="zh-CN"/>
        </w:rPr>
        <w:t xml:space="preserve">组织架构，绘制全市教育网格地图，通过汇聚全域教育系统的师生校基础数据与应用数据并集成各类主题应用，实现校园信息的统一归集与教育资源的统筹调配；后者建立研学基地库，支持按研学基地、研学课程、研学线路或旅行社方式申报研学活动，业务全流程线上流转，学校师生线上提交活动申请、线下组织实施，既简化了审批环节，也为研学活动的安全监管留下了完整记录。</w:t>
      </w:r>
    </w:p>
    <w:p>
      <w:pPr>
        <w:keepNext/>
        <w:widowControl w:val="0"/>
        <w:ind w:firstLineChars="0" w:firstLine="0"/>
        <w:jc w:val="center"/>
      </w:pPr>
      <w:r w:rsidRPr="00CC5E4B">
        <w:rPr>
          <w:rStyle w:val="af"/>
        </w:rPr>
        <w:drawing>
          <wp:inline distT="0" distB="0" distL="0" distR="0" wp14:anchorId="04ADC462" wp14:editId="1953A1F2">
            <wp:extent cx="5280660" cy="2217420"/>
            <wp:effectExtent l="0" t="0" r="0" b="0"/>
            <wp:docPr id="133"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80660" cy="2217420"/>
                    </a:xfrm>
                    <a:prstGeom prst="rect">
                      <a:avLst/>
                    </a:prstGeom>
                    <a:noFill/>
                    <a:ln>
                      <a:noFill/>
                    </a:ln>
                  </pic:spPr>
                </pic:pic>
              </a:graphicData>
            </a:graphic>
          </wp:inline>
        </w:drawing>
      </w:r>
    </w:p>
    <w:p w14:paraId="28E46AE8" w14:textId="69058AE7" w:rsidR="00CC5E4B" w:rsidRPr="00E2232F" w:rsidRDefault="00E2232F" w:rsidP="00E2232F">
      <w:pPr>
        <w:pStyle w:val="af7"/>
        <w:ind w:firstLine="0" w:firstLineChars="0"/>
        <w:jc w:val="center"/>
      </w:pPr>
      <w:bookmarkStart w:id="168" w:name="_Toc236778308"/>
      <w:bookmarkStart w:id="169" w:name="_Toc236779309"/>
      <w:r>
        <w:rPr/>
        <w:t>图</w:t>
      </w:r>
      <w:r>
        <w:rPr/>
        <w:t xml:space="preserve"> </w:t>
      </w:r>
      <w:r>
        <w:fldChar w:fldCharType="begin"/>
      </w:r>
      <w:r>
        <w:instrText xml:space="preserve"> </w:instrText>
      </w:r>
      <w:r>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instrText xml:space="preserve">SEQ </w:instrText>
      </w:r>
      <w:r>
        <w:rPr/>
        <w:instrText>图</w:instrText>
      </w:r>
      <w:r>
        <w:rPr/>
        <w:instrText xml:space="preserve"> \* ARABIC \s 1</w:instrText>
      </w:r>
      <w:r>
        <w:instrText xml:space="preserve"> </w:instrText>
      </w:r>
      <w:r>
        <w:fldChar w:fldCharType="separate"/>
      </w:r>
      <w:r>
        <w:rPr>
          <w:noProof/>
        </w:rPr>
        <w:t>4</w:t>
      </w:r>
      <w:r>
        <w:fldChar w:fldCharType="end"/>
      </w:r>
      <w:r w:rsidR="00CC5E4B" w:rsidRPr="00E2232F">
        <w:t>教育综合服务平台</w:t>
      </w:r>
      <w:bookmarkEnd w:id="168"/>
      <w:bookmarkEnd w:id="169"/>
    </w:p>
    <w:p>
      <w:pPr>
        <w:keepNext/>
        <w:widowControl w:val="0"/>
        <w:ind w:firstLineChars="0" w:firstLine="0"/>
        <w:jc w:val="center"/>
      </w:pPr>
      <w:r w:rsidRPr="00CC5E4B">
        <w:rPr>
          <w:rStyle w:val="af"/>
        </w:rPr>
        <w:lastRenderedPageBreak/>
        <w:drawing>
          <wp:inline distT="0" distB="0" distL="0" distR="0" wp14:anchorId="38787930" wp14:editId="00CDE9BA">
            <wp:extent cx="5280660" cy="2743200"/>
            <wp:effectExtent l="0" t="0" r="0" b="0"/>
            <wp:docPr id="134"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80660" cy="2743200"/>
                    </a:xfrm>
                    <a:prstGeom prst="rect">
                      <a:avLst/>
                    </a:prstGeom>
                    <a:noFill/>
                    <a:ln>
                      <a:noFill/>
                    </a:ln>
                  </pic:spPr>
                </pic:pic>
              </a:graphicData>
            </a:graphic>
          </wp:inline>
        </w:drawing>
      </w:r>
    </w:p>
    <w:p w14:paraId="5E432FC3" w14:textId="7744FAE7" w:rsidR="00CC5E4B" w:rsidRPr="00E2232F" w:rsidRDefault="00E2232F" w:rsidP="00E2232F">
      <w:pPr>
        <w:pStyle w:val="af7"/>
        <w:ind w:firstLine="0" w:firstLineChars="0"/>
        <w:jc w:val="center"/>
      </w:pPr>
      <w:bookmarkStart w:id="170" w:name="_Toc236778309"/>
      <w:bookmarkStart w:id="171" w:name="_Toc236779310"/>
      <w:r>
        <w:rPr/>
        <w:t>图</w:t>
      </w:r>
      <w:r>
        <w:rPr/>
        <w:t xml:space="preserve"> </w:t>
      </w:r>
      <w:r>
        <w:fldChar w:fldCharType="begin"/>
      </w:r>
      <w:r>
        <w:instrText xml:space="preserve"> </w:instrText>
      </w:r>
      <w:r>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instrText xml:space="preserve">SEQ </w:instrText>
      </w:r>
      <w:r>
        <w:rPr/>
        <w:instrText>图</w:instrText>
      </w:r>
      <w:r>
        <w:rPr/>
        <w:instrText xml:space="preserve"> \* ARABIC \s 1</w:instrText>
      </w:r>
      <w:r>
        <w:instrText xml:space="preserve"> </w:instrText>
      </w:r>
      <w:r>
        <w:fldChar w:fldCharType="separate"/>
      </w:r>
      <w:r>
        <w:rPr>
          <w:noProof/>
        </w:rPr>
        <w:t>5</w:t>
      </w:r>
      <w:r>
        <w:fldChar w:fldCharType="end"/>
      </w:r>
      <w:r w:rsidR="00CC5E4B" w:rsidRPr="00E2232F">
        <w:t xml:space="preserve"> </w:t>
      </w:r>
      <w:r w:rsidR="00CC5E4B" w:rsidRPr="00E2232F">
        <w:t>研学旅行平台</w:t>
      </w:r>
      <w:bookmarkEnd w:id="170"/>
      <w:bookmarkEnd w:id="171"/>
    </w:p>
    <w:p>
      <w:pPr>
        <w:spacing w:line="360" w:lineRule="auto"/>
        <w:ind w:firstLineChars="200" w:firstLine="480"/>
        <w:jc w:val="both"/>
        <w:rPr>
          <w:color w:val="FF0000"/>
          <w:lang w:eastAsia="zh-CN"/>
        </w:rPr>
      </w:pPr>
      <w:r>
        <w:rPr>
          <w:color w:val="FF0000"/>
          <w:lang w:eastAsia="zh-CN"/>
        </w:rPr>
        <w:t xml:space="preserve">在智慧交通领域，企业同样形成了面向个体与面向行业的两类产品。轻微事故云快处针对道路上发生的人未伤、车能动的交通事故，向驾驶员提供事故云处理服务，通过短信 H5 链接与微信小程序等方式实现一键报警，并全面汇集公安交警的事故处理资源，使原本需要现场等待处置的轻微事故转为线上快速处理，既缩短了当事人的滞留时间，也降低了事故现场对道路通行效率的影响。道路安全警企共治服务平台则聚焦城市道路运输的风险隐患，在分析管理需求的基础上推动警企协同，以数字化手段开展重点车辆的闭环管理，推动建立道路运输安全的风险防控机制，实现由事后处置向事前预防的重心前移。</w:t>
      </w:r>
    </w:p>
    <w:p>
      <w:pPr>
        <w:keepNext/>
        <w:widowControl w:val="0"/>
        <w:ind w:firstLineChars="0" w:firstLine="0"/>
        <w:jc w:val="center"/>
      </w:pPr>
      <w:r w:rsidRPr="00CC5E4B">
        <w:rPr>
          <w:rStyle w:val="af"/>
        </w:rPr>
        <w:drawing>
          <wp:inline distT="0" distB="0" distL="0" distR="0" wp14:anchorId="768C3C64" wp14:editId="7CF5AE87">
            <wp:extent cx="5265420" cy="2560320"/>
            <wp:effectExtent l="0" t="0" r="0" b="0"/>
            <wp:docPr id="135"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65420" cy="2560320"/>
                    </a:xfrm>
                    <a:prstGeom prst="rect">
                      <a:avLst/>
                    </a:prstGeom>
                    <a:noFill/>
                    <a:ln>
                      <a:noFill/>
                    </a:ln>
                  </pic:spPr>
                </pic:pic>
              </a:graphicData>
            </a:graphic>
          </wp:inline>
        </w:drawing>
      </w:r>
    </w:p>
    <w:p w14:paraId="62DF7A28" w14:textId="52DC43EF" w:rsidR="00CC5E4B" w:rsidRPr="00E2232F" w:rsidRDefault="00E2232F" w:rsidP="00E2232F">
      <w:pPr>
        <w:pStyle w:val="af7"/>
        <w:ind w:firstLine="0" w:firstLineChars="0"/>
        <w:jc w:val="center"/>
      </w:pPr>
      <w:bookmarkStart w:id="172" w:name="_Toc236778310"/>
      <w:bookmarkStart w:id="173" w:name="_Toc236779311"/>
      <w:r>
        <w:rPr/>
        <w:t>图</w:t>
      </w:r>
      <w:r>
        <w:rPr/>
        <w:t xml:space="preserve"> </w:t>
      </w:r>
      <w:r>
        <w:fldChar w:fldCharType="begin"/>
      </w:r>
      <w:r>
        <w:instrText xml:space="preserve"> </w:instrText>
      </w:r>
      <w:r>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instrText xml:space="preserve">SEQ </w:instrText>
      </w:r>
      <w:r>
        <w:rPr/>
        <w:instrText>图</w:instrText>
      </w:r>
      <w:r>
        <w:rPr/>
        <w:instrText xml:space="preserve"> \* ARABIC \s 1</w:instrText>
      </w:r>
      <w:r>
        <w:instrText xml:space="preserve"> </w:instrText>
      </w:r>
      <w:r>
        <w:fldChar w:fldCharType="separate"/>
      </w:r>
      <w:r>
        <w:rPr>
          <w:noProof/>
        </w:rPr>
        <w:t>6</w:t>
      </w:r>
      <w:r>
        <w:fldChar w:fldCharType="end"/>
      </w:r>
      <w:r>
        <w:rPr/>
        <w:t xml:space="preserve"> </w:t>
      </w:r>
      <w:r w:rsidR="00CC5E4B" w:rsidRPr="00E2232F">
        <w:t>轻微事故云快处</w:t>
      </w:r>
      <w:bookmarkEnd w:id="172"/>
      <w:bookmarkEnd w:id="173"/>
    </w:p>
    <w:p>
      <w:pPr>
        <w:keepNext/>
        <w:widowControl w:val="0"/>
        <w:ind w:firstLineChars="0" w:firstLine="0"/>
        <w:jc w:val="center"/>
      </w:pPr>
      <w:r w:rsidRPr="00CC5E4B">
        <w:rPr>
          <w:rStyle w:val="af"/>
        </w:rPr>
        <w:drawing>
          <wp:inline distT="0" distB="0" distL="0" distR="0" wp14:anchorId="7835737D" wp14:editId="359C8BC1">
            <wp:extent cx="5280660" cy="2514600"/>
            <wp:effectExtent l="0" t="0" r="0" b="0"/>
            <wp:docPr id="136"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80660" cy="2514600"/>
                    </a:xfrm>
                    <a:prstGeom prst="rect">
                      <a:avLst/>
                    </a:prstGeom>
                    <a:noFill/>
                    <a:ln>
                      <a:noFill/>
                    </a:ln>
                  </pic:spPr>
                </pic:pic>
              </a:graphicData>
            </a:graphic>
          </wp:inline>
        </w:drawing>
      </w:r>
    </w:p>
    <w:p w14:paraId="65F03D9D" w14:textId="0BA821A0" w:rsidR="00CC5E4B" w:rsidRPr="00E2232F" w:rsidRDefault="00E2232F" w:rsidP="00E2232F">
      <w:pPr>
        <w:pStyle w:val="af7"/>
        <w:ind w:firstLine="0" w:firstLineChars="0"/>
        <w:jc w:val="center"/>
      </w:pPr>
      <w:bookmarkStart w:id="174" w:name="_Toc236778311"/>
      <w:bookmarkStart w:id="175" w:name="_Toc236779312"/>
      <w:r>
        <w:rPr/>
        <w:t>图</w:t>
      </w:r>
      <w:r>
        <w:rPr/>
        <w:t xml:space="preserve"> </w:t>
      </w:r>
      <w:r>
        <w:fldChar w:fldCharType="begin"/>
      </w:r>
      <w:r>
        <w:instrText xml:space="preserve"> </w:instrText>
      </w:r>
      <w:r>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instrText xml:space="preserve">SEQ </w:instrText>
      </w:r>
      <w:r>
        <w:rPr/>
        <w:instrText>图</w:instrText>
      </w:r>
      <w:r>
        <w:rPr/>
        <w:instrText xml:space="preserve"> \* ARABIC \s 1</w:instrText>
      </w:r>
      <w:r>
        <w:instrText xml:space="preserve"> </w:instrText>
      </w:r>
      <w:r>
        <w:fldChar w:fldCharType="separate"/>
      </w:r>
      <w:r>
        <w:rPr>
          <w:noProof/>
        </w:rPr>
        <w:t>7</w:t>
      </w:r>
      <w:r>
        <w:fldChar w:fldCharType="end"/>
      </w:r>
      <w:r>
        <w:rPr/>
        <w:t xml:space="preserve"> </w:t>
      </w:r>
      <w:r w:rsidR="00CC5E4B" w:rsidRPr="00E2232F">
        <w:t>道路安全警企共治服务平台</w:t>
      </w:r>
      <w:bookmarkEnd w:id="174"/>
      <w:bookmarkEnd w:id="175"/>
    </w:p>
    <w:p>
      <w:pPr>
        <w:spacing w:line="360" w:lineRule="auto"/>
        <w:ind w:firstLineChars="200" w:firstLine="480"/>
        <w:jc w:val="both"/>
        <w:rPr>
          <w:color w:val="FF0000"/>
          <w:lang w:eastAsia="zh-CN"/>
        </w:rPr>
      </w:pPr>
      <w:r>
        <w:rPr>
          <w:color w:val="FF0000"/>
          <w:lang w:eastAsia="zh-CN"/>
        </w:rPr>
        <w:t xml:space="preserve">在智慧医疗领域，企业融合新型物联网与通信技术并结合现代医学理念，构建了以电子健康档案为中心的区域医疗信息平台，将各医院之间的业务流程加以整合，缩短病患就诊流程、缩减重复检查环节，真正落实以病人为中心的服务理念。在便民政务领域，企业围绕政务服务平台的频道建设要求，支撑各地有序开展平台的建设与运营，协助各部门完成新服务在本地政务服务平台的上架，并完成频道内容的搭建与更新，实现高频民生事项的集中办理。四类民生场景虽然分属不同主管部门，但共享同一套数据底座与技术中台，这使得单个场景的建设成本随场景数量增加而递减，也是中小城市得以在有限财政条件下实现多领域覆盖的关键所在。</w:t>
      </w:r>
    </w:p>
    <w:p>
      <w:pPr>
        <w:keepNext/>
        <w:widowControl w:val="0"/>
        <w:ind w:firstLineChars="0" w:firstLine="0"/>
        <w:jc w:val="center"/>
      </w:pPr>
      <w:r w:rsidRPr="00CC5E4B">
        <w:rPr>
          <w:rStyle w:val="af"/>
        </w:rPr>
        <w:lastRenderedPageBreak/>
        <w:drawing>
          <wp:inline distT="0" distB="0" distL="0" distR="0" wp14:anchorId="51AA4301" wp14:editId="0BD959AE">
            <wp:extent cx="5280660" cy="2590800"/>
            <wp:effectExtent l="0" t="0" r="0" b="0"/>
            <wp:docPr id="137"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80660" cy="2590800"/>
                    </a:xfrm>
                    <a:prstGeom prst="rect">
                      <a:avLst/>
                    </a:prstGeom>
                    <a:noFill/>
                    <a:ln>
                      <a:noFill/>
                    </a:ln>
                  </pic:spPr>
                </pic:pic>
              </a:graphicData>
            </a:graphic>
          </wp:inline>
        </w:drawing>
      </w:r>
    </w:p>
    <w:p w14:paraId="4D7ED7EA" w14:textId="7006C749" w:rsidR="00CC5E4B" w:rsidRPr="00E2232F" w:rsidRDefault="00E2232F" w:rsidP="00E2232F">
      <w:pPr>
        <w:pStyle w:val="af7"/>
        <w:ind w:firstLine="0" w:firstLineChars="0"/>
        <w:jc w:val="center"/>
      </w:pPr>
      <w:bookmarkStart w:id="176" w:name="_Toc236778312"/>
      <w:bookmarkStart w:id="177" w:name="_Toc236779313"/>
      <w:r>
        <w:rPr/>
        <w:t>图</w:t>
      </w:r>
      <w:r>
        <w:rPr/>
        <w:t xml:space="preserve"> </w:t>
      </w:r>
      <w:r>
        <w:fldChar w:fldCharType="begin"/>
      </w:r>
      <w:r>
        <w:instrText xml:space="preserve"> </w:instrText>
      </w:r>
      <w:r>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instrText xml:space="preserve">SEQ </w:instrText>
      </w:r>
      <w:r>
        <w:rPr/>
        <w:instrText>图</w:instrText>
      </w:r>
      <w:r>
        <w:rPr/>
        <w:instrText xml:space="preserve"> \* ARABIC \s 1</w:instrText>
      </w:r>
      <w:r>
        <w:instrText xml:space="preserve"> </w:instrText>
      </w:r>
      <w:r>
        <w:fldChar w:fldCharType="separate"/>
      </w:r>
      <w:r>
        <w:rPr>
          <w:noProof/>
        </w:rPr>
        <w:t>8</w:t>
      </w:r>
      <w:r>
        <w:fldChar w:fldCharType="end"/>
      </w:r>
      <w:r>
        <w:rPr/>
        <w:t xml:space="preserve"> </w:t>
      </w:r>
      <w:r w:rsidR="00CC5E4B" w:rsidRPr="00E2232F">
        <w:t>政务服务平台</w:t>
      </w:r>
      <w:bookmarkEnd w:id="176"/>
      <w:bookmarkEnd w:id="177"/>
    </w:p>
    <w:p>
      <w:pPr>
        <w:spacing w:line="360" w:lineRule="auto"/>
        <w:ind w:firstLineChars="200" w:firstLine="480"/>
        <w:jc w:val="both"/>
        <w:rPr>
          <w:color w:val="FF0000"/>
          <w:lang w:eastAsia="zh-CN"/>
        </w:rPr>
      </w:pPr>
      <w:r>
        <w:rPr>
          <w:color w:val="FF0000"/>
          <w:lang w:eastAsia="zh-CN"/>
        </w:rPr>
        <w:t xml:space="preserve">上述各类民生数字化项目均不以商业盈利为目标，其核心产出是普惠型的社会公共价值，直接体现为群众办事便利度与满意度的提升。这一取向与企业的国有控股属性直接相关：民生场景普遍具有投入大、周期长、直接收益低的特征，纯市场主体缺乏进入动力，而政策驱动型国企恰恰能够以公共使命为依据承接这类项目，并通过其他业务的收益加以平衡。从资源配置看，六大垂直解决方案中民生服务类占据半数，这一结构本身即是公共属性在业务层面的直接投射。治理提效与民生普惠共同构成公共价值的内向产出，而下文的示范增值则指向其外向溢出。</w:t>
      </w:r>
    </w:p>
    <w:p xmlns:a="http://schemas.openxmlformats.org/drawingml/2006/main" xmlns:pic="http://schemas.openxmlformats.org/drawingml/2006/picture">
      <w:pPr>
        <w:keepNext/>
        <w:widowControl w:val="0"/>
        <w:ind w:firstLineChars="0" w:firstLine="0"/>
        <w:jc w:val="center"/>
      </w:pPr>
      <w:r>
        <w:rPr>
          <w:noProof/>
          <w:kern w:val="2"/>
          <w:lang w:eastAsia="zh-CN"/>
        </w:rPr>
        <w:drawing>
          <wp:inline distT="0" distB="0" distL="114300" distR="114300">
            <wp:extent cx="5270000" cy="3513333"/>
            <wp:effectExtent l="0" t="0" r="0" b="0"/>
            <wp:docPr id="906" name="图片 906"/>
            <wp:cNvGraphicFramePr>
              <a:graphicFrameLocks noChangeAspect="1"/>
            </wp:cNvGraphicFramePr>
            <a:graphic>
              <a:graphicData uri="http://schemas.openxmlformats.org/drawingml/2006/picture">
                <pic:pic>
                  <pic:nvPicPr>
                    <pic:cNvPr id="906" name="图片 906"/>
                    <pic:cNvPicPr>
                      <a:picLocks noChangeAspect="1"/>
                    </pic:cNvPicPr>
                  </pic:nvPicPr>
                  <pic:blipFill>
                    <a:blip r:embed="rId204"/>
                    <a:stretch>
                      <a:fillRect/>
                    </a:stretch>
                  </pic:blipFill>
                  <pic:spPr>
                    <a:xfrm>
                      <a:off x="0" y="0"/>
                      <a:ext cx="5270000" cy="3513333"/>
                    </a:xfrm>
                    <a:prstGeom prst="rect">
                      <a:avLst/>
                    </a:prstGeom>
                    <a:ln>
                      <a:noFill/>
                    </a:ln>
                  </pic:spPr>
                </pic:pic>
              </a:graphicData>
            </a:graphic>
          </wp:inline>
        </w:drawing>
      </w:r>
    </w:p>
    <w:p>
      <w:pPr>
        <w:pStyle w:val="af7"/>
        <w:ind w:firstLineChars="0" w:firstLine="0"/>
        <w:jc w:val="center"/>
        <w:rPr>
          <w:color w:val="FF0000"/>
          <w:lang w:eastAsia="zh-CN"/>
        </w:rPr>
      </w:pPr>
      <w:r>
        <w:rPr>
          <w:color w:val="FF0000"/>
          <w:lang w:eastAsia="zh-CN"/>
        </w:rPr>
        <w:t>图</w:t>
      </w:r>
      <w:r>
        <w:rPr>
          <w:color w:val="FF0000"/>
          <w:lang w:eastAsia="zh-CN"/>
        </w:rPr>
        <w:t xml:space="preserve"> </w:t>
      </w:r>
      <w:r>
        <w:rPr>
          <w:color w:val="FF0000"/>
          <w:lang w:eastAsia="zh-CN"/>
        </w:rPr>
        <w:t>3</w:t>
      </w:r>
      <w:r>
        <w:rPr>
          <w:color w:val="FF0000"/>
          <w:lang w:eastAsia="zh-CN"/>
        </w:rPr>
        <w:noBreakHyphen/>
      </w:r>
      <w:r>
        <w:rPr>
          <w:color w:val="FF0000"/>
          <w:lang w:eastAsia="zh-CN"/>
        </w:rPr>
        <w:fldChar w:fldCharType="begin"/>
      </w:r>
      <w:r>
        <w:rPr>
          <w:color w:val="FF0000"/>
          <w:lang w:eastAsia="zh-CN"/>
        </w:rPr>
        <w:instrText xml:space="preserve"> SEQ 图 \* ARABIC \s 1 </w:instrText>
      </w:r>
      <w:r>
        <w:rPr>
          <w:color w:val="FF0000"/>
          <w:lang w:eastAsia="zh-CN"/>
        </w:rPr>
        <w:fldChar w:fldCharType="separate"/>
      </w:r>
      <w:r>
        <w:rPr>
          <w:color w:val="FF0000"/>
          <w:noProof/>
          <w:lang w:eastAsia="zh-CN"/>
        </w:rPr>
        <w:t>9</w:t>
      </w:r>
      <w:r>
        <w:rPr>
          <w:color w:val="FF0000"/>
          <w:lang w:eastAsia="zh-CN"/>
        </w:rPr>
        <w:fldChar w:fldCharType="end"/>
      </w:r>
      <w:r>
        <w:rPr>
          <w:color w:val="FF0000"/>
          <w:lang w:eastAsia="zh-CN"/>
        </w:rPr>
        <w:t xml:space="preserve"> </w:t>
      </w:r>
      <w:r>
        <w:rPr>
          <w:color w:val="FF0000"/>
          <w:lang w:eastAsia="zh-CN"/>
        </w:rPr>
        <w:t xml:space="preserve">运营赋能能力向公共价值的转化结构图</w:t>
      </w:r>
    </w:p>
    <w:p>
      <w:pPr>
        <w:pStyle w:val="af7"/>
        <w:keepNext/>
        <w:ind w:firstLineChars="0" w:firstLine="0"/>
        <w:jc w:val="center"/>
        <w:rPr>
          <w:color w:val="FF0000"/>
          <w:lang w:eastAsia="zh-CN"/>
        </w:rPr>
      </w:pPr>
      <w:r>
        <w:rPr>
          <w:color w:val="FF0000"/>
          <w:lang w:eastAsia="zh-CN"/>
        </w:rPr>
        <w:t>表</w:t>
      </w:r>
      <w:r>
        <w:rPr>
          <w:color w:val="FF0000"/>
          <w:lang w:eastAsia="zh-CN"/>
        </w:rPr>
        <w:t xml:space="preserve"> </w:t>
      </w:r>
      <w:r>
        <w:rPr>
          <w:color w:val="FF0000"/>
          <w:lang w:eastAsia="zh-CN"/>
        </w:rPr>
        <w:t>3</w:t>
      </w:r>
      <w:r>
        <w:rPr>
          <w:color w:val="FF0000"/>
          <w:lang w:eastAsia="zh-CN"/>
        </w:rPr>
        <w:noBreakHyphen/>
      </w:r>
      <w:r>
        <w:rPr>
          <w:color w:val="FF0000"/>
          <w:lang w:eastAsia="zh-CN"/>
        </w:rPr>
        <w:fldChar w:fldCharType="begin"/>
      </w:r>
      <w:r>
        <w:rPr>
          <w:color w:val="FF0000"/>
          <w:lang w:eastAsia="zh-CN"/>
        </w:rPr>
        <w:instrText xml:space="preserve"> SEQ 表 \* ARABIC \s 1 </w:instrText>
      </w:r>
      <w:r>
        <w:rPr>
          <w:color w:val="FF0000"/>
          <w:lang w:eastAsia="zh-CN"/>
        </w:rPr>
        <w:fldChar w:fldCharType="separate"/>
      </w:r>
      <w:r>
        <w:rPr>
          <w:color w:val="FF0000"/>
          <w:noProof/>
          <w:lang w:eastAsia="zh-CN"/>
        </w:rPr>
        <w:t>2</w:t>
      </w:r>
      <w:r>
        <w:rPr>
          <w:color w:val="FF0000"/>
          <w:lang w:eastAsia="zh-CN"/>
        </w:rPr>
        <w:fldChar w:fldCharType="end"/>
      </w:r>
      <w:r>
        <w:rPr>
          <w:color w:val="FF0000"/>
          <w:lang w:eastAsia="zh-CN"/>
        </w:rPr>
        <w:t xml:space="preserve"> </w:t>
      </w:r>
      <w:r>
        <w:rPr>
          <w:color w:val="FF0000"/>
          <w:lang w:eastAsia="zh-CN"/>
        </w:rPr>
        <w:t xml:space="preserve">公共价值三维产出的可观测成效汇总表</w:t>
      </w:r>
    </w:p>
    <w:tbl>
      <w:tblPr>
        <w:tblStyle w:val="SanXian"/>
        <w:tblW w:w="8296" w:type="dxa"/>
        <w:jc w:val="center"/>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ayout w:type="fixed"/>
        <w:tblLook w:val="04A0" w:firstRow="1" w:lastRow="0" w:firstColumn="0" w:lastColumn="0" w:noHBand="0" w:noVBand="1"/>
      </w:tblPr>
      <w:tblGrid>
        <w:gridCol w:w="1367"/>
        <w:gridCol w:w="2460"/>
        <w:gridCol w:w="3100"/>
        <w:gridCol w:w="1369"/>
      </w:tblGrid>
      <w:tr>
        <w:trPr>
          <w:tblHeader/>
          <w:jc w:val="center"/>
        </w:trPr>
        <w:tc>
          <w:tcPr>
            <w:tcW w:w="1367" w:type="dxa"/>
            <w:tcBorders>
              <w:top w:val="single" w:sz="12" w:space="0" w:color="000000"/>
              <w:left w:val="none" w:sz="0" w:space="0" w:color="auto"/>
              <w:bottom w:val="single" w:sz="6"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b/>
                <w:bCs/>
                <w:sz w:val="21"/>
                <w:szCs w:val="21"/>
                <w:color w:val="FF0000"/>
                <w:lang w:eastAsia="zh-CN"/>
              </w:rPr>
              <w:t xml:space="preserve">价值维度</w:t>
            </w:r>
          </w:p>
        </w:tc>
        <w:tc>
          <w:tcPr>
            <w:tcW w:w="2460" w:type="dxa"/>
            <w:tcBorders>
              <w:top w:val="single" w:sz="12" w:space="0" w:color="000000"/>
              <w:left w:val="none" w:sz="0" w:space="0" w:color="auto"/>
              <w:bottom w:val="single" w:sz="6"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b/>
                <w:bCs/>
                <w:sz w:val="21"/>
                <w:szCs w:val="21"/>
                <w:color w:val="FF0000"/>
                <w:lang w:eastAsia="zh-CN"/>
              </w:rPr>
              <w:t xml:space="preserve">载体与场景</w:t>
            </w:r>
          </w:p>
        </w:tc>
        <w:tc>
          <w:tcPr>
            <w:tcW w:w="3100" w:type="dxa"/>
            <w:tcBorders>
              <w:top w:val="single" w:sz="12" w:space="0" w:color="000000"/>
              <w:left w:val="none" w:sz="0" w:space="0" w:color="auto"/>
              <w:bottom w:val="single" w:sz="6"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b/>
                <w:bCs/>
                <w:sz w:val="21"/>
                <w:szCs w:val="21"/>
                <w:color w:val="FF0000"/>
                <w:lang w:eastAsia="zh-CN"/>
              </w:rPr>
              <w:t xml:space="preserve">可观测成效</w:t>
            </w:r>
          </w:p>
        </w:tc>
        <w:tc>
          <w:tcPr>
            <w:tcW w:w="1369" w:type="dxa"/>
            <w:tcBorders>
              <w:top w:val="single" w:sz="12" w:space="0" w:color="000000"/>
              <w:left w:val="none" w:sz="0" w:space="0" w:color="auto"/>
              <w:bottom w:val="single" w:sz="6"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b/>
                <w:bCs/>
                <w:sz w:val="21"/>
                <w:szCs w:val="21"/>
                <w:color w:val="FF0000"/>
                <w:lang w:eastAsia="zh-CN"/>
              </w:rPr>
              <w:t xml:space="preserve">受益主体</w:t>
            </w:r>
          </w:p>
        </w:tc>
      </w:tr>
      <w:tr>
        <w:trPr>
          <w:jc w:val="center"/>
        </w:trPr>
        <w:tc>
          <w:tcPr>
            <w:tcW w:w="1367"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sz w:val="21"/>
                <w:szCs w:val="21"/>
                <w:color w:val="FF0000"/>
                <w:lang w:eastAsia="zh-CN"/>
              </w:rPr>
              <w:t xml:space="preserve">治理提效</w:t>
            </w:r>
          </w:p>
        </w:tc>
        <w:tc>
          <w:tcPr>
            <w:tcW w:w="2460"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ascii="宋体" w:hAnsi="宋体" w:eastAsia="宋体" w:cs="宋体"/>
                <w:sz w:val="21"/>
                <w:szCs w:val="21"/>
                <w:color w:val="FF0000"/>
                <w:lang w:eastAsia="zh-CN"/>
              </w:rPr>
              <w:t xml:space="preserve">智慧政法AI大模型、</w:t>
            </w:r>
            <w:r>
              <w:rPr>
                <w:rFonts w:hint="eastAsia" w:ascii="宋体" w:hAnsi="宋体" w:eastAsia="宋体" w:cs="宋体"/>
                <w:sz w:val="21"/>
                <w:szCs w:val="21"/>
                <w:color w:val="FF0000"/>
                <w:lang w:eastAsia="zh-CN"/>
              </w:rPr>
              <w:t xml:space="preserve">“</w:t>
            </w:r>
            <w:r>
              <w:rPr>
                <w:rFonts w:hint="eastAsia" w:ascii="宋体" w:hAnsi="宋体" w:eastAsia="宋体" w:cs="宋体"/>
                <w:sz w:val="21"/>
                <w:szCs w:val="21"/>
                <w:color w:val="FF0000"/>
                <w:lang w:eastAsia="zh-CN"/>
              </w:rPr>
              <w:t xml:space="preserve">社会治理一张图</w:t>
            </w:r>
            <w:r>
              <w:rPr>
                <w:rFonts w:hint="eastAsia" w:ascii="宋体" w:hAnsi="宋体" w:eastAsia="宋体" w:cs="宋体"/>
                <w:sz w:val="21"/>
                <w:szCs w:val="21"/>
                <w:color w:val="FF0000"/>
                <w:lang w:eastAsia="zh-CN"/>
              </w:rPr>
              <w:t xml:space="preserve">”</w:t>
            </w:r>
            <w:r>
              <w:rPr>
                <w:rFonts w:hint="eastAsia" w:ascii="宋体" w:hAnsi="宋体" w:eastAsia="宋体" w:cs="宋体"/>
                <w:sz w:val="21"/>
                <w:szCs w:val="21"/>
                <w:color w:val="FF0000"/>
                <w:lang w:eastAsia="zh-CN"/>
              </w:rPr>
              <w:t xml:space="preserve">、城市大脑</w:t>
            </w:r>
          </w:p>
        </w:tc>
        <w:tc>
          <w:tcPr>
            <w:tcW w:w="3100"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ascii="宋体" w:hAnsi="宋体" w:eastAsia="宋体" w:cs="宋体"/>
                <w:sz w:val="21"/>
                <w:szCs w:val="21"/>
                <w:color w:val="FF0000"/>
                <w:lang w:eastAsia="zh-CN"/>
              </w:rPr>
              <w:t xml:space="preserve">特征提炼时耗压缩97.9%、风险研判压缩88.9%；基层网格全流程线上闭环</w:t>
            </w:r>
          </w:p>
        </w:tc>
        <w:tc>
          <w:tcPr>
            <w:tcW w:w="1369"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sz w:val="21"/>
                <w:szCs w:val="21"/>
                <w:color w:val="FF0000"/>
                <w:lang w:eastAsia="zh-CN"/>
              </w:rPr>
              <w:t xml:space="preserve">政府与基层治理主体</w:t>
            </w:r>
          </w:p>
        </w:tc>
      </w:tr>
      <w:tr>
        <w:trPr>
          <w:jc w:val="center"/>
        </w:trPr>
        <w:tc>
          <w:tcPr>
            <w:tcW w:w="1367"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sz w:val="21"/>
                <w:szCs w:val="21"/>
                <w:color w:val="FF0000"/>
                <w:lang w:eastAsia="zh-CN"/>
              </w:rPr>
              <w:t xml:space="preserve">民生普惠</w:t>
            </w:r>
          </w:p>
        </w:tc>
        <w:tc>
          <w:tcPr>
            <w:tcW w:w="2460"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ascii="宋体" w:hAnsi="宋体" w:eastAsia="宋体" w:cs="宋体"/>
                <w:sz w:val="21"/>
                <w:szCs w:val="21"/>
                <w:color w:val="FF0000"/>
                <w:lang w:eastAsia="zh-CN"/>
              </w:rPr>
              <w:t xml:space="preserve">智慧教育、智慧交通、智慧医疗、便民政务平台</w:t>
            </w:r>
          </w:p>
        </w:tc>
        <w:tc>
          <w:tcPr>
            <w:tcW w:w="3100"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ascii="宋体" w:hAnsi="宋体" w:eastAsia="宋体" w:cs="宋体"/>
                <w:sz w:val="21"/>
                <w:szCs w:val="21"/>
                <w:color w:val="FF0000"/>
                <w:lang w:eastAsia="zh-CN"/>
              </w:rPr>
              <w:t xml:space="preserve">高中一体化招生覆盖3万余名考生；轻微事故云快处一键报警</w:t>
            </w:r>
          </w:p>
        </w:tc>
        <w:tc>
          <w:tcPr>
            <w:tcW w:w="1369"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sz w:val="21"/>
                <w:szCs w:val="21"/>
                <w:color w:val="FF0000"/>
                <w:lang w:eastAsia="zh-CN"/>
              </w:rPr>
              <w:t xml:space="preserve">城乡居民</w:t>
            </w:r>
          </w:p>
        </w:tc>
      </w:tr>
      <w:tr>
        <w:trPr>
          <w:jc w:val="center"/>
        </w:trPr>
        <w:tc>
          <w:tcPr>
            <w:tcW w:w="1367"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sz w:val="21"/>
                <w:szCs w:val="21"/>
                <w:color w:val="FF0000"/>
                <w:lang w:eastAsia="zh-CN"/>
              </w:rPr>
              <w:t xml:space="preserve">要素增值</w:t>
            </w:r>
          </w:p>
        </w:tc>
        <w:tc>
          <w:tcPr>
            <w:tcW w:w="2460"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ascii="宋体" w:hAnsi="宋体" w:eastAsia="宋体" w:cs="宋体"/>
                <w:sz w:val="21"/>
                <w:szCs w:val="21"/>
                <w:color w:val="FF0000"/>
                <w:lang w:eastAsia="zh-CN"/>
              </w:rPr>
              <w:t xml:space="preserve">市级A类数据要素运营重点实验室、公共数据平台</w:t>
            </w:r>
          </w:p>
        </w:tc>
        <w:tc>
          <w:tcPr>
            <w:tcW w:w="3100"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ascii="宋体" w:hAnsi="宋体" w:eastAsia="宋体" w:cs="宋体"/>
                <w:sz w:val="21"/>
                <w:szCs w:val="21"/>
                <w:color w:val="FF0000"/>
                <w:lang w:eastAsia="zh-CN"/>
              </w:rPr>
              <w:t xml:space="preserve">助力嘉兴公交取得首张数据资源持有权证书并获1500万元贷款</w:t>
            </w:r>
          </w:p>
        </w:tc>
        <w:tc>
          <w:tcPr>
            <w:tcW w:w="1369"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sz w:val="21"/>
                <w:szCs w:val="21"/>
                <w:color w:val="FF0000"/>
                <w:lang w:eastAsia="zh-CN"/>
              </w:rPr>
              <w:t xml:space="preserve">市属国企与产业主体</w:t>
            </w:r>
          </w:p>
        </w:tc>
      </w:tr>
      <w:tr>
        <w:trPr>
          <w:jc w:val="center"/>
        </w:trPr>
        <w:tc>
          <w:tcPr>
            <w:tcW w:w="1367" w:type="dxa"/>
            <w:tcBorders>
              <w:left w:val="none" w:sz="0" w:space="0" w:color="auto"/>
              <w:bottom w:val="single" w:sz="12"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sz w:val="21"/>
                <w:szCs w:val="21"/>
                <w:color w:val="FF0000"/>
                <w:lang w:eastAsia="zh-CN"/>
              </w:rPr>
              <w:t xml:space="preserve">示范外溢</w:t>
            </w:r>
          </w:p>
        </w:tc>
        <w:tc>
          <w:tcPr>
            <w:tcW w:w="2460" w:type="dxa"/>
            <w:tcBorders>
              <w:left w:val="none" w:sz="0" w:space="0" w:color="auto"/>
              <w:bottom w:val="single" w:sz="12" w:space="0" w:color="000000"/>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ascii="宋体" w:hAnsi="宋体" w:eastAsia="宋体" w:cs="宋体"/>
                <w:sz w:val="21"/>
                <w:szCs w:val="21"/>
                <w:color w:val="FF0000"/>
                <w:lang w:eastAsia="zh-CN"/>
              </w:rPr>
              <w:t xml:space="preserve">“</w:t>
            </w:r>
            <w:r>
              <w:rPr>
                <w:rFonts w:hint="eastAsia" w:ascii="宋体" w:hAnsi="宋体" w:eastAsia="宋体" w:cs="宋体"/>
                <w:sz w:val="21"/>
                <w:szCs w:val="21"/>
                <w:color w:val="FF0000"/>
                <w:lang w:eastAsia="zh-CN"/>
              </w:rPr>
              <w:t xml:space="preserve">社会治理一张图</w:t>
            </w:r>
            <w:r>
              <w:rPr>
                <w:rFonts w:hint="eastAsia" w:ascii="宋体" w:hAnsi="宋体" w:eastAsia="宋体" w:cs="宋体"/>
                <w:sz w:val="21"/>
                <w:szCs w:val="21"/>
                <w:color w:val="FF0000"/>
                <w:lang w:eastAsia="zh-CN"/>
              </w:rPr>
              <w:t xml:space="preserve">”</w:t>
            </w:r>
            <w:r>
              <w:rPr>
                <w:rFonts w:hint="eastAsia" w:ascii="宋体" w:hAnsi="宋体" w:eastAsia="宋体" w:cs="宋体"/>
                <w:sz w:val="21"/>
                <w:szCs w:val="21"/>
                <w:color w:val="FF0000"/>
                <w:lang w:eastAsia="zh-CN"/>
              </w:rPr>
              <w:t xml:space="preserve">、三维运营框架、国家标准编制</w:t>
            </w:r>
          </w:p>
        </w:tc>
        <w:tc>
          <w:tcPr>
            <w:tcW w:w="3100" w:type="dxa"/>
            <w:tcBorders>
              <w:left w:val="none" w:sz="0" w:space="0" w:color="auto"/>
              <w:bottom w:val="single" w:sz="12" w:space="0" w:color="000000"/>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ascii="宋体" w:hAnsi="宋体" w:eastAsia="宋体" w:cs="宋体"/>
                <w:sz w:val="21"/>
                <w:szCs w:val="21"/>
                <w:color w:val="FF0000"/>
                <w:lang w:eastAsia="zh-CN"/>
              </w:rPr>
              <w:t xml:space="preserve">入选2025年浙江省数商创新优秀典型案例；参与GB/T 45402-2025编制</w:t>
            </w:r>
          </w:p>
        </w:tc>
        <w:tc>
          <w:tcPr>
            <w:tcW w:w="1369" w:type="dxa"/>
            <w:tcBorders>
              <w:left w:val="none" w:sz="0" w:space="0" w:color="auto"/>
              <w:bottom w:val="single" w:sz="12"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sz w:val="21"/>
                <w:szCs w:val="21"/>
                <w:color w:val="FF0000"/>
                <w:lang w:eastAsia="zh-CN"/>
              </w:rPr>
              <w:t xml:space="preserve">同类城市与行业</w:t>
            </w:r>
          </w:p>
        </w:tc>
      </w:tr>
    </w:tbl>
    <w:p w14:paraId="00ED8D20" w14:textId="77777777" w:rsidR="00CC5E4B" w:rsidRPr="00CC5E4B" w:rsidRDefault="00CC5E4B" w:rsidP="00CC5E4B">
      <w:pPr>
        <w:pStyle w:val="a"/>
        <w:spacing w:before="156" w:after="156"/>
        <w:rPr>
          <w:rFonts w:ascii="黑体" w:hAnsi="黑体"/>
          <w:sz w:val="22"/>
          <w:szCs w:val="22"/>
        </w:rPr>
      </w:pPr>
      <w:bookmarkStart w:id="178" w:name="_Toc236744681"/>
      <w:bookmarkStart w:id="179" w:name="_Toc236777516"/>
      <w:bookmarkStart w:id="180" w:name="_Toc236777889"/>
      <w:bookmarkStart w:id="181" w:name="_Toc236777962"/>
      <w:bookmarkEnd w:id="178"/>
      <w:r w:rsidRPr="00CC5E4B">
        <w:t>示范增值：打造可复制</w:t>
      </w:r>
      <w:r w:rsidRPr="00CC5E4B">
        <w:rPr/>
        <w:t xml:space="preserve"> </w:t>
      </w:r>
      <w:r w:rsidRPr="00CC5E4B">
        <w:rPr>
          <w:rFonts w:ascii="宋体" w:eastAsia="宋体" w:hAnsi="宋体" w:cs="宋体" w:hint="eastAsia"/>
        </w:rPr>
        <w:t>“</w:t>
      </w:r>
      <w:r w:rsidRPr="00CC5E4B">
        <w:t>嘉兴样本</w:t>
      </w:r>
      <w:r w:rsidRPr="00CC5E4B">
        <w:rPr>
          <w:rFonts w:ascii="宋体" w:eastAsia="宋体" w:hAnsi="宋体" w:cs="宋体" w:hint="eastAsia"/>
        </w:rPr>
        <w:t>”</w:t>
      </w:r>
      <w:r w:rsidRPr="00CC5E4B">
        <w:t>，形成跨区域外溢价值</w:t>
      </w:r>
      <w:bookmarkEnd w:id="179"/>
      <w:bookmarkEnd w:id="180"/>
      <w:bookmarkEnd w:id="181"/>
    </w:p>
    <w:p>
      <w:pPr>
        <w:spacing w:line="360" w:lineRule="auto"/>
        <w:ind w:firstLineChars="200" w:firstLine="480"/>
        <w:jc w:val="both"/>
        <w:rPr>
          <w:color w:val="FF0000"/>
          <w:lang w:eastAsia="zh-CN"/>
        </w:rPr>
      </w:pPr>
      <w:r>
        <w:rPr>
          <w:color w:val="FF0000"/>
          <w:lang w:eastAsia="zh-CN"/>
        </w:rPr>
        <w:t xml:space="preserve">经过落地验证的数字化实践进一步形成标准化样板，产生向外辐射的示范增值效应，公共价值的边界由此从市域扩展至更大范围。在产品层面，企业核心数据应用产品</w:t>
      </w:r>
      <w:r>
        <w:rPr>
          <w:rFonts w:hint="eastAsia" w:ascii="宋体" w:hAnsi="宋体" w:eastAsia="宋体" w:cs="宋体"/>
          <w:color w:val="FF0000"/>
          <w:lang w:eastAsia="zh-CN"/>
        </w:rPr>
        <w:t xml:space="preserve">“</w:t>
      </w:r>
      <w:r>
        <w:rPr>
          <w:color w:val="FF0000"/>
          <w:lang w:eastAsia="zh-CN"/>
        </w:rPr>
        <w:t xml:space="preserve">社会治理一张图</w:t>
      </w:r>
      <w:r>
        <w:rPr>
          <w:rFonts w:hint="eastAsia" w:ascii="宋体" w:hAnsi="宋体" w:eastAsia="宋体" w:cs="宋体"/>
          <w:color w:val="FF0000"/>
          <w:lang w:eastAsia="zh-CN"/>
        </w:rPr>
        <w:t xml:space="preserve">”</w:t>
      </w:r>
      <w:r>
        <w:rPr>
          <w:color w:val="FF0000"/>
          <w:lang w:eastAsia="zh-CN"/>
        </w:rPr>
        <w:t xml:space="preserve">凭借全域数据融合与基层治理提效的突出成效，入选 2025 年浙江省数商创新优秀典型案例，成为全省基层数字治理的参照样板。在模式层面，企业完整构建的</w:t>
      </w:r>
      <w:r>
        <w:rPr>
          <w:rFonts w:hint="eastAsia" w:ascii="宋体" w:hAnsi="宋体" w:eastAsia="宋体" w:cs="宋体"/>
          <w:color w:val="FF0000"/>
          <w:lang w:eastAsia="zh-CN"/>
        </w:rPr>
        <w:t xml:space="preserve">“</w:t>
      </w:r>
      <w:r>
        <w:rPr>
          <w:color w:val="FF0000"/>
          <w:lang w:eastAsia="zh-CN"/>
        </w:rPr>
        <w:t xml:space="preserve">政策授权＋平台赋能＋价值增值</w:t>
      </w:r>
      <w:r>
        <w:rPr>
          <w:rFonts w:hint="eastAsia" w:ascii="宋体" w:hAnsi="宋体" w:eastAsia="宋体" w:cs="宋体"/>
          <w:color w:val="FF0000"/>
          <w:lang w:eastAsia="zh-CN"/>
        </w:rPr>
        <w:t xml:space="preserve">”</w:t>
      </w:r>
      <w:r>
        <w:rPr>
          <w:color w:val="FF0000"/>
          <w:lang w:eastAsia="zh-CN"/>
        </w:rPr>
        <w:t xml:space="preserve">三维运营框架、轻量化的</w:t>
      </w:r>
      <w:r>
        <w:rPr>
          <w:rFonts w:hint="eastAsia" w:ascii="宋体" w:hAnsi="宋体" w:eastAsia="宋体" w:cs="宋体"/>
          <w:color w:val="FF0000"/>
          <w:lang w:eastAsia="zh-CN"/>
        </w:rPr>
        <w:t xml:space="preserve">“</w:t>
      </w:r>
      <w:r>
        <w:rPr>
          <w:color w:val="FF0000"/>
          <w:lang w:eastAsia="zh-CN"/>
        </w:rPr>
        <w:t xml:space="preserve">AI＋政务</w:t>
      </w:r>
      <w:r>
        <w:rPr>
          <w:rFonts w:hint="eastAsia" w:ascii="宋体" w:hAnsi="宋体" w:eastAsia="宋体" w:cs="宋体"/>
          <w:color w:val="FF0000"/>
          <w:lang w:eastAsia="zh-CN"/>
        </w:rPr>
        <w:t xml:space="preserve">”</w:t>
      </w:r>
      <w:r>
        <w:rPr>
          <w:color w:val="FF0000"/>
          <w:lang w:eastAsia="zh-CN"/>
        </w:rPr>
        <w:t xml:space="preserve">行业解决方案，以及数据要素实验室的合规运营机制，已整体沉淀为可向全国同类中小城市推广复用的建设经验，有效降低了后来者的重复摸索成本。在规范层面，企业先后获评国家高新技术企业与浙江省数字化示范性科技企业，持续承接国家级与省级数字化改革试点任务，并将其在数据要素流通、城市大脑运营与基层数字治理领域积累的实践经验转化为行业标准的组成部分。三个层面构成由具体到抽象的递进：产品证明成效，模式提供方案，标准则确立话语权。</w:t>
      </w:r>
    </w:p>
    <w:p w14:paraId="3831EC55" w14:textId="77777777" w:rsidR="00CC5E4B" w:rsidRPr="00CC5E4B" w:rsidRDefault="00CC5E4B" w:rsidP="00CC5E4B">
      <w:pPr>
        <w:pStyle w:val="2"/>
        <w:spacing w:before="156" w:after="156"/>
      </w:pPr>
      <w:bookmarkStart w:id="182" w:name="_Toc236744682"/>
      <w:bookmarkStart w:id="183" w:name="_Toc236777517"/>
      <w:bookmarkStart w:id="184" w:name="_Toc236777890"/>
      <w:bookmarkStart w:id="185" w:name="_Toc236777963"/>
      <w:bookmarkEnd w:id="182"/>
      <w:r w:rsidRPr="00CC5E4B">
        <w:t>政策驱动型国企可持续创造公共价值的</w:t>
      </w:r>
      <w:r w:rsidRPr="00CC5E4B">
        <w:rPr>
          <w:rFonts w:ascii="宋体" w:hAnsi="宋体" w:eastAsia="宋体" w:cs="宋体" w:hint="eastAsia"/>
        </w:rPr>
        <w:t>“</w:t>
      </w:r>
      <w:r w:rsidRPr="00CC5E4B">
        <w:t>嘉数路径</w:t>
      </w:r>
      <w:r w:rsidRPr="00CC5E4B">
        <w:rPr>
          <w:rFonts w:ascii="宋体" w:hAnsi="宋体" w:eastAsia="宋体" w:cs="宋体" w:hint="eastAsia"/>
        </w:rPr>
        <w:t>”</w:t>
      </w:r>
      <w:bookmarkEnd w:id="183"/>
      <w:bookmarkEnd w:id="184"/>
      <w:bookmarkEnd w:id="185"/>
    </w:p>
    <w:p>
      <w:pPr>
        <w:spacing w:line="360" w:lineRule="auto"/>
        <w:ind w:firstLineChars="200" w:firstLine="480"/>
        <w:jc w:val="both"/>
        <w:rPr>
          <w:color w:val="FF0000"/>
          <w:lang w:eastAsia="zh-CN"/>
        </w:rPr>
      </w:pPr>
      <w:r>
        <w:rPr>
          <w:color w:val="FF0000"/>
          <w:lang w:eastAsia="zh-CN"/>
        </w:rPr>
        <w:t xml:space="preserve">综合授权、赋能、增值三个维度的实践举措，可以提炼出一条自我强化、动态均衡的三角闭环路径，其内部包含四层传导逻辑。第一层是正向传导的起点：国家试点政策、政企合资出资与产学研协同网络共同构建起完整的授权环境，为企业提供合法建设身份、专项资金、全域场景数据与科研试验权限；缺少稳定授权，中小城市国有平台既无从取得建设资质，也难以获得跨部门数据协调的行政支撑。第二层是中间转化：企业依托城市数字底座、公共数据平台与高端科创人才构建综合运营能力，把抽象的政策资质、资金与场景资源转化为可落地的数字系统、数据产品与 AI 解决方案；授权仅代表资格，唯有经此转化才可能形成实际产出，赋能因而是整条路径的核心转化枢纽。</w:t>
      </w:r>
    </w:p>
    <w:p>
      <w:pPr>
        <w:spacing w:line="360" w:lineRule="auto"/>
        <w:ind w:firstLineChars="200" w:firstLine="480"/>
        <w:jc w:val="both"/>
        <w:rPr>
          <w:color w:val="FF0000"/>
          <w:lang w:eastAsia="zh-CN"/>
        </w:rPr>
      </w:pPr>
      <w:r>
        <w:rPr>
          <w:color w:val="FF0000"/>
          <w:lang w:eastAsia="zh-CN"/>
        </w:rPr>
        <w:t xml:space="preserve">第三层是价值产出：运营赋能能力下沉至治理与民生场景，产出治理提效、民生普惠与示范样板三类公共价值成果，兑现数字城市服务城市现代化、惠及普通群众的根本目标，这既是路径的落脚点，也是地方国企履行公共使命的直观体现。第四层则是反向循环：优质的公共价值产出会形成多重正向反馈——治理效能提升与群众满意度提高，巩固地方政府持续的政策与资金支持；省级乃至国家级优秀案例、科创资质与标准编制成果，强化企业在更大范围内的议价能力与合作机会。由此可见，</w:t>
      </w:r>
      <w:r>
        <w:rPr>
          <w:rFonts w:hint="eastAsia" w:ascii="宋体" w:hAnsi="宋体" w:eastAsia="宋体" w:cs="宋体"/>
          <w:color w:val="FF0000"/>
          <w:lang w:eastAsia="zh-CN"/>
        </w:rPr>
        <w:t xml:space="preserve">“</w:t>
      </w:r>
      <w:r>
        <w:rPr>
          <w:color w:val="FF0000"/>
          <w:lang w:eastAsia="zh-CN"/>
        </w:rPr>
        <w:t xml:space="preserve">授权—赋能—增值</w:t>
      </w:r>
      <w:r>
        <w:rPr>
          <w:rFonts w:hint="eastAsia" w:ascii="宋体" w:hAnsi="宋体" w:eastAsia="宋体" w:cs="宋体"/>
          <w:color w:val="FF0000"/>
          <w:lang w:eastAsia="zh-CN"/>
        </w:rPr>
        <w:t xml:space="preserve">”</w:t>
      </w:r>
      <w:r>
        <w:rPr>
          <w:color w:val="FF0000"/>
          <w:lang w:eastAsia="zh-CN"/>
        </w:rPr>
        <w:t xml:space="preserve">并非单向线性流程，而是动态均衡、循环互促的三角闭环结构。该路径适配中小城市的资源禀赋，区别于超大城市重资本、独立建设的模式，其可持续性来自循环本身而非外部的一次性投入。</w:t>
      </w:r>
    </w:p>
    <w:p w14:paraId="744733A3" w14:textId="77777777" w:rsidR="00CC5E4B" w:rsidRPr="00CC5E4B" w:rsidRDefault="00CC5E4B" w:rsidP="00CC5E4B">
      <w:pPr>
        <w:keepNext/>
        <w:spacing w:before="100" w:beforeAutospacing="1" w:line="276" w:lineRule="auto"/>
        <w:ind w:firstLine="0" w:firstLineChars="0"/>
        <w:jc w:val="center"/>
        <w:rPr>
          <w:sz w:val="22"/>
          <w:szCs w:val="22"/>
        </w:rPr>
      </w:pPr>
      <w:r w:rsidRPr="00CC5E4B">
        <w:rPr>
          <w:noProof/>
        </w:rPr>
        <w:drawing>
          <wp:inline distT="0" distB="0" distL="0" distR="0" wp14:anchorId="2C52134C" wp14:editId="63BB0F18">
            <wp:extent cx="5334000" cy="2400300"/>
            <wp:effectExtent l="0" t="0" r="0" b="0"/>
            <wp:docPr id="138"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34000" cy="2400300"/>
                    </a:xfrm>
                    <a:prstGeom prst="rect">
                      <a:avLst/>
                    </a:prstGeom>
                    <a:noFill/>
                    <a:ln>
                      <a:noFill/>
                    </a:ln>
                  </pic:spPr>
                </pic:pic>
              </a:graphicData>
            </a:graphic>
          </wp:inline>
        </w:drawing>
      </w:r>
      <w:r w:rsidRPr="00CC5E4B">
        <w:rPr/>
        <w:t xml:space="preserve"> </w:t>
      </w:r>
    </w:p>
    <w:p w14:paraId="5AEFFF56" w14:textId="1CDDFF3B" w:rsidR="00B610B0" w:rsidRPr="00E2232F" w:rsidRDefault="00E2232F" w:rsidP="00E2232F">
      <w:pPr>
        <w:pStyle w:val="af7"/>
        <w:ind w:firstLine="0" w:firstLineChars="0"/>
        <w:jc w:val="center"/>
        <w:sectPr w:rsidR="00B610B0" w:rsidRPr="00E2232F">
          <w:pgSz w:w="11906" w:h="16838"/>
          <w:pgMar w:top="1440" w:right="1800" w:bottom="1440" w:left="1800" w:header="851" w:footer="992" w:gutter="0"/>
          <w:cols w:space="425"/>
          <w:docGrid w:type="lines" w:linePitch="312"/>
        </w:sectPr>
      </w:pPr>
      <w:bookmarkStart w:id="186" w:name="_Toc236778313"/>
      <w:bookmarkStart w:id="187" w:name="_Toc236779314"/>
      <w:r>
        <w:rPr/>
        <w:t>图</w:t>
      </w:r>
      <w:r>
        <w:rPr/>
        <w:t xml:space="preserve"> </w:t>
      </w:r>
      <w:r>
        <w:fldChar w:fldCharType="begin"/>
      </w:r>
      <w:r>
        <w:instrText xml:space="preserve"> </w:instrText>
      </w:r>
      <w:r>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instrText xml:space="preserve">SEQ </w:instrText>
      </w:r>
      <w:r>
        <w:rPr/>
        <w:instrText>图</w:instrText>
      </w:r>
      <w:r>
        <w:rPr/>
        <w:instrText xml:space="preserve"> \* ARABIC \s 1</w:instrText>
      </w:r>
      <w:r>
        <w:instrText xml:space="preserve"> </w:instrText>
      </w:r>
      <w:r>
        <w:fldChar w:fldCharType="separate"/>
      </w:r>
      <w:r>
        <w:rPr>
          <w:noProof/>
        </w:rPr>
        <w:t>10</w:t>
      </w:r>
      <w:r>
        <w:fldChar w:fldCharType="end"/>
      </w:r>
      <w:r w:rsidR="00CC5E4B" w:rsidRPr="00E2232F">
        <w:t>三维联动路径</w:t>
      </w:r>
      <w:bookmarkEnd w:id="186"/>
      <w:bookmarkEnd w:id="187"/>
    </w:p>
    <w:p>
      <w:pPr>
        <w:pStyle w:val="2"/>
        <w:rPr>
          <w:color w:val="FF0000"/>
          <w:lang w:eastAsia="zh-CN"/>
        </w:rPr>
      </w:pPr>
      <w:r>
        <w:rPr>
          <w:color w:val="FF0000"/>
          <w:lang w:eastAsia="zh-CN"/>
        </w:rPr>
        <w:t xml:space="preserve">本章小结</w:t>
      </w:r>
    </w:p>
    <w:p>
      <w:pPr>
        <w:spacing w:line="360" w:lineRule="auto"/>
        <w:ind w:firstLineChars="200" w:firstLine="480"/>
        <w:jc w:val="both"/>
        <w:rPr>
          <w:color w:val="FF0000"/>
          <w:lang w:eastAsia="zh-CN"/>
        </w:rPr>
      </w:pPr>
      <w:r>
        <w:rPr>
          <w:color w:val="FF0000"/>
          <w:lang w:eastAsia="zh-CN"/>
        </w:rPr>
        <w:t xml:space="preserve">本章沿授权、赋能、增值三个维度完整呈现了嘉数公司的公共价值创造实践。在授权维度，政策、出资、行政与协同四类授权叠加，构成了普通市场主体难以复制的制度身份；在赋能维度，城市大脑技术底座、全域公共数据平台与科创人才体系三者耦合，形成了将政策资源转化为可交付服务的组织装置；在增值维度，治理提效、民生普惠、要素增值与示范外溢四类成果，兑现了数字城市建设服务城市现代化与惠及普通居民的根本目标。</w:t>
      </w:r>
    </w:p>
    <w:p>
      <w:pPr>
        <w:spacing w:line="360" w:lineRule="auto"/>
        <w:ind w:firstLineChars="200" w:firstLine="480"/>
        <w:jc w:val="both"/>
        <w:rPr>
          <w:color w:val="FF0000"/>
          <w:lang w:eastAsia="zh-CN"/>
        </w:rPr>
      </w:pPr>
      <w:r>
        <w:rPr>
          <w:color w:val="FF0000"/>
          <w:lang w:eastAsia="zh-CN"/>
        </w:rPr>
        <w:t xml:space="preserve">更值得关注的是三个维度之间的关系形态。若仅将三者理解为并列的成绩清单，则本案例与一般的数字化建设总结无异；本章材料所显示的，是三者之间存在明确的前后依存与反向回流：没有政策与行政授权，全域数据归集在制度上即不可行；没有平台与人才的持续投入，授权只能停留于纸面资格；而治理与民生成效一旦形成可验证的外部确认，又会转化为新一轮的政策支持与授权扩容——2025年获批公共数据授权运营单位，正是这一回流的直接结果。这一关系形态构成第四章机理解析的经验起点：本章回答</w:t>
      </w:r>
      <w:r>
        <w:rPr>
          <w:rFonts w:hint="eastAsia" w:ascii="宋体" w:hAnsi="宋体" w:eastAsia="宋体" w:cs="宋体"/>
          <w:color w:val="FF0000"/>
          <w:lang w:eastAsia="zh-CN"/>
        </w:rPr>
        <w:t xml:space="preserve">“</w:t>
      </w:r>
      <w:r>
        <w:rPr>
          <w:color w:val="FF0000"/>
          <w:lang w:eastAsia="zh-CN"/>
        </w:rPr>
        <w:t xml:space="preserve">做了什么</w:t>
      </w:r>
      <w:r>
        <w:rPr>
          <w:rFonts w:hint="eastAsia" w:ascii="宋体" w:hAnsi="宋体" w:eastAsia="宋体" w:cs="宋体"/>
          <w:color w:val="FF0000"/>
          <w:lang w:eastAsia="zh-CN"/>
        </w:rPr>
        <w:t xml:space="preserve">”</w:t>
      </w:r>
      <w:r>
        <w:rPr>
          <w:color w:val="FF0000"/>
          <w:lang w:eastAsia="zh-CN"/>
        </w:rPr>
        <w:t xml:space="preserve">，第四章将回答</w:t>
      </w:r>
      <w:r>
        <w:rPr>
          <w:rFonts w:hint="eastAsia" w:ascii="宋体" w:hAnsi="宋体" w:eastAsia="宋体" w:cs="宋体"/>
          <w:color w:val="FF0000"/>
          <w:lang w:eastAsia="zh-CN"/>
        </w:rPr>
        <w:t xml:space="preserve">“</w:t>
      </w:r>
      <w:r>
        <w:rPr>
          <w:color w:val="FF0000"/>
          <w:lang w:eastAsia="zh-CN"/>
        </w:rPr>
        <w:t xml:space="preserve">何以有效</w:t>
      </w:r>
      <w:r>
        <w:rPr>
          <w:rFonts w:hint="eastAsia" w:ascii="宋体" w:hAnsi="宋体" w:eastAsia="宋体" w:cs="宋体"/>
          <w:color w:val="FF0000"/>
          <w:lang w:eastAsia="zh-CN"/>
        </w:rPr>
        <w:t xml:space="preserve">”</w:t>
      </w:r>
      <w:r>
        <w:rPr>
          <w:color w:val="FF0000"/>
          <w:lang w:eastAsia="zh-CN"/>
        </w:rPr>
        <w:t xml:space="preserve">。</w:t>
      </w:r>
    </w:p>
    <w:p w14:paraId="3B090355" w14:textId="77777777" w:rsidR="00CC5E4B" w:rsidRDefault="00CC5E4B" w:rsidP="00E2232F">
      <w:pPr>
        <w:spacing w:before="100" w:beforeAutospacing="1" w:after="160" w:line="276" w:lineRule="auto"/>
        <w:ind w:firstLineChars="0" w:firstLine="0"/>
        <w:rPr>
          <w:rFonts w:ascii="黑体" w:eastAsia="黑体" w:hAnsi="黑体" w:hint="eastAsia"/>
          <w:sz w:val="20"/>
          <w:szCs w:val="20"/>
        </w:rPr>
      </w:pPr>
    </w:p>
    <w:p w14:paraId="5F1ADDCF" w14:textId="7C672AA6" w:rsidR="00CC5E4B" w:rsidRPr="00CC5E4B" w:rsidRDefault="00CC5E4B" w:rsidP="00CC5E4B">
      <w:pPr>
        <w:pStyle w:val="1"/>
        <w:rPr>
          <w:rFonts w:ascii="宋体" w:eastAsia="宋体" w:hAnsi="宋体" w:hint="eastAsia"/>
          <w:sz w:val="24"/>
          <w:szCs w:val="24"/>
        </w:rPr>
      </w:pPr>
      <w:bookmarkStart w:id="188" w:name="_Toc236777518"/>
      <w:bookmarkStart w:id="189" w:name="_Toc236777891"/>
      <w:bookmarkStart w:id="190" w:name="_Toc236777964"/>
      <w:r w:rsidRPr="00CC5E4B">
        <w:t>案例分析</w:t>
      </w:r>
      <w:r w:rsidRPr="00CC5E4B">
        <w:t>——</w:t>
      </w:r>
      <w:r w:rsidRPr="00CC5E4B">
        <w:t>战略三角模型下</w:t>
      </w:r>
      <w:r w:rsidRPr="00CC5E4B">
        <w:rPr>
          <w:rFonts w:ascii="宋体" w:hAnsi="宋体" w:eastAsia="宋体" w:cs="宋体" w:hint="eastAsia"/>
        </w:rPr>
        <w:t>“</w:t>
      </w:r>
      <w:r w:rsidRPr="00CC5E4B">
        <w:t>授权</w:t>
      </w:r>
      <w:r w:rsidRPr="00CC5E4B">
        <w:t>·</w:t>
      </w:r>
      <w:r w:rsidRPr="00CC5E4B">
        <w:t>赋能</w:t>
      </w:r>
      <w:r w:rsidRPr="00CC5E4B">
        <w:t>·</w:t>
      </w:r>
      <w:r w:rsidRPr="00CC5E4B">
        <w:t>增值</w:t>
      </w:r>
      <w:r w:rsidRPr="00CC5E4B">
        <w:rPr>
          <w:rFonts w:ascii="宋体" w:hAnsi="宋体" w:eastAsia="宋体" w:cs="宋体" w:hint="eastAsia"/>
        </w:rPr>
        <w:t>”</w:t>
      </w:r>
      <w:r w:rsidRPr="00CC5E4B">
        <w:t>价值创造路径的机理解析</w:t>
      </w:r>
      <w:bookmarkEnd w:id="188"/>
      <w:bookmarkEnd w:id="189"/>
      <w:bookmarkEnd w:id="190"/>
    </w:p>
    <w:p>
      <w:pPr>
        <w:spacing w:line="360" w:lineRule="auto"/>
        <w:ind w:firstLineChars="200" w:firstLine="480"/>
        <w:jc w:val="both"/>
        <w:rPr>
          <w:color w:val="FF0000"/>
          <w:lang w:eastAsia="zh-CN"/>
        </w:rPr>
      </w:pPr>
      <w:r>
        <w:rPr>
          <w:color w:val="FF0000"/>
          <w:lang w:eastAsia="zh-CN"/>
        </w:rPr>
        <w:t xml:space="preserve">第三章呈现的实践事实，尚需理论透视方能辨明其中哪些安排属于情境依赖的偶然选择，哪些安排触及公共组织价值创造的一般规律。本章以马克·穆尔的公共价值理论及其战略三角模型为分析框架，对</w:t>
      </w:r>
      <w:r>
        <w:rPr>
          <w:rFonts w:hint="eastAsia" w:ascii="宋体" w:hAnsi="宋体" w:eastAsia="宋体" w:cs="宋体"/>
          <w:color w:val="FF0000"/>
          <w:lang w:eastAsia="zh-CN"/>
        </w:rPr>
        <w:t xml:space="preserve">“</w:t>
      </w:r>
      <w:r>
        <w:rPr>
          <w:color w:val="FF0000"/>
          <w:lang w:eastAsia="zh-CN"/>
        </w:rPr>
        <w:t xml:space="preserve">授权·赋能·增值</w:t>
      </w:r>
      <w:r>
        <w:rPr>
          <w:rFonts w:hint="eastAsia" w:ascii="宋体" w:hAnsi="宋体" w:eastAsia="宋体" w:cs="宋体"/>
          <w:color w:val="FF0000"/>
          <w:lang w:eastAsia="zh-CN"/>
        </w:rPr>
        <w:t xml:space="preserve">”</w:t>
      </w:r>
      <w:r>
        <w:rPr>
          <w:color w:val="FF0000"/>
          <w:lang w:eastAsia="zh-CN"/>
        </w:rPr>
        <w:t xml:space="preserve">三维联动路径逐层解构。战略三角主张，公共价值的持续创造须同时具备合法性与外部支持、实现目标的运营能力、可界定的公共价值产出三项条件，且三者必须相互支撑而非彼此挤占。本章即以此三项条件为判据比对案例证据，回答两个递进的问题：嘉数公司的实践在多大程度上满足上述理论条件，这些实践又在何种意义上修正或拓展了该模型的原有边界。</w:t>
      </w:r>
    </w:p>
    <w:p>
      <w:pPr>
        <w:spacing w:line="360" w:lineRule="auto"/>
        <w:ind w:firstLineChars="200" w:firstLine="480"/>
        <w:jc w:val="both"/>
        <w:rPr>
          <w:color w:val="FF0000"/>
          <w:lang w:eastAsia="zh-CN"/>
        </w:rPr>
      </w:pPr>
      <w:r>
        <w:rPr>
          <w:color w:val="FF0000"/>
          <w:lang w:eastAsia="zh-CN"/>
        </w:rPr>
        <w:t xml:space="preserve">需先行明确检验的判据。战略三角模型主张，公共价值的持续创造须同时具备三项条件：其一，组织拥有合法性与外部支持，即授权环境；其二，组织具备实现既定目标的运营能力；其三，组织能够界定并产出可被公众识别的公共价值。三项条件缺一不可，且必须相互支撑而非彼此挤占。本章即以此三项条件为判据逐一比对案例证据，对应关系如表4-1与图4-1所示。</w:t>
      </w:r>
    </w:p>
    <w:p>
      <w:pPr>
        <w:pStyle w:val="af7"/>
        <w:keepNext/>
        <w:ind w:firstLineChars="0" w:firstLine="0"/>
        <w:jc w:val="center"/>
        <w:rPr>
          <w:color w:val="FF0000"/>
          <w:lang w:eastAsia="zh-CN"/>
        </w:rPr>
      </w:pPr>
      <w:r>
        <w:rPr>
          <w:color w:val="FF0000"/>
          <w:lang w:eastAsia="zh-CN"/>
        </w:rPr>
        <w:t>表</w:t>
      </w:r>
      <w:r>
        <w:rPr>
          <w:color w:val="FF0000"/>
          <w:lang w:eastAsia="zh-CN"/>
        </w:rPr>
        <w:t xml:space="preserve"> </w:t>
      </w:r>
      <w:r>
        <w:rPr>
          <w:color w:val="FF0000"/>
          <w:lang w:eastAsia="zh-CN"/>
        </w:rPr>
        <w:t>4</w:t>
      </w:r>
      <w:r>
        <w:rPr>
          <w:color w:val="FF0000"/>
          <w:lang w:eastAsia="zh-CN"/>
        </w:rPr>
        <w:noBreakHyphen/>
      </w:r>
      <w:r>
        <w:rPr>
          <w:color w:val="FF0000"/>
          <w:lang w:eastAsia="zh-CN"/>
        </w:rPr>
        <w:fldChar w:fldCharType="begin"/>
      </w:r>
      <w:r>
        <w:rPr>
          <w:color w:val="FF0000"/>
          <w:lang w:eastAsia="zh-CN"/>
        </w:rPr>
        <w:instrText xml:space="preserve"> SEQ 表 \* ARABIC \s 1 </w:instrText>
      </w:r>
      <w:r>
        <w:rPr>
          <w:color w:val="FF0000"/>
          <w:lang w:eastAsia="zh-CN"/>
        </w:rPr>
        <w:fldChar w:fldCharType="separate"/>
      </w:r>
      <w:r>
        <w:rPr>
          <w:color w:val="FF0000"/>
          <w:noProof/>
          <w:lang w:eastAsia="zh-CN"/>
        </w:rPr>
        <w:t>1</w:t>
      </w:r>
      <w:r>
        <w:rPr>
          <w:color w:val="FF0000"/>
          <w:lang w:eastAsia="zh-CN"/>
        </w:rPr>
        <w:fldChar w:fldCharType="end"/>
      </w:r>
      <w:r>
        <w:rPr>
          <w:color w:val="FF0000"/>
          <w:lang w:eastAsia="zh-CN"/>
        </w:rPr>
        <w:t xml:space="preserve"> </w:t>
      </w:r>
      <w:r>
        <w:rPr>
          <w:color w:val="FF0000"/>
          <w:lang w:eastAsia="zh-CN"/>
        </w:rPr>
        <w:t xml:space="preserve">战略三角模型理论要求与嘉数实践的符合性检验表</w:t>
      </w:r>
    </w:p>
    <w:tbl>
      <w:tblPr>
        <w:tblStyle w:val="SanXian"/>
        <w:tblW w:w="8296" w:type="dxa"/>
        <w:jc w:val="center"/>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ayout w:type="fixed"/>
        <w:tblLook w:val="04A0" w:firstRow="1" w:lastRow="0" w:firstColumn="0" w:lastColumn="0" w:noHBand="0" w:noVBand="1"/>
      </w:tblPr>
      <w:tblGrid>
        <w:gridCol w:w="1486"/>
        <w:gridCol w:w="2337"/>
        <w:gridCol w:w="3035"/>
        <w:gridCol w:w="1438"/>
      </w:tblGrid>
      <w:tr>
        <w:trPr>
          <w:tblHeader/>
          <w:jc w:val="center"/>
        </w:trPr>
        <w:tc>
          <w:tcPr>
            <w:tcW w:w="1486" w:type="dxa"/>
            <w:tcBorders>
              <w:top w:val="single" w:sz="12" w:space="0" w:color="000000"/>
              <w:left w:val="none" w:sz="0" w:space="0" w:color="auto"/>
              <w:bottom w:val="single" w:sz="6"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b/>
                <w:bCs/>
                <w:sz w:val="21"/>
                <w:szCs w:val="21"/>
                <w:color w:val="FF0000"/>
                <w:lang w:eastAsia="zh-CN"/>
              </w:rPr>
              <w:t xml:space="preserve">理论要求</w:t>
            </w:r>
          </w:p>
        </w:tc>
        <w:tc>
          <w:tcPr>
            <w:tcW w:w="2337" w:type="dxa"/>
            <w:tcBorders>
              <w:top w:val="single" w:sz="12" w:space="0" w:color="000000"/>
              <w:left w:val="none" w:sz="0" w:space="0" w:color="auto"/>
              <w:bottom w:val="single" w:sz="6"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b/>
                <w:bCs/>
                <w:sz w:val="21"/>
                <w:szCs w:val="21"/>
                <w:color w:val="FF0000"/>
                <w:lang w:eastAsia="zh-CN"/>
              </w:rPr>
              <w:t xml:space="preserve">判定依据</w:t>
            </w:r>
          </w:p>
        </w:tc>
        <w:tc>
          <w:tcPr>
            <w:tcW w:w="3035" w:type="dxa"/>
            <w:tcBorders>
              <w:top w:val="single" w:sz="12" w:space="0" w:color="000000"/>
              <w:left w:val="none" w:sz="0" w:space="0" w:color="auto"/>
              <w:bottom w:val="single" w:sz="6"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b/>
                <w:bCs/>
                <w:sz w:val="21"/>
                <w:szCs w:val="21"/>
                <w:color w:val="FF0000"/>
                <w:lang w:eastAsia="zh-CN"/>
              </w:rPr>
              <w:t xml:space="preserve">案例证据</w:t>
            </w:r>
          </w:p>
        </w:tc>
        <w:tc>
          <w:tcPr>
            <w:tcW w:w="1438" w:type="dxa"/>
            <w:tcBorders>
              <w:top w:val="single" w:sz="12" w:space="0" w:color="000000"/>
              <w:left w:val="none" w:sz="0" w:space="0" w:color="auto"/>
              <w:bottom w:val="single" w:sz="6"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b/>
                <w:bCs/>
                <w:sz w:val="21"/>
                <w:szCs w:val="21"/>
                <w:color w:val="FF0000"/>
                <w:lang w:eastAsia="zh-CN"/>
              </w:rPr>
              <w:t xml:space="preserve">符合性判定</w:t>
            </w:r>
          </w:p>
        </w:tc>
      </w:tr>
      <w:tr>
        <w:trPr>
          <w:jc w:val="center"/>
        </w:trPr>
        <w:tc>
          <w:tcPr>
            <w:tcW w:w="1486"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sz w:val="21"/>
                <w:szCs w:val="21"/>
                <w:color w:val="FF0000"/>
                <w:lang w:eastAsia="zh-CN"/>
              </w:rPr>
              <w:t xml:space="preserve">具备合法性与外部支持</w:t>
            </w:r>
          </w:p>
        </w:tc>
        <w:tc>
          <w:tcPr>
            <w:tcW w:w="2337"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ascii="宋体" w:hAnsi="宋体" w:eastAsia="宋体" w:cs="宋体"/>
                <w:sz w:val="21"/>
                <w:szCs w:val="21"/>
                <w:color w:val="FF0000"/>
                <w:lang w:eastAsia="zh-CN"/>
              </w:rPr>
              <w:t xml:space="preserve">组织行为有制度依据，且获得多元主体持续支持</w:t>
            </w:r>
          </w:p>
        </w:tc>
        <w:tc>
          <w:tcPr>
            <w:tcW w:w="3035"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ascii="宋体" w:hAnsi="宋体" w:eastAsia="宋体" w:cs="宋体"/>
                <w:sz w:val="21"/>
                <w:szCs w:val="21"/>
                <w:color w:val="FF0000"/>
                <w:lang w:eastAsia="zh-CN"/>
              </w:rPr>
              <w:t xml:space="preserve">国家与省级试点资质、政企合资国有控股、产学研共建重点实验室</w:t>
            </w:r>
          </w:p>
        </w:tc>
        <w:tc>
          <w:tcPr>
            <w:tcW w:w="1438"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sz w:val="21"/>
                <w:szCs w:val="21"/>
                <w:color w:val="FF0000"/>
                <w:lang w:eastAsia="zh-CN"/>
              </w:rPr>
              <w:t xml:space="preserve">符合</w:t>
            </w:r>
          </w:p>
        </w:tc>
      </w:tr>
      <w:tr>
        <w:trPr>
          <w:jc w:val="center"/>
        </w:trPr>
        <w:tc>
          <w:tcPr>
            <w:tcW w:w="1486"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sz w:val="21"/>
                <w:szCs w:val="21"/>
                <w:color w:val="FF0000"/>
                <w:lang w:eastAsia="zh-CN"/>
              </w:rPr>
              <w:t xml:space="preserve">具备实现目标的运营能力</w:t>
            </w:r>
          </w:p>
        </w:tc>
        <w:tc>
          <w:tcPr>
            <w:tcW w:w="2337"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ascii="宋体" w:hAnsi="宋体" w:eastAsia="宋体" w:cs="宋体"/>
                <w:sz w:val="21"/>
                <w:szCs w:val="21"/>
                <w:color w:val="FF0000"/>
                <w:lang w:eastAsia="zh-CN"/>
              </w:rPr>
              <w:t xml:space="preserve">能将外部资源转化为可交付的服务成果</w:t>
            </w:r>
          </w:p>
        </w:tc>
        <w:tc>
          <w:tcPr>
            <w:tcW w:w="3035"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ascii="宋体" w:hAnsi="宋体" w:eastAsia="宋体" w:cs="宋体"/>
                <w:sz w:val="21"/>
                <w:szCs w:val="21"/>
                <w:color w:val="FF0000"/>
                <w:lang w:eastAsia="zh-CN"/>
              </w:rPr>
              <w:t xml:space="preserve">城市大脑技术中台、市级公共数据平台、120人团队且研发占比超六成</w:t>
            </w:r>
          </w:p>
        </w:tc>
        <w:tc>
          <w:tcPr>
            <w:tcW w:w="1438"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sz w:val="21"/>
                <w:szCs w:val="21"/>
                <w:color w:val="FF0000"/>
                <w:lang w:eastAsia="zh-CN"/>
              </w:rPr>
              <w:t xml:space="preserve">符合</w:t>
            </w:r>
          </w:p>
        </w:tc>
      </w:tr>
      <w:tr>
        <w:trPr>
          <w:jc w:val="center"/>
        </w:trPr>
        <w:tc>
          <w:tcPr>
            <w:tcW w:w="1486"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sz w:val="21"/>
                <w:szCs w:val="21"/>
                <w:color w:val="FF0000"/>
                <w:lang w:eastAsia="zh-CN"/>
              </w:rPr>
              <w:t xml:space="preserve">能界定并产出公共价值</w:t>
            </w:r>
          </w:p>
        </w:tc>
        <w:tc>
          <w:tcPr>
            <w:tcW w:w="2337"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ascii="宋体" w:hAnsi="宋体" w:eastAsia="宋体" w:cs="宋体"/>
                <w:sz w:val="21"/>
                <w:szCs w:val="21"/>
                <w:color w:val="FF0000"/>
                <w:lang w:eastAsia="zh-CN"/>
              </w:rPr>
              <w:t xml:space="preserve">价值可被识别、可被计量、可被受益者感知</w:t>
            </w:r>
          </w:p>
        </w:tc>
        <w:tc>
          <w:tcPr>
            <w:tcW w:w="3035"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ascii="宋体" w:hAnsi="宋体" w:eastAsia="宋体" w:cs="宋体"/>
                <w:sz w:val="21"/>
                <w:szCs w:val="21"/>
                <w:color w:val="FF0000"/>
                <w:lang w:eastAsia="zh-CN"/>
              </w:rPr>
              <w:t xml:space="preserve">治理时耗平均压缩93.4%、民生场景多领域覆盖、入选省级典型案例</w:t>
            </w:r>
          </w:p>
        </w:tc>
        <w:tc>
          <w:tcPr>
            <w:tcW w:w="1438"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sz w:val="21"/>
                <w:szCs w:val="21"/>
                <w:color w:val="FF0000"/>
                <w:lang w:eastAsia="zh-CN"/>
              </w:rPr>
              <w:t xml:space="preserve">符合</w:t>
            </w:r>
          </w:p>
        </w:tc>
      </w:tr>
      <w:tr>
        <w:trPr>
          <w:jc w:val="center"/>
        </w:trPr>
        <w:tc>
          <w:tcPr>
            <w:tcW w:w="1486"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sz w:val="21"/>
                <w:szCs w:val="21"/>
                <w:color w:val="FF0000"/>
                <w:lang w:eastAsia="zh-CN"/>
              </w:rPr>
              <w:t xml:space="preserve">三者相互支撑而非挤占</w:t>
            </w:r>
          </w:p>
        </w:tc>
        <w:tc>
          <w:tcPr>
            <w:tcW w:w="2337"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ascii="宋体" w:hAnsi="宋体" w:eastAsia="宋体" w:cs="宋体"/>
                <w:sz w:val="21"/>
                <w:szCs w:val="21"/>
                <w:color w:val="FF0000"/>
                <w:lang w:eastAsia="zh-CN"/>
              </w:rPr>
              <w:t xml:space="preserve">公共使命与市场化运营不构成此消彼长关系</w:t>
            </w:r>
          </w:p>
        </w:tc>
        <w:tc>
          <w:tcPr>
            <w:tcW w:w="3035"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ascii="宋体" w:hAnsi="宋体" w:eastAsia="宋体" w:cs="宋体"/>
                <w:sz w:val="21"/>
                <w:szCs w:val="21"/>
                <w:color w:val="FF0000"/>
                <w:lang w:eastAsia="zh-CN"/>
              </w:rPr>
              <w:t xml:space="preserve">民生服务类业务占比50%，同时市场业务辐射多省</w:t>
            </w:r>
          </w:p>
        </w:tc>
        <w:tc>
          <w:tcPr>
            <w:tcW w:w="1438"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sz w:val="21"/>
                <w:szCs w:val="21"/>
                <w:color w:val="FF0000"/>
                <w:lang w:eastAsia="zh-CN"/>
              </w:rPr>
              <w:t xml:space="preserve">符合，且呈互补</w:t>
            </w:r>
          </w:p>
        </w:tc>
      </w:tr>
      <w:tr>
        <w:trPr>
          <w:jc w:val="center"/>
        </w:trPr>
        <w:tc>
          <w:tcPr>
            <w:tcW w:w="1486" w:type="dxa"/>
            <w:tcBorders>
              <w:left w:val="none" w:sz="0" w:space="0" w:color="auto"/>
              <w:bottom w:val="single" w:sz="12"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sz w:val="21"/>
                <w:szCs w:val="21"/>
                <w:color w:val="FF0000"/>
                <w:lang w:eastAsia="zh-CN"/>
              </w:rPr>
              <w:t xml:space="preserve">价值产出反哺授权</w:t>
            </w:r>
          </w:p>
        </w:tc>
        <w:tc>
          <w:tcPr>
            <w:tcW w:w="2337" w:type="dxa"/>
            <w:tcBorders>
              <w:left w:val="none" w:sz="0" w:space="0" w:color="auto"/>
              <w:bottom w:val="single" w:sz="12" w:space="0" w:color="000000"/>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ascii="宋体" w:hAnsi="宋体" w:eastAsia="宋体" w:cs="宋体"/>
                <w:sz w:val="21"/>
                <w:szCs w:val="21"/>
                <w:color w:val="FF0000"/>
                <w:lang w:eastAsia="zh-CN"/>
              </w:rPr>
              <w:t xml:space="preserve">模型原未明确要求，属本案例呈现的增量特征</w:t>
            </w:r>
          </w:p>
        </w:tc>
        <w:tc>
          <w:tcPr>
            <w:tcW w:w="3035" w:type="dxa"/>
            <w:tcBorders>
              <w:left w:val="none" w:sz="0" w:space="0" w:color="auto"/>
              <w:bottom w:val="single" w:sz="12" w:space="0" w:color="000000"/>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ascii="宋体" w:hAnsi="宋体" w:eastAsia="宋体" w:cs="宋体"/>
                <w:sz w:val="21"/>
                <w:szCs w:val="21"/>
                <w:color w:val="FF0000"/>
                <w:lang w:eastAsia="zh-CN"/>
              </w:rPr>
              <w:t xml:space="preserve">2025年获批公共数据授权运营单位，授权边界随价值产出扩容</w:t>
            </w:r>
          </w:p>
        </w:tc>
        <w:tc>
          <w:tcPr>
            <w:tcW w:w="1438" w:type="dxa"/>
            <w:tcBorders>
              <w:left w:val="none" w:sz="0" w:space="0" w:color="auto"/>
              <w:bottom w:val="single" w:sz="12"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ascii="宋体" w:hAnsi="宋体" w:eastAsia="宋体" w:cs="宋体"/>
                <w:sz w:val="21"/>
                <w:szCs w:val="21"/>
                <w:color w:val="FF0000"/>
                <w:lang w:eastAsia="zh-CN"/>
              </w:rPr>
              <w:t xml:space="preserve">超出原模型设定</w:t>
            </w:r>
          </w:p>
        </w:tc>
      </w:tr>
    </w:tbl>
    <w:p xmlns:a="http://schemas.openxmlformats.org/drawingml/2006/main" xmlns:pic="http://schemas.openxmlformats.org/drawingml/2006/picture">
      <w:pPr>
        <w:keepNext/>
        <w:widowControl w:val="0"/>
        <w:ind w:firstLineChars="0" w:firstLine="0"/>
        <w:jc w:val="center"/>
      </w:pPr>
      <w:r>
        <w:rPr>
          <w:noProof/>
          <w:kern w:val="2"/>
          <w:lang w:eastAsia="zh-CN"/>
        </w:rPr>
        <w:drawing>
          <wp:inline distT="0" distB="0" distL="114300" distR="114300">
            <wp:extent cx="5270000" cy="3513333"/>
            <wp:effectExtent l="0" t="0" r="0" b="0"/>
            <wp:docPr id="907" name="图片 907"/>
            <wp:cNvGraphicFramePr>
              <a:graphicFrameLocks noChangeAspect="1"/>
            </wp:cNvGraphicFramePr>
            <a:graphic>
              <a:graphicData uri="http://schemas.openxmlformats.org/drawingml/2006/picture">
                <pic:pic>
                  <pic:nvPicPr>
                    <pic:cNvPr id="907" name="图片 907"/>
                    <pic:cNvPicPr>
                      <a:picLocks noChangeAspect="1"/>
                    </pic:cNvPicPr>
                  </pic:nvPicPr>
                  <pic:blipFill>
                    <a:blip r:embed="rId201"/>
                    <a:stretch>
                      <a:fillRect/>
                    </a:stretch>
                  </pic:blipFill>
                  <pic:spPr>
                    <a:xfrm>
                      <a:off x="0" y="0"/>
                      <a:ext cx="5270000" cy="3513333"/>
                    </a:xfrm>
                    <a:prstGeom prst="rect">
                      <a:avLst/>
                    </a:prstGeom>
                    <a:ln>
                      <a:noFill/>
                    </a:ln>
                  </pic:spPr>
                </pic:pic>
              </a:graphicData>
            </a:graphic>
          </wp:inline>
        </w:drawing>
      </w:r>
    </w:p>
    <w:p>
      <w:pPr>
        <w:pStyle w:val="af7"/>
        <w:ind w:firstLineChars="0" w:firstLine="0"/>
        <w:jc w:val="center"/>
        <w:rPr>
          <w:color w:val="FF0000"/>
          <w:lang w:eastAsia="zh-CN"/>
        </w:rPr>
      </w:pPr>
      <w:r>
        <w:rPr>
          <w:color w:val="FF0000"/>
          <w:lang w:eastAsia="zh-CN"/>
        </w:rPr>
        <w:t>图</w:t>
      </w:r>
      <w:r>
        <w:rPr>
          <w:color w:val="FF0000"/>
          <w:lang w:eastAsia="zh-CN"/>
        </w:rPr>
        <w:t xml:space="preserve"> </w:t>
      </w:r>
      <w:r>
        <w:rPr>
          <w:color w:val="FF0000"/>
          <w:lang w:eastAsia="zh-CN"/>
        </w:rPr>
        <w:t>4</w:t>
      </w:r>
      <w:r>
        <w:rPr>
          <w:color w:val="FF0000"/>
          <w:lang w:eastAsia="zh-CN"/>
        </w:rPr>
        <w:noBreakHyphen/>
      </w:r>
      <w:r>
        <w:rPr>
          <w:color w:val="FF0000"/>
          <w:lang w:eastAsia="zh-CN"/>
        </w:rPr>
        <w:fldChar w:fldCharType="begin"/>
      </w:r>
      <w:r>
        <w:rPr>
          <w:color w:val="FF0000"/>
          <w:lang w:eastAsia="zh-CN"/>
        </w:rPr>
        <w:instrText xml:space="preserve"> SEQ 图 \* ARABIC \s 1 </w:instrText>
      </w:r>
      <w:r>
        <w:rPr>
          <w:color w:val="FF0000"/>
          <w:lang w:eastAsia="zh-CN"/>
        </w:rPr>
        <w:fldChar w:fldCharType="separate"/>
      </w:r>
      <w:r>
        <w:rPr>
          <w:color w:val="FF0000"/>
          <w:noProof/>
          <w:lang w:eastAsia="zh-CN"/>
        </w:rPr>
        <w:t>1</w:t>
      </w:r>
      <w:r>
        <w:rPr>
          <w:color w:val="FF0000"/>
          <w:lang w:eastAsia="zh-CN"/>
        </w:rPr>
        <w:fldChar w:fldCharType="end"/>
      </w:r>
      <w:r>
        <w:rPr>
          <w:color w:val="FF0000"/>
          <w:lang w:eastAsia="zh-CN"/>
        </w:rPr>
        <w:t xml:space="preserve"> </w:t>
      </w:r>
      <w:r>
        <w:rPr>
          <w:color w:val="FF0000"/>
          <w:lang w:eastAsia="zh-CN"/>
        </w:rPr>
        <w:t xml:space="preserve">战略三角模型理论要求与嘉数实践的对应关系图</w:t>
      </w:r>
    </w:p>
    <w:p w14:paraId="63A72A98" w14:textId="77777777" w:rsidR="00CC5E4B" w:rsidRPr="00CC5E4B" w:rsidRDefault="00CC5E4B" w:rsidP="00CC5E4B">
      <w:pPr>
        <w:pStyle w:val="2"/>
        <w:spacing w:before="156" w:after="156"/>
      </w:pPr>
      <w:bookmarkStart w:id="191" w:name="_Toc29535"/>
      <w:bookmarkStart w:id="192" w:name="_Toc236777519"/>
      <w:bookmarkStart w:id="193" w:name="_Toc236777892"/>
      <w:bookmarkStart w:id="194" w:name="_Toc236777965"/>
      <w:bookmarkEnd w:id="191"/>
      <w:r w:rsidRPr="00CC5E4B">
        <w:t>授权机理：多层级合法支撑，筑牢公共价值创造前置根基</w:t>
      </w:r>
      <w:bookmarkEnd w:id="192"/>
      <w:bookmarkEnd w:id="193"/>
      <w:bookmarkEnd w:id="194"/>
    </w:p>
    <w:p w14:paraId="1F19EA2E" w14:textId="77777777" w:rsidR="00CC5E4B" w:rsidRPr="00CC5E4B" w:rsidRDefault="00CC5E4B" w:rsidP="00CC5E4B">
      <w:pPr>
        <w:widowControl/>
        <w:autoSpaceDE w:val="0"/>
        <w:spacing w:line="360" w:lineRule="auto"/>
        <w:ind w:firstLine="480" w:firstLineChars="200"/>
        <w:jc w:val="both"/>
        <w:rPr>
          <w:rFonts w:ascii="宋体" w:eastAsia="宋体" w:hAnsi="宋体"/>
          <w:kern w:val="0"/>
          <w:szCs w:val="24"/>
        </w:rPr>
      </w:pPr>
      <w:r w:rsidRPr="00CC5E4B">
        <w:rPr>
          <w:kern w:val="0"/>
        </w:rPr>
        <w:t xml:space="preserve">马克·穆尔战略三角理论明确指出，授权环境（合法性与外部支持）是所有公共属性组织开展公共服务、实施公共治理、创造公共价值的逻辑起点与前置基础。对于承担数字化公共职能、承接政府试点任务、参与城市治理的特殊地方国企而言，其区别于完全市场化企业的核心特征，在于其所有建设行为、运营活动、创新探索都必须建立在制度合法、身份合规、资源认可的基础之上，只有获得国家政策、地方政府、行业主体的多重授权与多元支撑，才能拥有数字化创新的试错空间与落地条件。这一核心理论逻辑，与嘉数公司多年来坚持的</w:t>
      </w:r>
      <w:r w:rsidRPr="00CC5E4B">
        <w:rPr>
          <w:rFonts w:ascii="宋体" w:eastAsia="宋体" w:hAnsi="宋体" w:cs="宋体" w:hint="eastAsia"/>
          <w:kern w:val="0"/>
        </w:rPr>
        <w:t xml:space="preserve">“</w:t>
      </w:r>
      <w:r w:rsidRPr="00CC5E4B">
        <w:rPr>
          <w:kern w:val="0"/>
        </w:rPr>
        <w:t xml:space="preserve">政策锚定、政企共建、产学研协同</w:t>
      </w:r>
      <w:r w:rsidRPr="00CC5E4B">
        <w:rPr>
          <w:rFonts w:ascii="宋体" w:eastAsia="宋体" w:hAnsi="宋体" w:cs="宋体" w:hint="eastAsia"/>
          <w:kern w:val="0"/>
        </w:rPr>
        <w:t xml:space="preserve">”</w:t>
      </w:r>
      <w:r w:rsidRPr="00CC5E4B">
        <w:rPr>
          <w:kern w:val="0"/>
        </w:rPr>
        <w:t xml:space="preserve">三维授权实践高度契合、完全适配。相较于传统数字化建设主体单一、授权碎片化、资源支撑薄弱的发展困境，嘉数通过国家顶层政策制度赋权、政企合资架构主体赋权、产学研跨界协同资源赋权的三重叠加，构建起多层次、全方位、立体化的合法授权支撑体系，从根源上解决了地方数字化建设中普遍存在的</w:t>
      </w:r>
      <w:r w:rsidRPr="00CC5E4B">
        <w:rPr>
          <w:rFonts w:ascii="宋体" w:eastAsia="宋体" w:hAnsi="宋体" w:cs="宋体" w:hint="eastAsia"/>
          <w:kern w:val="0"/>
        </w:rPr>
        <w:t xml:space="preserve">“</w:t>
      </w:r>
      <w:r w:rsidRPr="00CC5E4B">
        <w:rPr>
          <w:kern w:val="0"/>
        </w:rPr>
        <w:t xml:space="preserve">主体身份模糊、政策依据不足、技术资源匮乏、创新空间受限</w:t>
      </w:r>
      <w:r w:rsidRPr="00CC5E4B">
        <w:rPr>
          <w:rFonts w:ascii="宋体" w:eastAsia="宋体" w:hAnsi="宋体" w:cs="宋体" w:hint="eastAsia"/>
          <w:kern w:val="0"/>
        </w:rPr>
        <w:t xml:space="preserve">”</w:t>
      </w:r>
      <w:r w:rsidRPr="00CC5E4B">
        <w:rPr>
          <w:kern w:val="0"/>
        </w:rPr>
        <w:t xml:space="preserve">等核心痛点，为后续运营能力搭建、数字化场景落地、公共价值持续产出筑牢不可或缺的前置根基。</w:t>
      </w:r>
    </w:p>
    <w:p w14:paraId="40399BD6" w14:textId="77777777" w:rsidR="00CC5E4B" w:rsidRPr="00CC5E4B" w:rsidRDefault="00CC5E4B" w:rsidP="00CC5E4B">
      <w:pPr>
        <w:widowControl/>
        <w:autoSpaceDE w:val="0"/>
        <w:spacing w:line="360" w:lineRule="auto"/>
        <w:ind w:firstLine="480" w:firstLineChars="200"/>
        <w:jc w:val="both"/>
        <w:rPr>
          <w:rFonts w:ascii="宋体" w:eastAsia="宋体" w:hAnsi="宋体"/>
          <w:kern w:val="0"/>
          <w:szCs w:val="24"/>
        </w:rPr>
      </w:pPr>
      <w:r w:rsidRPr="00CC5E4B">
        <w:rPr>
          <w:kern w:val="0"/>
        </w:rPr>
        <w:t xml:space="preserve">在制度层面国家顶层战略布局与试点政策体系，为嘉数的数字化创新实践赋予了坚实的法定合规性与政策豁免空间。近年来，数字中国建设上升为国家核心战略，新型智慧城市、数字治理体系建设、数据要素市场化改革等内容被纳入国家长期发展规划，《</w:t>
      </w:r>
      <w:r w:rsidRPr="00CC5E4B">
        <w:rPr>
          <w:rFonts w:ascii="宋体" w:eastAsia="宋体" w:hAnsi="宋体" w:cs="宋体" w:hint="eastAsia"/>
          <w:kern w:val="0"/>
        </w:rPr>
        <w:t xml:space="preserve">“</w:t>
      </w:r>
      <w:r w:rsidRPr="00CC5E4B">
        <w:rPr>
          <w:kern w:val="0"/>
        </w:rPr>
        <w:t xml:space="preserve">十四五</w:t>
      </w:r>
      <w:r w:rsidRPr="00CC5E4B">
        <w:rPr>
          <w:rFonts w:ascii="宋体" w:eastAsia="宋体" w:hAnsi="宋体" w:cs="宋体" w:hint="eastAsia"/>
          <w:kern w:val="0"/>
        </w:rPr>
        <w:t xml:space="preserve">”</w:t>
      </w:r>
      <w:r w:rsidRPr="00CC5E4B">
        <w:rPr>
          <w:kern w:val="0"/>
        </w:rPr>
        <w:t xml:space="preserve">数字经济发展规划》单独设立数字化发展专属篇章，明确提出推进市域数字化改革、培育数字城市试点、深化公共数据资源开发利用的核心任务。在此国家级战略布局下，嘉兴市被列为全国数字城市重点试点城市、数字化改革先行示范区，为市域范围内数字化建设、数据要素探索、智慧治理创新提供了顶层政策依据与改革窗口期。依托嘉兴市域试点身份，嘉数主动对接国家战略布局，积极承接国家</w:t>
      </w:r>
      <w:r w:rsidRPr="00CC5E4B">
        <w:rPr>
          <w:rFonts w:ascii="宋体" w:eastAsia="宋体" w:hAnsi="宋体" w:cs="宋体" w:hint="eastAsia"/>
          <w:kern w:val="0"/>
        </w:rPr>
        <w:t xml:space="preserve">“</w:t>
      </w:r>
      <w:r w:rsidRPr="00CC5E4B">
        <w:rPr>
          <w:kern w:val="0"/>
        </w:rPr>
        <w:t xml:space="preserve">十四五</w:t>
      </w:r>
      <w:r w:rsidRPr="00CC5E4B">
        <w:rPr>
          <w:rFonts w:ascii="宋体" w:eastAsia="宋体" w:hAnsi="宋体" w:cs="宋体" w:hint="eastAsia"/>
          <w:kern w:val="0"/>
        </w:rPr>
        <w:t xml:space="preserve">”</w:t>
      </w:r>
      <w:r w:rsidRPr="00CC5E4B">
        <w:rPr>
          <w:kern w:val="0"/>
        </w:rPr>
        <w:t xml:space="preserve">重点研发专</w:t>
      </w:r>
      <w:r w:rsidRPr="00CC5E4B">
        <w:rPr>
          <w:kern w:val="0"/>
        </w:rPr>
        <w:lastRenderedPageBreak/>
        <w:t>项、科技部百城百园数字化赋能专项、工信部新型智慧城市试点、浙江省数字化改革试点等多层级重点任务，将企业数字化建设行为全面纳入国家与省级试点框架之内，实现企业创新行为与国家战略需求的高度同频。相较于普通市场化科技企业严格受限的政务准入权限与固化的流程规范，嘉数依托国家级试点资质获得专属的“先行先试”政策豁免权，能够突破传统政务数字化建设的流程桎梏、制度约束与场景边界，大胆开展公共数据归集整合、数据要素流通运营、AI政务大模型落地、智慧治理场景创新等前沿探索。这种制度层面的专属授权，大幅降低了数字化创新的制度试错成本、政策风险与合规压力，彻底扫清了企业开展新型数字城市建设、创新公共价值产出模式的政策障碍。</w:t>
      </w:r>
    </w:p>
    <w:p w14:paraId="7D1C3243" w14:textId="77777777" w:rsidR="00CC5E4B" w:rsidRPr="00CC5E4B" w:rsidRDefault="00CC5E4B" w:rsidP="00CC5E4B">
      <w:pPr>
        <w:widowControl/>
        <w:autoSpaceDE w:val="0"/>
        <w:ind w:firstLine="0" w:firstLineChars="0"/>
        <w:jc w:val="center"/>
        <w:rPr>
          <w:rFonts w:ascii="Calibri" w:eastAsia="宋体" w:hAnsi="Calibri"/>
        </w:rPr>
      </w:pPr>
      <w:r w:rsidRPr="00CC5E4B">
        <w:rPr>
          <w:noProof/>
        </w:rPr>
        <w:drawing>
          <wp:inline distT="0" distB="0" distL="0" distR="0" wp14:anchorId="45DED421" wp14:editId="107CCBDC">
            <wp:extent cx="5257800" cy="1630680"/>
            <wp:effectExtent l="0" t="0" r="0" b="7620"/>
            <wp:docPr id="139"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57800" cy="1630680"/>
                    </a:xfrm>
                    <a:prstGeom prst="rect">
                      <a:avLst/>
                    </a:prstGeom>
                    <a:noFill/>
                    <a:ln>
                      <a:noFill/>
                    </a:ln>
                  </pic:spPr>
                </pic:pic>
              </a:graphicData>
            </a:graphic>
          </wp:inline>
        </w:drawing>
      </w:r>
      <w:r w:rsidRPr="00CC5E4B">
        <w:rPr/>
        <w:t xml:space="preserve"> </w:t>
      </w:r>
    </w:p>
    <w:p w14:paraId="3DC12628" w14:textId="0B40F0C6" w:rsidR="00CC5E4B" w:rsidRPr="00E2232F" w:rsidRDefault="00E2232F" w:rsidP="00E2232F">
      <w:pPr>
        <w:pStyle w:val="af7"/>
        <w:ind w:firstLine="0" w:firstLineChars="0"/>
        <w:jc w:val="center"/>
      </w:pPr>
      <w:bookmarkStart w:id="195" w:name="_Toc236779315"/>
      <w:r>
        <w:rPr/>
        <w:t>图</w:t>
      </w:r>
      <w:r>
        <w:rPr/>
        <w:t xml:space="preserve"> </w:t>
      </w:r>
      <w:r>
        <w:fldChar w:fldCharType="begin"/>
      </w:r>
      <w:r>
        <w:instrText xml:space="preserve"> </w:instrText>
      </w:r>
      <w:r>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instrText xml:space="preserve">SEQ </w:instrText>
      </w:r>
      <w:r>
        <w:rPr/>
        <w:instrText>图</w:instrText>
      </w:r>
      <w:r>
        <w:rPr/>
        <w:instrText xml:space="preserve"> \* ARABIC \s 1</w:instrText>
      </w:r>
      <w:r>
        <w:instrText xml:space="preserve"> </w:instrText>
      </w:r>
      <w:r>
        <w:fldChar w:fldCharType="separate"/>
      </w:r>
      <w:r>
        <w:rPr>
          <w:noProof/>
        </w:rPr>
        <w:t>2</w:t>
      </w:r>
      <w:r>
        <w:fldChar w:fldCharType="end"/>
      </w:r>
      <w:r>
        <w:rPr/>
        <w:t xml:space="preserve"> </w:t>
      </w:r>
      <w:r w:rsidR="00CC5E4B" w:rsidRPr="00E2232F">
        <w:t>国家试点政策合法性机理</w:t>
      </w:r>
      <w:bookmarkEnd w:id="195"/>
    </w:p>
    <w:p w14:paraId="35E1A313" w14:textId="77777777" w:rsidR="00CC5E4B" w:rsidRPr="00CC5E4B" w:rsidRDefault="00CC5E4B" w:rsidP="00CC5E4B">
      <w:pPr>
        <w:widowControl/>
        <w:autoSpaceDE w:val="0"/>
        <w:spacing w:line="360" w:lineRule="auto"/>
        <w:ind w:firstLine="480" w:firstLineChars="200"/>
        <w:jc w:val="both"/>
        <w:rPr>
          <w:rFonts w:ascii="宋体" w:eastAsia="宋体" w:hAnsi="宋体"/>
          <w:kern w:val="0"/>
          <w:szCs w:val="24"/>
        </w:rPr>
      </w:pPr>
      <w:r w:rsidRPr="00CC5E4B">
        <w:rPr>
          <w:kern w:val="0"/>
        </w:rPr>
        <w:t xml:space="preserve">在主体与资源层面政企合资的独特股权架构，为嘉数塑造了兼具公共属性与市场属性的专属合法运营身份，构建起稳定可持续的资源供给体系。不同于纯政府事业单位技术迭代滞后、市场化活力不足的短板，也区别于纯民营科技企业政务准入受限、公共使命缺失、资源支撑不稳定的弊端，嘉数由嘉兴市政府平台公司与中国电科央企联合出资5亿元组建，国有绝对控股的股权结构，从企业成立之初就锚定</w:t>
      </w:r>
      <w:r w:rsidRPr="00CC5E4B">
        <w:rPr>
          <w:rFonts w:ascii="宋体" w:eastAsia="宋体" w:hAnsi="宋体" w:cs="宋体" w:hint="eastAsia"/>
          <w:kern w:val="0"/>
        </w:rPr>
        <w:t xml:space="preserve">“</w:t>
      </w:r>
      <w:r w:rsidRPr="00CC5E4B">
        <w:rPr>
          <w:kern w:val="0"/>
        </w:rPr>
        <w:t xml:space="preserve">政府数字化专属运营载体、市域数字治理核心平台</w:t>
      </w:r>
      <w:r w:rsidRPr="00CC5E4B">
        <w:rPr>
          <w:rFonts w:ascii="宋体" w:eastAsia="宋体" w:hAnsi="宋体" w:cs="宋体" w:hint="eastAsia"/>
          <w:kern w:val="0"/>
        </w:rPr>
        <w:t xml:space="preserve">”</w:t>
      </w:r>
      <w:r w:rsidRPr="00CC5E4B">
        <w:rPr>
          <w:kern w:val="0"/>
        </w:rPr>
        <w:t xml:space="preserve">的核心定位，从根源上确立了其独一无二的主体合法性。在政府授权维度，地方政府赋予嘉数全市独家的公共数据统筹归集权限、城市大脑整体建设与运维权限、市域数字治理场景统一落地权限，授权企业统筹协调全市各委办局、街道乡镇的数据资源与业务资源，系统性打破长期以来政务领域存在的部门数据壁垒、业务孤岛与协同壁垒，为全域数据整合、一体化数字治理提供了行政支撑。在技术资源维度，央企中国电科作为国内数字基建、大数据、人工智能、物联网领域的头部央企，为嘉数持续输出底层算力支撑、核心技术体系、行业</w:t>
      </w:r>
      <w:r w:rsidRPr="00CC5E4B">
        <w:rPr>
          <w:kern w:val="0"/>
        </w:rPr>
        <w:lastRenderedPageBreak/>
        <w:t>标准体系与项目运营经验，精准补齐了地方数字化建设高端技术储备不足、底层基建薄弱、前沿研发能力欠缺的短板。政府公共使命赋能+央企技术资源赋能的复合授权模式，让嘉数同时具备政务体系准入资质、公共职能履职属性与市场化技术研发能力、项目运营能力，形成了其他市场主体与事业单位无法复刻的核心身份优势与资源优势。</w:t>
      </w:r>
    </w:p>
    <w:p w14:paraId="2C39E1E0" w14:textId="77777777" w:rsidR="00CC5E4B" w:rsidRPr="00CC5E4B" w:rsidRDefault="00CC5E4B" w:rsidP="00CC5E4B">
      <w:pPr>
        <w:widowControl/>
        <w:autoSpaceDE w:val="0"/>
        <w:ind w:firstLine="0" w:firstLineChars="0"/>
        <w:jc w:val="center"/>
        <w:rPr>
          <w:rFonts w:ascii="Arial" w:eastAsia="黑体" w:hAnsi="Arial"/>
          <w:sz w:val="20"/>
          <w:szCs w:val="20"/>
        </w:rPr>
      </w:pPr>
      <w:r w:rsidRPr="00CC5E4B">
        <w:rPr>
          <w:noProof/>
        </w:rPr>
        <w:drawing>
          <wp:inline distT="0" distB="0" distL="0" distR="0" wp14:anchorId="1EA5708B" wp14:editId="4BDB521F">
            <wp:extent cx="5257800" cy="2324100"/>
            <wp:effectExtent l="0" t="0" r="0" b="0"/>
            <wp:docPr id="140"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57800" cy="2324100"/>
                    </a:xfrm>
                    <a:prstGeom prst="rect">
                      <a:avLst/>
                    </a:prstGeom>
                    <a:noFill/>
                    <a:ln>
                      <a:noFill/>
                    </a:ln>
                  </pic:spPr>
                </pic:pic>
              </a:graphicData>
            </a:graphic>
          </wp:inline>
        </w:drawing>
      </w:r>
      <w:r w:rsidRPr="00CC5E4B">
        <w:rPr/>
        <w:t xml:space="preserve"> </w:t>
      </w:r>
    </w:p>
    <w:p w14:paraId="439B1D46" w14:textId="418A6E01" w:rsidR="00CC5E4B" w:rsidRPr="00E2232F" w:rsidRDefault="00E2232F" w:rsidP="00E2232F">
      <w:pPr>
        <w:pStyle w:val="af7"/>
        <w:ind w:firstLine="0" w:firstLineChars="0"/>
        <w:jc w:val="center"/>
      </w:pPr>
      <w:bookmarkStart w:id="196" w:name="_Toc236779316"/>
      <w:r>
        <w:rPr/>
        <w:t>图</w:t>
      </w:r>
      <w:r>
        <w:rPr/>
        <w:t xml:space="preserve"> </w:t>
      </w:r>
      <w:r>
        <w:fldChar w:fldCharType="begin"/>
      </w:r>
      <w:r>
        <w:instrText xml:space="preserve"> </w:instrText>
      </w:r>
      <w:r>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instrText xml:space="preserve">SEQ </w:instrText>
      </w:r>
      <w:r>
        <w:rPr/>
        <w:instrText>图</w:instrText>
      </w:r>
      <w:r>
        <w:rPr/>
        <w:instrText xml:space="preserve"> \* ARABIC \s 1</w:instrText>
      </w:r>
      <w:r>
        <w:instrText xml:space="preserve"> </w:instrText>
      </w:r>
      <w:r>
        <w:fldChar w:fldCharType="separate"/>
      </w:r>
      <w:r>
        <w:rPr>
          <w:noProof/>
        </w:rPr>
        <w:t>3</w:t>
      </w:r>
      <w:r>
        <w:fldChar w:fldCharType="end"/>
      </w:r>
      <w:r>
        <w:rPr/>
        <w:t xml:space="preserve"> </w:t>
      </w:r>
      <w:r w:rsidR="00CC5E4B" w:rsidRPr="00E2232F">
        <w:t>政企合资双重资源授权结构图</w:t>
      </w:r>
      <w:bookmarkEnd w:id="196"/>
    </w:p>
    <w:p w14:paraId="30BEEA89" w14:textId="77777777" w:rsidR="00CC5E4B" w:rsidRPr="00CC5E4B" w:rsidRDefault="00CC5E4B" w:rsidP="00CC5E4B">
      <w:pPr>
        <w:widowControl/>
        <w:autoSpaceDE w:val="0"/>
        <w:spacing w:line="360" w:lineRule="auto"/>
        <w:ind w:firstLine="480" w:firstLineChars="200"/>
        <w:jc w:val="both"/>
        <w:rPr>
          <w:rFonts w:ascii="Calibri" w:eastAsia="宋体" w:hAnsi="Calibri"/>
        </w:rPr>
      </w:pPr>
      <w:r w:rsidRPr="00CC5E4B">
        <w:rPr>
          <w:kern w:val="0"/>
        </w:rPr>
        <w:t xml:space="preserve">在外部协同层面多元化、跨界化的产学研协同体系，持续拓宽嘉数的授权边界，丰富外部支持维度，构建起长效赋能的资源补充机制。单一的政府与央企授权能够保障企业基础运营条件，但难以满足数字化创新持续迭代、前沿技术研发、高端场景落地的长期需求。基于此，嘉数主动打破主体边界，构建</w:t>
      </w:r>
      <w:r w:rsidRPr="00CC5E4B">
        <w:rPr>
          <w:rFonts w:ascii="宋体" w:eastAsia="宋体" w:hAnsi="宋体" w:cs="宋体" w:hint="eastAsia"/>
          <w:kern w:val="0"/>
        </w:rPr>
        <w:t xml:space="preserve">“</w:t>
      </w:r>
      <w:r w:rsidRPr="00CC5E4B">
        <w:rPr>
          <w:kern w:val="0"/>
        </w:rPr>
        <w:t xml:space="preserve">政府+央企+高校+科研机构+产业主体</w:t>
      </w:r>
      <w:r w:rsidRPr="00CC5E4B">
        <w:rPr>
          <w:rFonts w:ascii="宋体" w:eastAsia="宋体" w:hAnsi="宋体" w:cs="宋体" w:hint="eastAsia"/>
          <w:kern w:val="0"/>
        </w:rPr>
        <w:t xml:space="preserve">”</w:t>
      </w:r>
      <w:r w:rsidRPr="00CC5E4B">
        <w:rPr>
          <w:kern w:val="0"/>
        </w:rPr>
        <w:t xml:space="preserve">的多元协同授权网络，持续扩容自身授权环境。在科研平台建设方面，企业联合北京理工大学长三角研究院共建嘉兴市首家A级数据要素运营重点实验室，聚焦公共数据治理、数据要素流通、AI政务应用等前沿领域开展专项科研攻关；同时成功搭建浙江省博士后工作站，搭建高端人才培育与科研创新的核心载体。依托两大高能级创新平台，嘉数深度联动高校科研团队、行业头部企业、数字产业主体，构建起全方位的数字化协同创新联盟。其中，高校及科研机构为企业提供前沿理论研究、核心算法研发、高端人才输送、科研成果转化等智力支撑，补齐企业理论研究短板；产业合作主体为企业提供场景落地资源、行业实践经验、市场化应用场景，推动技术成果落地转化。这种跨界协同模式，彻底突破了传统政企二元授权结构的局限性，将企业的授权环境从单一的政策资金授权，拓展为政策、技术、人才、</w:t>
      </w:r>
      <w:r w:rsidRPr="00CC5E4B">
        <w:rPr>
          <w:kern w:val="0"/>
        </w:rPr>
        <w:lastRenderedPageBreak/>
        <w:t>科研、场景、产业多维一体的复合型授权体系，持续稳固企业数字化创新的资源根基与发展底气。</w:t>
      </w:r>
    </w:p>
    <w:p>
      <w:pPr>
        <w:spacing w:line="360" w:lineRule="auto"/>
        <w:ind w:firstLineChars="200" w:firstLine="480"/>
        <w:jc w:val="both"/>
        <w:rPr>
          <w:color w:val="FF0000"/>
          <w:lang w:eastAsia="zh-CN"/>
        </w:rPr>
      </w:pPr>
      <w:r>
        <w:rPr>
          <w:color w:val="FF0000"/>
          <w:lang w:eastAsia="zh-CN"/>
        </w:rPr>
        <w:t xml:space="preserve">进一步看，本案例对战略三角的</w:t>
      </w:r>
      <w:r>
        <w:rPr>
          <w:rFonts w:hint="eastAsia" w:ascii="宋体" w:hAnsi="宋体" w:eastAsia="宋体" w:cs="宋体"/>
          <w:color w:val="FF0000"/>
          <w:lang w:eastAsia="zh-CN"/>
        </w:rPr>
        <w:t xml:space="preserve">“</w:t>
      </w:r>
      <w:r>
        <w:rPr>
          <w:color w:val="FF0000"/>
          <w:lang w:eastAsia="zh-CN"/>
        </w:rPr>
        <w:t xml:space="preserve">授权环境</w:t>
      </w:r>
      <w:r>
        <w:rPr>
          <w:rFonts w:hint="eastAsia" w:ascii="宋体" w:hAnsi="宋体" w:eastAsia="宋体" w:cs="宋体"/>
          <w:color w:val="FF0000"/>
          <w:lang w:eastAsia="zh-CN"/>
        </w:rPr>
        <w:t xml:space="preserve">”</w:t>
      </w:r>
      <w:r>
        <w:rPr>
          <w:color w:val="FF0000"/>
          <w:lang w:eastAsia="zh-CN"/>
        </w:rPr>
        <w:t xml:space="preserve">维度提供了一项可操作的细化。在既有研究中，授权环境多被处理为一个整体性的背景变量，其内部构成与可调节性鲜有讨论。嘉数公司的经验显示，该维度至少可拆解为三个彼此独立又相互支撑的子维度：政策授权解决</w:t>
      </w:r>
      <w:r>
        <w:rPr>
          <w:rFonts w:hint="eastAsia" w:ascii="宋体" w:hAnsi="宋体" w:eastAsia="宋体" w:cs="宋体"/>
          <w:color w:val="FF0000"/>
          <w:lang w:eastAsia="zh-CN"/>
        </w:rPr>
        <w:t xml:space="preserve">“</w:t>
      </w:r>
      <w:r>
        <w:rPr>
          <w:color w:val="FF0000"/>
          <w:lang w:eastAsia="zh-CN"/>
        </w:rPr>
        <w:t xml:space="preserve">凭什么建</w:t>
      </w:r>
      <w:r>
        <w:rPr>
          <w:rFonts w:hint="eastAsia" w:ascii="宋体" w:hAnsi="宋体" w:eastAsia="宋体" w:cs="宋体"/>
          <w:color w:val="FF0000"/>
          <w:lang w:eastAsia="zh-CN"/>
        </w:rPr>
        <w:t xml:space="preserve">”</w:t>
      </w:r>
      <w:r>
        <w:rPr>
          <w:color w:val="FF0000"/>
          <w:lang w:eastAsia="zh-CN"/>
        </w:rPr>
        <w:t xml:space="preserve">的资格问题，出资授权解决</w:t>
      </w:r>
      <w:r>
        <w:rPr>
          <w:rFonts w:hint="eastAsia" w:ascii="宋体" w:hAnsi="宋体" w:eastAsia="宋体" w:cs="宋体"/>
          <w:color w:val="FF0000"/>
          <w:lang w:eastAsia="zh-CN"/>
        </w:rPr>
        <w:t xml:space="preserve">“</w:t>
      </w:r>
      <w:r>
        <w:rPr>
          <w:color w:val="FF0000"/>
          <w:lang w:eastAsia="zh-CN"/>
        </w:rPr>
        <w:t xml:space="preserve">拿什么建</w:t>
      </w:r>
      <w:r>
        <w:rPr>
          <w:rFonts w:hint="eastAsia" w:ascii="宋体" w:hAnsi="宋体" w:eastAsia="宋体" w:cs="宋体"/>
          <w:color w:val="FF0000"/>
          <w:lang w:eastAsia="zh-CN"/>
        </w:rPr>
        <w:t xml:space="preserve">”</w:t>
      </w:r>
      <w:r>
        <w:rPr>
          <w:color w:val="FF0000"/>
          <w:lang w:eastAsia="zh-CN"/>
        </w:rPr>
        <w:t xml:space="preserve">的资源问题，治理授权解决</w:t>
      </w:r>
      <w:r>
        <w:rPr>
          <w:rFonts w:hint="eastAsia" w:ascii="宋体" w:hAnsi="宋体" w:eastAsia="宋体" w:cs="宋体"/>
          <w:color w:val="FF0000"/>
          <w:lang w:eastAsia="zh-CN"/>
        </w:rPr>
        <w:t xml:space="preserve">“</w:t>
      </w:r>
      <w:r>
        <w:rPr>
          <w:color w:val="FF0000"/>
          <w:lang w:eastAsia="zh-CN"/>
        </w:rPr>
        <w:t xml:space="preserve">如何决策</w:t>
      </w:r>
      <w:r>
        <w:rPr>
          <w:rFonts w:hint="eastAsia" w:ascii="宋体" w:hAnsi="宋体" w:eastAsia="宋体" w:cs="宋体"/>
          <w:color w:val="FF0000"/>
          <w:lang w:eastAsia="zh-CN"/>
        </w:rPr>
        <w:t xml:space="preserve">”</w:t>
      </w:r>
      <w:r>
        <w:rPr>
          <w:color w:val="FF0000"/>
          <w:lang w:eastAsia="zh-CN"/>
        </w:rPr>
        <w:t xml:space="preserve">的效率问题。其中最具设计意味的是治理授权——地方政府持有控股股权却将日常经营主导权让渡给中国电科派出的技术团队，以控股权保障公共使命的不可偏离，以经营权的适度让渡保障技术决策的专业性。这一安排表明，授权环境并非只能被动接受的外生条件，而是可通过股权结构与治理规则主动建构的制度工具。</w:t>
      </w:r>
    </w:p>
    <w:p xmlns:a="http://schemas.openxmlformats.org/drawingml/2006/main" xmlns:pic="http://schemas.openxmlformats.org/drawingml/2006/picture">
      <w:pPr>
        <w:keepNext/>
        <w:widowControl w:val="0"/>
        <w:ind w:firstLineChars="0" w:firstLine="0"/>
        <w:jc w:val="center"/>
      </w:pPr>
      <w:r>
        <w:rPr>
          <w:noProof/>
          <w:kern w:val="2"/>
          <w:lang w:eastAsia="zh-CN"/>
        </w:rPr>
        <w:drawing>
          <wp:inline distT="0" distB="0" distL="114300" distR="114300">
            <wp:extent cx="5270000" cy="3513333"/>
            <wp:effectExtent l="0" t="0" r="0" b="0"/>
            <wp:docPr id="908" name="图片 908"/>
            <wp:cNvGraphicFramePr>
              <a:graphicFrameLocks noChangeAspect="1"/>
            </wp:cNvGraphicFramePr>
            <a:graphic>
              <a:graphicData uri="http://schemas.openxmlformats.org/drawingml/2006/picture">
                <pic:pic>
                  <pic:nvPicPr>
                    <pic:cNvPr id="908" name="图片 908"/>
                    <pic:cNvPicPr>
                      <a:picLocks noChangeAspect="1"/>
                    </pic:cNvPicPr>
                  </pic:nvPicPr>
                  <pic:blipFill>
                    <a:blip r:embed="rId203"/>
                    <a:stretch>
                      <a:fillRect/>
                    </a:stretch>
                  </pic:blipFill>
                  <pic:spPr>
                    <a:xfrm>
                      <a:off x="0" y="0"/>
                      <a:ext cx="5270000" cy="3513333"/>
                    </a:xfrm>
                    <a:prstGeom prst="rect">
                      <a:avLst/>
                    </a:prstGeom>
                    <a:ln>
                      <a:noFill/>
                    </a:ln>
                  </pic:spPr>
                </pic:pic>
              </a:graphicData>
            </a:graphic>
          </wp:inline>
        </w:drawing>
      </w:r>
    </w:p>
    <w:p>
      <w:pPr>
        <w:pStyle w:val="af7"/>
        <w:ind w:firstLineChars="0" w:firstLine="0"/>
        <w:jc w:val="center"/>
        <w:rPr>
          <w:color w:val="FF0000"/>
          <w:lang w:eastAsia="zh-CN"/>
        </w:rPr>
      </w:pPr>
      <w:r>
        <w:rPr>
          <w:color w:val="FF0000"/>
          <w:lang w:eastAsia="zh-CN"/>
        </w:rPr>
        <w:t>图</w:t>
      </w:r>
      <w:r>
        <w:rPr>
          <w:color w:val="FF0000"/>
          <w:lang w:eastAsia="zh-CN"/>
        </w:rPr>
        <w:t xml:space="preserve"> </w:t>
      </w:r>
      <w:r>
        <w:rPr>
          <w:color w:val="FF0000"/>
          <w:lang w:eastAsia="zh-CN"/>
        </w:rPr>
        <w:t>4</w:t>
      </w:r>
      <w:r>
        <w:rPr>
          <w:color w:val="FF0000"/>
          <w:lang w:eastAsia="zh-CN"/>
        </w:rPr>
        <w:noBreakHyphen/>
      </w:r>
      <w:r>
        <w:rPr>
          <w:color w:val="FF0000"/>
          <w:lang w:eastAsia="zh-CN"/>
        </w:rPr>
        <w:fldChar w:fldCharType="begin"/>
      </w:r>
      <w:r>
        <w:rPr>
          <w:color w:val="FF0000"/>
          <w:lang w:eastAsia="zh-CN"/>
        </w:rPr>
        <w:instrText xml:space="preserve"> SEQ 图 \* ARABIC \s 1 </w:instrText>
      </w:r>
      <w:r>
        <w:rPr>
          <w:color w:val="FF0000"/>
          <w:lang w:eastAsia="zh-CN"/>
        </w:rPr>
        <w:fldChar w:fldCharType="separate"/>
      </w:r>
      <w:r>
        <w:rPr>
          <w:color w:val="FF0000"/>
          <w:noProof/>
          <w:lang w:eastAsia="zh-CN"/>
        </w:rPr>
        <w:t>4</w:t>
      </w:r>
      <w:r>
        <w:rPr>
          <w:color w:val="FF0000"/>
          <w:lang w:eastAsia="zh-CN"/>
        </w:rPr>
        <w:fldChar w:fldCharType="end"/>
      </w:r>
      <w:r>
        <w:rPr>
          <w:color w:val="FF0000"/>
          <w:lang w:eastAsia="zh-CN"/>
        </w:rPr>
        <w:t xml:space="preserve"> </w:t>
      </w:r>
      <w:r>
        <w:rPr>
          <w:color w:val="FF0000"/>
          <w:lang w:eastAsia="zh-CN"/>
        </w:rPr>
        <w:t xml:space="preserve">授权环境的三个可设计子维度</w:t>
      </w:r>
    </w:p>
    <w:p w14:paraId="27385706" w14:textId="77777777" w:rsidR="00CC5E4B" w:rsidRPr="00CC5E4B" w:rsidRDefault="00CC5E4B" w:rsidP="00CC5E4B">
      <w:pPr>
        <w:pStyle w:val="2"/>
        <w:spacing w:before="156" w:after="156"/>
      </w:pPr>
      <w:bookmarkStart w:id="197" w:name="_Toc16713"/>
      <w:bookmarkStart w:id="198" w:name="_Toc236777520"/>
      <w:bookmarkStart w:id="199" w:name="_Toc236777893"/>
      <w:bookmarkStart w:id="200" w:name="_Toc236777966"/>
      <w:bookmarkEnd w:id="197"/>
      <w:r w:rsidRPr="00CC5E4B">
        <w:t>赋能机理：要素聚合与平台赋能，搭建授权到公共价值的转化通道</w:t>
      </w:r>
      <w:bookmarkEnd w:id="198"/>
      <w:bookmarkEnd w:id="199"/>
      <w:bookmarkEnd w:id="200"/>
    </w:p>
    <w:p w14:paraId="376F3F12" w14:textId="77777777" w:rsidR="00CC5E4B" w:rsidRPr="00CC5E4B" w:rsidRDefault="00CC5E4B" w:rsidP="00CC5E4B">
      <w:pPr>
        <w:widowControl/>
        <w:autoSpaceDE w:val="0"/>
        <w:spacing w:line="360" w:lineRule="auto"/>
        <w:ind w:firstLine="480" w:firstLineChars="200"/>
        <w:jc w:val="both"/>
        <w:rPr>
          <w:rFonts w:ascii="宋体" w:eastAsia="宋体" w:hAnsi="宋体"/>
          <w:kern w:val="0"/>
          <w:szCs w:val="24"/>
        </w:rPr>
      </w:pPr>
      <w:r w:rsidRPr="00CC5E4B">
        <w:rPr>
          <w:kern w:val="0"/>
        </w:rPr>
        <w:t xml:space="preserve">在战略三角模型的运行逻辑中，运营能力是连接外部授权资源与最终公共价值产出的核心中介、关键载体与转化工具，是整个价值创造链条的核心枢纽。授权环境为数字化建设提供政策依据、资金支撑、行政权限与外部资源，属于价值创造的</w:t>
      </w:r>
      <w:r w:rsidRPr="00CC5E4B">
        <w:rPr>
          <w:rFonts w:ascii="宋体" w:eastAsia="宋体" w:hAnsi="宋体" w:cs="宋体" w:hint="eastAsia"/>
          <w:kern w:val="0"/>
        </w:rPr>
        <w:t xml:space="preserve">“</w:t>
      </w:r>
      <w:r w:rsidRPr="00CC5E4B">
        <w:rPr>
          <w:kern w:val="0"/>
        </w:rPr>
        <w:t xml:space="preserve">输入端</w:t>
      </w:r>
      <w:r w:rsidRPr="00CC5E4B">
        <w:rPr>
          <w:rFonts w:ascii="宋体" w:eastAsia="宋体" w:hAnsi="宋体" w:cs="宋体" w:hint="eastAsia"/>
          <w:kern w:val="0"/>
        </w:rPr>
        <w:t xml:space="preserve">”</w:t>
      </w:r>
      <w:r w:rsidRPr="00CC5E4B">
        <w:rPr>
          <w:kern w:val="0"/>
        </w:rPr>
        <w:t xml:space="preserve">；公共价值是数字化建设的治理成效、民生成果与示范效益，属于价值创造的</w:t>
      </w:r>
      <w:r w:rsidRPr="00CC5E4B">
        <w:rPr>
          <w:rFonts w:ascii="宋体" w:eastAsia="宋体" w:hAnsi="宋体" w:cs="宋体" w:hint="eastAsia"/>
          <w:kern w:val="0"/>
        </w:rPr>
        <w:t xml:space="preserve">“</w:t>
      </w:r>
      <w:r w:rsidRPr="00CC5E4B">
        <w:rPr>
          <w:kern w:val="0"/>
        </w:rPr>
        <w:t xml:space="preserve">输出端</w:t>
      </w:r>
      <w:r w:rsidRPr="00CC5E4B">
        <w:rPr>
          <w:rFonts w:ascii="宋体" w:eastAsia="宋体" w:hAnsi="宋体" w:cs="宋体" w:hint="eastAsia"/>
          <w:kern w:val="0"/>
        </w:rPr>
        <w:t xml:space="preserve">”</w:t>
      </w:r>
      <w:r w:rsidRPr="00CC5E4B">
        <w:rPr>
          <w:kern w:val="0"/>
        </w:rPr>
        <w:t xml:space="preserve">；而运营能力承担着</w:t>
      </w:r>
      <w:r w:rsidRPr="00CC5E4B">
        <w:rPr>
          <w:rFonts w:ascii="宋体" w:eastAsia="宋体" w:hAnsi="宋体" w:cs="宋体" w:hint="eastAsia"/>
          <w:kern w:val="0"/>
        </w:rPr>
        <w:t xml:space="preserve">“</w:t>
      </w:r>
      <w:r w:rsidRPr="00CC5E4B">
        <w:rPr>
          <w:kern w:val="0"/>
        </w:rPr>
        <w:t xml:space="preserve">资源消化、要素加工、场景落地、价值转化</w:t>
      </w:r>
      <w:r w:rsidRPr="00CC5E4B">
        <w:rPr>
          <w:rFonts w:ascii="宋体" w:eastAsia="宋体" w:hAnsi="宋体" w:cs="宋体" w:hint="eastAsia"/>
          <w:kern w:val="0"/>
        </w:rPr>
        <w:t xml:space="preserve">”</w:t>
      </w:r>
      <w:r w:rsidRPr="00CC5E4B">
        <w:rPr>
          <w:kern w:val="0"/>
        </w:rPr>
        <w:t xml:space="preserve">的核心职能，直接决定资源转化效率、价值产出质量与模式可持续性。纵观国内多数地区数字化建设困境，多数地区均具备政策授权与财政资金支持，但普遍存在</w:t>
      </w:r>
      <w:r w:rsidRPr="00CC5E4B">
        <w:rPr>
          <w:rFonts w:ascii="宋体" w:eastAsia="宋体" w:hAnsi="宋体" w:cs="宋体" w:hint="eastAsia"/>
          <w:kern w:val="0"/>
        </w:rPr>
        <w:t xml:space="preserve">“</w:t>
      </w:r>
      <w:r w:rsidRPr="00CC5E4B">
        <w:rPr>
          <w:kern w:val="0"/>
        </w:rPr>
        <w:t xml:space="preserve">重建设、轻运营、重硬件、轻能力</w:t>
      </w:r>
      <w:r w:rsidRPr="00CC5E4B">
        <w:rPr>
          <w:rFonts w:ascii="宋体" w:eastAsia="宋体" w:hAnsi="宋体" w:cs="宋体" w:hint="eastAsia"/>
          <w:kern w:val="0"/>
        </w:rPr>
        <w:t xml:space="preserve">”</w:t>
      </w:r>
      <w:r w:rsidRPr="00CC5E4B">
        <w:rPr>
          <w:kern w:val="0"/>
        </w:rPr>
        <w:t xml:space="preserve">的突出问题，因缺乏成熟的技术载体、数据体系与人才团队，导致大量数字化项目建成后闲置、平台空转、资源浪费，政策授权无法转化为实际公共价值。针对这一行业痛点，嘉数依托多年实践积累，搭建起</w:t>
      </w:r>
      <w:r w:rsidRPr="00CC5E4B">
        <w:rPr>
          <w:rFonts w:ascii="宋体" w:eastAsia="宋体" w:hAnsi="宋体" w:cs="宋体" w:hint="eastAsia"/>
          <w:kern w:val="0"/>
        </w:rPr>
        <w:t xml:space="preserve">“</w:t>
      </w:r>
      <w:r w:rsidRPr="00CC5E4B">
        <w:rPr>
          <w:kern w:val="0"/>
        </w:rPr>
        <w:t xml:space="preserve">技术平台筑基、数据要素赋能、高端人才保障</w:t>
      </w:r>
      <w:r w:rsidRPr="00CC5E4B">
        <w:rPr>
          <w:rFonts w:ascii="宋体" w:eastAsia="宋体" w:hAnsi="宋体" w:cs="宋体" w:hint="eastAsia"/>
          <w:kern w:val="0"/>
        </w:rPr>
        <w:t xml:space="preserve">”</w:t>
      </w:r>
      <w:r w:rsidRPr="00CC5E4B">
        <w:rPr>
          <w:kern w:val="0"/>
        </w:rPr>
        <w:t xml:space="preserve">三位一体的完整运营赋能体系，将外部获取的政策资源、行政资源、技术资源、科研资源全面整合、深度加工、落地转化，打通</w:t>
      </w:r>
      <w:r w:rsidRPr="00CC5E4B">
        <w:rPr>
          <w:rFonts w:ascii="宋体" w:eastAsia="宋体" w:hAnsi="宋体" w:cs="宋体" w:hint="eastAsia"/>
          <w:kern w:val="0"/>
        </w:rPr>
        <w:t xml:space="preserve">“</w:t>
      </w:r>
      <w:r w:rsidRPr="00CC5E4B">
        <w:rPr>
          <w:kern w:val="0"/>
        </w:rPr>
        <w:t xml:space="preserve">授权资源输入—运营能力转化—公共价值输出</w:t>
      </w:r>
      <w:r w:rsidRPr="00CC5E4B">
        <w:rPr>
          <w:rFonts w:ascii="宋体" w:eastAsia="宋体" w:hAnsi="宋体" w:cs="宋体" w:hint="eastAsia"/>
          <w:kern w:val="0"/>
        </w:rPr>
        <w:t xml:space="preserve">”</w:t>
      </w:r>
      <w:r w:rsidRPr="00CC5E4B">
        <w:rPr>
          <w:kern w:val="0"/>
        </w:rPr>
        <w:t xml:space="preserve">的完整链路，从根本上解决了资源与价值脱节的行业难题，全面提升城市数字化公共价值创造的效率、质量与上限。</w:t>
      </w:r>
    </w:p>
    <w:p w14:paraId="41D370BA" w14:textId="77777777" w:rsidR="00CC5E4B" w:rsidRPr="00CC5E4B" w:rsidRDefault="00CC5E4B" w:rsidP="00E2232F">
      <w:pPr>
        <w:keepNext/>
        <w:autoSpaceDE w:val="0"/>
        <w:ind w:firstLine="0" w:firstLineChars="0"/>
        <w:jc w:val="center"/>
        <w:rPr>
          <w:rFonts w:ascii="Calibri" w:eastAsia="宋体" w:hAnsi="Calibri"/>
        </w:rPr>
      </w:pPr>
      <w:r w:rsidRPr="00CC5E4B">
        <w:rPr>
          <w:noProof/>
        </w:rPr>
        <w:lastRenderedPageBreak/>
        <w:drawing>
          <wp:inline distT="0" distB="0" distL="0" distR="0" wp14:anchorId="37EA4FFF" wp14:editId="330BB038">
            <wp:extent cx="5257800" cy="2202180"/>
            <wp:effectExtent l="0" t="0" r="0" b="7620"/>
            <wp:docPr id="141"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57800" cy="2202180"/>
                    </a:xfrm>
                    <a:prstGeom prst="rect">
                      <a:avLst/>
                    </a:prstGeom>
                    <a:noFill/>
                    <a:ln>
                      <a:noFill/>
                    </a:ln>
                  </pic:spPr>
                </pic:pic>
              </a:graphicData>
            </a:graphic>
          </wp:inline>
        </w:drawing>
      </w:r>
      <w:r w:rsidRPr="00CC5E4B">
        <w:rPr/>
        <w:t xml:space="preserve"> </w:t>
      </w:r>
    </w:p>
    <w:p w14:paraId="67986B95" w14:textId="44B44DA6" w:rsidR="00CC5E4B" w:rsidRPr="00E2232F" w:rsidRDefault="00E2232F" w:rsidP="00E2232F">
      <w:pPr>
        <w:pStyle w:val="af7"/>
        <w:ind w:firstLine="0" w:firstLineChars="0"/>
        <w:jc w:val="center"/>
        <w:rPr>
          <w:rFonts w:asciiTheme="majorHAnsi" w:eastAsia="黑体" w:hAnsiTheme="majorHAnsi"/>
          <w:sz w:val="20"/>
          <w:szCs w:val="20"/>
        </w:rPr>
      </w:pPr>
      <w:bookmarkStart w:id="201" w:name="_Toc236779317"/>
      <w:r>
        <w:rPr/>
        <w:t>图</w:t>
      </w:r>
      <w:r>
        <w:rPr/>
        <w:t xml:space="preserve"> </w:t>
      </w:r>
      <w:r>
        <w:fldChar w:fldCharType="begin"/>
      </w:r>
      <w:r>
        <w:instrText xml:space="preserve"> </w:instrText>
      </w:r>
      <w:r>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instrText xml:space="preserve">SEQ </w:instrText>
      </w:r>
      <w:r>
        <w:rPr/>
        <w:instrText>图</w:instrText>
      </w:r>
      <w:r>
        <w:rPr/>
        <w:instrText xml:space="preserve"> \* ARABIC \s 1</w:instrText>
      </w:r>
      <w:r>
        <w:instrText xml:space="preserve"> </w:instrText>
      </w:r>
      <w:r>
        <w:fldChar w:fldCharType="separate"/>
      </w:r>
      <w:r>
        <w:rPr>
          <w:noProof/>
        </w:rPr>
        <w:t>5</w:t>
      </w:r>
      <w:r>
        <w:fldChar w:fldCharType="end"/>
      </w:r>
      <w:r>
        <w:rPr/>
        <w:t xml:space="preserve"> </w:t>
      </w:r>
      <w:r w:rsidR="00CC5E4B" w:rsidRPr="00E2232F">
        <w:t>授权</w:t>
      </w:r>
      <w:r w:rsidR="00CC5E4B" w:rsidRPr="00CC5E4B">
        <w:rPr/>
        <w:t>-</w:t>
      </w:r>
      <w:r w:rsidR="00CC5E4B" w:rsidRPr="00E2232F">
        <w:t>赋能</w:t>
      </w:r>
      <w:r w:rsidR="00CC5E4B" w:rsidRPr="00CC5E4B">
        <w:rPr/>
        <w:t>-</w:t>
      </w:r>
      <w:r w:rsidR="00CC5E4B" w:rsidRPr="00E2232F">
        <w:t>价值转换图</w:t>
      </w:r>
      <w:bookmarkEnd w:id="201"/>
    </w:p>
    <w:p w14:paraId="5D640F10" w14:textId="77777777" w:rsidR="00CC5E4B" w:rsidRPr="00CC5E4B" w:rsidRDefault="00CC5E4B" w:rsidP="00CC5E4B">
      <w:pPr>
        <w:pStyle w:val="a"/>
        <w:spacing w:before="156" w:after="156"/>
      </w:pPr>
      <w:bookmarkStart w:id="202" w:name="_Toc2330"/>
      <w:bookmarkStart w:id="203" w:name="_Toc236777521"/>
      <w:bookmarkStart w:id="204" w:name="_Toc236777894"/>
      <w:bookmarkStart w:id="205" w:name="_Toc236777967"/>
      <w:bookmarkEnd w:id="202"/>
      <w:r w:rsidRPr="00CC5E4B">
        <w:t>全栈技术平台：标准化数字化能力的核心载体</w:t>
      </w:r>
      <w:bookmarkEnd w:id="203"/>
      <w:bookmarkEnd w:id="204"/>
      <w:bookmarkEnd w:id="205"/>
    </w:p>
    <w:p w14:paraId="62A2D425" w14:textId="77777777" w:rsidR="00CC5E4B" w:rsidRPr="00CC5E4B" w:rsidRDefault="00CC5E4B" w:rsidP="00CC5E4B">
      <w:pPr>
        <w:widowControl/>
        <w:autoSpaceDE w:val="0"/>
        <w:spacing w:line="360" w:lineRule="auto"/>
        <w:ind w:firstLine="480" w:firstLineChars="200"/>
        <w:jc w:val="both"/>
        <w:rPr>
          <w:rFonts w:ascii="宋体" w:eastAsia="宋体" w:hAnsi="宋体"/>
          <w:kern w:val="0"/>
          <w:szCs w:val="24"/>
        </w:rPr>
      </w:pPr>
      <w:r w:rsidRPr="00CC5E4B">
        <w:rPr>
          <w:kern w:val="0"/>
        </w:rPr>
        <w:t>数字化技术平台是城市智慧治理落地的硬件基础与能力载体，是实现数字化能力标准化、复用化、长效化的核心支撑。传统政务数字化建设普遍存在部门独立建设、平台零散搭建、技术标准不统一、功能重复开发、资源重复投入的突出问题，造成大量财政资源浪费与数字化资源内耗。为破解这一难题，嘉数聚焦城市新基建与城市大脑核心建设任务，开展底层技术自主攻关与一体化架构搭建，打造适配嘉兴市域治理特色的统一政务数字化技术底座，构建标准化、模块化、可复用、可迭代的全栈技术体系。该产品是一个基于互联网技术的数字化服务底座，旨在提供无差别的数字化服务能力，实现业务、技术和数据的全面融合。通过该平台，用户可以获得应用管理门户化、系统开发高效化、数据运用个性化和账号治理标准化的数字化能力，提升整体的数字化水平。它具备高效运用数据、统一用户体系、集成数据和设备以及快速构建应用</w:t>
      </w:r>
      <w:r w:rsidRPr="00CC5E4B">
        <w:rPr>
          <w:kern w:val="0"/>
        </w:rPr>
        <w:lastRenderedPageBreak/>
        <w:t>的能力，为政府和企业提供全方位的数字化支持。</w:t>
      </w:r>
    </w:p>
    <w:p>
      <w:pPr>
        <w:keepNext/>
        <w:widowControl w:val="0"/>
        <w:ind w:firstLineChars="0" w:firstLine="0"/>
        <w:jc w:val="center"/>
      </w:pPr>
      <w:r w:rsidRPr="00CC5E4B">
        <w:rPr>
          <w:noProof/>
        </w:rPr>
        <w:drawing>
          <wp:inline distT="0" distB="0" distL="0" distR="0" wp14:anchorId="6274323A" wp14:editId="1EB7CBC4">
            <wp:extent cx="5425440" cy="3200400"/>
            <wp:effectExtent l="0" t="0" r="3810" b="0"/>
            <wp:docPr id="142"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25440" cy="3200400"/>
                    </a:xfrm>
                    <a:prstGeom prst="rect">
                      <a:avLst/>
                    </a:prstGeom>
                    <a:noFill/>
                    <a:ln>
                      <a:noFill/>
                    </a:ln>
                  </pic:spPr>
                </pic:pic>
              </a:graphicData>
            </a:graphic>
          </wp:inline>
        </w:drawing>
      </w:r>
    </w:p>
    <w:p w14:paraId="1BB16889" w14:textId="10DACB75" w:rsidR="00CC5E4B" w:rsidRPr="00E2232F" w:rsidRDefault="00E2232F" w:rsidP="00E2232F">
      <w:pPr>
        <w:pStyle w:val="af7"/>
        <w:ind w:firstLine="0" w:firstLineChars="0"/>
        <w:jc w:val="center"/>
        <w:rPr>
          <w:rFonts w:asciiTheme="majorHAnsi" w:eastAsia="黑体" w:hAnsiTheme="majorHAnsi"/>
          <w:szCs w:val="20"/>
        </w:rPr>
      </w:pPr>
      <w:bookmarkStart w:id="206" w:name="_Toc236779318"/>
      <w:r>
        <w:rPr/>
        <w:t>图</w:t>
      </w:r>
      <w:r>
        <w:rPr/>
        <w:t xml:space="preserve"> </w:t>
      </w:r>
      <w:r>
        <w:rPr/>
        <w:fldChar w:fldCharType="begin"/>
      </w:r>
      <w:r>
        <w:rPr/>
        <w:instrText xml:space="preserve"> STYLEREF 1 \s </w:instrText>
      </w:r>
      <w:r>
        <w:rPr/>
        <w:fldChar w:fldCharType="separate"/>
      </w:r>
      <w:r>
        <w:rPr>
          <w:noProof/>
        </w:rPr>
        <w:t>4</w:t>
      </w:r>
      <w:r>
        <w:rPr/>
        <w:fldChar w:fldCharType="end"/>
      </w:r>
      <w:r>
        <w:rPr/>
        <w:noBreakHyphen/>
      </w:r>
      <w:r>
        <w:rPr/>
        <w:fldChar w:fldCharType="begin"/>
      </w:r>
      <w:r>
        <w:rPr/>
        <w:instrText xml:space="preserve"> SEQ </w:instrText>
      </w:r>
      <w:r>
        <w:rPr/>
        <w:instrText>图</w:instrText>
      </w:r>
      <w:r>
        <w:rPr/>
        <w:instrText xml:space="preserve"> \* ARABIC \s 1 </w:instrText>
      </w:r>
      <w:r>
        <w:rPr/>
        <w:fldChar w:fldCharType="separate"/>
      </w:r>
      <w:r>
        <w:rPr>
          <w:noProof/>
        </w:rPr>
        <w:t>6</w:t>
      </w:r>
      <w:r>
        <w:rPr/>
        <w:fldChar w:fldCharType="end"/>
      </w:r>
      <w:r>
        <w:rPr/>
        <w:t xml:space="preserve"> </w:t>
      </w:r>
      <w:r w:rsidR="00CC5E4B" w:rsidRPr="00E2232F">
        <w:t>数字化服务底座图</w:t>
      </w:r>
      <w:bookmarkEnd w:id="206"/>
    </w:p>
    <w:p w14:paraId="00040220" w14:textId="77777777" w:rsidR="00CC5E4B" w:rsidRPr="00CC5E4B" w:rsidRDefault="00CC5E4B" w:rsidP="00CC5E4B">
      <w:pPr>
        <w:widowControl/>
        <w:autoSpaceDE w:val="0"/>
        <w:spacing w:line="360" w:lineRule="auto"/>
        <w:ind w:firstLine="480" w:firstLineChars="200"/>
        <w:jc w:val="both"/>
        <w:rPr>
          <w:rFonts w:ascii="Calibri" w:eastAsia="宋体" w:hAnsi="Calibri"/>
        </w:rPr>
      </w:pPr>
      <w:r w:rsidRPr="00CC5E4B">
        <w:rPr>
          <w:kern w:val="0"/>
        </w:rPr>
        <w:t xml:space="preserve">在此基础上，企业深度落地</w:t>
      </w:r>
      <w:r w:rsidRPr="00CC5E4B">
        <w:rPr>
          <w:rFonts w:ascii="宋体" w:eastAsia="宋体" w:hAnsi="宋体" w:cs="宋体" w:hint="eastAsia"/>
          <w:kern w:val="0"/>
        </w:rPr>
        <w:t xml:space="preserve">“</w:t>
      </w:r>
      <w:r w:rsidRPr="00CC5E4B">
        <w:rPr>
          <w:kern w:val="0"/>
        </w:rPr>
        <w:t xml:space="preserve">AI+政务</w:t>
      </w:r>
      <w:r w:rsidRPr="00CC5E4B">
        <w:rPr>
          <w:rFonts w:ascii="宋体" w:eastAsia="宋体" w:hAnsi="宋体" w:cs="宋体" w:hint="eastAsia"/>
          <w:kern w:val="0"/>
        </w:rPr>
        <w:t xml:space="preserve">”</w:t>
      </w:r>
      <w:r w:rsidRPr="00CC5E4B">
        <w:rPr>
          <w:kern w:val="0"/>
        </w:rPr>
        <w:t xml:space="preserve">大模型体系，将人工智能、大数据分析、智能研判等前沿技术深度融入城市治理全流程，全面覆盖智慧政法、智慧教育、智慧交通、智慧应急、智慧民生、智慧监管等核心治理场景。该一体化技术平台实现了底层技术能力的一次搭建、全域复用，彻底规避了各部门分散建设、重复开发的资源浪费问题，大幅降低城市数字化迭代升级的边际成本。同时，AI大模型的深度应用，将传统政务场景中大量重复性、机械式、经验化的人工筛查、数据统计、事件研判、流程审核工作实现智能化替代，极大压缩政务处置时长、降低人工失误率、提升治理精准度。通过技术平台的标准化赋能，嘉数成功将国家与地方赋予的试点建设权限、数字化改革任务，转化为可复制、可落地、可迭代的标准化政务数字化解决方案，实现技术能力与治理需求的精准匹配。</w:t>
      </w:r>
    </w:p>
    <w:p w14:paraId="34D23B80" w14:textId="77777777" w:rsidR="00CC5E4B" w:rsidRPr="00CC5E4B" w:rsidRDefault="00CC5E4B" w:rsidP="00CC5E4B">
      <w:pPr>
        <w:pStyle w:val="a"/>
        <w:spacing w:before="156" w:after="156"/>
      </w:pPr>
      <w:bookmarkStart w:id="207" w:name="_Toc1707"/>
      <w:bookmarkStart w:id="208" w:name="_Toc236777522"/>
      <w:bookmarkStart w:id="209" w:name="_Toc236777895"/>
      <w:bookmarkStart w:id="210" w:name="_Toc236777968"/>
      <w:bookmarkEnd w:id="207"/>
      <w:r w:rsidRPr="00CC5E4B">
        <w:t>全域数据要素：数字治理价值的核心生产资料</w:t>
      </w:r>
      <w:bookmarkEnd w:id="208"/>
      <w:bookmarkEnd w:id="209"/>
      <w:bookmarkEnd w:id="210"/>
    </w:p>
    <w:p w14:paraId="004167FC" w14:textId="77777777" w:rsidR="00CC5E4B" w:rsidRPr="00CC5E4B" w:rsidRDefault="00CC5E4B" w:rsidP="00CC5E4B">
      <w:pPr>
        <w:widowControl/>
        <w:autoSpaceDE w:val="0"/>
        <w:spacing w:line="360" w:lineRule="auto"/>
        <w:ind w:firstLine="480" w:firstLineChars="200"/>
        <w:jc w:val="both"/>
        <w:rPr>
          <w:rFonts w:ascii="宋体" w:eastAsia="宋体" w:hAnsi="宋体"/>
          <w:kern w:val="0"/>
          <w:szCs w:val="24"/>
        </w:rPr>
      </w:pPr>
      <w:r w:rsidRPr="00CC5E4B">
        <w:rPr>
          <w:kern w:val="0"/>
        </w:rPr>
        <w:t>在数字城市建设体系中，公共数据是核心生产资料，是数字化公共价值创造的核心要素，数据资源的归集、整合、规范、应用水平，直接决定数字治理的深度与公共服务的精度。传统城市治理模式下，各部门数据独立存储、标准不一、壁垒森严，数据资源呈现碎片化、沉睡化、闲置化特征，无法实现跨部</w:t>
      </w:r>
      <w:r w:rsidRPr="00CC5E4B">
        <w:rPr>
          <w:kern w:val="0"/>
        </w:rPr>
        <w:lastRenderedPageBreak/>
        <w:t>门流通、跨场景应用，导致数字化建设“有平台无数据、有数据无价值”的空心化问题。针对这一核心痛点，嘉数依托全市独家公共数据统筹授权，搭建市级统一公共数据汇聚共享与开放平台，打造“社会治理一张图”核心标杆数据产品，构建起全域、全量、全时的数据资源体系。企业统筹归集全市政务服务、社会治理、城市运行、民生保障、应急管理、交通教育等多维度海量数据，实现市域公共数据的集中存储、统一治理、分类应用，彻底盘活沉睡的城市数据资产。同时，为破解行业标准缺失、数据应用不规范的难题，嘉数主动牵头编制地方与行业团体标准，建立覆盖数据归集、数据清洗、数据脱敏、数据流通、场景应用、安全管控的全流程统一规范，补齐市域数据治理标准体系短板。标准化的数据平台与规范体系，将分散无序、沉睡闲置的原始数据，转化为结构化、可用化、价值化的城市数据资产，有效激活数据要素的生产价值，将政府赋予的数据统筹管理权、数据改革试点权，全面转化为落地见效的数据治理成果、精准高效的公共服务能力与精细化的城市治理效能。</w:t>
      </w:r>
    </w:p>
    <w:p w14:paraId="683EDE9C" w14:textId="77777777" w:rsidR="00CC5E4B" w:rsidRPr="00CC5E4B" w:rsidRDefault="00CC5E4B" w:rsidP="00CC5E4B">
      <w:pPr>
        <w:widowControl/>
        <w:autoSpaceDE w:val="0"/>
        <w:ind w:firstLine="0" w:firstLineChars="0"/>
        <w:jc w:val="center"/>
        <w:rPr>
          <w:rFonts w:ascii="Calibri" w:eastAsia="宋体" w:hAnsi="Calibri"/>
        </w:rPr>
      </w:pPr>
      <w:r w:rsidRPr="00CC5E4B">
        <w:rPr>
          <w:noProof/>
        </w:rPr>
        <w:drawing>
          <wp:inline distT="0" distB="0" distL="0" distR="0" wp14:anchorId="0C10D8E0" wp14:editId="7D5CC577">
            <wp:extent cx="5257800" cy="2232660"/>
            <wp:effectExtent l="0" t="0" r="0" b="0"/>
            <wp:docPr id="143"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57800" cy="2232660"/>
                    </a:xfrm>
                    <a:prstGeom prst="rect">
                      <a:avLst/>
                    </a:prstGeom>
                    <a:noFill/>
                    <a:ln>
                      <a:noFill/>
                    </a:ln>
                  </pic:spPr>
                </pic:pic>
              </a:graphicData>
            </a:graphic>
          </wp:inline>
        </w:drawing>
      </w:r>
      <w:r w:rsidRPr="00CC5E4B">
        <w:rPr/>
        <w:t xml:space="preserve"> </w:t>
      </w:r>
    </w:p>
    <w:p w14:paraId="4EEF07BD" w14:textId="6084A11D" w:rsidR="00CC5E4B" w:rsidRPr="00E2232F" w:rsidRDefault="00E2232F" w:rsidP="00E2232F">
      <w:pPr>
        <w:pStyle w:val="af7"/>
        <w:ind w:firstLine="0" w:firstLineChars="0"/>
        <w:jc w:val="center"/>
        <w:rPr>
          <w:rFonts w:asciiTheme="majorHAnsi" w:eastAsia="黑体" w:hAnsiTheme="majorHAnsi"/>
          <w:sz w:val="20"/>
          <w:szCs w:val="20"/>
        </w:rPr>
      </w:pPr>
      <w:bookmarkStart w:id="211" w:name="_Toc236779319"/>
      <w:r>
        <w:rPr/>
        <w:t>图</w:t>
      </w:r>
      <w:r>
        <w:rPr/>
        <w:t xml:space="preserve"> </w:t>
      </w:r>
      <w:r>
        <w:rPr/>
        <w:fldChar w:fldCharType="begin"/>
      </w:r>
      <w:r>
        <w:rPr/>
        <w:instrText xml:space="preserve"> STYLEREF 1 \s </w:instrText>
      </w:r>
      <w:r>
        <w:rPr/>
        <w:fldChar w:fldCharType="separate"/>
      </w:r>
      <w:r>
        <w:rPr>
          <w:noProof/>
        </w:rPr>
        <w:t>4</w:t>
      </w:r>
      <w:r>
        <w:rPr/>
        <w:fldChar w:fldCharType="end"/>
      </w:r>
      <w:r>
        <w:rPr/>
        <w:noBreakHyphen/>
      </w:r>
      <w:r>
        <w:rPr/>
        <w:fldChar w:fldCharType="begin"/>
      </w:r>
      <w:r>
        <w:rPr/>
        <w:instrText xml:space="preserve"> SEQ </w:instrText>
      </w:r>
      <w:r>
        <w:rPr/>
        <w:instrText>图</w:instrText>
      </w:r>
      <w:r>
        <w:rPr/>
        <w:instrText xml:space="preserve"> \* ARABIC \s 1 </w:instrText>
      </w:r>
      <w:r>
        <w:rPr/>
        <w:fldChar w:fldCharType="separate"/>
      </w:r>
      <w:r>
        <w:rPr>
          <w:noProof/>
        </w:rPr>
        <w:t>7</w:t>
      </w:r>
      <w:r>
        <w:rPr/>
        <w:fldChar w:fldCharType="end"/>
      </w:r>
      <w:r>
        <w:rPr/>
        <w:t xml:space="preserve"> </w:t>
      </w:r>
      <w:r w:rsidR="00CC5E4B" w:rsidRPr="00E2232F">
        <w:t>全栈技术与全域数据双维赋能结构图</w:t>
      </w:r>
      <w:bookmarkEnd w:id="211"/>
    </w:p>
    <w:p w14:paraId="4308ADE9" w14:textId="77777777" w:rsidR="00CC5E4B" w:rsidRPr="00CC5E4B" w:rsidRDefault="00CC5E4B" w:rsidP="00CC5E4B">
      <w:pPr>
        <w:pStyle w:val="a"/>
        <w:spacing w:before="156" w:after="156"/>
      </w:pPr>
      <w:bookmarkStart w:id="212" w:name="_Toc4573"/>
      <w:bookmarkStart w:id="213" w:name="_Toc236777523"/>
      <w:bookmarkStart w:id="214" w:name="_Toc236777896"/>
      <w:bookmarkStart w:id="215" w:name="_Toc236777969"/>
      <w:bookmarkEnd w:id="212"/>
      <w:r w:rsidRPr="00CC5E4B">
        <w:t>高端人才体系：运营能力长效迭代的核心保障</w:t>
      </w:r>
      <w:bookmarkEnd w:id="213"/>
      <w:bookmarkEnd w:id="214"/>
      <w:bookmarkEnd w:id="215"/>
    </w:p>
    <w:p w14:paraId="3F048BBA" w14:textId="77777777" w:rsidR="00CC5E4B" w:rsidRPr="00CC5E4B" w:rsidRDefault="00CC5E4B" w:rsidP="00CC5E4B">
      <w:pPr>
        <w:widowControl/>
        <w:autoSpaceDE w:val="0"/>
        <w:spacing w:line="360" w:lineRule="auto"/>
        <w:ind w:firstLine="480" w:firstLineChars="200"/>
        <w:jc w:val="both"/>
        <w:rPr>
          <w:rFonts w:ascii="宋体" w:eastAsia="宋体" w:hAnsi="宋体"/>
          <w:kern w:val="0"/>
          <w:szCs w:val="24"/>
        </w:rPr>
      </w:pPr>
      <w:r w:rsidRPr="00CC5E4B">
        <w:rPr>
          <w:kern w:val="0"/>
        </w:rPr>
        <w:t>技术平台与数据要素的长效迭代，离不开高端人才体系与创新成果的核心保障，人才是运营能力持续升级、价值创造持续提质的核心主体。数字化行业技术迭代速度快、创新门槛高、场景需求持续更新，单一的技术储备、固定的产品体系无法适配城市数字化长效发展需求，只有依托稳定的高端人才队伍与持续的科研创新能力，才能实现运营能力的自我迭代、动态升级。依托市级数据要素重点实验室、省级博士后工作站两大高能级创新平台，嘉数构建起完善</w:t>
      </w:r>
      <w:r w:rsidRPr="00CC5E4B">
        <w:rPr>
          <w:kern w:val="0"/>
        </w:rPr>
        <w:lastRenderedPageBreak/>
        <w:t>的高端人才引进、培育、研发、创新体系，持续引进50余名大数据、人工智能、数据要素运营、智慧城市建设领域硕博高层次人才，组建专业化、年轻化、复合型的核心研发与运营团队。团队聚焦城市数字化治理前沿领域开展长期深耕、持续攻关，围绕政务AI、数据安全、要素流通、智慧场景迭代等方向开展专项研发，累计沉淀25项核心发明专利、35项软件著作权，形成企业专属的技术壁垒与创新储备。高端人才队伍为技术平台迭代、数据体系优化、场景创新升级提供源源不断的智力支撑，丰富的专利与软著成果，保障企业运营能力不会随单一项目落地而终止、不会随技术更新而滞后，彻底摆脱传统数字化项目“建成即停滞”的发展弊端。长效迭代的人才创新体系，让嘉数具备持续承接国家级、省级数字化试点任务的能力，能够持续将新增政策授权、资源支持转化为全新的数字产品、治理场景与公共服务成果。</w:t>
      </w:r>
    </w:p>
    <w:p w14:paraId="1D449C53" w14:textId="5D5E1D64" w:rsidR="00E2232F" w:rsidRPr="00E2232F" w:rsidRDefault="00CC5E4B" w:rsidP="00E2232F">
      <w:pPr>
        <w:widowControl/>
        <w:autoSpaceDE w:val="0"/>
        <w:ind w:firstLine="0" w:firstLineChars="0"/>
        <w:jc w:val="center"/>
        <w:rPr>
          <w:rFonts w:ascii="Calibri" w:eastAsia="宋体" w:hAnsi="Calibri" w:hint="eastAsia"/>
        </w:rPr>
      </w:pPr>
      <w:r w:rsidRPr="00CC5E4B">
        <w:rPr>
          <w:noProof/>
        </w:rPr>
        <w:drawing>
          <wp:inline distT="0" distB="0" distL="0" distR="0" wp14:anchorId="6B1059FE" wp14:editId="6D595789">
            <wp:extent cx="5257800" cy="2255520"/>
            <wp:effectExtent l="0" t="0" r="0" b="0"/>
            <wp:docPr id="144"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57800" cy="2255520"/>
                    </a:xfrm>
                    <a:prstGeom prst="rect">
                      <a:avLst/>
                    </a:prstGeom>
                    <a:noFill/>
                    <a:ln>
                      <a:noFill/>
                    </a:ln>
                  </pic:spPr>
                </pic:pic>
              </a:graphicData>
            </a:graphic>
          </wp:inline>
        </w:drawing>
      </w:r>
      <w:r w:rsidRPr="00CC5E4B">
        <w:rPr/>
        <w:t xml:space="preserve"> </w:t>
      </w:r>
    </w:p>
    <w:p w14:paraId="0D0CB726" w14:textId="0011F2B1" w:rsidR="00CC5E4B" w:rsidRPr="00E2232F" w:rsidRDefault="00E2232F" w:rsidP="00E2232F">
      <w:pPr>
        <w:pStyle w:val="af7"/>
        <w:ind w:firstLine="0" w:firstLineChars="0"/>
        <w:jc w:val="center"/>
        <w:rPr>
          <w:rFonts w:asciiTheme="majorHAnsi" w:eastAsia="黑体" w:hAnsiTheme="majorHAnsi"/>
          <w:sz w:val="20"/>
          <w:szCs w:val="20"/>
        </w:rPr>
      </w:pPr>
      <w:bookmarkStart w:id="216" w:name="_Toc236779320"/>
      <w:r>
        <w:rPr/>
        <w:t>图</w:t>
      </w:r>
      <w:r>
        <w:rPr/>
        <w:t xml:space="preserve"> </w:t>
      </w:r>
      <w:r>
        <w:rPr/>
        <w:fldChar w:fldCharType="begin"/>
      </w:r>
      <w:r>
        <w:rPr/>
        <w:instrText xml:space="preserve"> STYLEREF 1 \s </w:instrText>
      </w:r>
      <w:r>
        <w:rPr/>
        <w:fldChar w:fldCharType="separate"/>
      </w:r>
      <w:r>
        <w:rPr>
          <w:noProof/>
        </w:rPr>
        <w:t>4</w:t>
      </w:r>
      <w:r>
        <w:rPr/>
        <w:fldChar w:fldCharType="end"/>
      </w:r>
      <w:r>
        <w:rPr/>
        <w:noBreakHyphen/>
      </w:r>
      <w:r>
        <w:rPr/>
        <w:fldChar w:fldCharType="begin"/>
      </w:r>
      <w:r>
        <w:rPr/>
        <w:instrText xml:space="preserve"> SEQ </w:instrText>
      </w:r>
      <w:r>
        <w:rPr/>
        <w:instrText>图</w:instrText>
      </w:r>
      <w:r>
        <w:rPr/>
        <w:instrText xml:space="preserve"> \* ARABIC \s 1 </w:instrText>
      </w:r>
      <w:r>
        <w:rPr/>
        <w:fldChar w:fldCharType="separate"/>
      </w:r>
      <w:r>
        <w:rPr>
          <w:noProof/>
        </w:rPr>
        <w:t>8</w:t>
      </w:r>
      <w:r>
        <w:rPr/>
        <w:fldChar w:fldCharType="end"/>
      </w:r>
      <w:r>
        <w:rPr/>
        <w:t xml:space="preserve"> </w:t>
      </w:r>
      <w:r w:rsidR="00CC5E4B" w:rsidRPr="00E2232F">
        <w:t>人才创新长效保障机制图</w:t>
      </w:r>
      <w:bookmarkEnd w:id="216"/>
    </w:p>
    <w:p w14:paraId="3BDAEEF8" w14:textId="77777777" w:rsidR="00CC5E4B" w:rsidRPr="00CC5E4B" w:rsidRDefault="00CC5E4B" w:rsidP="00CC5E4B">
      <w:pPr>
        <w:widowControl/>
        <w:autoSpaceDE w:val="0"/>
        <w:spacing w:line="360" w:lineRule="auto"/>
        <w:ind w:firstLine="480" w:firstLineChars="200"/>
        <w:jc w:val="both"/>
        <w:rPr>
          <w:rFonts w:ascii="宋体" w:eastAsia="宋体" w:hAnsi="宋体"/>
          <w:kern w:val="0"/>
          <w:szCs w:val="24"/>
        </w:rPr>
      </w:pPr>
      <w:r w:rsidRPr="00CC5E4B">
        <w:rPr>
          <w:kern w:val="0"/>
        </w:rPr>
        <w:t xml:space="preserve">整体而言，技术平台、数据要素、高端人才三大核心要素，依托企业一体化运营架构完成深度聚合、有机联动、协同赋能，共同构成嘉数完整、成熟、可持续的数字化运营赋能体系。其中，技术平台提供硬件底座与工具支撑，数据要素提供核心生产资源与价值内核，高端人才提供迭代动力与创新保障，三者相辅相成、缺一不可，形成</w:t>
      </w:r>
      <w:r w:rsidRPr="00CC5E4B">
        <w:rPr>
          <w:rFonts w:ascii="宋体" w:eastAsia="宋体" w:hAnsi="宋体" w:cs="宋体" w:hint="eastAsia"/>
          <w:kern w:val="0"/>
        </w:rPr>
        <w:t xml:space="preserve">“</w:t>
      </w:r>
      <w:r w:rsidRPr="00CC5E4B">
        <w:rPr>
          <w:kern w:val="0"/>
        </w:rPr>
        <w:t xml:space="preserve">平台承载、数据赋能、人才迭代</w:t>
      </w:r>
      <w:r w:rsidRPr="00CC5E4B">
        <w:rPr>
          <w:rFonts w:ascii="宋体" w:eastAsia="宋体" w:hAnsi="宋体" w:cs="宋体" w:hint="eastAsia"/>
          <w:kern w:val="0"/>
        </w:rPr>
        <w:t xml:space="preserve">”</w:t>
      </w:r>
      <w:r w:rsidRPr="00CC5E4B">
        <w:rPr>
          <w:kern w:val="0"/>
        </w:rPr>
        <w:t xml:space="preserve">的良性运营格局。外部授权环境所赋予的政策资质、财政资金、行政权限、产学研资源，全部通过该运营赋能体系完成消化、加工、转化与落地，实现从</w:t>
      </w:r>
      <w:r w:rsidRPr="00CC5E4B">
        <w:rPr>
          <w:rFonts w:ascii="宋体" w:eastAsia="宋体" w:hAnsi="宋体" w:cs="宋体" w:hint="eastAsia"/>
          <w:kern w:val="0"/>
        </w:rPr>
        <w:t xml:space="preserve">“</w:t>
      </w:r>
      <w:r w:rsidRPr="00CC5E4B">
        <w:rPr>
          <w:kern w:val="0"/>
        </w:rPr>
        <w:t xml:space="preserve">资源输入</w:t>
      </w:r>
      <w:r w:rsidRPr="00CC5E4B">
        <w:rPr>
          <w:rFonts w:ascii="宋体" w:eastAsia="宋体" w:hAnsi="宋体" w:cs="宋体" w:hint="eastAsia"/>
          <w:kern w:val="0"/>
        </w:rPr>
        <w:t xml:space="preserve">”</w:t>
      </w:r>
      <w:r w:rsidRPr="00CC5E4B">
        <w:rPr>
          <w:kern w:val="0"/>
        </w:rPr>
        <w:t xml:space="preserve">到</w:t>
      </w:r>
      <w:r w:rsidRPr="00CC5E4B">
        <w:rPr>
          <w:rFonts w:ascii="宋体" w:eastAsia="宋体" w:hAnsi="宋体" w:cs="宋体" w:hint="eastAsia"/>
          <w:kern w:val="0"/>
        </w:rPr>
        <w:t xml:space="preserve">“</w:t>
      </w:r>
      <w:r w:rsidRPr="00CC5E4B">
        <w:rPr>
          <w:kern w:val="0"/>
        </w:rPr>
        <w:t xml:space="preserve">价值输出</w:t>
      </w:r>
      <w:r w:rsidRPr="00CC5E4B">
        <w:rPr>
          <w:rFonts w:ascii="宋体" w:eastAsia="宋体" w:hAnsi="宋体" w:cs="宋体" w:hint="eastAsia"/>
          <w:kern w:val="0"/>
        </w:rPr>
        <w:t xml:space="preserve">”</w:t>
      </w:r>
      <w:r w:rsidRPr="00CC5E4B">
        <w:rPr>
          <w:kern w:val="0"/>
        </w:rPr>
        <w:t xml:space="preserve">的完整跃迁。作为战略三角模型的核心中介环节，运营赋能体系的成熟度与迭代力，直接决定公共价值产出的效率、质量与持续性，是嘉数</w:t>
      </w:r>
      <w:r w:rsidRPr="00CC5E4B">
        <w:rPr>
          <w:kern w:val="0"/>
        </w:rPr>
        <w:lastRenderedPageBreak/>
        <w:t>模式能够摆脱传统数字化建设短期化、碎片化、低效化困境，实现长效稳定公共价值创造的核心关键。</w:t>
      </w:r>
    </w:p>
    <w:p w14:paraId="590E627B" w14:textId="77777777" w:rsidR="00CC5E4B" w:rsidRPr="00CC5E4B" w:rsidRDefault="00CC5E4B" w:rsidP="00CC5E4B">
      <w:pPr>
        <w:pStyle w:val="2"/>
        <w:spacing w:before="156" w:after="156"/>
      </w:pPr>
      <w:bookmarkStart w:id="217" w:name="_Toc7115"/>
      <w:bookmarkStart w:id="218" w:name="_Toc236777524"/>
      <w:bookmarkStart w:id="219" w:name="_Toc236777897"/>
      <w:bookmarkStart w:id="220" w:name="_Toc236777970"/>
      <w:bookmarkEnd w:id="217"/>
      <w:r w:rsidRPr="00CC5E4B">
        <w:t>增值机理：多维公共价值反哺，实现授权环境动态扩容</w:t>
      </w:r>
      <w:bookmarkEnd w:id="218"/>
      <w:bookmarkEnd w:id="219"/>
      <w:bookmarkEnd w:id="220"/>
    </w:p>
    <w:p w14:paraId="17E4DFFA" w14:textId="77777777" w:rsidR="00CC5E4B" w:rsidRPr="00CC5E4B" w:rsidRDefault="00CC5E4B" w:rsidP="00CC5E4B">
      <w:pPr>
        <w:widowControl/>
        <w:autoSpaceDE w:val="0"/>
        <w:spacing w:line="360" w:lineRule="auto"/>
        <w:ind w:firstLine="480" w:firstLineChars="200"/>
        <w:jc w:val="both"/>
        <w:rPr>
          <w:rFonts w:ascii="宋体" w:eastAsia="宋体" w:hAnsi="宋体"/>
          <w:kern w:val="0"/>
          <w:szCs w:val="24"/>
        </w:rPr>
      </w:pPr>
      <w:r w:rsidRPr="00CC5E4B">
        <w:rPr>
          <w:kern w:val="0"/>
        </w:rPr>
        <w:t xml:space="preserve">在马克·穆尔战略三角理论的完整逻辑体系中，公共价值不仅是公共组织开展公共服务、履行公共职能的最终产出成果，更是维系组织合法性、延续政策授权、扩充发展资源的核心内生动力。传统数字化建设研究多聚焦</w:t>
      </w:r>
      <w:r w:rsidRPr="00CC5E4B">
        <w:rPr>
          <w:rFonts w:ascii="宋体" w:eastAsia="宋体" w:hAnsi="宋体" w:cs="宋体" w:hint="eastAsia"/>
          <w:kern w:val="0"/>
        </w:rPr>
        <w:t xml:space="preserve">“</w:t>
      </w:r>
      <w:r w:rsidRPr="00CC5E4B">
        <w:rPr>
          <w:kern w:val="0"/>
        </w:rPr>
        <w:t xml:space="preserve">授权投入—能力建设—价值产出</w:t>
      </w:r>
      <w:r w:rsidRPr="00CC5E4B">
        <w:rPr>
          <w:rFonts w:ascii="宋体" w:eastAsia="宋体" w:hAnsi="宋体" w:cs="宋体" w:hint="eastAsia"/>
          <w:kern w:val="0"/>
        </w:rPr>
        <w:t xml:space="preserve">”</w:t>
      </w:r>
      <w:r w:rsidRPr="00CC5E4B">
        <w:rPr>
          <w:kern w:val="0"/>
        </w:rPr>
        <w:t xml:space="preserve">的单向线性逻辑，忽略了公共价值对授权体系的反向塑造、动态反馈、迭代扩容核心机制，难以解释优质地方数字化模式能够持续获取政策倾斜、实现滚动发展的核心原因。事实上，战略三角模型的核心精髓在于三大要素的动态循环均衡，当嘉数依托前期政策授权、政企资源与自主运营能力完成数字化场景落地与价值输出后，其所创造的治理成效、民生效益与示范效益将形成多维正向反馈，反向作用于初始授权环境，持续巩固制度合法性、拓宽资源边界、提升主体层级。嘉数立足嘉兴数字城市试点建设实践，依托成熟的技术平台、数据要素与人才运营体系，从政府治理效能升级、社会民生服务普惠、行业模式示范引领三个层层递进的维度持续输出高质量公共价值，构建起</w:t>
      </w:r>
      <w:r w:rsidRPr="00CC5E4B">
        <w:rPr>
          <w:rFonts w:ascii="宋体" w:eastAsia="宋体" w:hAnsi="宋体" w:cs="宋体" w:hint="eastAsia"/>
          <w:kern w:val="0"/>
        </w:rPr>
        <w:t xml:space="preserve">“</w:t>
      </w:r>
      <w:r w:rsidRPr="00CC5E4B">
        <w:rPr>
          <w:kern w:val="0"/>
        </w:rPr>
        <w:t xml:space="preserve">资源授权输入—运营能力转化—公共价值输出—全域授权扩容</w:t>
      </w:r>
      <w:r w:rsidRPr="00CC5E4B">
        <w:rPr>
          <w:rFonts w:ascii="宋体" w:eastAsia="宋体" w:hAnsi="宋体" w:cs="宋体" w:hint="eastAsia"/>
          <w:kern w:val="0"/>
        </w:rPr>
        <w:t xml:space="preserve">”</w:t>
      </w:r>
      <w:r w:rsidRPr="00CC5E4B">
        <w:rPr>
          <w:kern w:val="0"/>
        </w:rPr>
        <w:t xml:space="preserve">的闭环增值机制，彻底打破传统数字化项目</w:t>
      </w:r>
      <w:r w:rsidRPr="00CC5E4B">
        <w:rPr>
          <w:rFonts w:ascii="宋体" w:eastAsia="宋体" w:hAnsi="宋体" w:cs="宋体" w:hint="eastAsia"/>
          <w:kern w:val="0"/>
        </w:rPr>
        <w:t xml:space="preserve">“</w:t>
      </w:r>
      <w:r w:rsidRPr="00CC5E4B">
        <w:rPr>
          <w:kern w:val="0"/>
        </w:rPr>
        <w:t xml:space="preserve">重建设、轻运营、一次性投入、无持续迭代</w:t>
      </w:r>
      <w:r w:rsidRPr="00CC5E4B">
        <w:rPr>
          <w:rFonts w:ascii="宋体" w:eastAsia="宋体" w:hAnsi="宋体" w:cs="宋体" w:hint="eastAsia"/>
          <w:kern w:val="0"/>
        </w:rPr>
        <w:t xml:space="preserve">”</w:t>
      </w:r>
      <w:r w:rsidRPr="00CC5E4B">
        <w:rPr>
          <w:kern w:val="0"/>
        </w:rPr>
        <w:t xml:space="preserve">的发展困境，实现企业发展动能与城市数字化建设的双向赋能、同步升级。</w:t>
      </w:r>
    </w:p>
    <w:p w14:paraId="427144C0" w14:textId="77777777" w:rsidR="00CC5E4B" w:rsidRPr="00CC5E4B" w:rsidRDefault="00CC5E4B" w:rsidP="00CC5E4B">
      <w:pPr>
        <w:pStyle w:val="a"/>
        <w:spacing w:before="156" w:after="156"/>
      </w:pPr>
      <w:bookmarkStart w:id="221" w:name="_Toc5605"/>
      <w:bookmarkStart w:id="222" w:name="_Toc236777525"/>
      <w:bookmarkStart w:id="223" w:name="_Toc236777898"/>
      <w:bookmarkStart w:id="224" w:name="_Toc236777971"/>
      <w:bookmarkEnd w:id="221"/>
      <w:r w:rsidRPr="00CC5E4B">
        <w:t>政府治理维度</w:t>
      </w:r>
      <w:bookmarkEnd w:id="222"/>
      <w:bookmarkEnd w:id="223"/>
      <w:bookmarkEnd w:id="224"/>
    </w:p>
    <w:p w14:paraId="0E6745CE" w14:textId="77777777" w:rsidR="00CC5E4B" w:rsidRPr="00CC5E4B" w:rsidRDefault="00CC5E4B" w:rsidP="00CC5E4B">
      <w:pPr>
        <w:widowControl/>
        <w:autoSpaceDE w:val="0"/>
        <w:spacing w:line="360" w:lineRule="auto"/>
        <w:ind w:firstLine="480" w:firstLineChars="200"/>
        <w:jc w:val="both"/>
        <w:rPr>
          <w:rFonts w:ascii="Calibri" w:eastAsia="宋体" w:hAnsi="Calibri"/>
        </w:rPr>
      </w:pPr>
      <w:r w:rsidRPr="00CC5E4B">
        <w:rPr>
          <w:kern w:val="0"/>
        </w:rPr>
        <w:t>量化治理效能夯实官方授权信任基础。政府数字化改革的核心目标是推进市域治理体系和治理能力现代化，而可量化、可落地、可考核的治理成效，是地方政府与上级主管部门评判试点工作价值、持续释放授权权限的核心依据。嘉数作为嘉兴市域数字治理的专属运营载体，承接全市公共数据统筹、城市大脑运维、智慧治理场景落地的核心职能，通过数字化、智能化手段重构基层治理流程、重塑城市运行管理模式，实现治理效率、治理精度、治理覆盖面的全方位跃升，以实打实的改革成效兑现试点建设使命。在核心的智慧政法与基层社会治理场景中，传统人工研判模式依赖基层工作人员经验积累与人工筛查，</w:t>
      </w:r>
      <w:r w:rsidRPr="00CC5E4B">
        <w:rPr>
          <w:kern w:val="0"/>
        </w:rPr>
        <w:lastRenderedPageBreak/>
        <w:t>存在数据碎片化、研判周期长、精准度低、人力成本高的突出痛点，难以适配新时代城市精细化治理需求。嘉数搭建的智能化治理平台依托大数据归集分析与AI智能研判能力，将原本需要3个工作日完成的矛盾风险特征提取工作压缩至30分钟，将6小时的事件研判处置周期缩短至40分钟，治理响应速度实现量级提升，大幅规避了传统治理模式下风险研判滞后、矛盾处置不及时、隐患拖延扩大等治理难题。同时，依托自研“社会治理一张图”核心产品，嘉数实现全市街道、社区、重点区域城市运行数据的全域归集、态势可视、风险预警、智能调度，构建起“全域感知、精准研判、快速处置、闭环回访”的现代化治理体系，有效降低基层人力值守、人工排查、重复统计等冗余工作成本，切实为基层减负增效。一系列直观、量化、可考核的治理成果，精准契合国家数字中国建设、市域治理现代化改革的顶层政策导向，充分验证了嘉兴数字化试点布局的科学性与必要性，全方位彰显嘉数作为市级数字化试点核心载体的专业能力与履职价值。在此基础上，持续稳定的治理输出不断强化市委市政府、省级及国家级主管部门对嘉数的主体信任，稳固其在全市政务数字化建设、公共数据统筹运营、新型智慧场景落地中的独家授权地位，持续获取新增政务项目权限、数据管理权限、试点改革权限，实现制度授权的持续稳固与深化。</w:t>
      </w:r>
    </w:p>
    <w:p w14:paraId="2AEDB153" w14:textId="77777777" w:rsidR="00CC5E4B" w:rsidRPr="00CC5E4B" w:rsidRDefault="00CC5E4B" w:rsidP="00CC5E4B">
      <w:pPr>
        <w:pStyle w:val="a"/>
        <w:spacing w:before="156" w:after="156"/>
      </w:pPr>
      <w:bookmarkStart w:id="225" w:name="_Toc20632"/>
      <w:bookmarkStart w:id="226" w:name="_Toc236777526"/>
      <w:bookmarkStart w:id="227" w:name="_Toc236777899"/>
      <w:bookmarkStart w:id="228" w:name="_Toc236777972"/>
      <w:bookmarkEnd w:id="225"/>
      <w:r w:rsidRPr="00CC5E4B">
        <w:t>社会民生维度</w:t>
      </w:r>
      <w:bookmarkEnd w:id="226"/>
      <w:bookmarkEnd w:id="227"/>
      <w:bookmarkEnd w:id="228"/>
    </w:p>
    <w:p w14:paraId="7BB88D8C" w14:textId="77777777" w:rsidR="00CC5E4B" w:rsidRPr="00CC5E4B" w:rsidRDefault="00CC5E4B" w:rsidP="00CC5E4B">
      <w:pPr>
        <w:widowControl/>
        <w:autoSpaceDE w:val="0"/>
        <w:spacing w:line="360" w:lineRule="auto"/>
        <w:ind w:firstLine="480" w:firstLineChars="200"/>
        <w:jc w:val="both"/>
        <w:rPr>
          <w:rFonts w:ascii="宋体" w:eastAsia="宋体" w:hAnsi="宋体"/>
          <w:kern w:val="0"/>
          <w:szCs w:val="24"/>
        </w:rPr>
      </w:pPr>
      <w:r w:rsidRPr="00CC5E4B">
        <w:rPr>
          <w:kern w:val="0"/>
        </w:rPr>
        <w:t>普惠服务成果筑牢群众基层支撑。公共价值的核心内核是民生价值，数字城市建设的最终落脚点在于以数字化手段赋能公共服务升级、破解民生痛点、提升市民生活幸福感与获得感。相较于官方制度授权，社会层面的群众认可、市场口碑、公众支持属于隐性授权资源，虽无明文政策规定，却是地方政府持续加大数字化投入、放宽企业业务边界、扩大试点建设范围的重要决策依据，是授权环境不可或缺的重要组成部分。嘉数跳出单纯的政务治理建设思维，将数字化运营能力全面下沉、延伸至群众日常生活的核心场景，聚焦智慧教育、智慧医疗、智慧交通、应急管理、便民服务等重点民生领域，针对传统公共服务流程繁琐、办事效率低、服务渠道分散、资源分配不均等民生短板，开展场景化数字化改造与服务模式创新。通过搭建一体化便民服务数字端口、优化政务服务线上流程、打通跨部门民生数据壁垒，有效精简群众办事材料、压缩办</w:t>
      </w:r>
      <w:r w:rsidRPr="00CC5E4B">
        <w:rPr>
          <w:kern w:val="0"/>
        </w:rPr>
        <w:lastRenderedPageBreak/>
        <w:t>事时限、减少跑动次数，实现多数民生事项“线上办、掌上办、就近办”，彻底改变传统民生服务繁琐低效的现状。同时，依托大数据分析市民服务需求，精准匹配公共服务资源，实现公共服务从“被动供给”向“主动适配”转型，大幅提升公共服务的精准度、普惠性与便捷度。持续迭代的数字化民生服务，让广大市民切实感知到数字城市建设的落地成效，显著提升群众对嘉兴数字化改革工作的满意度与认可度，形成广泛、正向的社会舆论支撑与群众基础。这种来自社会大众的隐性授权与正向反馈，能够有效反向传导至政府决策体系，坚定地方政府持续加码数字化基建、扩大试点创新范围、放开新兴数字场景准入的决策信心，进一步拓宽嘉数的业务承接边界、丰富本土化资源授权，形成“民生惠民—群众认可—政府赋能—空间扩容”的良性互动格局。</w:t>
      </w:r>
    </w:p>
    <w:p>
      <w:pPr>
        <w:keepNext/>
        <w:widowControl w:val="0"/>
        <w:ind w:firstLineChars="0" w:firstLine="0"/>
        <w:jc w:val="center"/>
      </w:pPr>
      <w:r w:rsidRPr="00CC5E4B">
        <w:rPr>
          <w:noProof/>
        </w:rPr>
        <w:drawing>
          <wp:inline distT="0" distB="0" distL="0" distR="0" wp14:anchorId="17802320" wp14:editId="29D03BF2">
            <wp:extent cx="5257800" cy="1943100"/>
            <wp:effectExtent l="0" t="0" r="0" b="0"/>
            <wp:docPr id="145"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57800" cy="1943100"/>
                    </a:xfrm>
                    <a:prstGeom prst="rect">
                      <a:avLst/>
                    </a:prstGeom>
                    <a:noFill/>
                    <a:ln>
                      <a:noFill/>
                    </a:ln>
                  </pic:spPr>
                </pic:pic>
              </a:graphicData>
            </a:graphic>
          </wp:inline>
        </w:drawing>
      </w:r>
    </w:p>
    <w:p w14:paraId="721B303D" w14:textId="21A0B6ED" w:rsidR="00CC5E4B" w:rsidRPr="00E2232F" w:rsidRDefault="00E2232F" w:rsidP="00E2232F">
      <w:pPr>
        <w:pStyle w:val="af7"/>
        <w:ind w:firstLine="0" w:firstLineChars="0"/>
        <w:jc w:val="center"/>
        <w:rPr>
          <w:rFonts w:asciiTheme="majorHAnsi" w:eastAsia="黑体" w:hAnsiTheme="majorHAnsi"/>
          <w:szCs w:val="20"/>
        </w:rPr>
      </w:pPr>
      <w:bookmarkStart w:id="229" w:name="_Toc236779321"/>
      <w:r>
        <w:rPr/>
        <w:t>图</w:t>
      </w:r>
      <w:r>
        <w:rPr/>
        <w:t xml:space="preserve"> </w:t>
      </w:r>
      <w:r>
        <w:rPr/>
        <w:fldChar w:fldCharType="begin"/>
      </w:r>
      <w:r>
        <w:rPr/>
        <w:instrText xml:space="preserve"> STYLEREF 1 \s </w:instrText>
      </w:r>
      <w:r>
        <w:rPr/>
        <w:fldChar w:fldCharType="separate"/>
      </w:r>
      <w:r>
        <w:rPr>
          <w:noProof/>
        </w:rPr>
        <w:t>4</w:t>
      </w:r>
      <w:r>
        <w:rPr/>
        <w:fldChar w:fldCharType="end"/>
      </w:r>
      <w:r>
        <w:rPr/>
        <w:noBreakHyphen/>
      </w:r>
      <w:r>
        <w:rPr/>
        <w:fldChar w:fldCharType="begin"/>
      </w:r>
      <w:r>
        <w:rPr/>
        <w:instrText xml:space="preserve"> SEQ </w:instrText>
      </w:r>
      <w:r>
        <w:rPr/>
        <w:instrText>图</w:instrText>
      </w:r>
      <w:r>
        <w:rPr/>
        <w:instrText xml:space="preserve"> \* ARABIC \s 1 </w:instrText>
      </w:r>
      <w:r>
        <w:rPr/>
        <w:fldChar w:fldCharType="separate"/>
      </w:r>
      <w:r>
        <w:rPr>
          <w:noProof/>
        </w:rPr>
        <w:t>9</w:t>
      </w:r>
      <w:r>
        <w:rPr/>
        <w:fldChar w:fldCharType="end"/>
      </w:r>
      <w:r>
        <w:rPr/>
        <w:t xml:space="preserve"> </w:t>
      </w:r>
      <w:r w:rsidR="00CC5E4B" w:rsidRPr="00E2232F">
        <w:t>公共价值三维增值产出结构图</w:t>
      </w:r>
      <w:bookmarkEnd w:id="229"/>
    </w:p>
    <w:p w14:paraId="18168215" w14:textId="77777777" w:rsidR="00CC5E4B" w:rsidRPr="00CC5E4B" w:rsidRDefault="00CC5E4B" w:rsidP="00CC5E4B">
      <w:pPr>
        <w:pStyle w:val="a"/>
        <w:spacing w:before="156" w:after="156"/>
      </w:pPr>
      <w:bookmarkStart w:id="230" w:name="_Toc4967"/>
      <w:bookmarkStart w:id="231" w:name="_Toc236777527"/>
      <w:bookmarkStart w:id="232" w:name="_Toc236777900"/>
      <w:bookmarkStart w:id="233" w:name="_Toc236777973"/>
      <w:bookmarkEnd w:id="230"/>
      <w:r w:rsidRPr="00CC5E4B">
        <w:t>在行业示范维度</w:t>
      </w:r>
      <w:bookmarkEnd w:id="231"/>
      <w:bookmarkEnd w:id="232"/>
      <w:bookmarkEnd w:id="233"/>
    </w:p>
    <w:p w14:paraId="32892517" w14:textId="77777777" w:rsidR="00CC5E4B" w:rsidRPr="00CC5E4B" w:rsidRDefault="00CC5E4B" w:rsidP="00CC5E4B">
      <w:pPr>
        <w:widowControl/>
        <w:autoSpaceDE w:val="0"/>
        <w:spacing w:line="360" w:lineRule="auto"/>
        <w:ind w:firstLine="480" w:firstLineChars="200"/>
        <w:jc w:val="both"/>
        <w:rPr>
          <w:rFonts w:ascii="宋体" w:eastAsia="宋体" w:hAnsi="宋体"/>
          <w:kern w:val="0"/>
          <w:szCs w:val="24"/>
        </w:rPr>
      </w:pPr>
      <w:r w:rsidRPr="00CC5E4B">
        <w:rPr>
          <w:kern w:val="0"/>
        </w:rPr>
        <w:t xml:space="preserve">标杆成果实现跨层级跨区域授权扩容。在完成市域治理提质与民生普惠的基础上，嘉数依托长期试点积淀与技术创新积累，持续打磨标准化、可复制、可推广的数字化建设成果，实现公共价值从</w:t>
      </w:r>
      <w:r w:rsidRPr="00CC5E4B">
        <w:rPr>
          <w:rFonts w:ascii="宋体" w:eastAsia="宋体" w:hAnsi="宋体" w:cs="宋体" w:hint="eastAsia"/>
          <w:kern w:val="0"/>
        </w:rPr>
        <w:t xml:space="preserve">“</w:t>
      </w:r>
      <w:r w:rsidRPr="00CC5E4B">
        <w:rPr>
          <w:kern w:val="0"/>
        </w:rPr>
        <w:t xml:space="preserve">市域落地</w:t>
      </w:r>
      <w:r w:rsidRPr="00CC5E4B">
        <w:rPr>
          <w:rFonts w:ascii="宋体" w:eastAsia="宋体" w:hAnsi="宋体" w:cs="宋体" w:hint="eastAsia"/>
          <w:kern w:val="0"/>
        </w:rPr>
        <w:t xml:space="preserve">”</w:t>
      </w:r>
      <w:r w:rsidRPr="00CC5E4B">
        <w:rPr>
          <w:kern w:val="0"/>
        </w:rPr>
        <w:t xml:space="preserve">向</w:t>
      </w:r>
      <w:r w:rsidRPr="00CC5E4B">
        <w:rPr>
          <w:rFonts w:ascii="宋体" w:eastAsia="宋体" w:hAnsi="宋体" w:cs="宋体" w:hint="eastAsia"/>
          <w:kern w:val="0"/>
        </w:rPr>
        <w:t xml:space="preserve">“</w:t>
      </w:r>
      <w:r w:rsidRPr="00CC5E4B">
        <w:rPr>
          <w:kern w:val="0"/>
        </w:rPr>
        <w:t xml:space="preserve">全省示范、全国借鉴</w:t>
      </w:r>
      <w:r w:rsidRPr="00CC5E4B">
        <w:rPr>
          <w:rFonts w:ascii="宋体" w:eastAsia="宋体" w:hAnsi="宋体" w:cs="宋体" w:hint="eastAsia"/>
          <w:kern w:val="0"/>
        </w:rPr>
        <w:t xml:space="preserve">”</w:t>
      </w:r>
      <w:r w:rsidRPr="00CC5E4B">
        <w:rPr>
          <w:kern w:val="0"/>
        </w:rPr>
        <w:t xml:space="preserve">跃迁，推动自身授权环境从本土化、市域级别的有限授权，升级为跨层级、跨区域、开放性的多元授权体系，完成授权维度的高阶扩容。相较于常规数字化项目的零散建设成果，嘉数立足嘉兴试点特色，构建了</w:t>
      </w:r>
      <w:r w:rsidRPr="00CC5E4B">
        <w:rPr>
          <w:rFonts w:ascii="宋体" w:eastAsia="宋体" w:hAnsi="宋体" w:cs="宋体" w:hint="eastAsia"/>
          <w:kern w:val="0"/>
        </w:rPr>
        <w:t xml:space="preserve">“</w:t>
      </w:r>
      <w:r w:rsidRPr="00CC5E4B">
        <w:rPr>
          <w:kern w:val="0"/>
        </w:rPr>
        <w:t xml:space="preserve">数据归集标准化、场景应用体系化、治理服务一体化、运营服务长效化</w:t>
      </w:r>
      <w:r w:rsidRPr="00CC5E4B">
        <w:rPr>
          <w:rFonts w:ascii="宋体" w:eastAsia="宋体" w:hAnsi="宋体" w:cs="宋体" w:hint="eastAsia"/>
          <w:kern w:val="0"/>
        </w:rPr>
        <w:t xml:space="preserve">”</w:t>
      </w:r>
      <w:r w:rsidRPr="00CC5E4B">
        <w:rPr>
          <w:kern w:val="0"/>
        </w:rPr>
        <w:t xml:space="preserve">的完整数字城市建设模式，形成区别于传统建设模式的嘉数特色路径。其中，核心产品</w:t>
      </w:r>
      <w:r w:rsidRPr="00CC5E4B">
        <w:rPr>
          <w:rFonts w:ascii="宋体" w:eastAsia="宋体" w:hAnsi="宋体" w:cs="宋体" w:hint="eastAsia"/>
          <w:kern w:val="0"/>
        </w:rPr>
        <w:t xml:space="preserve">“</w:t>
      </w:r>
      <w:r w:rsidRPr="00CC5E4B">
        <w:rPr>
          <w:kern w:val="0"/>
        </w:rPr>
        <w:t xml:space="preserve">社会治理一张图</w:t>
      </w:r>
      <w:r w:rsidRPr="00CC5E4B">
        <w:rPr>
          <w:rFonts w:ascii="宋体" w:eastAsia="宋体" w:hAnsi="宋体" w:cs="宋体" w:hint="eastAsia"/>
          <w:kern w:val="0"/>
        </w:rPr>
        <w:t xml:space="preserve">”</w:t>
      </w:r>
      <w:r w:rsidRPr="00CC5E4B">
        <w:rPr>
          <w:kern w:val="0"/>
        </w:rPr>
        <w:t xml:space="preserve">凭借成熟的技术架构、显著的治理成效、创新的运营模式，成功入选2025年浙江省数商优秀案例，成为浙江省市域数字化治理的标杆示范成果；</w:t>
      </w:r>
      <w:r w:rsidRPr="00CC5E4B">
        <w:rPr>
          <w:kern w:val="0"/>
        </w:rPr>
        <w:lastRenderedPageBreak/>
        <w:t>企业凭借持续的技术研发投入与创新能力积淀，获评国家高新技术企业，持续承接国家“十四五”重点研发专项、工信部数字化试点等国家级重点任务，充分彰显其技术创新能力与平台运营实力。经过多年试点打磨，嘉数已沉淀出一套涵盖数据治理、城市运营、民生服务、应急治理、智慧政务的标准化解决方案，摆脱了传统项目式建设的碎片化弊端，具备规模化复制、跨区域推广的核心条件。系列标志性示范成果不仅获得嘉兴本地政府的高度认可，更得到省级、国家级行业主管部门的充分肯定，有效提升嘉兴数字城市试点模式的行业影响力与品牌价值。在此基础上，优质的示范成效为嘉数争取到更高层级的试点资质、专项扶持资金、科研创新资源与政策倾斜，同时解锁了跨城市技术输出、模式输出、合作共建的全新授权维度，彻底突破原有市域授权的地域局限，实现授权层级从市级向省、国家级跃升，授权范围从单一项目授权向全域合作授权拓展。</w:t>
      </w:r>
    </w:p>
    <w:p w14:paraId="5260A571" w14:textId="77777777" w:rsidR="00CC5E4B" w:rsidRPr="00CC5E4B" w:rsidRDefault="00CC5E4B" w:rsidP="00CC5E4B">
      <w:pPr>
        <w:widowControl/>
        <w:autoSpaceDE w:val="0"/>
        <w:ind w:firstLine="0" w:firstLineChars="0"/>
        <w:jc w:val="center"/>
        <w:rPr>
          <w:rFonts w:ascii="Calibri" w:eastAsia="宋体" w:hAnsi="Calibri"/>
        </w:rPr>
      </w:pPr>
      <w:r w:rsidRPr="00CC5E4B">
        <w:rPr>
          <w:noProof/>
        </w:rPr>
        <w:drawing>
          <wp:inline distT="0" distB="0" distL="0" distR="0" wp14:anchorId="34988B08" wp14:editId="5B1A7CC2">
            <wp:extent cx="5265420" cy="2065020"/>
            <wp:effectExtent l="0" t="0" r="0" b="0"/>
            <wp:docPr id="146"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65420" cy="2065020"/>
                    </a:xfrm>
                    <a:prstGeom prst="rect">
                      <a:avLst/>
                    </a:prstGeom>
                    <a:noFill/>
                    <a:ln>
                      <a:noFill/>
                    </a:ln>
                  </pic:spPr>
                </pic:pic>
              </a:graphicData>
            </a:graphic>
          </wp:inline>
        </w:drawing>
      </w:r>
      <w:r w:rsidRPr="00CC5E4B">
        <w:rPr/>
        <w:t xml:space="preserve"> </w:t>
      </w:r>
    </w:p>
    <w:p w14:paraId="60B7C1D5" w14:textId="6984F939" w:rsidR="00CC5E4B" w:rsidRPr="00E2232F" w:rsidRDefault="00E2232F" w:rsidP="00E2232F">
      <w:pPr>
        <w:pStyle w:val="af7"/>
        <w:ind w:firstLine="0" w:firstLineChars="0"/>
        <w:jc w:val="center"/>
        <w:rPr>
          <w:rFonts w:asciiTheme="majorHAnsi" w:eastAsia="黑体" w:hAnsiTheme="majorHAnsi"/>
          <w:sz w:val="20"/>
          <w:szCs w:val="20"/>
        </w:rPr>
      </w:pPr>
      <w:bookmarkStart w:id="234" w:name="_Toc236779322"/>
      <w:r>
        <w:rPr/>
        <w:t>图</w:t>
      </w:r>
      <w:r>
        <w:rPr/>
        <w:t xml:space="preserve"> </w:t>
      </w:r>
      <w:r>
        <w:rPr/>
        <w:fldChar w:fldCharType="begin"/>
      </w:r>
      <w:r>
        <w:rPr/>
        <w:instrText xml:space="preserve"> STYLEREF 1 \s </w:instrText>
      </w:r>
      <w:r>
        <w:rPr/>
        <w:fldChar w:fldCharType="separate"/>
      </w:r>
      <w:r>
        <w:rPr>
          <w:noProof/>
        </w:rPr>
        <w:t>4</w:t>
      </w:r>
      <w:r>
        <w:rPr/>
        <w:fldChar w:fldCharType="end"/>
      </w:r>
      <w:r>
        <w:rPr/>
        <w:noBreakHyphen/>
      </w:r>
      <w:r>
        <w:rPr/>
        <w:fldChar w:fldCharType="begin"/>
      </w:r>
      <w:r>
        <w:rPr/>
        <w:instrText xml:space="preserve"> SEQ </w:instrText>
      </w:r>
      <w:r>
        <w:rPr/>
        <w:instrText>图</w:instrText>
      </w:r>
      <w:r>
        <w:rPr/>
        <w:instrText xml:space="preserve"> \* ARABIC \s 1 </w:instrText>
      </w:r>
      <w:r>
        <w:rPr/>
        <w:fldChar w:fldCharType="separate"/>
      </w:r>
      <w:r>
        <w:rPr>
          <w:noProof/>
        </w:rPr>
        <w:t>10</w:t>
      </w:r>
      <w:r>
        <w:rPr/>
        <w:fldChar w:fldCharType="end"/>
      </w:r>
      <w:r>
        <w:rPr/>
        <w:t xml:space="preserve"> </w:t>
      </w:r>
      <w:r w:rsidR="00CC5E4B" w:rsidRPr="00E2232F">
        <w:t>公共价值反向赋能授权环境反馈图</w:t>
      </w:r>
      <w:bookmarkEnd w:id="234"/>
    </w:p>
    <w:p w14:paraId="0493E3CC" w14:textId="77777777" w:rsidR="00CC5E4B" w:rsidRPr="00CC5E4B" w:rsidRDefault="00CC5E4B" w:rsidP="00CC5E4B">
      <w:pPr>
        <w:pStyle w:val="2"/>
        <w:spacing w:before="156" w:after="156"/>
      </w:pPr>
      <w:r w:rsidRPr="00CC5E4B">
        <w:t xml:space="preserve"> </w:t>
      </w:r>
      <w:bookmarkStart w:id="235" w:name="_Toc26740"/>
      <w:bookmarkStart w:id="236" w:name="_Toc236777528"/>
      <w:bookmarkStart w:id="237" w:name="_Toc236777901"/>
      <w:bookmarkStart w:id="238" w:name="_Toc236777974"/>
      <w:r w:rsidRPr="00CC5E4B">
        <w:t>闭环机理：战略三角动态均衡下的可持续价值创造逻辑</w:t>
      </w:r>
      <w:bookmarkEnd w:id="235"/>
      <w:bookmarkEnd w:id="236"/>
      <w:bookmarkEnd w:id="237"/>
      <w:bookmarkEnd w:id="238"/>
    </w:p>
    <w:p w14:paraId="3896AD4D" w14:textId="77777777" w:rsidR="00CC5E4B" w:rsidRPr="00CC5E4B" w:rsidRDefault="00CC5E4B" w:rsidP="00CC5E4B">
      <w:pPr>
        <w:widowControl/>
        <w:autoSpaceDE w:val="0"/>
        <w:spacing w:line="360" w:lineRule="auto"/>
        <w:ind w:firstLine="480" w:firstLineChars="200"/>
        <w:jc w:val="both"/>
        <w:rPr>
          <w:rFonts w:ascii="宋体" w:eastAsia="宋体" w:hAnsi="宋体"/>
          <w:kern w:val="0"/>
          <w:szCs w:val="24"/>
        </w:rPr>
      </w:pPr>
      <w:r w:rsidRPr="00CC5E4B">
        <w:rPr>
          <w:kern w:val="0"/>
        </w:rPr>
        <w:t xml:space="preserve">战略三角模型的核心精髓，并非三大维度的简单叠加或线性递进，而是三者相互依存、相互约束、动态平衡、循环强化的有机耦合关系，这一动态均衡机理是公共组织实现长效可持续发展的核心逻辑。对于承担公共职能的市场化国企而言，单一的授权支撑、单一的能力建设或单一的价值输出，均无法实现模式长效运行，只有形成闭环循环的动态机制，才能兼顾公共使命与可持续运营。前文所述的</w:t>
      </w:r>
      <w:r w:rsidRPr="00CC5E4B">
        <w:rPr>
          <w:rFonts w:ascii="宋体" w:eastAsia="宋体" w:hAnsi="宋体" w:cs="宋体" w:hint="eastAsia"/>
          <w:kern w:val="0"/>
        </w:rPr>
        <w:t xml:space="preserve">“</w:t>
      </w:r>
      <w:r w:rsidRPr="00CC5E4B">
        <w:rPr>
          <w:kern w:val="0"/>
        </w:rPr>
        <w:t xml:space="preserve">授权前置、赋能转化、增值输出</w:t>
      </w:r>
      <w:r w:rsidRPr="00CC5E4B">
        <w:rPr>
          <w:rFonts w:ascii="宋体" w:eastAsia="宋体" w:hAnsi="宋体" w:cs="宋体" w:hint="eastAsia"/>
          <w:kern w:val="0"/>
        </w:rPr>
        <w:t xml:space="preserve">”</w:t>
      </w:r>
      <w:r w:rsidRPr="00CC5E4B">
        <w:rPr>
          <w:kern w:val="0"/>
        </w:rPr>
        <w:t xml:space="preserve">构成了价值创造的基础线性链路，而三者的动态耦合、反向赋能、自我迭代则构建了模式可持续的核心</w:t>
      </w:r>
      <w:r w:rsidRPr="00CC5E4B">
        <w:rPr>
          <w:kern w:val="0"/>
        </w:rPr>
        <w:lastRenderedPageBreak/>
        <w:t>闭环。嘉数“授权—赋能—增值”三维联动路径之所以能够长期稳定、持续产出高质量公共价值，且显著区别于传统地方国企“项目式建设、一次性投入、阶段性运营、无持续迭代”的短期化模式，核心就在于构建了层级递进、循环强化、动态均衡的三重闭环机理，实现政策授权、运营能力、公共价值三者的动态适配、双向赋能与永续升级。</w:t>
      </w:r>
    </w:p>
    <w:p w14:paraId="0783328D" w14:textId="77777777" w:rsidR="00CC5E4B" w:rsidRPr="00CC5E4B" w:rsidRDefault="00CC5E4B" w:rsidP="00CC5E4B">
      <w:pPr>
        <w:pStyle w:val="a"/>
        <w:spacing w:before="156" w:after="156"/>
      </w:pPr>
      <w:bookmarkStart w:id="239" w:name="_Toc28242"/>
      <w:bookmarkStart w:id="240" w:name="_Toc236777529"/>
      <w:bookmarkStart w:id="241" w:name="_Toc236777902"/>
      <w:bookmarkStart w:id="242" w:name="_Toc236777975"/>
      <w:bookmarkEnd w:id="239"/>
      <w:r w:rsidRPr="00CC5E4B">
        <w:t>三维度存在不可逆的基础递进逻辑</w:t>
      </w:r>
      <w:bookmarkEnd w:id="240"/>
      <w:bookmarkEnd w:id="241"/>
      <w:bookmarkEnd w:id="242"/>
    </w:p>
    <w:p w14:paraId="4F36FAF4" w14:textId="77777777" w:rsidR="00CC5E4B" w:rsidRPr="00CC5E4B" w:rsidRDefault="00CC5E4B" w:rsidP="00CC5E4B">
      <w:pPr>
        <w:widowControl/>
        <w:autoSpaceDE w:val="0"/>
        <w:spacing w:line="360" w:lineRule="auto"/>
        <w:ind w:firstLine="480" w:firstLineChars="200"/>
        <w:jc w:val="both"/>
        <w:rPr>
          <w:rFonts w:ascii="宋体" w:eastAsia="宋体" w:hAnsi="宋体"/>
          <w:kern w:val="0"/>
          <w:szCs w:val="24"/>
        </w:rPr>
      </w:pPr>
      <w:r w:rsidRPr="00CC5E4B">
        <w:rPr>
          <w:kern w:val="0"/>
        </w:rPr>
        <w:t xml:space="preserve">战略三角三大维度存在严格的先后依存、层层递进的内在逻辑，形成不可倒置、不可缺失的价值创造完整链条，是整个闭环机理的基础框架。首先，授权环境是运营能力搭建的前置先决条件，若无国家顶层试点政策赋予的制度豁免权、政企合资提供的巨额资金与双重资源、产学研协同提供的人才与科研支撑，嘉数将不具备城市大脑建设、公共数据平台搭建、高端实验室运营、AI政务研发的基础条件，全套运营赋能体系将无从搭建、无从落地。其次，运营能力是公共价值产出的必要工具与核心载体，仅有政策授权与资金资源，若无成熟的技术平台、规范的数据体系、专业的人才团队作为落地支撑，所有政策资源、试点权限都只能停留在规划层面，无法转化为治理提效、民生普惠、行业示范的实际公共价值，极易出现</w:t>
      </w:r>
      <w:r w:rsidRPr="00CC5E4B">
        <w:rPr>
          <w:rFonts w:ascii="宋体" w:eastAsia="宋体" w:hAnsi="宋体" w:cs="宋体" w:hint="eastAsia"/>
          <w:kern w:val="0"/>
        </w:rPr>
        <w:t xml:space="preserve">“</w:t>
      </w:r>
      <w:r w:rsidRPr="00CC5E4B">
        <w:rPr>
          <w:kern w:val="0"/>
        </w:rPr>
        <w:t xml:space="preserve">资源空转、授权闲置、建设无效</w:t>
      </w:r>
      <w:r w:rsidRPr="00CC5E4B">
        <w:rPr>
          <w:rFonts w:ascii="宋体" w:eastAsia="宋体" w:hAnsi="宋体" w:cs="宋体" w:hint="eastAsia"/>
          <w:kern w:val="0"/>
        </w:rPr>
        <w:t xml:space="preserve">”</w:t>
      </w:r>
      <w:r w:rsidRPr="00CC5E4B">
        <w:rPr>
          <w:kern w:val="0"/>
        </w:rPr>
        <w:t xml:space="preserve">的行业乱象。最后，公共价值是授权环境延续、稳固与扩容的核心支撑，是持续获取资源倾斜的核心依据，若无实打实、可量化、可感知、可推广的数字化治理成果与服务成效，政府与上级主管部门将失去持续授权、持续投入、持续赋能的动力，企业原有试点资质、数据权限、项目资源将逐步收缩、流失。三者形成</w:t>
      </w:r>
      <w:r w:rsidRPr="00CC5E4B">
        <w:rPr>
          <w:rFonts w:ascii="宋体" w:eastAsia="宋体" w:hAnsi="宋体" w:cs="宋体" w:hint="eastAsia"/>
          <w:kern w:val="0"/>
        </w:rPr>
        <w:t xml:space="preserve">“</w:t>
      </w:r>
      <w:r w:rsidRPr="00CC5E4B">
        <w:rPr>
          <w:kern w:val="0"/>
        </w:rPr>
        <w:t xml:space="preserve">授权奠基→赋能转化→增值落地</w:t>
      </w:r>
      <w:r w:rsidRPr="00CC5E4B">
        <w:rPr>
          <w:rFonts w:ascii="宋体" w:eastAsia="宋体" w:hAnsi="宋体" w:cs="宋体" w:hint="eastAsia"/>
          <w:kern w:val="0"/>
        </w:rPr>
        <w:t xml:space="preserve">”</w:t>
      </w:r>
      <w:r w:rsidRPr="00CC5E4B">
        <w:rPr>
          <w:kern w:val="0"/>
        </w:rPr>
        <w:t xml:space="preserve">的不可逆递进链路，构成嘉数公共价值创造的完整基础流程。</w:t>
      </w:r>
    </w:p>
    <w:p w14:paraId="0B46312B" w14:textId="77777777" w:rsidR="00CC5E4B" w:rsidRPr="00CC5E4B" w:rsidRDefault="00CC5E4B" w:rsidP="00CC5E4B">
      <w:pPr>
        <w:widowControl/>
        <w:autoSpaceDE w:val="0"/>
        <w:ind w:firstLine="0" w:firstLineChars="0"/>
        <w:jc w:val="center"/>
        <w:rPr>
          <w:rFonts w:ascii="Calibri" w:eastAsia="宋体" w:hAnsi="Calibri"/>
        </w:rPr>
      </w:pPr>
      <w:r w:rsidRPr="00CC5E4B">
        <w:rPr>
          <w:noProof/>
        </w:rPr>
        <w:drawing>
          <wp:inline distT="0" distB="0" distL="0" distR="0" wp14:anchorId="223109ED" wp14:editId="4E568EB5">
            <wp:extent cx="5257800" cy="1722120"/>
            <wp:effectExtent l="0" t="0" r="0" b="0"/>
            <wp:docPr id="147"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57800" cy="1722120"/>
                    </a:xfrm>
                    <a:prstGeom prst="rect">
                      <a:avLst/>
                    </a:prstGeom>
                    <a:noFill/>
                    <a:ln>
                      <a:noFill/>
                    </a:ln>
                  </pic:spPr>
                </pic:pic>
              </a:graphicData>
            </a:graphic>
          </wp:inline>
        </w:drawing>
      </w:r>
      <w:r w:rsidRPr="00CC5E4B">
        <w:rPr/>
        <w:t xml:space="preserve"> </w:t>
      </w:r>
    </w:p>
    <w:p w14:paraId="1ED8FFE3" w14:textId="4B772F72" w:rsidR="00CC5E4B" w:rsidRPr="00E2232F" w:rsidRDefault="00E2232F" w:rsidP="00E2232F">
      <w:pPr>
        <w:pStyle w:val="af7"/>
        <w:ind w:firstLine="0" w:firstLineChars="0"/>
        <w:jc w:val="center"/>
        <w:rPr>
          <w:rFonts w:asciiTheme="majorHAnsi" w:eastAsia="黑体" w:hAnsiTheme="majorHAnsi"/>
          <w:sz w:val="20"/>
          <w:szCs w:val="20"/>
        </w:rPr>
      </w:pPr>
      <w:bookmarkStart w:id="243" w:name="_Toc236779323"/>
      <w:r>
        <w:rPr/>
        <w:t>图</w:t>
      </w:r>
      <w:r>
        <w:rPr/>
        <w:t xml:space="preserve"> </w:t>
      </w:r>
      <w:r>
        <w:rPr/>
        <w:fldChar w:fldCharType="begin"/>
      </w:r>
      <w:r>
        <w:rPr/>
        <w:instrText xml:space="preserve"> STYLEREF 1 \s </w:instrText>
      </w:r>
      <w:r>
        <w:rPr/>
        <w:fldChar w:fldCharType="separate"/>
      </w:r>
      <w:r>
        <w:rPr>
          <w:noProof/>
        </w:rPr>
        <w:t>4</w:t>
      </w:r>
      <w:r>
        <w:rPr/>
        <w:fldChar w:fldCharType="end"/>
      </w:r>
      <w:r>
        <w:rPr/>
        <w:noBreakHyphen/>
      </w:r>
      <w:r>
        <w:rPr/>
        <w:fldChar w:fldCharType="begin"/>
      </w:r>
      <w:r>
        <w:rPr/>
        <w:instrText xml:space="preserve"> SEQ </w:instrText>
      </w:r>
      <w:r>
        <w:rPr/>
        <w:instrText>图</w:instrText>
      </w:r>
      <w:r>
        <w:rPr/>
        <w:instrText xml:space="preserve"> \* ARABIC \s 1 </w:instrText>
      </w:r>
      <w:r>
        <w:rPr/>
        <w:fldChar w:fldCharType="separate"/>
      </w:r>
      <w:r>
        <w:rPr>
          <w:noProof/>
        </w:rPr>
        <w:t>11</w:t>
      </w:r>
      <w:r>
        <w:rPr/>
        <w:fldChar w:fldCharType="end"/>
      </w:r>
      <w:r>
        <w:rPr/>
        <w:t xml:space="preserve"> </w:t>
      </w:r>
      <w:r w:rsidR="00CC5E4B" w:rsidRPr="00E2232F">
        <w:t>战略三角三维递进逻辑链图</w:t>
      </w:r>
      <w:bookmarkEnd w:id="243"/>
    </w:p>
    <w:p w14:paraId="05DD62F6" w14:textId="77777777" w:rsidR="00CC5E4B" w:rsidRPr="00CC5E4B" w:rsidRDefault="00CC5E4B" w:rsidP="00CC5E4B">
      <w:pPr>
        <w:pStyle w:val="a"/>
        <w:spacing w:before="156" w:after="156"/>
      </w:pPr>
      <w:bookmarkStart w:id="244" w:name="_Toc30037"/>
      <w:bookmarkStart w:id="245" w:name="_Toc236777530"/>
      <w:bookmarkStart w:id="246" w:name="_Toc236777903"/>
      <w:bookmarkStart w:id="247" w:name="_Toc236777976"/>
      <w:bookmarkEnd w:id="244"/>
      <w:r w:rsidRPr="00CC5E4B">
        <w:lastRenderedPageBreak/>
        <w:t>增值成果反向回流，形成正向循环强化机制</w:t>
      </w:r>
      <w:bookmarkEnd w:id="245"/>
      <w:bookmarkEnd w:id="246"/>
      <w:bookmarkEnd w:id="247"/>
    </w:p>
    <w:p w14:paraId="192A3363" w14:textId="77777777" w:rsidR="00CC5E4B" w:rsidRPr="00CC5E4B" w:rsidRDefault="00CC5E4B" w:rsidP="00CC5E4B">
      <w:pPr>
        <w:widowControl/>
        <w:autoSpaceDE w:val="0"/>
        <w:spacing w:line="360" w:lineRule="auto"/>
        <w:ind w:firstLine="480" w:firstLineChars="200"/>
        <w:jc w:val="both"/>
        <w:rPr>
          <w:rFonts w:ascii="宋体" w:eastAsia="宋体" w:hAnsi="宋体"/>
          <w:kern w:val="0"/>
          <w:szCs w:val="24"/>
        </w:rPr>
      </w:pPr>
      <w:r w:rsidRPr="00CC5E4B">
        <w:rPr>
          <w:kern w:val="0"/>
        </w:rPr>
        <w:t xml:space="preserve">层级递进链路完成的是单轮价值创造，而循环强化机制则实现了多轮迭代、永续升级，是嘉数模式能够持续增值、不断进阶的核心动力。在单轮</w:t>
      </w:r>
      <w:r w:rsidRPr="00CC5E4B">
        <w:rPr>
          <w:rFonts w:ascii="宋体" w:eastAsia="宋体" w:hAnsi="宋体" w:cs="宋体" w:hint="eastAsia"/>
          <w:kern w:val="0"/>
        </w:rPr>
        <w:t xml:space="preserve">“</w:t>
      </w:r>
      <w:r w:rsidRPr="00CC5E4B">
        <w:rPr>
          <w:kern w:val="0"/>
        </w:rPr>
        <w:t xml:space="preserve">授权—赋能—增值</w:t>
      </w:r>
      <w:r w:rsidRPr="00CC5E4B">
        <w:rPr>
          <w:rFonts w:ascii="宋体" w:eastAsia="宋体" w:hAnsi="宋体" w:cs="宋体" w:hint="eastAsia"/>
          <w:kern w:val="0"/>
        </w:rPr>
        <w:t xml:space="preserve">”</w:t>
      </w:r>
      <w:r w:rsidRPr="00CC5E4B">
        <w:rPr>
          <w:kern w:val="0"/>
        </w:rPr>
        <w:t xml:space="preserve">价值产出完成后，优质的公共价值成果将反向回流、反哺初始授权环境，形成全方位的资源扩容与资质升级。具体而言，嘉数沉淀的量化治理成效、普惠民生口碑、省级国家级标杆示范案例，能够帮助企业持续获取更多国家级专项课题、省级试点资质、地方政府新增项目资金、跨区域产学研合作资源与高阶政策背书，实现初始授权环境的全方位扩容升级。扩容后的授权环境，能够为企业输送更丰富的政策资源、更充足的研发资金、更高端的人才支撑、更广阔的创新空间，进一步加码运营能力建设，推动AI大模型、数据要素平台、治理场景体系的持续迭代升级，全面强化企业数字化运营、创新与服务能力。而持续升级的运营赋能体系，又能够落地更多高质量、高精准、高普惠的数字化治理与民生服务场景，产出规模更大、维度更广、质量更高、示范性更强的公共价值。周而复始，企业形成</w:t>
      </w:r>
      <w:r w:rsidRPr="00CC5E4B">
        <w:rPr>
          <w:rFonts w:ascii="宋体" w:eastAsia="宋体" w:hAnsi="宋体" w:cs="宋体" w:hint="eastAsia"/>
          <w:kern w:val="0"/>
        </w:rPr>
        <w:t xml:space="preserve">“</w:t>
      </w:r>
      <w:r w:rsidRPr="00CC5E4B">
        <w:rPr>
          <w:kern w:val="0"/>
        </w:rPr>
        <w:t xml:space="preserve">授权扩容→能力升级→价值倍增→授权再扩容</w:t>
      </w:r>
      <w:r w:rsidRPr="00CC5E4B">
        <w:rPr>
          <w:rFonts w:ascii="宋体" w:eastAsia="宋体" w:hAnsi="宋体" w:cs="宋体" w:hint="eastAsia"/>
          <w:kern w:val="0"/>
        </w:rPr>
        <w:t xml:space="preserve">”</w:t>
      </w:r>
      <w:r w:rsidRPr="00CC5E4B">
        <w:rPr>
          <w:kern w:val="0"/>
        </w:rPr>
        <w:t xml:space="preserve">的自我强化正向循环，彻底打破传统数字化建设一次性建设、静态化发展的弊端，实现企业发展与城市数字化改革的双向迭代、同步跃升。</w:t>
      </w:r>
    </w:p>
    <w:p w14:paraId="03022367" w14:textId="77777777" w:rsidR="00CC5E4B" w:rsidRPr="00CC5E4B" w:rsidRDefault="00CC5E4B" w:rsidP="00CC5E4B">
      <w:pPr>
        <w:pStyle w:val="a"/>
        <w:spacing w:before="156" w:after="156"/>
      </w:pPr>
      <w:bookmarkStart w:id="248" w:name="_Toc24420"/>
      <w:bookmarkStart w:id="249" w:name="_Toc236777531"/>
      <w:bookmarkStart w:id="250" w:name="_Toc236777904"/>
      <w:bookmarkStart w:id="251" w:name="_Toc236777977"/>
      <w:bookmarkEnd w:id="248"/>
      <w:r w:rsidRPr="00CC5E4B">
        <w:t>动态均衡实现公共使命与可持续运营统一</w:t>
      </w:r>
      <w:bookmarkEnd w:id="249"/>
      <w:bookmarkEnd w:id="250"/>
      <w:bookmarkEnd w:id="251"/>
    </w:p>
    <w:p w14:paraId="0414D002" w14:textId="77777777" w:rsidR="00CC5E4B" w:rsidRPr="00CC5E4B" w:rsidRDefault="00CC5E4B" w:rsidP="00CC5E4B">
      <w:pPr>
        <w:widowControl/>
        <w:autoSpaceDE w:val="0"/>
        <w:spacing w:line="360" w:lineRule="auto"/>
        <w:ind w:firstLine="480" w:firstLineChars="200"/>
        <w:jc w:val="both"/>
        <w:rPr>
          <w:rFonts w:ascii="宋体" w:eastAsia="宋体" w:hAnsi="宋体"/>
          <w:kern w:val="0"/>
          <w:szCs w:val="24"/>
        </w:rPr>
      </w:pPr>
      <w:r w:rsidRPr="00CC5E4B">
        <w:rPr>
          <w:kern w:val="0"/>
        </w:rPr>
        <w:t xml:space="preserve">公共属性国企参与市场化数字建设，普遍面临</w:t>
      </w:r>
      <w:r w:rsidRPr="00CC5E4B">
        <w:rPr>
          <w:rFonts w:ascii="宋体" w:eastAsia="宋体" w:hAnsi="宋体" w:cs="宋体" w:hint="eastAsia"/>
          <w:kern w:val="0"/>
        </w:rPr>
        <w:t xml:space="preserve">“</w:t>
      </w:r>
      <w:r w:rsidRPr="00CC5E4B">
        <w:rPr>
          <w:kern w:val="0"/>
        </w:rPr>
        <w:t xml:space="preserve">公共使命与市场盈利失衡</w:t>
      </w:r>
      <w:r w:rsidRPr="00CC5E4B">
        <w:rPr>
          <w:rFonts w:ascii="宋体" w:eastAsia="宋体" w:hAnsi="宋体" w:cs="宋体" w:hint="eastAsia"/>
          <w:kern w:val="0"/>
        </w:rPr>
        <w:t xml:space="preserve">”</w:t>
      </w:r>
      <w:r w:rsidRPr="00CC5E4B">
        <w:rPr>
          <w:kern w:val="0"/>
        </w:rPr>
        <w:t xml:space="preserve">的发展悖论，也是多数地方数字化模式难以持续的核心症结，而战略三角三维动态均衡机制为嘉数破解该难题提供了核心逻辑支撑。传统数字化建设主要存在两类典型失衡困境：其一，重授权、轻能力，部分地区仅有政策授权与财政投入，但缺乏配套的运营能力与落地团队，数字化平台重建设、轻运营，建成后长期闲置、功能空转，无法产出有效公共价值，造成政策资源与财政资金的严重浪费；其二，重市场、轻公益，部分市场化主体过度追逐商业盈利，弱化公共服务使命，偏离数字治理公共属性，最终失去政府政策授权与政务准入资质，无法持续承接公共数字化项目。嘉数依托战略三角三维动态耦合机制，实现三者相互约束、相互支撑、动态平衡的最优发展格局。其中，授权环境从制度层面约束企业坚守数字治理、民生服务的公共核心使命，规避企业过度市场化逐利、偏离公共定位的风险；运营能力从发展层面保障企业具备持续</w:t>
      </w:r>
      <w:r w:rsidRPr="00CC5E4B">
        <w:rPr>
          <w:kern w:val="0"/>
        </w:rPr>
        <w:lastRenderedPageBreak/>
        <w:t>技术研发、项目运营、场景创新的市场化实力，能够依托数字化服务实现良性运营、自主生存、长效发展，摆脱单纯依赖财政拨款的生存困境；公共价值从成效层面持续维系与巩固政府、上级部门、社会大众的授权信任，确保企业始终坚守公共职能定位、持续获取稳定资源支撑。三维动态均衡机制，让嘉数兼具公共属性的使命感与市场属性的生命力，实现公共使命落地与市场化可持续运营的有机统一。</w:t>
      </w:r>
    </w:p>
    <w:p w14:paraId="2D7C88F0" w14:textId="77777777" w:rsidR="00CC5E4B" w:rsidRPr="00CC5E4B" w:rsidRDefault="00CC5E4B" w:rsidP="00CC5E4B">
      <w:pPr>
        <w:widowControl/>
        <w:autoSpaceDE w:val="0"/>
        <w:ind w:firstLine="0" w:firstLineChars="0"/>
        <w:jc w:val="center"/>
        <w:rPr>
          <w:rFonts w:ascii="Calibri" w:eastAsia="宋体" w:hAnsi="Calibri"/>
        </w:rPr>
      </w:pPr>
      <w:r w:rsidRPr="00CC5E4B">
        <w:rPr>
          <w:noProof/>
        </w:rPr>
        <w:drawing>
          <wp:inline distT="0" distB="0" distL="0" distR="0" wp14:anchorId="69AD85C6" wp14:editId="40F1FCD5">
            <wp:extent cx="5265420" cy="2240280"/>
            <wp:effectExtent l="0" t="0" r="0" b="7620"/>
            <wp:docPr id="148"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65420" cy="2240280"/>
                    </a:xfrm>
                    <a:prstGeom prst="rect">
                      <a:avLst/>
                    </a:prstGeom>
                    <a:noFill/>
                    <a:ln>
                      <a:noFill/>
                    </a:ln>
                  </pic:spPr>
                </pic:pic>
              </a:graphicData>
            </a:graphic>
          </wp:inline>
        </w:drawing>
      </w:r>
      <w:r w:rsidRPr="00CC5E4B">
        <w:rPr/>
        <w:t xml:space="preserve"> </w:t>
      </w:r>
    </w:p>
    <w:p w14:paraId="1D9E301A" w14:textId="378B2F2C" w:rsidR="00CC5E4B" w:rsidRPr="00E2232F" w:rsidRDefault="00E2232F" w:rsidP="00E2232F">
      <w:pPr>
        <w:pStyle w:val="af7"/>
        <w:ind w:firstLine="0" w:firstLineChars="0"/>
        <w:jc w:val="center"/>
        <w:rPr>
          <w:rFonts w:asciiTheme="majorHAnsi" w:eastAsia="黑体" w:hAnsiTheme="majorHAnsi"/>
          <w:sz w:val="20"/>
          <w:szCs w:val="20"/>
        </w:rPr>
      </w:pPr>
      <w:bookmarkStart w:id="252" w:name="_Toc236779324"/>
      <w:r>
        <w:rPr/>
        <w:t>图</w:t>
      </w:r>
      <w:r>
        <w:rPr/>
        <w:t xml:space="preserve"> </w:t>
      </w:r>
      <w:r>
        <w:rPr/>
        <w:fldChar w:fldCharType="begin"/>
      </w:r>
      <w:r>
        <w:rPr/>
        <w:instrText xml:space="preserve"> STYLEREF 1 \s </w:instrText>
      </w:r>
      <w:r>
        <w:rPr/>
        <w:fldChar w:fldCharType="separate"/>
      </w:r>
      <w:r>
        <w:rPr>
          <w:noProof/>
        </w:rPr>
        <w:t>4</w:t>
      </w:r>
      <w:r>
        <w:rPr/>
        <w:fldChar w:fldCharType="end"/>
      </w:r>
      <w:r>
        <w:rPr/>
        <w:noBreakHyphen/>
      </w:r>
      <w:r>
        <w:rPr/>
        <w:fldChar w:fldCharType="begin"/>
      </w:r>
      <w:r>
        <w:rPr/>
        <w:instrText xml:space="preserve"> SEQ </w:instrText>
      </w:r>
      <w:r>
        <w:rPr/>
        <w:instrText>图</w:instrText>
      </w:r>
      <w:r>
        <w:rPr/>
        <w:instrText xml:space="preserve"> \* ARABIC \s 1 </w:instrText>
      </w:r>
      <w:r>
        <w:rPr/>
        <w:fldChar w:fldCharType="separate"/>
      </w:r>
      <w:r>
        <w:rPr>
          <w:noProof/>
        </w:rPr>
        <w:t>12</w:t>
      </w:r>
      <w:r>
        <w:rPr/>
        <w:fldChar w:fldCharType="end"/>
      </w:r>
      <w:r>
        <w:rPr/>
        <w:t xml:space="preserve"> </w:t>
      </w:r>
      <w:r w:rsidR="00CC5E4B" w:rsidRPr="00E2232F">
        <w:t>嘉数模式可持续动态均衡图</w:t>
      </w:r>
      <w:bookmarkEnd w:id="252"/>
    </w:p>
    <w:p w14:paraId="6B6348E2" w14:textId="77777777" w:rsidR="00B610B0" w:rsidRDefault="00CC5E4B" w:rsidP="00CC5E4B">
      <w:pPr>
        <w:widowControl/>
        <w:autoSpaceDE w:val="0"/>
        <w:spacing w:line="360" w:lineRule="auto"/>
        <w:ind w:firstLine="480" w:firstLineChars="200"/>
        <w:jc w:val="both"/>
        <w:rPr>
          <w:rFonts w:ascii="宋体" w:eastAsia="宋体" w:hAnsi="宋体" w:hint="eastAsia"/>
          <w:kern w:val="0"/>
          <w:szCs w:val="24"/>
        </w:rPr>
        <w:sectPr w:rsidR="00B610B0">
          <w:pgSz w:w="11906" w:h="16838"/>
          <w:pgMar w:top="1440" w:right="1800" w:bottom="1440" w:left="1800" w:header="851" w:footer="992" w:gutter="0"/>
          <w:cols w:space="425"/>
          <w:docGrid w:type="lines" w:linePitch="312"/>
        </w:sectPr>
      </w:pPr>
      <w:r w:rsidRPr="00CC5E4B">
        <w:rPr>
          <w:kern w:val="0"/>
        </w:rPr>
        <w:t xml:space="preserve">综上，战略三角模型所蕴含的层级递进逻辑、循环强化机制与动态均衡约束，共同构成了嘉数</w:t>
      </w:r>
      <w:r w:rsidRPr="00CC5E4B">
        <w:rPr>
          <w:rFonts w:ascii="宋体" w:eastAsia="宋体" w:hAnsi="宋体" w:cs="宋体" w:hint="eastAsia"/>
          <w:kern w:val="0"/>
        </w:rPr>
        <w:t xml:space="preserve">“</w:t>
      </w:r>
      <w:r w:rsidRPr="00CC5E4B">
        <w:rPr>
          <w:kern w:val="0"/>
        </w:rPr>
        <w:t xml:space="preserve">授权—赋能—增值</w:t>
      </w:r>
      <w:r w:rsidRPr="00CC5E4B">
        <w:rPr>
          <w:rFonts w:ascii="宋体" w:eastAsia="宋体" w:hAnsi="宋体" w:cs="宋体" w:hint="eastAsia"/>
          <w:kern w:val="0"/>
        </w:rPr>
        <w:t xml:space="preserve">”</w:t>
      </w:r>
      <w:r w:rsidRPr="00CC5E4B">
        <w:rPr>
          <w:kern w:val="0"/>
        </w:rPr>
        <w:t xml:space="preserve">三维联动模式的底层运行机理，完整阐释了该模式稳定运行、持续迭代、可复制推广的核心内在原因。区别于传统单一、静态、单向的数字化建设模式，嘉数路径依托理论支撑实现了制度化授权、能力化赋能、价值化增值的闭环运行，既保障了数字城市公共价值的持续、稳定、高质量产出，又实现了地方国企数字化运营能力的自我迭代与长效存续。该机理不仅复盘和解释了嘉兴数字化改革的实践成效，更构建了一套适配全国中小型城市、依托地方国有平台落地数字城市建设、持续创造公共价值的完整理论框架与实践范式，为同类城市数字化改革、数据要素治理、公共价值长效创造提供了可参考、可借鉴、可复制的理论支撑与实践样本。</w:t>
      </w:r>
    </w:p>
    <w:p xmlns:a="http://schemas.openxmlformats.org/drawingml/2006/main" xmlns:pic="http://schemas.openxmlformats.org/drawingml/2006/picture">
      <w:pPr>
        <w:keepNext/>
        <w:widowControl w:val="0"/>
        <w:ind w:firstLineChars="0" w:firstLine="0"/>
        <w:jc w:val="center"/>
      </w:pPr>
      <w:r>
        <w:rPr>
          <w:noProof/>
          <w:kern w:val="2"/>
          <w:lang w:eastAsia="zh-CN"/>
        </w:rPr>
        <w:drawing>
          <wp:inline distT="0" distB="0" distL="114300" distR="114300">
            <wp:extent cx="5270000" cy="3513333"/>
            <wp:effectExtent l="0" t="0" r="0" b="0"/>
            <wp:docPr id="909" name="图片 909"/>
            <wp:cNvGraphicFramePr>
              <a:graphicFrameLocks noChangeAspect="1"/>
            </wp:cNvGraphicFramePr>
            <a:graphic>
              <a:graphicData uri="http://schemas.openxmlformats.org/drawingml/2006/picture">
                <pic:pic>
                  <pic:nvPicPr>
                    <pic:cNvPr id="909" name="图片 909"/>
                    <pic:cNvPicPr>
                      <a:picLocks noChangeAspect="1"/>
                    </pic:cNvPicPr>
                  </pic:nvPicPr>
                  <pic:blipFill>
                    <a:blip r:embed="rId200"/>
                    <a:stretch>
                      <a:fillRect/>
                    </a:stretch>
                  </pic:blipFill>
                  <pic:spPr>
                    <a:xfrm>
                      <a:off x="0" y="0"/>
                      <a:ext cx="5270000" cy="3513333"/>
                    </a:xfrm>
                    <a:prstGeom prst="rect">
                      <a:avLst/>
                    </a:prstGeom>
                    <a:ln>
                      <a:noFill/>
                    </a:ln>
                  </pic:spPr>
                </pic:pic>
              </a:graphicData>
            </a:graphic>
          </wp:inline>
        </w:drawing>
      </w:r>
    </w:p>
    <w:p>
      <w:pPr>
        <w:pStyle w:val="af7"/>
        <w:ind w:firstLineChars="0" w:firstLine="0"/>
        <w:jc w:val="center"/>
        <w:rPr>
          <w:color w:val="FF0000"/>
          <w:lang w:eastAsia="zh-CN"/>
        </w:rPr>
      </w:pPr>
      <w:r>
        <w:rPr>
          <w:color w:val="FF0000"/>
          <w:lang w:eastAsia="zh-CN"/>
        </w:rPr>
        <w:t>图</w:t>
      </w:r>
      <w:r>
        <w:rPr>
          <w:color w:val="FF0000"/>
          <w:lang w:eastAsia="zh-CN"/>
        </w:rPr>
        <w:t xml:space="preserve"> </w:t>
      </w:r>
      <w:r>
        <w:rPr>
          <w:color w:val="FF0000"/>
          <w:lang w:eastAsia="zh-CN"/>
        </w:rPr>
        <w:t>4</w:t>
      </w:r>
      <w:r>
        <w:rPr>
          <w:color w:val="FF0000"/>
          <w:lang w:eastAsia="zh-CN"/>
        </w:rPr>
        <w:noBreakHyphen/>
      </w:r>
      <w:r>
        <w:rPr>
          <w:color w:val="FF0000"/>
          <w:lang w:eastAsia="zh-CN"/>
        </w:rPr>
        <w:fldChar w:fldCharType="begin"/>
      </w:r>
      <w:r>
        <w:rPr>
          <w:color w:val="FF0000"/>
          <w:lang w:eastAsia="zh-CN"/>
        </w:rPr>
        <w:instrText xml:space="preserve"> SEQ 图 \* ARABIC \s 1 </w:instrText>
      </w:r>
      <w:r>
        <w:rPr>
          <w:color w:val="FF0000"/>
          <w:lang w:eastAsia="zh-CN"/>
        </w:rPr>
        <w:fldChar w:fldCharType="separate"/>
      </w:r>
      <w:r>
        <w:rPr>
          <w:color w:val="FF0000"/>
          <w:noProof/>
          <w:lang w:eastAsia="zh-CN"/>
        </w:rPr>
        <w:t>13</w:t>
      </w:r>
      <w:r>
        <w:rPr>
          <w:color w:val="FF0000"/>
          <w:lang w:eastAsia="zh-CN"/>
        </w:rPr>
        <w:fldChar w:fldCharType="end"/>
      </w:r>
      <w:r>
        <w:rPr>
          <w:color w:val="FF0000"/>
          <w:lang w:eastAsia="zh-CN"/>
        </w:rPr>
        <w:t xml:space="preserve"> </w:t>
      </w:r>
      <w:r>
        <w:rPr>
          <w:rFonts w:hint="eastAsia" w:ascii="宋体" w:hAnsi="宋体" w:eastAsia="宋体" w:cs="宋体"/>
          <w:color w:val="FF0000"/>
          <w:lang w:eastAsia="zh-CN"/>
        </w:rPr>
        <w:t xml:space="preserve">“</w:t>
      </w:r>
      <w:r>
        <w:rPr>
          <w:color w:val="FF0000"/>
          <w:lang w:eastAsia="zh-CN"/>
        </w:rPr>
        <w:t xml:space="preserve">授权—赋能—增值</w:t>
      </w:r>
      <w:r>
        <w:rPr>
          <w:rFonts w:hint="eastAsia" w:ascii="宋体" w:hAnsi="宋体" w:eastAsia="宋体" w:cs="宋体"/>
          <w:color w:val="FF0000"/>
          <w:lang w:eastAsia="zh-CN"/>
        </w:rPr>
        <w:t xml:space="preserve">”</w:t>
      </w:r>
      <w:r>
        <w:rPr>
          <w:color w:val="FF0000"/>
          <w:lang w:eastAsia="zh-CN"/>
        </w:rPr>
        <w:t xml:space="preserve">三维联动的动态均衡闭环机理图</w:t>
      </w:r>
    </w:p>
    <w:p>
      <w:pPr>
        <w:spacing w:line="360" w:lineRule="auto"/>
        <w:ind w:firstLineChars="200" w:firstLine="480"/>
        <w:jc w:val="both"/>
        <w:rPr>
          <w:color w:val="FF0000"/>
          <w:lang w:eastAsia="zh-CN"/>
        </w:rPr>
      </w:pPr>
      <w:r>
        <w:rPr>
          <w:color w:val="FF0000"/>
          <w:lang w:eastAsia="zh-CN"/>
        </w:rPr>
        <w:t xml:space="preserve">综合前述分析，本案例对战略三角模型的修正集中于一点：模型原本刻画的是三个维度之间的静态支撑关系，而嘉数实践显示，三者在时间维度上构成自我强化的循环。授权向赋能的传导是资源转化，赋能向增值的传导是能力落地，而增值向授权的回流则是模型未予明确的第四条通路。正是这条回流通路，使公共价值创造摆脱了对外部政策单向输血的依赖：企业以可验证的价值产出换取授权边界的扩容，扩容后的授权又支撑更高层级的能力建设，循环由此得以持续。就理论意涵而言，这意味着对政策驱动型国企的绩效评价不宜停留于单期的投入产出比，而应关注其价值产出能否稳定转化为下一轮的发展条件。</w:t>
      </w:r>
    </w:p>
    <w:p>
      <w:pPr>
        <w:pStyle w:val="2"/>
        <w:rPr>
          <w:color w:val="FF0000"/>
          <w:lang w:eastAsia="zh-CN"/>
        </w:rPr>
      </w:pPr>
      <w:r>
        <w:rPr>
          <w:color w:val="FF0000"/>
          <w:lang w:eastAsia="zh-CN"/>
        </w:rPr>
        <w:t xml:space="preserve">本章小结</w:t>
      </w:r>
    </w:p>
    <w:p>
      <w:pPr>
        <w:spacing w:line="360" w:lineRule="auto"/>
        <w:ind w:firstLineChars="200" w:firstLine="480"/>
        <w:jc w:val="both"/>
        <w:rPr>
          <w:color w:val="FF0000"/>
          <w:lang w:eastAsia="zh-CN"/>
        </w:rPr>
      </w:pPr>
      <w:r>
        <w:rPr>
          <w:color w:val="FF0000"/>
          <w:lang w:eastAsia="zh-CN"/>
        </w:rPr>
        <w:t xml:space="preserve">本章依战略三角模型的三项理论条件逐一检验了嘉数公司的实践，结论是三项条件均获满足，且在两处形成理论增量。其一是授权维度的可拆解性：政策授权、出资授权与治理授权构成三个可独立设计的子维度，使授权由背景变量转为制度工具。其二是闭环的存在：增值成果反哺授权环境，构成模型原设定之外的第四条传导通路，使价值创造由单次消耗转为自我强化。两项增量共同表明，战略三角模型在政策驱动型国企情境中不仅适用，而且能够被进一步操作化。至于该机理在何种条件下可被其他城市援引，则是第五章讨论的问题。</w:t>
      </w:r>
    </w:p>
    <w:p w14:paraId="58A826A1" w14:textId="77777777" w:rsidR="00CC5E4B" w:rsidRPr="00CC5E4B" w:rsidRDefault="00CC5E4B" w:rsidP="00CC5E4B">
      <w:pPr>
        <w:widowControl/>
        <w:autoSpaceDE w:val="0"/>
        <w:ind w:firstLine="480"/>
        <w:jc w:val="left"/>
        <w:rPr>
          <w:rFonts w:ascii="宋体" w:eastAsia="宋体" w:hAnsi="宋体" w:hint="eastAsia"/>
          <w:kern w:val="0"/>
          <w:szCs w:val="24"/>
        </w:rPr>
      </w:pPr>
    </w:p>
    <w:p w14:paraId="18E1EB87" w14:textId="77777777" w:rsidR="00FA3F78" w:rsidRPr="00FA3F78" w:rsidRDefault="00FA3F78" w:rsidP="00FA3F78">
      <w:pPr>
        <w:pStyle w:val="1"/>
      </w:pPr>
      <w:bookmarkStart w:id="253" w:name="_Toc236777532"/>
      <w:bookmarkStart w:id="254" w:name="_Toc236777905"/>
      <w:bookmarkStart w:id="255" w:name="_Toc236777978"/>
      <w:r w:rsidRPr="00FA3F78">
        <w:t>案例总结与启示</w:t>
      </w:r>
      <w:bookmarkEnd w:id="253"/>
      <w:bookmarkEnd w:id="254"/>
      <w:bookmarkEnd w:id="255"/>
    </w:p>
    <w:p>
      <w:pPr>
        <w:spacing w:line="360" w:lineRule="auto"/>
        <w:ind w:firstLineChars="200" w:firstLine="480"/>
        <w:jc w:val="both"/>
        <w:rPr>
          <w:color w:val="FF0000"/>
          <w:lang w:eastAsia="zh-CN"/>
        </w:rPr>
      </w:pPr>
      <w:r>
        <w:rPr>
          <w:color w:val="FF0000"/>
          <w:lang w:eastAsia="zh-CN"/>
        </w:rPr>
        <w:t xml:space="preserve">前三章依次完成了案例对象的刻画、实践路径的呈现与运行机理的解析，本章负责收束全文，回答</w:t>
      </w:r>
      <w:r>
        <w:rPr>
          <w:rFonts w:hint="eastAsia" w:ascii="宋体" w:hAnsi="宋体" w:eastAsia="宋体" w:cs="宋体"/>
          <w:color w:val="FF0000"/>
          <w:lang w:eastAsia="zh-CN"/>
        </w:rPr>
        <w:t xml:space="preserve">“</w:t>
      </w:r>
      <w:r>
        <w:rPr>
          <w:color w:val="FF0000"/>
          <w:lang w:eastAsia="zh-CN"/>
        </w:rPr>
        <w:t xml:space="preserve">这一案例究竟贡献了什么</w:t>
      </w:r>
      <w:r>
        <w:rPr>
          <w:rFonts w:hint="eastAsia" w:ascii="宋体" w:hAnsi="宋体" w:eastAsia="宋体" w:cs="宋体"/>
          <w:color w:val="FF0000"/>
          <w:lang w:eastAsia="zh-CN"/>
        </w:rPr>
        <w:t xml:space="preserve">”</w:t>
      </w:r>
      <w:r>
        <w:rPr>
          <w:color w:val="FF0000"/>
          <w:lang w:eastAsia="zh-CN"/>
        </w:rPr>
        <w:t xml:space="preserve">。案例研究的价值不在于复述一家企业的成长史，而在于把地方性经验提炼为可检验、可迁移的知识，因此本章的归纳沿三条线索展开：先按授权、赋能、增值与反哺四个环节凝练研究结论，再从主体拓展、动态闭环与授权维度再拆解三个方面提炼理论启示，继而面向中小城市政府、同类国企与政策制定者提出分层可操作的实践建议，最后交代单案例研究在外部效度与公共价值量化测度上的局限，并指出后续可深化的方向。</w:t>
      </w:r>
    </w:p>
    <w:p w14:paraId="2E154C8C" w14:textId="07E2EF1B" w:rsidR="00FA3F78" w:rsidRPr="00FA3F78" w:rsidRDefault="00FA3F78" w:rsidP="00FA3F78">
      <w:pPr>
        <w:pStyle w:val="2"/>
        <w:spacing w:before="156" w:after="156"/>
      </w:pPr>
      <w:bookmarkStart w:id="256" w:name="_Toc236777533"/>
      <w:bookmarkStart w:id="257" w:name="_Toc236777906"/>
      <w:bookmarkStart w:id="258" w:name="_Toc236777979"/>
      <w:r w:rsidRPr="00FA3F78">
        <w:t>研究结论</w:t>
      </w:r>
      <w:bookmarkEnd w:id="256"/>
      <w:bookmarkEnd w:id="257"/>
      <w:bookmarkEnd w:id="258"/>
    </w:p>
    <w:p w14:paraId="02265AAC" w14:textId="00E271ED" w:rsidR="00FA3F78" w:rsidRPr="00FA3F78" w:rsidRDefault="00FA3F78" w:rsidP="00FA3F78">
      <w:pPr>
        <w:pStyle w:val="a"/>
        <w:spacing w:before="156" w:after="156"/>
      </w:pPr>
      <w:bookmarkStart w:id="259" w:name="_Toc236777534"/>
      <w:bookmarkStart w:id="260" w:name="_Toc236777907"/>
      <w:bookmarkStart w:id="261" w:name="_Toc236777980"/>
      <w:r w:rsidRPr="00FA3F78">
        <w:t>政策锚定与政企共建的授权之基</w:t>
      </w:r>
      <w:bookmarkEnd w:id="259"/>
      <w:bookmarkEnd w:id="260"/>
      <w:bookmarkEnd w:id="261"/>
    </w:p>
    <w:p w14:paraId="14713AB9" w14:textId="77777777" w:rsidR="00FA3F78" w:rsidRPr="00FA3F78" w:rsidRDefault="00FA3F78" w:rsidP="00FA3F78">
      <w:pPr>
        <w:widowControl/>
        <w:autoSpaceDE w:val="0"/>
        <w:spacing w:before="100" w:beforeAutospacing="1" w:after="120" w:line="360" w:lineRule="auto"/>
        <w:ind w:firstLine="480" w:firstLineChars="200"/>
        <w:jc w:val="both"/>
        <w:rPr>
          <w:rFonts w:ascii="宋体" w:eastAsia="宋体" w:hAnsi="宋体"/>
          <w:color w:val="000000"/>
          <w:kern w:val="0"/>
          <w:szCs w:val="24"/>
        </w:rPr>
      </w:pPr>
      <w:r w:rsidRPr="00FA3F78">
        <w:rPr>
          <w:color w:val="000000"/>
          <w:kern w:val="0"/>
        </w:rPr>
        <w:t xml:space="preserve">嘉数公司的授权之基是在双重困境下通过政企共建逐步夯实的递进式制度建构。中小型城市数字建设面临</w:t>
      </w:r>
      <w:r w:rsidRPr="00FA3F78">
        <w:rPr>
          <w:rFonts w:ascii="宋体" w:eastAsia="宋体" w:hAnsi="宋体" w:cs="宋体" w:hint="eastAsia"/>
          <w:color w:val="000000"/>
          <w:kern w:val="0"/>
        </w:rPr>
        <w:t xml:space="preserve">“</w:t>
      </w:r>
      <w:r w:rsidRPr="00FA3F78">
        <w:rPr>
          <w:color w:val="000000"/>
          <w:kern w:val="0"/>
        </w:rPr>
        <w:t xml:space="preserve">政府想建缺能力、市场能建缺约束</w:t>
      </w:r>
      <w:r w:rsidRPr="00FA3F78">
        <w:rPr>
          <w:rFonts w:ascii="宋体" w:eastAsia="宋体" w:hAnsi="宋体" w:cs="宋体" w:hint="eastAsia"/>
          <w:color w:val="000000"/>
          <w:kern w:val="0"/>
        </w:rPr>
        <w:t xml:space="preserve">”</w:t>
      </w:r>
      <w:r w:rsidRPr="00FA3F78">
        <w:rPr>
          <w:color w:val="000000"/>
          <w:kern w:val="0"/>
        </w:rPr>
        <w:t xml:space="preserve">的困境，从2015年签约到2020年公司成立，授权历经三步递进。市产业集团51%控股、电科49%并负责经营，使企业</w:t>
      </w:r>
      <w:r w:rsidRPr="00FA3F78">
        <w:rPr>
          <w:b/>
          <w:color w:val="000000"/>
          <w:kern w:val="0"/>
        </w:rPr>
        <w:t>不仅是政策执行者，更是央企技术承载者</w:t>
      </w:r>
      <w:r w:rsidRPr="00FA3F78">
        <w:rPr>
          <w:color w:val="000000"/>
          <w:kern w:val="0"/>
        </w:rPr>
        <w:t>，兼具公共使命授权与技术背书的复合合法性。</w:t>
      </w:r>
    </w:p>
    <w:p w14:paraId="56E69490" w14:textId="2FBD0D0E" w:rsidR="00FA3F78" w:rsidRPr="00FA3F78" w:rsidRDefault="00FA3F78" w:rsidP="00FA3F78">
      <w:pPr>
        <w:pStyle w:val="a"/>
        <w:spacing w:before="156" w:after="156"/>
      </w:pPr>
      <w:bookmarkStart w:id="262" w:name="_Toc236777535"/>
      <w:bookmarkStart w:id="263" w:name="_Toc236777908"/>
      <w:bookmarkStart w:id="264" w:name="_Toc236777981"/>
      <w:r w:rsidRPr="00FA3F78">
        <w:t>平台筑基与要素聚合的赋能之擎</w:t>
      </w:r>
      <w:bookmarkEnd w:id="262"/>
      <w:bookmarkEnd w:id="263"/>
      <w:bookmarkEnd w:id="264"/>
    </w:p>
    <w:p w14:paraId="66DE427C" w14:textId="77777777" w:rsidR="00FA3F78" w:rsidRPr="00FA3F78" w:rsidRDefault="00FA3F78" w:rsidP="00FA3F78">
      <w:pPr>
        <w:widowControl/>
        <w:autoSpaceDE w:val="0"/>
        <w:spacing w:before="100" w:beforeAutospacing="1" w:after="120" w:line="360" w:lineRule="auto"/>
        <w:ind w:firstLine="480" w:firstLineChars="200"/>
        <w:jc w:val="both"/>
        <w:rPr>
          <w:rFonts w:ascii="宋体" w:eastAsia="宋体" w:hAnsi="宋体"/>
          <w:color w:val="000000"/>
          <w:kern w:val="0"/>
          <w:szCs w:val="24"/>
        </w:rPr>
      </w:pPr>
      <w:r w:rsidRPr="00FA3F78">
        <w:rPr>
          <w:color w:val="000000"/>
          <w:kern w:val="0"/>
        </w:rPr>
        <w:t>嘉数公司的赋能之擎建立在平台筑基与要素聚合的系统能力之上。12个数字化产品覆盖城市治理、民生服务与产业赋能，民生类占比50%；星海平台完成11000余项数据编目、超100亿条数据，通过DCMM三级认证，累计专利44项、软著98项——</w:t>
      </w:r>
      <w:r w:rsidRPr="00FA3F78">
        <w:rPr>
          <w:b/>
          <w:color w:val="000000"/>
          <w:kern w:val="0"/>
        </w:rPr>
        <w:t>不仅是技术积累，更是数据要素资产化的制度准备</w:t>
      </w:r>
      <w:r w:rsidRPr="00FA3F78">
        <w:rPr>
          <w:color w:val="000000"/>
          <w:kern w:val="0"/>
        </w:rPr>
        <w:t>。博士后11人、硕博占比30%，构成人才支撑。</w:t>
      </w:r>
    </w:p>
    <w:p w14:paraId="77A977A5" w14:textId="46761FE9" w:rsidR="00FA3F78" w:rsidRPr="00FA3F78" w:rsidRDefault="00FA3F78" w:rsidP="00FA3F78">
      <w:pPr>
        <w:pStyle w:val="a"/>
        <w:spacing w:before="156" w:after="156"/>
      </w:pPr>
      <w:bookmarkStart w:id="265" w:name="_Toc236777536"/>
      <w:bookmarkStart w:id="266" w:name="_Toc236777909"/>
      <w:bookmarkStart w:id="267" w:name="_Toc236777982"/>
      <w:r w:rsidRPr="00FA3F78">
        <w:t>治理提效与民生普惠的增值之果</w:t>
      </w:r>
      <w:bookmarkEnd w:id="265"/>
      <w:bookmarkEnd w:id="266"/>
      <w:bookmarkEnd w:id="267"/>
    </w:p>
    <w:p w14:paraId="3B5FE4A9" w14:textId="77777777" w:rsidR="00FA3F78" w:rsidRPr="00FA3F78" w:rsidRDefault="00FA3F78" w:rsidP="00FA3F78">
      <w:pPr>
        <w:widowControl/>
        <w:autoSpaceDE w:val="0"/>
        <w:spacing w:before="100" w:beforeAutospacing="1" w:after="120" w:line="360" w:lineRule="auto"/>
        <w:ind w:firstLine="480" w:firstLineChars="200"/>
        <w:jc w:val="both"/>
        <w:rPr>
          <w:rFonts w:ascii="宋体" w:eastAsia="宋体" w:hAnsi="宋体"/>
          <w:color w:val="000000"/>
          <w:kern w:val="0"/>
          <w:szCs w:val="24"/>
        </w:rPr>
      </w:pPr>
      <w:r w:rsidRPr="00FA3F78">
        <w:rPr>
          <w:color w:val="000000"/>
          <w:kern w:val="0"/>
        </w:rPr>
        <w:t>嘉数公司的增值之果体现在治理提效与民生普惠的双向兑现。智慧政法将特征提炼由3天压缩至30分钟，</w:t>
      </w:r>
      <w:r w:rsidRPr="00FA3F78">
        <w:rPr>
          <w:b/>
          <w:color w:val="000000"/>
          <w:kern w:val="0"/>
        </w:rPr>
        <w:t>不仅是效率提升，更是治理模式重塑</w:t>
      </w:r>
      <w:r w:rsidRPr="00FA3F78">
        <w:rPr>
          <w:color w:val="000000"/>
          <w:kern w:val="0"/>
        </w:rPr>
        <w:t xml:space="preserve">。民生领域，高中一体化招生覆盖3万余名考生，近视防控与教育E家实现全域教育资源配置。数据要素维度，助力嘉兴公交取得首张数据资源持有权证书并获1500万元贷款，实现从</w:t>
      </w:r>
      <w:r w:rsidRPr="00FA3F78">
        <w:rPr>
          <w:rFonts w:ascii="宋体" w:eastAsia="宋体" w:hAnsi="宋体" w:cs="宋体" w:hint="eastAsia"/>
          <w:color w:val="000000"/>
          <w:kern w:val="0"/>
        </w:rPr>
        <w:t xml:space="preserve">“</w:t>
      </w:r>
      <w:r w:rsidRPr="00FA3F78">
        <w:rPr>
          <w:color w:val="000000"/>
          <w:kern w:val="0"/>
        </w:rPr>
        <w:t xml:space="preserve">赋能</w:t>
      </w:r>
      <w:r w:rsidRPr="00FA3F78">
        <w:rPr>
          <w:rFonts w:ascii="宋体" w:eastAsia="宋体" w:hAnsi="宋体" w:cs="宋体" w:hint="eastAsia"/>
          <w:color w:val="000000"/>
          <w:kern w:val="0"/>
        </w:rPr>
        <w:t xml:space="preserve">”</w:t>
      </w:r>
      <w:r w:rsidRPr="00FA3F78">
        <w:rPr>
          <w:color w:val="000000"/>
          <w:kern w:val="0"/>
        </w:rPr>
        <w:t xml:space="preserve">到</w:t>
      </w:r>
      <w:r w:rsidRPr="00FA3F78">
        <w:rPr>
          <w:rFonts w:ascii="宋体" w:eastAsia="宋体" w:hAnsi="宋体" w:cs="宋体" w:hint="eastAsia"/>
          <w:color w:val="000000"/>
          <w:kern w:val="0"/>
        </w:rPr>
        <w:t xml:space="preserve">“</w:t>
      </w:r>
      <w:r w:rsidRPr="00FA3F78">
        <w:rPr>
          <w:color w:val="000000"/>
          <w:kern w:val="0"/>
        </w:rPr>
        <w:t xml:space="preserve">增值</w:t>
      </w:r>
      <w:r w:rsidRPr="00FA3F78">
        <w:rPr>
          <w:rFonts w:ascii="宋体" w:eastAsia="宋体" w:hAnsi="宋体" w:cs="宋体" w:hint="eastAsia"/>
          <w:color w:val="000000"/>
          <w:kern w:val="0"/>
        </w:rPr>
        <w:t xml:space="preserve">”</w:t>
      </w:r>
      <w:r w:rsidRPr="00FA3F78">
        <w:rPr>
          <w:color w:val="000000"/>
          <w:kern w:val="0"/>
        </w:rPr>
        <w:t xml:space="preserve">的关键跃迁。</w:t>
      </w:r>
    </w:p>
    <w:p w14:paraId="68D3FAA3" w14:textId="77E674E0" w:rsidR="00FA3F78" w:rsidRPr="00FA3F78" w:rsidRDefault="00FA3F78" w:rsidP="00FA3F78">
      <w:pPr>
        <w:pStyle w:val="a"/>
        <w:spacing w:before="156" w:after="156"/>
      </w:pPr>
      <w:bookmarkStart w:id="268" w:name="_Toc236777537"/>
      <w:bookmarkStart w:id="269" w:name="_Toc236777910"/>
      <w:bookmarkStart w:id="270" w:name="_Toc236777983"/>
      <w:r w:rsidRPr="00FA3F78">
        <w:t>增值反哺授权的正向循环</w:t>
      </w:r>
      <w:bookmarkEnd w:id="268"/>
      <w:bookmarkEnd w:id="269"/>
      <w:bookmarkEnd w:id="270"/>
    </w:p>
    <w:p w14:paraId="274337DA" w14:textId="77777777" w:rsidR="00FA3F78" w:rsidRPr="00FA3F78" w:rsidRDefault="00FA3F78" w:rsidP="00FA3F78">
      <w:pPr>
        <w:widowControl/>
        <w:autoSpaceDE w:val="0"/>
        <w:spacing w:before="100" w:beforeAutospacing="1" w:after="120" w:line="360" w:lineRule="auto"/>
        <w:ind w:firstLine="480" w:firstLineChars="200"/>
        <w:jc w:val="both"/>
        <w:rPr>
          <w:rFonts w:ascii="宋体" w:eastAsia="宋体" w:hAnsi="宋体"/>
          <w:color w:val="000000"/>
          <w:kern w:val="0"/>
          <w:szCs w:val="24"/>
        </w:rPr>
      </w:pPr>
      <w:r w:rsidRPr="00FA3F78">
        <w:rPr>
          <w:color w:val="000000"/>
          <w:kern w:val="0"/>
        </w:rPr>
        <w:t xml:space="preserve">嘉数路径的核心机制是以价值换授权、以增值促扩展的正向循环。嘉数公司先后入选浙江数商、服务业领军企业，2025年获批公共数据授权运营单位——增值成果不是终点，而是新一轮授权的起点。</w:t>
      </w:r>
      <w:r w:rsidRPr="00FA3F78">
        <w:rPr>
          <w:rFonts w:ascii="宋体" w:eastAsia="宋体" w:hAnsi="宋体" w:cs="宋体" w:hint="eastAsia"/>
          <w:color w:val="000000"/>
          <w:kern w:val="0"/>
        </w:rPr>
        <w:t xml:space="preserve">“</w:t>
      </w:r>
      <w:r w:rsidRPr="00FA3F78">
        <w:rPr>
          <w:color w:val="000000"/>
          <w:kern w:val="0"/>
        </w:rPr>
        <w:t xml:space="preserve">嘉数路径</w:t>
      </w:r>
      <w:r w:rsidRPr="00FA3F78">
        <w:rPr>
          <w:rFonts w:ascii="宋体" w:eastAsia="宋体" w:hAnsi="宋体" w:cs="宋体" w:hint="eastAsia"/>
          <w:color w:val="000000"/>
          <w:kern w:val="0"/>
        </w:rPr>
        <w:t xml:space="preserve">”</w:t>
      </w:r>
      <w:r w:rsidRPr="00FA3F78">
        <w:rPr>
          <w:color w:val="000000"/>
          <w:kern w:val="0"/>
        </w:rPr>
        <w:t xml:space="preserve">可凝练为：政策</w:t>
      </w:r>
      <w:r w:rsidRPr="00FA3F78">
        <w:rPr>
          <w:color w:val="000000"/>
          <w:kern w:val="0"/>
        </w:rPr>
        <w:lastRenderedPageBreak/>
        <w:t>锚定获取授权之基，平台筑基锻造赋能之擎，治理提效收获增值之果，增值反哺扩大授权——</w:t>
      </w:r>
      <w:r w:rsidRPr="00FA3F78">
        <w:rPr>
          <w:b/>
          <w:color w:val="000000"/>
          <w:kern w:val="0"/>
        </w:rPr>
        <w:t xml:space="preserve">将</w:t>
      </w:r>
      <w:r w:rsidRPr="00FA3F78">
        <w:rPr>
          <w:rFonts w:ascii="宋体" w:eastAsia="宋体" w:hAnsi="宋体" w:cs="宋体" w:hint="eastAsia"/>
          <w:b/>
          <w:color w:val="000000"/>
          <w:kern w:val="0"/>
        </w:rPr>
        <w:t xml:space="preserve">“</w:t>
      </w:r>
      <w:r w:rsidRPr="00FA3F78">
        <w:rPr>
          <w:b/>
          <w:color w:val="000000"/>
          <w:kern w:val="0"/>
        </w:rPr>
        <w:t xml:space="preserve">政府发包</w:t>
      </w:r>
      <w:r w:rsidRPr="00FA3F78">
        <w:rPr>
          <w:rFonts w:ascii="宋体" w:eastAsia="宋体" w:hAnsi="宋体" w:cs="宋体" w:hint="eastAsia"/>
          <w:b/>
          <w:color w:val="000000"/>
          <w:kern w:val="0"/>
        </w:rPr>
        <w:t xml:space="preserve">”</w:t>
      </w:r>
      <w:r w:rsidRPr="00FA3F78">
        <w:rPr>
          <w:b/>
          <w:color w:val="000000"/>
          <w:kern w:val="0"/>
        </w:rPr>
        <w:t xml:space="preserve">转化为</w:t>
      </w:r>
      <w:r w:rsidRPr="00FA3F78">
        <w:rPr>
          <w:rFonts w:ascii="宋体" w:eastAsia="宋体" w:hAnsi="宋体" w:cs="宋体" w:hint="eastAsia"/>
          <w:b/>
          <w:color w:val="000000"/>
          <w:kern w:val="0"/>
        </w:rPr>
        <w:t xml:space="preserve">“</w:t>
      </w:r>
      <w:r w:rsidRPr="00FA3F78">
        <w:rPr>
          <w:b/>
          <w:color w:val="000000"/>
          <w:kern w:val="0"/>
        </w:rPr>
        <w:t xml:space="preserve">政企共生</w:t>
      </w:r>
      <w:r w:rsidRPr="00FA3F78">
        <w:rPr>
          <w:rFonts w:ascii="宋体" w:eastAsia="宋体" w:hAnsi="宋体" w:cs="宋体" w:hint="eastAsia"/>
          <w:b/>
          <w:color w:val="000000"/>
          <w:kern w:val="0"/>
        </w:rPr>
        <w:t xml:space="preserve">”</w:t>
      </w:r>
      <w:r w:rsidRPr="00FA3F78">
        <w:rPr>
          <w:color w:val="000000"/>
          <w:kern w:val="0"/>
        </w:rPr>
        <w:t>。</w:t>
      </w:r>
    </w:p>
    <w:p w14:paraId="58C26A9B" w14:textId="51294100" w:rsidR="00FA3F78" w:rsidRPr="00FA3F78" w:rsidRDefault="00FA3F78" w:rsidP="00FA3F78">
      <w:pPr>
        <w:pStyle w:val="2"/>
        <w:spacing w:before="156" w:after="156"/>
      </w:pPr>
      <w:bookmarkStart w:id="271" w:name="_Toc236777538"/>
      <w:bookmarkStart w:id="272" w:name="_Toc236777911"/>
      <w:bookmarkStart w:id="273" w:name="_Toc236777984"/>
      <w:r w:rsidRPr="00FA3F78">
        <w:t>理论启示</w:t>
      </w:r>
      <w:bookmarkEnd w:id="271"/>
      <w:bookmarkEnd w:id="272"/>
      <w:bookmarkEnd w:id="273"/>
    </w:p>
    <w:p w14:paraId="35808FEE" w14:textId="70326E69" w:rsidR="00FA3F78" w:rsidRPr="00FA3F78" w:rsidRDefault="00FA3F78" w:rsidP="00FA3F78">
      <w:pPr>
        <w:pStyle w:val="a"/>
        <w:spacing w:before="156" w:after="156"/>
      </w:pPr>
      <w:bookmarkStart w:id="274" w:name="_Toc236777539"/>
      <w:bookmarkStart w:id="275" w:name="_Toc236777912"/>
      <w:bookmarkStart w:id="276" w:name="_Toc236777985"/>
      <w:r w:rsidRPr="00FA3F78">
        <w:t>战略三角模型的主体拓展</w:t>
      </w:r>
      <w:bookmarkEnd w:id="274"/>
      <w:bookmarkEnd w:id="275"/>
      <w:bookmarkEnd w:id="276"/>
    </w:p>
    <w:p w14:paraId="201E6C36" w14:textId="77777777" w:rsidR="00FA3F78" w:rsidRPr="00FA3F78" w:rsidRDefault="00FA3F78" w:rsidP="00FA3F78">
      <w:pPr>
        <w:widowControl/>
        <w:autoSpaceDE w:val="0"/>
        <w:spacing w:before="100" w:beforeAutospacing="1" w:after="120" w:line="360" w:lineRule="auto"/>
        <w:ind w:firstLine="480" w:firstLineChars="200"/>
        <w:jc w:val="both"/>
        <w:rPr>
          <w:rFonts w:ascii="宋体" w:eastAsia="宋体" w:hAnsi="宋体"/>
          <w:color w:val="000000"/>
          <w:kern w:val="0"/>
          <w:szCs w:val="24"/>
        </w:rPr>
      </w:pPr>
      <w:r w:rsidRPr="00FA3F78">
        <w:rPr>
          <w:color w:val="000000"/>
          <w:kern w:val="0"/>
        </w:rPr>
        <w:t>本研究将战略三角模型的主体边界</w:t>
      </w:r>
      <w:r w:rsidRPr="00FA3F78">
        <w:rPr>
          <w:b/>
          <w:color w:val="000000"/>
          <w:kern w:val="0"/>
        </w:rPr>
        <w:t xml:space="preserve">从</w:t>
      </w:r>
      <w:r w:rsidRPr="00FA3F78">
        <w:rPr>
          <w:rFonts w:ascii="宋体" w:eastAsia="宋体" w:hAnsi="宋体" w:cs="宋体" w:hint="eastAsia"/>
          <w:b/>
          <w:color w:val="000000"/>
          <w:kern w:val="0"/>
        </w:rPr>
        <w:t xml:space="preserve">“</w:t>
      </w:r>
      <w:r w:rsidRPr="00FA3F78">
        <w:rPr>
          <w:b/>
          <w:color w:val="000000"/>
          <w:kern w:val="0"/>
        </w:rPr>
        <w:t xml:space="preserve">政府</w:t>
      </w:r>
      <w:r w:rsidRPr="00FA3F78">
        <w:rPr>
          <w:rFonts w:ascii="宋体" w:eastAsia="宋体" w:hAnsi="宋体" w:cs="宋体" w:hint="eastAsia"/>
          <w:b/>
          <w:color w:val="000000"/>
          <w:kern w:val="0"/>
        </w:rPr>
        <w:t xml:space="preserve">”</w:t>
      </w:r>
      <w:r w:rsidRPr="00FA3F78">
        <w:rPr>
          <w:b/>
          <w:color w:val="000000"/>
          <w:kern w:val="0"/>
        </w:rPr>
        <w:t xml:space="preserve">拓展至</w:t>
      </w:r>
      <w:r w:rsidRPr="00FA3F78">
        <w:rPr>
          <w:rFonts w:ascii="宋体" w:eastAsia="宋体" w:hAnsi="宋体" w:cs="宋体" w:hint="eastAsia"/>
          <w:b/>
          <w:color w:val="000000"/>
          <w:kern w:val="0"/>
        </w:rPr>
        <w:t xml:space="preserve">“</w:t>
      </w:r>
      <w:r w:rsidRPr="00FA3F78">
        <w:rPr>
          <w:b/>
          <w:color w:val="000000"/>
          <w:kern w:val="0"/>
        </w:rPr>
        <w:t xml:space="preserve">政策驱动型国企</w:t>
      </w:r>
      <w:r w:rsidRPr="00FA3F78">
        <w:rPr>
          <w:rFonts w:ascii="宋体" w:eastAsia="宋体" w:hAnsi="宋体" w:cs="宋体" w:hint="eastAsia"/>
          <w:b/>
          <w:color w:val="000000"/>
          <w:kern w:val="0"/>
        </w:rPr>
        <w:t xml:space="preserve">”</w:t>
      </w:r>
      <w:r w:rsidRPr="00FA3F78">
        <w:rPr>
          <w:color w:val="000000"/>
          <w:kern w:val="0"/>
        </w:rPr>
        <w:t xml:space="preserve">。模型自Moore（1995）提出以来应用集中于政府部门，本研究以兼具公共使命与市场化运营双重属性的国企为对象，揭示其授权源于</w:t>
      </w:r>
      <w:r w:rsidRPr="00FA3F78">
        <w:rPr>
          <w:rFonts w:ascii="宋体" w:eastAsia="宋体" w:hAnsi="宋体" w:cs="宋体" w:hint="eastAsia"/>
          <w:color w:val="000000"/>
          <w:kern w:val="0"/>
        </w:rPr>
        <w:t xml:space="preserve">“</w:t>
      </w:r>
      <w:r w:rsidRPr="00FA3F78">
        <w:rPr>
          <w:color w:val="000000"/>
          <w:kern w:val="0"/>
        </w:rPr>
        <w:t xml:space="preserve">政策锚定+政企共建</w:t>
      </w:r>
      <w:r w:rsidRPr="00FA3F78">
        <w:rPr>
          <w:rFonts w:ascii="宋体" w:eastAsia="宋体" w:hAnsi="宋体" w:cs="宋体" w:hint="eastAsia"/>
          <w:color w:val="000000"/>
          <w:kern w:val="0"/>
        </w:rPr>
        <w:t xml:space="preserve">”</w:t>
      </w:r>
      <w:r w:rsidRPr="00FA3F78">
        <w:rPr>
          <w:color w:val="000000"/>
          <w:kern w:val="0"/>
        </w:rPr>
        <w:t xml:space="preserve">的复合合法性而非行政合法性，运营以平台化、数据化为特征，价值产出兼具治理效能与民生福祉，拓展了模型的适用边界。</w:t>
      </w:r>
    </w:p>
    <w:p w14:paraId="4A2A29C9" w14:textId="60A5EE12" w:rsidR="00FA3F78" w:rsidRPr="00FA3F78" w:rsidRDefault="00FA3F78" w:rsidP="00FA3F78">
      <w:pPr>
        <w:pStyle w:val="a"/>
        <w:spacing w:before="156" w:after="156"/>
      </w:pPr>
      <w:bookmarkStart w:id="277" w:name="_Toc236777540"/>
      <w:bookmarkStart w:id="278" w:name="_Toc236777913"/>
      <w:bookmarkStart w:id="279" w:name="_Toc236777986"/>
      <w:proofErr w:type="gramStart"/>
      <w:r w:rsidRPr="00FA3F78">
        <w:rPr>
          <w:rFonts w:ascii="宋体" w:hAnsi="宋体" w:eastAsia="宋体" w:cs="宋体" w:hint="eastAsia"/>
        </w:rPr>
        <w:t>“</w:t>
      </w:r>
      <w:r w:rsidRPr="00FA3F78">
        <w:t>授权</w:t>
      </w:r>
      <w:proofErr w:type="gramEnd"/>
      <w:r w:rsidRPr="00FA3F78">
        <w:t>—</w:t>
      </w:r>
      <w:r w:rsidRPr="00FA3F78">
        <w:t>赋能</w:t>
      </w:r>
      <w:r w:rsidRPr="00FA3F78">
        <w:t>—</w:t>
      </w:r>
      <w:r w:rsidRPr="00FA3F78">
        <w:t>增值</w:t>
      </w:r>
      <w:r w:rsidRPr="00FA3F78">
        <w:t>—</w:t>
      </w:r>
      <w:proofErr w:type="gramStart"/>
      <w:r w:rsidRPr="00FA3F78">
        <w:t>反哺</w:t>
      </w:r>
      <w:r w:rsidRPr="00FA3F78">
        <w:rPr>
          <w:rFonts w:ascii="宋体" w:hAnsi="宋体" w:eastAsia="宋体" w:cs="宋体" w:hint="eastAsia"/>
        </w:rPr>
        <w:t>”</w:t>
      </w:r>
      <w:proofErr w:type="gramEnd"/>
      <w:r w:rsidRPr="00FA3F78">
        <w:t>动态闭环</w:t>
      </w:r>
      <w:bookmarkEnd w:id="277"/>
      <w:bookmarkEnd w:id="278"/>
      <w:bookmarkEnd w:id="279"/>
    </w:p>
    <w:p w14:paraId="4E91D983" w14:textId="77777777" w:rsidR="00FA3F78" w:rsidRPr="00FA3F78" w:rsidRDefault="00FA3F78" w:rsidP="00FA3F78">
      <w:pPr>
        <w:widowControl/>
        <w:autoSpaceDE w:val="0"/>
        <w:spacing w:before="100" w:beforeAutospacing="1" w:after="120" w:line="360" w:lineRule="auto"/>
        <w:ind w:firstLine="480" w:firstLineChars="200"/>
        <w:jc w:val="both"/>
        <w:rPr>
          <w:rFonts w:ascii="宋体" w:eastAsia="宋体" w:hAnsi="宋体"/>
          <w:color w:val="000000"/>
          <w:kern w:val="0"/>
          <w:szCs w:val="24"/>
        </w:rPr>
      </w:pPr>
      <w:r w:rsidRPr="00FA3F78">
        <w:rPr>
          <w:color w:val="000000"/>
          <w:kern w:val="0"/>
        </w:rPr>
        <w:t>本研究揭示了战略三角三维度间的动态反馈闭环。传统理解停留于静态并列关系或线性递进逻辑，本研究揭示：授权为赋能提供前提，赋能为增值提供能力，增值反哺授权，形成关键闭环。闭环使政策驱动型国企的价值创造</w:t>
      </w:r>
      <w:r w:rsidRPr="00FA3F78">
        <w:rPr>
          <w:b/>
          <w:color w:val="000000"/>
          <w:kern w:val="0"/>
        </w:rPr>
        <w:t xml:space="preserve">不是</w:t>
      </w:r>
      <w:r w:rsidRPr="00FA3F78">
        <w:rPr>
          <w:rFonts w:ascii="宋体" w:eastAsia="宋体" w:hAnsi="宋体" w:cs="宋体" w:hint="eastAsia"/>
          <w:b/>
          <w:color w:val="000000"/>
          <w:kern w:val="0"/>
        </w:rPr>
        <w:t xml:space="preserve">“</w:t>
      </w:r>
      <w:r w:rsidRPr="00FA3F78">
        <w:rPr>
          <w:b/>
          <w:color w:val="000000"/>
          <w:kern w:val="0"/>
        </w:rPr>
        <w:t xml:space="preserve">投入—产出</w:t>
      </w:r>
      <w:r w:rsidRPr="00FA3F78">
        <w:rPr>
          <w:rFonts w:ascii="宋体" w:eastAsia="宋体" w:hAnsi="宋体" w:cs="宋体" w:hint="eastAsia"/>
          <w:b/>
          <w:color w:val="000000"/>
          <w:kern w:val="0"/>
        </w:rPr>
        <w:t xml:space="preserve">”</w:t>
      </w:r>
      <w:r w:rsidRPr="00FA3F78">
        <w:rPr>
          <w:b/>
          <w:color w:val="000000"/>
          <w:kern w:val="0"/>
        </w:rPr>
        <w:t xml:space="preserve">的单次消耗，而是</w:t>
      </w:r>
      <w:r w:rsidRPr="00FA3F78">
        <w:rPr>
          <w:rFonts w:ascii="宋体" w:eastAsia="宋体" w:hAnsi="宋体" w:cs="宋体" w:hint="eastAsia"/>
          <w:b/>
          <w:color w:val="000000"/>
          <w:kern w:val="0"/>
        </w:rPr>
        <w:t xml:space="preserve">“</w:t>
      </w:r>
      <w:r w:rsidRPr="00FA3F78">
        <w:rPr>
          <w:b/>
          <w:color w:val="000000"/>
          <w:kern w:val="0"/>
        </w:rPr>
        <w:t xml:space="preserve">产出—反哺—再投入</w:t>
      </w:r>
      <w:r w:rsidRPr="00FA3F78">
        <w:rPr>
          <w:rFonts w:ascii="宋体" w:eastAsia="宋体" w:hAnsi="宋体" w:cs="宋体" w:hint="eastAsia"/>
          <w:b/>
          <w:color w:val="000000"/>
          <w:kern w:val="0"/>
        </w:rPr>
        <w:t xml:space="preserve">”</w:t>
      </w:r>
      <w:r w:rsidRPr="00FA3F78">
        <w:rPr>
          <w:b/>
          <w:color w:val="000000"/>
          <w:kern w:val="0"/>
        </w:rPr>
        <w:t xml:space="preserve">的自我强化</w:t>
      </w:r>
      <w:r w:rsidRPr="00FA3F78">
        <w:rPr>
          <w:color w:val="000000"/>
          <w:kern w:val="0"/>
        </w:rPr>
        <w:t>，为公共价值理论贡献了可持续价值创造的分析视角。</w:t>
      </w:r>
    </w:p>
    <w:p w14:paraId="4C525A18" w14:textId="75A17EFC" w:rsidR="00FA3F78" w:rsidRPr="00FA3F78" w:rsidRDefault="00FA3F78" w:rsidP="00FA3F78">
      <w:pPr>
        <w:pStyle w:val="a"/>
        <w:spacing w:before="156" w:after="156"/>
      </w:pPr>
      <w:bookmarkStart w:id="280" w:name="_Toc236777541"/>
      <w:bookmarkStart w:id="281" w:name="_Toc236777914"/>
      <w:bookmarkStart w:id="282" w:name="_Toc236777987"/>
      <w:r w:rsidRPr="00FA3F78">
        <w:t>授权维度的再拆解</w:t>
      </w:r>
      <w:bookmarkEnd w:id="280"/>
      <w:bookmarkEnd w:id="281"/>
      <w:bookmarkEnd w:id="282"/>
    </w:p>
    <w:p w14:paraId="0E572CF4" w14:textId="77777777" w:rsidR="00FA3F78" w:rsidRPr="00FA3F78" w:rsidRDefault="00FA3F78" w:rsidP="00FA3F78">
      <w:pPr>
        <w:widowControl/>
        <w:autoSpaceDE w:val="0"/>
        <w:spacing w:before="100" w:beforeAutospacing="1" w:after="120" w:line="360" w:lineRule="auto"/>
        <w:ind w:firstLine="480" w:firstLineChars="200"/>
        <w:jc w:val="both"/>
        <w:rPr>
          <w:rFonts w:ascii="宋体" w:eastAsia="宋体" w:hAnsi="宋体"/>
          <w:color w:val="000000"/>
          <w:kern w:val="0"/>
          <w:szCs w:val="24"/>
        </w:rPr>
      </w:pPr>
      <w:r w:rsidRPr="00FA3F78">
        <w:rPr>
          <w:color w:val="000000"/>
          <w:kern w:val="0"/>
        </w:rPr>
        <w:t xml:space="preserve">战略三角中的</w:t>
      </w:r>
      <w:r w:rsidRPr="00FA3F78">
        <w:rPr>
          <w:rFonts w:ascii="宋体" w:eastAsia="宋体" w:hAnsi="宋体" w:cs="宋体" w:hint="eastAsia"/>
          <w:color w:val="000000"/>
          <w:kern w:val="0"/>
        </w:rPr>
        <w:t xml:space="preserve">“</w:t>
      </w:r>
      <w:r w:rsidRPr="00FA3F78">
        <w:rPr>
          <w:color w:val="000000"/>
          <w:kern w:val="0"/>
        </w:rPr>
        <w:t xml:space="preserve">授权环境</w:t>
      </w:r>
      <w:r w:rsidRPr="00FA3F78">
        <w:rPr>
          <w:rFonts w:ascii="宋体" w:eastAsia="宋体" w:hAnsi="宋体" w:cs="宋体" w:hint="eastAsia"/>
          <w:color w:val="000000"/>
          <w:kern w:val="0"/>
        </w:rPr>
        <w:t xml:space="preserve">”</w:t>
      </w:r>
      <w:r w:rsidRPr="00FA3F78">
        <w:rPr>
          <w:color w:val="000000"/>
          <w:kern w:val="0"/>
        </w:rPr>
        <w:t xml:space="preserve">维度可拆解为政策授权、出资授权与治理授权三个可设计的子维度。嘉数公司</w:t>
      </w:r>
      <w:proofErr w:type="gramStart"/>
      <w:r w:rsidRPr="00FA3F78">
        <w:rPr>
          <w:color w:val="000000"/>
          <w:kern w:val="0"/>
        </w:rPr>
        <w:t>５１％</w:t>
      </w:r>
      <w:proofErr w:type="gramEnd"/>
      <w:r w:rsidRPr="00FA3F78">
        <w:rPr>
          <w:color w:val="000000"/>
          <w:kern w:val="0"/>
        </w:rPr>
        <w:t>：</w:t>
      </w:r>
      <w:proofErr w:type="gramStart"/>
      <w:r w:rsidRPr="00FA3F78">
        <w:rPr>
          <w:color w:val="000000"/>
          <w:kern w:val="0"/>
        </w:rPr>
        <w:t>４９％</w:t>
      </w:r>
      <w:proofErr w:type="gramEnd"/>
      <w:r w:rsidRPr="00FA3F78">
        <w:rPr>
          <w:color w:val="000000"/>
          <w:kern w:val="0"/>
        </w:rPr>
        <w:t>的政府-央企出资结构、政府控股但央企经营的安排，使授权环境</w:t>
      </w:r>
      <w:r w:rsidRPr="00FA3F78">
        <w:rPr>
          <w:b/>
          <w:color w:val="000000"/>
          <w:kern w:val="0"/>
        </w:rPr>
        <w:t>不是外部政策的被动给定，而是可通过股权与治理结构主动塑造的制度建构</w:t>
      </w:r>
      <w:r w:rsidRPr="00FA3F78">
        <w:rPr>
          <w:color w:val="000000"/>
          <w:kern w:val="0"/>
        </w:rPr>
        <w:t xml:space="preserve">，三者共同构成价值创造的制度前提与设计抓手，使</w:t>
      </w:r>
      <w:r w:rsidRPr="00FA3F78">
        <w:rPr>
          <w:rFonts w:ascii="宋体" w:eastAsia="宋体" w:hAnsi="宋体" w:cs="宋体" w:hint="eastAsia"/>
          <w:color w:val="000000"/>
          <w:kern w:val="0"/>
        </w:rPr>
        <w:t xml:space="preserve">“</w:t>
      </w:r>
      <w:r w:rsidRPr="00FA3F78">
        <w:rPr>
          <w:color w:val="000000"/>
          <w:kern w:val="0"/>
        </w:rPr>
        <w:t xml:space="preserve">授权</w:t>
      </w:r>
      <w:r w:rsidRPr="00FA3F78">
        <w:rPr>
          <w:rFonts w:ascii="宋体" w:eastAsia="宋体" w:hAnsi="宋体" w:cs="宋体" w:hint="eastAsia"/>
          <w:color w:val="000000"/>
          <w:kern w:val="0"/>
        </w:rPr>
        <w:t xml:space="preserve">”</w:t>
      </w:r>
      <w:r w:rsidRPr="00FA3F78">
        <w:rPr>
          <w:color w:val="000000"/>
          <w:kern w:val="0"/>
        </w:rPr>
        <w:t xml:space="preserve">从静态背景变量变为可设计、可调节的制度工具。</w:t>
      </w:r>
    </w:p>
    <w:p w14:paraId="41644523" w14:textId="09BBA30F" w:rsidR="00FA3F78" w:rsidRPr="00FA3F78" w:rsidRDefault="00FA3F78" w:rsidP="00FA3F78">
      <w:pPr>
        <w:pStyle w:val="2"/>
        <w:spacing w:before="156" w:after="156"/>
      </w:pPr>
      <w:bookmarkStart w:id="283" w:name="_Toc236777542"/>
      <w:bookmarkStart w:id="284" w:name="_Toc236777915"/>
      <w:bookmarkStart w:id="285" w:name="_Toc236777988"/>
      <w:r w:rsidRPr="00FA3F78">
        <w:t>实践与政策启示</w:t>
      </w:r>
      <w:bookmarkEnd w:id="283"/>
      <w:bookmarkEnd w:id="284"/>
      <w:bookmarkEnd w:id="285"/>
    </w:p>
    <w:p w14:paraId="3EBD27E8" w14:textId="4F9171EC" w:rsidR="00FA3F78" w:rsidRPr="00FA3F78" w:rsidRDefault="00FA3F78" w:rsidP="00FA3F78">
      <w:pPr>
        <w:pStyle w:val="a"/>
        <w:spacing w:before="156" w:after="156"/>
      </w:pPr>
      <w:bookmarkStart w:id="286" w:name="_Toc236777543"/>
      <w:bookmarkStart w:id="287" w:name="_Toc236777916"/>
      <w:bookmarkStart w:id="288" w:name="_Toc236777989"/>
      <w:r w:rsidRPr="00FA3F78">
        <w:t>以国企为载体承接试点</w:t>
      </w:r>
      <w:bookmarkEnd w:id="286"/>
      <w:bookmarkEnd w:id="287"/>
      <w:bookmarkEnd w:id="288"/>
    </w:p>
    <w:p w14:paraId="79B0C11A" w14:textId="77777777" w:rsidR="00FA3F78" w:rsidRPr="00FA3F78" w:rsidRDefault="00FA3F78" w:rsidP="00FA3F78">
      <w:pPr>
        <w:widowControl/>
        <w:autoSpaceDE w:val="0"/>
        <w:spacing w:before="100" w:beforeAutospacing="1" w:after="120" w:line="360" w:lineRule="auto"/>
        <w:ind w:firstLine="480" w:firstLineChars="200"/>
        <w:jc w:val="both"/>
        <w:rPr>
          <w:rFonts w:ascii="宋体" w:eastAsia="宋体" w:hAnsi="宋体"/>
          <w:color w:val="000000"/>
          <w:kern w:val="0"/>
          <w:szCs w:val="24"/>
        </w:rPr>
      </w:pPr>
      <w:r w:rsidRPr="00FA3F78">
        <w:rPr>
          <w:color w:val="000000"/>
          <w:kern w:val="0"/>
        </w:rPr>
        <w:t xml:space="preserve">中小型城市数字化建设应优先选择兼具公共使命与专业能力的国企载体承接。受限于财政约束与人才短板，中小城市难以由政府独立主导数字化建设，嘉数实践表明地方联合央企出资组建国企，既解决</w:t>
      </w:r>
      <w:r w:rsidRPr="00FA3F78">
        <w:rPr>
          <w:rFonts w:ascii="宋体" w:eastAsia="宋体" w:hAnsi="宋体" w:cs="宋体" w:hint="eastAsia"/>
          <w:color w:val="000000"/>
          <w:kern w:val="0"/>
        </w:rPr>
        <w:t xml:space="preserve">“</w:t>
      </w:r>
      <w:r w:rsidRPr="00FA3F78">
        <w:rPr>
          <w:color w:val="000000"/>
          <w:kern w:val="0"/>
        </w:rPr>
        <w:t xml:space="preserve">谁来建</w:t>
      </w:r>
      <w:r w:rsidRPr="00FA3F78">
        <w:rPr>
          <w:rFonts w:ascii="宋体" w:eastAsia="宋体" w:hAnsi="宋体" w:cs="宋体" w:hint="eastAsia"/>
          <w:color w:val="000000"/>
          <w:kern w:val="0"/>
        </w:rPr>
        <w:t xml:space="preserve">”</w:t>
      </w:r>
      <w:r w:rsidRPr="00FA3F78">
        <w:rPr>
          <w:color w:val="000000"/>
          <w:kern w:val="0"/>
        </w:rPr>
        <w:t xml:space="preserve">的组织缺位，又</w:t>
      </w:r>
      <w:r w:rsidRPr="00FA3F78">
        <w:rPr>
          <w:color w:val="000000"/>
          <w:kern w:val="0"/>
        </w:rPr>
        <w:lastRenderedPageBreak/>
        <w:t>通过市场化经营解决“谁来管”的持续运营。省内舟山国有全资运营、路桥“平台+总包”整合服务商、萧山三层AI平台，均指向“</w:t>
      </w:r>
      <w:r w:rsidRPr="00FA3F78">
        <w:rPr>
          <w:b/>
          <w:color w:val="000000"/>
          <w:kern w:val="0"/>
        </w:rPr>
        <w:t xml:space="preserve">国企搭台、专业运营</w:t>
      </w:r>
      <w:r w:rsidRPr="00FA3F78">
        <w:rPr>
          <w:rFonts w:ascii="宋体" w:eastAsia="宋体" w:hAnsi="宋体" w:cs="宋体" w:hint="eastAsia"/>
          <w:b/>
          <w:color w:val="000000"/>
          <w:kern w:val="0"/>
        </w:rPr>
        <w:t xml:space="preserve">”</w:t>
      </w:r>
      <w:r w:rsidRPr="00FA3F78">
        <w:rPr>
          <w:color w:val="000000"/>
          <w:kern w:val="0"/>
        </w:rPr>
        <w:t>。</w:t>
      </w:r>
    </w:p>
    <w:p xmlns:a="http://schemas.openxmlformats.org/drawingml/2006/main" xmlns:pic="http://schemas.openxmlformats.org/drawingml/2006/picture">
      <w:pPr>
        <w:keepNext/>
        <w:widowControl w:val="0"/>
        <w:ind w:firstLineChars="0" w:firstLine="0"/>
        <w:jc w:val="center"/>
      </w:pPr>
      <w:r>
        <w:rPr>
          <w:noProof/>
          <w:kern w:val="2"/>
          <w:lang w:eastAsia="zh-CN"/>
        </w:rPr>
        <w:drawing>
          <wp:inline distT="0" distB="0" distL="114300" distR="114300">
            <wp:extent cx="5270000" cy="2635000"/>
            <wp:effectExtent l="0" t="0" r="0" b="0"/>
            <wp:docPr id="910" name="图片 910"/>
            <wp:cNvGraphicFramePr>
              <a:graphicFrameLocks noChangeAspect="1"/>
            </wp:cNvGraphicFramePr>
            <a:graphic>
              <a:graphicData uri="http://schemas.openxmlformats.org/drawingml/2006/picture">
                <pic:pic>
                  <pic:nvPicPr>
                    <pic:cNvPr id="910" name="图片 910"/>
                    <pic:cNvPicPr>
                      <a:picLocks noChangeAspect="1"/>
                    </pic:cNvPicPr>
                  </pic:nvPicPr>
                  <pic:blipFill>
                    <a:blip r:embed="rId205"/>
                    <a:stretch>
                      <a:fillRect/>
                    </a:stretch>
                  </pic:blipFill>
                  <pic:spPr>
                    <a:xfrm>
                      <a:off x="0" y="0"/>
                      <a:ext cx="5270000" cy="2635000"/>
                    </a:xfrm>
                    <a:prstGeom prst="rect">
                      <a:avLst/>
                    </a:prstGeom>
                    <a:ln>
                      <a:noFill/>
                    </a:ln>
                  </pic:spPr>
                </pic:pic>
              </a:graphicData>
            </a:graphic>
          </wp:inline>
        </w:drawing>
      </w:r>
    </w:p>
    <w:p>
      <w:pPr>
        <w:pStyle w:val="af7"/>
        <w:ind w:firstLineChars="0" w:firstLine="0"/>
        <w:jc w:val="center"/>
        <w:rPr>
          <w:color w:val="FF0000"/>
          <w:lang w:eastAsia="zh-CN"/>
        </w:rPr>
      </w:pPr>
      <w:r>
        <w:rPr>
          <w:color w:val="FF0000"/>
          <w:lang w:eastAsia="zh-CN"/>
        </w:rPr>
        <w:t>图</w:t>
      </w:r>
      <w:r>
        <w:rPr>
          <w:color w:val="FF0000"/>
          <w:lang w:eastAsia="zh-CN"/>
        </w:rPr>
        <w:t xml:space="preserve"> </w:t>
      </w:r>
      <w:r>
        <w:rPr>
          <w:color w:val="FF0000"/>
          <w:lang w:eastAsia="zh-CN"/>
        </w:rPr>
        <w:t>5</w:t>
      </w:r>
      <w:r>
        <w:rPr>
          <w:color w:val="FF0000"/>
          <w:lang w:eastAsia="zh-CN"/>
        </w:rPr>
        <w:noBreakHyphen/>
      </w:r>
      <w:r>
        <w:rPr>
          <w:color w:val="FF0000"/>
          <w:lang w:eastAsia="zh-CN"/>
        </w:rPr>
        <w:fldChar w:fldCharType="begin"/>
      </w:r>
      <w:r>
        <w:rPr>
          <w:color w:val="FF0000"/>
          <w:lang w:eastAsia="zh-CN"/>
        </w:rPr>
        <w:instrText xml:space="preserve"> SEQ 图 \* ARABIC \s 1 </w:instrText>
      </w:r>
      <w:r>
        <w:rPr>
          <w:color w:val="FF0000"/>
          <w:lang w:eastAsia="zh-CN"/>
        </w:rPr>
        <w:fldChar w:fldCharType="separate"/>
      </w:r>
      <w:r>
        <w:rPr>
          <w:color w:val="FF0000"/>
          <w:noProof/>
          <w:lang w:eastAsia="zh-CN"/>
        </w:rPr>
        <w:t>1</w:t>
      </w:r>
      <w:r>
        <w:rPr>
          <w:color w:val="FF0000"/>
          <w:lang w:eastAsia="zh-CN"/>
        </w:rPr>
        <w:fldChar w:fldCharType="end"/>
      </w:r>
      <w:r>
        <w:rPr>
          <w:color w:val="FF0000"/>
          <w:lang w:eastAsia="zh-CN"/>
        </w:rPr>
        <w:t xml:space="preserve"> </w:t>
      </w:r>
      <w:r>
        <w:rPr>
          <w:color w:val="FF0000"/>
          <w:lang w:eastAsia="zh-CN"/>
        </w:rPr>
        <w:t xml:space="preserve">中小城市数字化建设</w:t>
      </w:r>
      <w:r>
        <w:rPr>
          <w:rFonts w:hint="eastAsia" w:ascii="宋体" w:hAnsi="宋体" w:eastAsia="宋体" w:cs="宋体"/>
          <w:color w:val="FF0000"/>
          <w:lang w:eastAsia="zh-CN"/>
        </w:rPr>
        <w:t xml:space="preserve">“</w:t>
      </w:r>
      <w:r>
        <w:rPr>
          <w:color w:val="FF0000"/>
          <w:lang w:eastAsia="zh-CN"/>
        </w:rPr>
        <w:t xml:space="preserve">嘉数路径</w:t>
      </w:r>
      <w:r>
        <w:rPr>
          <w:rFonts w:hint="eastAsia" w:ascii="宋体" w:hAnsi="宋体" w:eastAsia="宋体" w:cs="宋体"/>
          <w:color w:val="FF0000"/>
          <w:lang w:eastAsia="zh-CN"/>
        </w:rPr>
        <w:t xml:space="preserve">”</w:t>
      </w:r>
      <w:r>
        <w:rPr>
          <w:color w:val="FF0000"/>
          <w:lang w:eastAsia="zh-CN"/>
        </w:rPr>
        <w:t xml:space="preserve">的阶段推进与适配条件</w:t>
      </w:r>
    </w:p>
    <w:p>
      <w:pPr>
        <w:spacing w:line="360" w:lineRule="auto"/>
        <w:ind w:firstLineChars="200" w:firstLine="480"/>
        <w:jc w:val="both"/>
        <w:rPr>
          <w:color w:val="FF0000"/>
          <w:lang w:eastAsia="zh-CN"/>
        </w:rPr>
      </w:pPr>
      <w:r>
        <w:rPr>
          <w:color w:val="FF0000"/>
          <w:lang w:eastAsia="zh-CN"/>
        </w:rPr>
        <w:t xml:space="preserve">需要区分的是，可供其他城市援引的并非嘉数公司的具体做法，而是其做法所服务的机理性内核。五亿元注册资本、与中国电科合资、依托北京理工大学长三角研究院共建实验室等安排，高度依赖嘉兴的区位条件与既有合作基础，直接移植多半失效；真正具备迁移价值的是四条原则：以建管一体的主体承接试点，避免建设与运营脱节；以股权与治理结构主动设计授权，而非被动等待政策给定；以高可编码性场景优先切入，在有限投入下取得可验证成效；以制度化的价值评估支撑增值向授权的回流。四者相互支撑，缺少任一条，闭环都难以形成。</w:t>
      </w:r>
    </w:p>
    <w:p w14:paraId="0CECE9C6" w14:textId="19CC45A0" w:rsidR="00FA3F78" w:rsidRPr="00FA3F78" w:rsidRDefault="00FA3F78" w:rsidP="00FA3F78">
      <w:pPr>
        <w:pStyle w:val="a"/>
        <w:spacing w:before="156" w:after="156"/>
      </w:pPr>
      <w:bookmarkStart w:id="289" w:name="_Toc236777544"/>
      <w:bookmarkStart w:id="290" w:name="_Toc236777917"/>
      <w:bookmarkStart w:id="291" w:name="_Toc236777990"/>
      <w:r w:rsidRPr="00FA3F78">
        <w:t>警惕</w:t>
      </w:r>
      <w:r w:rsidRPr="00FA3F78">
        <w:rPr>
          <w:rFonts w:ascii="宋体" w:hAnsi="宋体" w:eastAsia="宋体" w:cs="宋体" w:hint="eastAsia"/>
        </w:rPr>
        <w:t>“</w:t>
      </w:r>
      <w:r w:rsidRPr="00FA3F78">
        <w:t>重建轻管</w:t>
      </w:r>
      <w:r w:rsidRPr="00FA3F78">
        <w:rPr>
          <w:rFonts w:ascii="宋体" w:hAnsi="宋体" w:eastAsia="宋体" w:cs="宋体" w:hint="eastAsia"/>
        </w:rPr>
        <w:t>”</w:t>
      </w:r>
      <w:bookmarkEnd w:id="289"/>
      <w:bookmarkEnd w:id="290"/>
      <w:bookmarkEnd w:id="291"/>
    </w:p>
    <w:p w14:paraId="77D116FC" w14:textId="77777777" w:rsidR="00FA3F78" w:rsidRPr="00FA3F78" w:rsidRDefault="00FA3F78" w:rsidP="00FA3F78">
      <w:pPr>
        <w:widowControl/>
        <w:autoSpaceDE w:val="0"/>
        <w:spacing w:before="100" w:beforeAutospacing="1" w:after="120" w:line="360" w:lineRule="auto"/>
        <w:ind w:firstLine="480" w:firstLineChars="200"/>
        <w:jc w:val="both"/>
        <w:rPr>
          <w:rFonts w:ascii="宋体" w:eastAsia="宋体" w:hAnsi="宋体"/>
          <w:color w:val="000000"/>
          <w:kern w:val="0"/>
          <w:szCs w:val="24"/>
        </w:rPr>
      </w:pPr>
      <w:r w:rsidRPr="00FA3F78">
        <w:rPr>
          <w:color w:val="000000"/>
          <w:kern w:val="0"/>
        </w:rPr>
        <w:t xml:space="preserve">数字化建设应将</w:t>
      </w:r>
      <w:r w:rsidRPr="00FA3F78">
        <w:rPr>
          <w:rFonts w:ascii="宋体" w:eastAsia="宋体" w:hAnsi="宋体" w:cs="宋体" w:hint="eastAsia"/>
          <w:color w:val="000000"/>
          <w:kern w:val="0"/>
        </w:rPr>
        <w:t xml:space="preserve">“</w:t>
      </w:r>
      <w:r w:rsidRPr="00FA3F78">
        <w:rPr>
          <w:color w:val="000000"/>
          <w:kern w:val="0"/>
        </w:rPr>
        <w:t xml:space="preserve">建管一体</w:t>
      </w:r>
      <w:r w:rsidRPr="00FA3F78">
        <w:rPr>
          <w:rFonts w:ascii="宋体" w:eastAsia="宋体" w:hAnsi="宋体" w:cs="宋体" w:hint="eastAsia"/>
          <w:color w:val="000000"/>
          <w:kern w:val="0"/>
        </w:rPr>
        <w:t xml:space="preserve">”</w:t>
      </w:r>
      <w:r w:rsidRPr="00FA3F78">
        <w:rPr>
          <w:color w:val="000000"/>
          <w:kern w:val="0"/>
        </w:rPr>
        <w:t xml:space="preserve">作为选择承接主体的核心标准。浙江交集团数智交院中标天台1.5亿元智慧城市设计但仅做设计不运营，暴露</w:t>
      </w:r>
      <w:r w:rsidRPr="00FA3F78">
        <w:rPr>
          <w:rFonts w:ascii="宋体" w:eastAsia="宋体" w:hAnsi="宋体" w:cs="宋体" w:hint="eastAsia"/>
          <w:color w:val="000000"/>
          <w:kern w:val="0"/>
        </w:rPr>
        <w:t xml:space="preserve">“</w:t>
      </w:r>
      <w:r w:rsidRPr="00FA3F78">
        <w:rPr>
          <w:color w:val="000000"/>
          <w:kern w:val="0"/>
        </w:rPr>
        <w:t xml:space="preserve">重投入、轻运营</w:t>
      </w:r>
      <w:r w:rsidRPr="00FA3F78">
        <w:rPr>
          <w:rFonts w:ascii="宋体" w:eastAsia="宋体" w:hAnsi="宋体" w:cs="宋体" w:hint="eastAsia"/>
          <w:color w:val="000000"/>
          <w:kern w:val="0"/>
        </w:rPr>
        <w:t xml:space="preserve">”</w:t>
      </w:r>
      <w:r w:rsidRPr="00FA3F78">
        <w:rPr>
          <w:color w:val="000000"/>
          <w:kern w:val="0"/>
        </w:rPr>
        <w:t xml:space="preserve">的结构性风险，运营主体缺位导致投入沉淀。嘉数路径将建设与运营统一于同一主体，通过持续运营积累数据资产与场景经验，使公共价值产出</w:t>
      </w:r>
      <w:r w:rsidRPr="00FA3F78">
        <w:rPr>
          <w:b/>
          <w:color w:val="000000"/>
          <w:kern w:val="0"/>
        </w:rPr>
        <w:t>不是一次性消耗，而是可持续增值</w:t>
      </w:r>
      <w:r w:rsidRPr="00FA3F78">
        <w:rPr>
          <w:color w:val="000000"/>
          <w:kern w:val="0"/>
        </w:rPr>
        <w:t>，确保数字化投入持续转化为治理效能与民生福祉。</w:t>
      </w:r>
    </w:p>
    <w:p w14:paraId="2B6BBB62" w14:textId="2FCE89BF" w:rsidR="00FA3F78" w:rsidRPr="00FA3F78" w:rsidRDefault="00FA3F78" w:rsidP="00FA3F78">
      <w:pPr>
        <w:pStyle w:val="a"/>
        <w:spacing w:before="156" w:after="156"/>
      </w:pPr>
      <w:bookmarkStart w:id="292" w:name="_Toc236777545"/>
      <w:bookmarkStart w:id="293" w:name="_Toc236777918"/>
      <w:bookmarkStart w:id="294" w:name="_Toc236777991"/>
      <w:r w:rsidRPr="00FA3F78">
        <w:t>公共价值与市场化运营的兼容</w:t>
      </w:r>
      <w:bookmarkEnd w:id="292"/>
      <w:bookmarkEnd w:id="293"/>
      <w:bookmarkEnd w:id="294"/>
    </w:p>
    <w:p w14:paraId="5F005F90" w14:textId="77777777" w:rsidR="00FA3F78" w:rsidRPr="00FA3F78" w:rsidRDefault="00FA3F78" w:rsidP="00FA3F78">
      <w:pPr>
        <w:widowControl/>
        <w:autoSpaceDE w:val="0"/>
        <w:spacing w:before="100" w:beforeAutospacing="1" w:after="120" w:line="360" w:lineRule="auto"/>
        <w:ind w:firstLine="480" w:firstLineChars="200"/>
        <w:jc w:val="both"/>
        <w:rPr>
          <w:rFonts w:ascii="宋体" w:eastAsia="宋体" w:hAnsi="宋体"/>
          <w:color w:val="000000"/>
          <w:kern w:val="0"/>
          <w:szCs w:val="24"/>
        </w:rPr>
      </w:pPr>
      <w:r w:rsidRPr="00FA3F78">
        <w:rPr>
          <w:color w:val="000000"/>
          <w:kern w:val="0"/>
        </w:rPr>
        <w:t>政策驱动型国企中公共价值与市场效益可以兼得。嘉数公司民生服务类占比50%，同时信创电脑入围中直机关采购、市场辐射多省，表明市场化运营与公共价值使命</w:t>
      </w:r>
      <w:r w:rsidRPr="00FA3F78">
        <w:rPr>
          <w:b/>
          <w:color w:val="000000"/>
          <w:kern w:val="0"/>
        </w:rPr>
        <w:t>不是此消彼长的零和关系，而是互为支撑的兼容关系</w:t>
      </w:r>
      <w:r w:rsidRPr="00FA3F78">
        <w:rPr>
          <w:color w:val="000000"/>
          <w:kern w:val="0"/>
        </w:rPr>
        <w:t>——以公共价值为根基的运营能力可支撑市场拓展，市场收益又持续反哺公共服务投入。同类国企需自觉将民生福祉置于核心位置，以公共价值引领业务配置。</w:t>
      </w:r>
    </w:p>
    <w:p w14:paraId="2C5F03A9" w14:textId="765DB5C2" w:rsidR="00FA3F78" w:rsidRPr="00FA3F78" w:rsidRDefault="00FA3F78" w:rsidP="00FA3F78">
      <w:pPr>
        <w:pStyle w:val="a"/>
        <w:spacing w:before="156" w:after="156"/>
      </w:pPr>
      <w:bookmarkStart w:id="295" w:name="_Toc236777546"/>
      <w:bookmarkStart w:id="296" w:name="_Toc236777919"/>
      <w:bookmarkStart w:id="297" w:name="_Toc236777992"/>
      <w:r w:rsidRPr="00FA3F78">
        <w:t>以增值反哺授权的策略路径</w:t>
      </w:r>
      <w:bookmarkEnd w:id="295"/>
      <w:bookmarkEnd w:id="296"/>
      <w:bookmarkEnd w:id="297"/>
    </w:p>
    <w:p w14:paraId="541C36E5" w14:textId="77777777" w:rsidR="00FA3F78" w:rsidRPr="00FA3F78" w:rsidRDefault="00FA3F78" w:rsidP="00FA3F78">
      <w:pPr>
        <w:widowControl/>
        <w:autoSpaceDE w:val="0"/>
        <w:spacing w:before="100" w:beforeAutospacing="1" w:after="120" w:line="360" w:lineRule="auto"/>
        <w:ind w:firstLine="480" w:firstLineChars="200"/>
        <w:jc w:val="both"/>
        <w:rPr>
          <w:rFonts w:ascii="宋体" w:eastAsia="宋体" w:hAnsi="宋体"/>
          <w:color w:val="000000"/>
          <w:kern w:val="0"/>
          <w:szCs w:val="24"/>
        </w:rPr>
      </w:pPr>
      <w:r w:rsidRPr="00FA3F78">
        <w:rPr>
          <w:color w:val="000000"/>
          <w:kern w:val="0"/>
        </w:rPr>
        <w:t>同类国企应主动以价值创造争取授权扩展，使授权边界随价值产出动态调整。嘉数公司通过数据资产化帮助市属国企增值，由此获得的认可转化为新授权资格，揭示了政策驱动型国企</w:t>
      </w:r>
      <w:r w:rsidRPr="00FA3F78">
        <w:rPr>
          <w:b/>
          <w:color w:val="000000"/>
          <w:kern w:val="0"/>
        </w:rPr>
        <w:t>不是授权的被动接受者，而是可通过价值产出主动重塑授权环境的能动主体</w:t>
      </w:r>
      <w:r w:rsidRPr="00FA3F78">
        <w:rPr>
          <w:color w:val="000000"/>
          <w:kern w:val="0"/>
        </w:rPr>
        <w:t xml:space="preserve">。</w:t>
      </w:r>
      <w:r w:rsidRPr="00FA3F78">
        <w:rPr>
          <w:rFonts w:ascii="宋体" w:eastAsia="宋体" w:hAnsi="宋体" w:cs="宋体" w:hint="eastAsia"/>
          <w:color w:val="000000"/>
          <w:kern w:val="0"/>
        </w:rPr>
        <w:t xml:space="preserve">“</w:t>
      </w:r>
      <w:r w:rsidRPr="00FA3F78">
        <w:rPr>
          <w:color w:val="000000"/>
          <w:kern w:val="0"/>
        </w:rPr>
        <w:t xml:space="preserve">增值→反哺授权</w:t>
      </w:r>
      <w:r w:rsidRPr="00FA3F78">
        <w:rPr>
          <w:rFonts w:ascii="宋体" w:eastAsia="宋体" w:hAnsi="宋体" w:cs="宋体" w:hint="eastAsia"/>
          <w:color w:val="000000"/>
          <w:kern w:val="0"/>
        </w:rPr>
        <w:t xml:space="preserve">”</w:t>
      </w:r>
      <w:r w:rsidRPr="00FA3F78">
        <w:rPr>
          <w:color w:val="000000"/>
          <w:kern w:val="0"/>
        </w:rPr>
        <w:t xml:space="preserve">为同类国企提供可操作策略：以成果证明价值，以价值倒逼授权扩展，而非被动等待政策单向赋予。</w:t>
      </w:r>
    </w:p>
    <w:p w14:paraId="5972DA7D" w14:textId="0412CD50" w:rsidR="00FA3F78" w:rsidRPr="00FA3F78" w:rsidRDefault="00FA3F78" w:rsidP="00FA3F78">
      <w:pPr>
        <w:pStyle w:val="a"/>
        <w:spacing w:before="156" w:after="156"/>
      </w:pPr>
      <w:bookmarkStart w:id="298" w:name="_Toc236777547"/>
      <w:bookmarkStart w:id="299" w:name="_Toc236777920"/>
      <w:bookmarkStart w:id="300" w:name="_Toc236777993"/>
      <w:r w:rsidRPr="00FA3F78">
        <w:t>稳定授权环境与强化要素供给</w:t>
      </w:r>
      <w:bookmarkEnd w:id="298"/>
      <w:bookmarkEnd w:id="299"/>
      <w:bookmarkEnd w:id="300"/>
    </w:p>
    <w:p w14:paraId="2634CB72" w14:textId="77777777" w:rsidR="00FA3F78" w:rsidRPr="00FA3F78" w:rsidRDefault="00FA3F78" w:rsidP="00FA3F78">
      <w:pPr>
        <w:widowControl/>
        <w:autoSpaceDE w:val="0"/>
        <w:spacing w:before="100" w:beforeAutospacing="1" w:after="120" w:line="360" w:lineRule="auto"/>
        <w:ind w:firstLine="480" w:firstLineChars="200"/>
        <w:jc w:val="both"/>
        <w:rPr>
          <w:rFonts w:ascii="宋体" w:eastAsia="宋体" w:hAnsi="宋体"/>
          <w:color w:val="000000"/>
          <w:kern w:val="0"/>
          <w:szCs w:val="24"/>
        </w:rPr>
      </w:pPr>
      <w:r w:rsidRPr="00FA3F78">
        <w:rPr>
          <w:color w:val="000000"/>
          <w:kern w:val="0"/>
        </w:rPr>
        <w:t>政策应提供稳定授权环境与充足要素供给，为试点国企长期投入提供保障。嘉数公司从2015年顶层协议到2025年获批授权运营，授权历经十年递进，印证稳定预期的关键作用。中办国办《公共数据资源开发利用意见》与发</w:t>
      </w:r>
      <w:r w:rsidRPr="00FA3F78">
        <w:rPr>
          <w:color w:val="000000"/>
          <w:kern w:val="0"/>
        </w:rPr>
        <w:lastRenderedPageBreak/>
        <w:t>改委《全域数字化转型行动计划》相继出台，提供持续扩大的政策空间，政策应</w:t>
      </w:r>
      <w:r w:rsidRPr="00FA3F78">
        <w:rPr>
          <w:b/>
          <w:color w:val="000000"/>
          <w:kern w:val="0"/>
        </w:rPr>
        <w:t>避免朝令夕改、确保稳定预期</w:t>
      </w:r>
      <w:r w:rsidRPr="00FA3F78">
        <w:rPr>
          <w:color w:val="000000"/>
          <w:kern w:val="0"/>
        </w:rPr>
        <w:t>，同时打通数据向运营单位流通通道。</w:t>
      </w:r>
    </w:p>
    <w:p w14:paraId="526DACAE" w14:textId="605B3706" w:rsidR="00FA3F78" w:rsidRPr="00FA3F78" w:rsidRDefault="00FA3F78" w:rsidP="00FA3F78">
      <w:pPr>
        <w:pStyle w:val="a"/>
        <w:spacing w:before="156" w:after="156"/>
      </w:pPr>
      <w:bookmarkStart w:id="301" w:name="_Toc236777548"/>
      <w:bookmarkStart w:id="302" w:name="_Toc236777921"/>
      <w:bookmarkStart w:id="303" w:name="_Toc236777994"/>
      <w:r w:rsidRPr="00FA3F78">
        <w:t>健全公共价值评估与反馈机制</w:t>
      </w:r>
      <w:bookmarkEnd w:id="301"/>
      <w:bookmarkEnd w:id="302"/>
      <w:bookmarkEnd w:id="303"/>
    </w:p>
    <w:p w14:paraId="54866800" w14:textId="77777777" w:rsidR="00FA3F78" w:rsidRPr="00FA3F78" w:rsidRDefault="00FA3F78" w:rsidP="00FA3F78">
      <w:pPr>
        <w:widowControl/>
        <w:autoSpaceDE w:val="0"/>
        <w:spacing w:before="100" w:beforeAutospacing="1" w:after="120" w:line="360" w:lineRule="auto"/>
        <w:ind w:firstLine="480" w:firstLineChars="200"/>
        <w:jc w:val="both"/>
        <w:rPr>
          <w:rFonts w:ascii="宋体" w:eastAsia="宋体" w:hAnsi="宋体"/>
          <w:color w:val="000000"/>
          <w:kern w:val="0"/>
          <w:szCs w:val="24"/>
        </w:rPr>
      </w:pPr>
      <w:r w:rsidRPr="00FA3F78">
        <w:rPr>
          <w:color w:val="000000"/>
          <w:kern w:val="0"/>
        </w:rPr>
        <w:t xml:space="preserve">应将公共价值评估制度化，使</w:t>
      </w:r>
      <w:r w:rsidRPr="00FA3F78">
        <w:rPr>
          <w:rFonts w:ascii="宋体" w:eastAsia="宋体" w:hAnsi="宋体" w:cs="宋体" w:hint="eastAsia"/>
          <w:color w:val="000000"/>
          <w:kern w:val="0"/>
        </w:rPr>
        <w:t xml:space="preserve">“</w:t>
      </w:r>
      <w:r w:rsidRPr="00FA3F78">
        <w:rPr>
          <w:color w:val="000000"/>
          <w:kern w:val="0"/>
        </w:rPr>
        <w:t xml:space="preserve">增值→反哺授权</w:t>
      </w:r>
      <w:r w:rsidRPr="00FA3F78">
        <w:rPr>
          <w:rFonts w:ascii="宋体" w:eastAsia="宋体" w:hAnsi="宋体" w:cs="宋体" w:hint="eastAsia"/>
          <w:color w:val="000000"/>
          <w:kern w:val="0"/>
        </w:rPr>
        <w:t xml:space="preserve">”</w:t>
      </w:r>
      <w:r w:rsidRPr="00FA3F78">
        <w:rPr>
          <w:color w:val="000000"/>
          <w:kern w:val="0"/>
        </w:rPr>
        <w:t xml:space="preserve">闭环成为可预期、可复制的制度反馈。嘉数当前授权扩展主要依赖个案认可，尚未形成制度化评估反馈，同类国企中亦普遍存在。国内《公共数据资源社会价值与经济价值评价标准》（团体标准）与国际Moore（2013）Public Value Account等均可参考，推动成果从</w:t>
      </w:r>
      <w:r w:rsidRPr="00FA3F78">
        <w:rPr>
          <w:rFonts w:ascii="宋体" w:eastAsia="宋体" w:hAnsi="宋体" w:cs="宋体" w:hint="eastAsia"/>
          <w:color w:val="000000"/>
          <w:kern w:val="0"/>
        </w:rPr>
        <w:t xml:space="preserve">“</w:t>
      </w:r>
      <w:r w:rsidRPr="00FA3F78">
        <w:rPr>
          <w:color w:val="000000"/>
          <w:kern w:val="0"/>
        </w:rPr>
        <w:t xml:space="preserve">一企一策</w:t>
      </w:r>
      <w:r w:rsidRPr="00FA3F78">
        <w:rPr>
          <w:rFonts w:ascii="宋体" w:eastAsia="宋体" w:hAnsi="宋体" w:cs="宋体" w:hint="eastAsia"/>
          <w:color w:val="000000"/>
          <w:kern w:val="0"/>
        </w:rPr>
        <w:t xml:space="preserve">”</w:t>
      </w:r>
      <w:r w:rsidRPr="00FA3F78">
        <w:rPr>
          <w:color w:val="000000"/>
          <w:kern w:val="0"/>
        </w:rPr>
        <w:t xml:space="preserve">走向</w:t>
      </w:r>
      <w:r w:rsidRPr="00FA3F78">
        <w:rPr>
          <w:rFonts w:ascii="宋体" w:eastAsia="宋体" w:hAnsi="宋体" w:cs="宋体" w:hint="eastAsia"/>
          <w:color w:val="000000"/>
          <w:kern w:val="0"/>
        </w:rPr>
        <w:t xml:space="preserve">“</w:t>
      </w:r>
      <w:r w:rsidRPr="00FA3F78">
        <w:rPr>
          <w:color w:val="000000"/>
          <w:kern w:val="0"/>
        </w:rPr>
        <w:t xml:space="preserve">可推广、可复制</w:t>
      </w:r>
      <w:r w:rsidRPr="00FA3F78">
        <w:rPr>
          <w:rFonts w:ascii="宋体" w:eastAsia="宋体" w:hAnsi="宋体" w:cs="宋体" w:hint="eastAsia"/>
          <w:color w:val="000000"/>
          <w:kern w:val="0"/>
        </w:rPr>
        <w:t xml:space="preserve">”</w:t>
      </w:r>
      <w:r w:rsidRPr="00FA3F78">
        <w:rPr>
          <w:color w:val="000000"/>
          <w:kern w:val="0"/>
        </w:rPr>
        <w:t xml:space="preserve">。</w:t>
      </w:r>
    </w:p>
    <w:p w14:paraId="4350AB35" w14:textId="6AAE8007" w:rsidR="00FA3F78" w:rsidRPr="00FA3F78" w:rsidRDefault="00FA3F78" w:rsidP="00FA3F78">
      <w:pPr>
        <w:pStyle w:val="2"/>
        <w:spacing w:before="156" w:after="156"/>
      </w:pPr>
      <w:bookmarkStart w:id="304" w:name="_Toc236777549"/>
      <w:bookmarkStart w:id="305" w:name="_Toc236777922"/>
      <w:bookmarkStart w:id="306" w:name="_Toc236777995"/>
      <w:r w:rsidRPr="00FA3F78">
        <w:t>研究不足与展望</w:t>
      </w:r>
      <w:bookmarkEnd w:id="304"/>
      <w:bookmarkEnd w:id="305"/>
      <w:bookmarkEnd w:id="306"/>
    </w:p>
    <w:p w14:paraId="08C4D69E" w14:textId="265ACD87" w:rsidR="00FA3F78" w:rsidRPr="00FA3F78" w:rsidRDefault="00FA3F78" w:rsidP="00FA3F78">
      <w:pPr>
        <w:pStyle w:val="a"/>
        <w:spacing w:before="156" w:after="156"/>
      </w:pPr>
      <w:bookmarkStart w:id="307" w:name="_Toc236777550"/>
      <w:bookmarkStart w:id="308" w:name="_Toc236777923"/>
      <w:bookmarkStart w:id="309" w:name="_Toc236777996"/>
      <w:r w:rsidRPr="00FA3F78">
        <w:t>单案例外部效度有限</w:t>
      </w:r>
      <w:bookmarkEnd w:id="307"/>
      <w:bookmarkEnd w:id="308"/>
      <w:bookmarkEnd w:id="309"/>
    </w:p>
    <w:p w14:paraId="026A0E05" w14:textId="77777777" w:rsidR="00FA3F78" w:rsidRPr="00FA3F78" w:rsidRDefault="00FA3F78" w:rsidP="00FA3F78">
      <w:pPr>
        <w:widowControl/>
        <w:autoSpaceDE w:val="0"/>
        <w:spacing w:before="100" w:beforeAutospacing="1" w:after="120" w:line="360" w:lineRule="auto"/>
        <w:ind w:firstLine="480" w:firstLineChars="200"/>
        <w:jc w:val="both"/>
        <w:rPr>
          <w:rFonts w:ascii="宋体" w:eastAsia="宋体" w:hAnsi="宋体"/>
          <w:color w:val="000000"/>
          <w:kern w:val="0"/>
          <w:szCs w:val="24"/>
        </w:rPr>
      </w:pPr>
      <w:r w:rsidRPr="00FA3F78">
        <w:rPr>
          <w:color w:val="000000"/>
          <w:kern w:val="0"/>
        </w:rPr>
        <w:t xml:space="preserve">本研究结论的外部推广依赖分析性推广而非统计性推广，有待跨案例比较检验。聚焦嘉数公司一家企业，如Flyvbjerg（2006）所指，单案例研究的价值在于通过深度剖析揭示因果机制（Yin,2014）。未来可选择不同出资结构、规模与区域的地方国企比较，检验</w:t>
      </w:r>
      <w:r w:rsidRPr="00FA3F78">
        <w:rPr>
          <w:rFonts w:ascii="宋体" w:eastAsia="宋体" w:hAnsi="宋体" w:cs="宋体" w:hint="eastAsia"/>
          <w:color w:val="000000"/>
          <w:kern w:val="0"/>
        </w:rPr>
        <w:t xml:space="preserve">“</w:t>
      </w:r>
      <w:r w:rsidRPr="00FA3F78">
        <w:rPr>
          <w:color w:val="000000"/>
          <w:kern w:val="0"/>
        </w:rPr>
        <w:t xml:space="preserve">嘉数路径</w:t>
      </w:r>
      <w:r w:rsidRPr="00FA3F78">
        <w:rPr>
          <w:rFonts w:ascii="宋体" w:eastAsia="宋体" w:hAnsi="宋体" w:cs="宋体" w:hint="eastAsia"/>
          <w:color w:val="000000"/>
          <w:kern w:val="0"/>
        </w:rPr>
        <w:t xml:space="preserve">”</w:t>
      </w:r>
      <w:r w:rsidRPr="00FA3F78">
        <w:rPr>
          <w:color w:val="000000"/>
          <w:kern w:val="0"/>
        </w:rPr>
        <w:t xml:space="preserve">的适用条件与变异形态，推动结论从</w:t>
      </w:r>
      <w:r w:rsidRPr="00FA3F78">
        <w:rPr>
          <w:rFonts w:ascii="宋体" w:eastAsia="宋体" w:hAnsi="宋体" w:cs="宋体" w:hint="eastAsia"/>
          <w:color w:val="000000"/>
          <w:kern w:val="0"/>
        </w:rPr>
        <w:t xml:space="preserve">“</w:t>
      </w:r>
      <w:r w:rsidRPr="00FA3F78">
        <w:rPr>
          <w:color w:val="000000"/>
          <w:kern w:val="0"/>
        </w:rPr>
        <w:t xml:space="preserve">嘉数经验</w:t>
      </w:r>
      <w:r w:rsidRPr="00FA3F78">
        <w:rPr>
          <w:rFonts w:ascii="宋体" w:eastAsia="宋体" w:hAnsi="宋体" w:cs="宋体" w:hint="eastAsia"/>
          <w:color w:val="000000"/>
          <w:kern w:val="0"/>
        </w:rPr>
        <w:t xml:space="preserve">”</w:t>
      </w:r>
      <w:r w:rsidRPr="00FA3F78">
        <w:rPr>
          <w:color w:val="000000"/>
          <w:kern w:val="0"/>
        </w:rPr>
        <w:t xml:space="preserve">走向</w:t>
      </w:r>
      <w:r w:rsidRPr="00FA3F78">
        <w:rPr>
          <w:rFonts w:ascii="宋体" w:eastAsia="宋体" w:hAnsi="宋体" w:cs="宋体" w:hint="eastAsia"/>
          <w:color w:val="000000"/>
          <w:kern w:val="0"/>
        </w:rPr>
        <w:t xml:space="preserve">“</w:t>
      </w:r>
      <w:r w:rsidRPr="00FA3F78">
        <w:rPr>
          <w:color w:val="000000"/>
          <w:kern w:val="0"/>
        </w:rPr>
        <w:t xml:space="preserve">可推广的治理逻辑</w:t>
      </w:r>
      <w:r w:rsidRPr="00FA3F78">
        <w:rPr>
          <w:rFonts w:ascii="宋体" w:eastAsia="宋体" w:hAnsi="宋体" w:cs="宋体" w:hint="eastAsia"/>
          <w:color w:val="000000"/>
          <w:kern w:val="0"/>
        </w:rPr>
        <w:t xml:space="preserve">”</w:t>
      </w:r>
      <w:r w:rsidRPr="00FA3F78">
        <w:rPr>
          <w:color w:val="000000"/>
          <w:kern w:val="0"/>
        </w:rPr>
        <w:t xml:space="preserve">。</w:t>
      </w:r>
    </w:p>
    <w:p w14:paraId="39A88625" w14:textId="048B808C" w:rsidR="00FA3F78" w:rsidRPr="00FA3F78" w:rsidRDefault="00FA3F78" w:rsidP="00FA3F78">
      <w:pPr>
        <w:pStyle w:val="a"/>
        <w:spacing w:before="156" w:after="156"/>
      </w:pPr>
      <w:bookmarkStart w:id="310" w:name="_Toc236777551"/>
      <w:bookmarkStart w:id="311" w:name="_Toc236777924"/>
      <w:bookmarkStart w:id="312" w:name="_Toc236777997"/>
      <w:r w:rsidRPr="00FA3F78">
        <w:t>公共价值量化测度有待深化</w:t>
      </w:r>
      <w:bookmarkEnd w:id="310"/>
      <w:bookmarkEnd w:id="311"/>
      <w:bookmarkEnd w:id="312"/>
    </w:p>
    <w:p w14:paraId="30C0B16C" w14:textId="77777777" w:rsidR="00B610B0" w:rsidRDefault="00FA3F78" w:rsidP="00B610B0">
      <w:pPr>
        <w:widowControl/>
        <w:autoSpaceDE w:val="0"/>
        <w:spacing w:before="100" w:beforeAutospacing="1" w:after="120" w:line="360" w:lineRule="auto"/>
        <w:ind w:firstLine="480" w:firstLineChars="200"/>
        <w:jc w:val="both"/>
        <w:rPr>
          <w:rFonts w:ascii="宋体" w:eastAsia="宋体" w:hAnsi="宋体"/>
          <w:color w:val="000000"/>
          <w:kern w:val="0"/>
          <w:szCs w:val="24"/>
        </w:rPr>
      </w:pPr>
      <w:r w:rsidRPr="00FA3F78">
        <w:rPr>
          <w:color w:val="000000"/>
          <w:kern w:val="0"/>
        </w:rPr>
        <w:t xml:space="preserve">本研究对公共价值的刻画尚未构建系统评估体系，有待从</w:t>
      </w:r>
      <w:r w:rsidRPr="00FA3F78">
        <w:rPr>
          <w:rFonts w:ascii="宋体" w:eastAsia="宋体" w:hAnsi="宋体" w:cs="宋体" w:hint="eastAsia"/>
          <w:color w:val="000000"/>
          <w:kern w:val="0"/>
        </w:rPr>
        <w:t xml:space="preserve">“</w:t>
      </w:r>
      <w:r w:rsidRPr="00FA3F78">
        <w:rPr>
          <w:color w:val="000000"/>
          <w:kern w:val="0"/>
        </w:rPr>
        <w:t xml:space="preserve">可描述</w:t>
      </w:r>
      <w:r w:rsidRPr="00FA3F78">
        <w:rPr>
          <w:rFonts w:ascii="宋体" w:eastAsia="宋体" w:hAnsi="宋体" w:cs="宋体" w:hint="eastAsia"/>
          <w:color w:val="000000"/>
          <w:kern w:val="0"/>
        </w:rPr>
        <w:t xml:space="preserve">”</w:t>
      </w:r>
      <w:r w:rsidRPr="00FA3F78">
        <w:rPr>
          <w:color w:val="000000"/>
          <w:kern w:val="0"/>
        </w:rPr>
        <w:t xml:space="preserve">走向</w:t>
      </w:r>
      <w:r w:rsidRPr="00FA3F78">
        <w:rPr>
          <w:rFonts w:ascii="宋体" w:eastAsia="宋体" w:hAnsi="宋体" w:cs="宋体" w:hint="eastAsia"/>
          <w:color w:val="000000"/>
          <w:kern w:val="0"/>
        </w:rPr>
        <w:t xml:space="preserve">“</w:t>
      </w:r>
      <w:r w:rsidRPr="00FA3F78">
        <w:rPr>
          <w:color w:val="000000"/>
          <w:kern w:val="0"/>
        </w:rPr>
        <w:t xml:space="preserve">可测量、可比较</w:t>
      </w:r>
      <w:r w:rsidRPr="00FA3F78">
        <w:rPr>
          <w:rFonts w:ascii="宋体" w:eastAsia="宋体" w:hAnsi="宋体" w:cs="宋体" w:hint="eastAsia"/>
          <w:color w:val="000000"/>
          <w:kern w:val="0"/>
        </w:rPr>
        <w:t xml:space="preserve">”</w:t>
      </w:r>
      <w:r w:rsidRPr="00FA3F78">
        <w:rPr>
          <w:color w:val="000000"/>
          <w:kern w:val="0"/>
        </w:rPr>
        <w:t xml:space="preserve">。当前以定性为主，未来将三角三维度转化为可测量绩效维度：授权维度测度政策稳定性，运营维度测度技术成熟度与人才密度，价值维度测度治理效能与民生满意度，为跨案例比较提供量化基准。</w:t>
      </w:r>
    </w:p>
    <w:p w14:paraId="56EC6F5B" w14:textId="7809F31E" w:rsidR="00FA3F78" w:rsidRPr="00FA3F78" w:rsidRDefault="00FA3F78" w:rsidP="00B610B0">
      <w:pPr>
        <w:widowControl/>
        <w:autoSpaceDE w:val="0"/>
        <w:spacing w:before="100" w:beforeAutospacing="1" w:after="120" w:line="360" w:lineRule="auto"/>
        <w:ind w:firstLine="480" w:firstLineChars="200"/>
        <w:jc w:val="both"/>
        <w:rPr>
          <w:rFonts w:ascii="宋体" w:eastAsia="宋体" w:hAnsi="宋体"/>
          <w:color w:val="000000"/>
          <w:kern w:val="0"/>
          <w:szCs w:val="24"/>
        </w:rPr>
      </w:pPr>
      <w:r w:rsidRPr="00FA3F78">
        <w:rPr>
          <w:color w:val="000000"/>
          <w:kern w:val="0"/>
        </w:rPr>
        <w:t>数字城市的公共价值创造不是一次性工程交付，而是持续运营中的动态均衡——唯有将授权、赋能、增值纳入同一闭环，方能在战略三角的动态调适中实现可持续的公共价值。</w:t>
      </w:r>
    </w:p>
    <w:p w14:paraId="28C0AAEC" w14:textId="77777777" w:rsidR="00CC5E4B" w:rsidRDefault="00CC5E4B" w:rsidP="00CC5E4B">
      <w:pPr>
        <w:ind w:firstLine="480"/>
      </w:pPr>
    </w:p>
    <w:p w14:paraId="69103D3E" w14:textId="77777777" w:rsidR="00E2232F" w:rsidRDefault="00E2232F" w:rsidP="00CC5E4B">
      <w:pPr>
        <w:ind w:firstLine="480"/>
      </w:pPr>
    </w:p>
    <w:p w14:paraId="3B380416" w14:textId="77777777" w:rsidR="00E2232F" w:rsidRDefault="00E2232F" w:rsidP="00CC5E4B">
      <w:pPr>
        <w:ind w:firstLine="480"/>
      </w:pPr>
    </w:p>
    <w:p w14:paraId="1A09F6CA" w14:textId="22B4969B" w:rsidR="00E2232F" w:rsidRDefault="00E2232F" w:rsidP="00E2232F">
      <w:pPr>
        <w:pStyle w:val="1"/>
        <w:numPr>
          <w:ilvl w:val="0"/>
          <w:numId w:val="0"/>
        </w:numPr>
        <w:jc w:val="both"/>
      </w:pPr>
      <w:r>
        <w:rPr/>
        <w:lastRenderedPageBreak/>
        <w:t>附录</w:t>
      </w:r>
    </w:p>
    <w:p w14:paraId="7B0E9694" w14:textId="5BB3CAC4" w:rsidR="00E2232F" w:rsidRDefault="00E2232F" w:rsidP="00E2232F">
      <w:pPr>
        <w:spacing w:line="360" w:lineRule="auto"/>
        <w:ind w:firstLine="480" w:firstLineChars="200"/>
        <w:jc w:val="both"/>
      </w:pPr>
      <w:r>
        <w:rPr/>
        <w:t>图目录</w:t>
      </w:r>
    </w:p>
    <w:p w14:paraId="531D1801" w14:textId="5660AB2D" w:rsidR="00E2232F" w:rsidRDefault="00E2232F">
      <w:pPr>
        <w:pStyle w:val="afa"/>
        <w:tabs>
          <w:tab w:val="right" w:leader="dot" w:pos="8296"/>
        </w:tabs>
        <w:ind w:left="960" w:hanging="480"/>
        <w:rPr>
          <w:rFonts w:asciiTheme="minorHAnsi" w:eastAsiaTheme="minorEastAsia" w:hAnsiTheme="minorHAnsi" w:cstheme="minorBidi" w:hint="eastAsia"/>
          <w:noProof/>
          <w:sz w:val="22"/>
          <w:szCs w:val="24"/>
          <w14:ligatures w14:val="standardContextual"/>
        </w:rPr>
      </w:pPr>
      <w:r>
        <w:fldChar w:fldCharType="begin"/>
      </w:r>
      <w:r>
        <w:instrText xml:space="preserve"> TOC \h \z \c "</w:instrText>
      </w:r>
      <w:r>
        <w:instrText>图</w:instrText>
      </w:r>
      <w:r>
        <w:instrText xml:space="preserve">" </w:instrText>
      </w:r>
      <w:r>
        <w:fldChar w:fldCharType="separate"/>
      </w:r>
      <w:hyperlink w:anchor="_Toc236779293" w:history="1">
        <w:r w:rsidRPr="00736118">
          <w:rPr>
            <w:rStyle w:val="af2"/>
            <w:noProof/>
          </w:rPr>
          <w:t>图</w:t>
        </w:r>
        <w:r w:rsidRPr="00736118">
          <w:rPr>
            <w:rStyle w:val="af2"/>
            <w:noProof/>
          </w:rPr>
          <w:t xml:space="preserve"> 1</w:t>
        </w:r>
        <w:r w:rsidRPr="00736118">
          <w:rPr>
            <w:rStyle w:val="af2"/>
            <w:noProof/>
          </w:rPr>
          <w:noBreakHyphen/>
          <w:t>1</w:t>
        </w:r>
        <w:r w:rsidRPr="00736118">
          <w:rPr>
            <w:rStyle w:val="af2"/>
            <w:noProof/>
          </w:rPr>
          <w:t>数字中国数字化转型政策层级传导图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_Toc236779293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E2EAF10" w14:textId="206E6C86" w:rsidR="00E2232F" w:rsidRDefault="00E2232F">
      <w:pPr>
        <w:pStyle w:val="afa"/>
        <w:tabs>
          <w:tab w:val="right" w:leader="dot" w:pos="8296"/>
        </w:tabs>
        <w:ind w:left="960" w:hanging="480"/>
        <w:rPr>
          <w:rFonts w:asciiTheme="minorHAnsi" w:eastAsiaTheme="minorEastAsia" w:hAnsiTheme="minorHAnsi" w:cstheme="minorBidi" w:hint="eastAsia"/>
          <w:noProof/>
          <w:sz w:val="22"/>
          <w:szCs w:val="24"/>
          <w14:ligatures w14:val="standardContextual"/>
        </w:rPr>
      </w:pPr>
      <w:hyperlink w:anchor="_Toc236779294" w:history="1">
        <w:r w:rsidRPr="00736118">
          <w:rPr>
            <w:rStyle w:val="af2"/>
            <w:noProof/>
          </w:rPr>
          <w:t>图</w:t>
        </w:r>
        <w:r w:rsidRPr="00736118">
          <w:rPr>
            <w:rStyle w:val="af2"/>
            <w:noProof/>
          </w:rPr>
          <w:t xml:space="preserve"> 1</w:t>
        </w:r>
        <w:r w:rsidRPr="00736118">
          <w:rPr>
            <w:rStyle w:val="af2"/>
            <w:noProof/>
          </w:rPr>
          <w:noBreakHyphen/>
          <w:t xml:space="preserve">2 </w:t>
        </w:r>
        <w:r w:rsidRPr="00736118">
          <w:rPr>
            <w:rStyle w:val="af2"/>
            <w:noProof/>
          </w:rPr>
          <w:t>中小城市数字化建设传统模式痛点示意图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_Toc236779294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FFEC456" w14:textId="6647EB1D" w:rsidR="00E2232F" w:rsidRDefault="00E2232F">
      <w:pPr>
        <w:pStyle w:val="afa"/>
        <w:tabs>
          <w:tab w:val="right" w:leader="dot" w:pos="8296"/>
        </w:tabs>
        <w:ind w:left="960" w:hanging="480"/>
        <w:rPr>
          <w:rFonts w:asciiTheme="minorHAnsi" w:eastAsiaTheme="minorEastAsia" w:hAnsiTheme="minorHAnsi" w:cstheme="minorBidi" w:hint="eastAsia"/>
          <w:noProof/>
          <w:sz w:val="22"/>
          <w:szCs w:val="24"/>
          <w14:ligatures w14:val="standardContextual"/>
        </w:rPr>
      </w:pPr>
      <w:hyperlink w:anchor="_Toc236779295" w:history="1">
        <w:r w:rsidRPr="00736118">
          <w:rPr>
            <w:rStyle w:val="af2"/>
            <w:noProof/>
          </w:rPr>
          <w:t>图</w:t>
        </w:r>
        <w:r w:rsidRPr="00736118">
          <w:rPr>
            <w:rStyle w:val="af2"/>
            <w:noProof/>
          </w:rPr>
          <w:t xml:space="preserve"> 1</w:t>
        </w:r>
        <w:r w:rsidRPr="00736118">
          <w:rPr>
            <w:rStyle w:val="af2"/>
            <w:noProof/>
          </w:rPr>
          <w:noBreakHyphen/>
          <w:t>3</w:t>
        </w:r>
        <w:r w:rsidRPr="00736118">
          <w:rPr>
            <w:rStyle w:val="af2"/>
            <w:noProof/>
          </w:rPr>
          <w:t>嘉数公司成立政企多元出资主体结构图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_Toc236779295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BBF1B0A" w14:textId="3A9757B8" w:rsidR="00E2232F" w:rsidRDefault="00E2232F">
      <w:pPr>
        <w:pStyle w:val="afa"/>
        <w:tabs>
          <w:tab w:val="right" w:leader="dot" w:pos="8296"/>
        </w:tabs>
        <w:ind w:left="960" w:hanging="480"/>
        <w:rPr>
          <w:rFonts w:asciiTheme="minorHAnsi" w:eastAsiaTheme="minorEastAsia" w:hAnsiTheme="minorHAnsi" w:cstheme="minorBidi" w:hint="eastAsia"/>
          <w:noProof/>
          <w:sz w:val="22"/>
          <w:szCs w:val="24"/>
          <w14:ligatures w14:val="standardContextual"/>
        </w:rPr>
      </w:pPr>
      <w:hyperlink w:anchor="_Toc236779296" w:history="1">
        <w:r w:rsidRPr="00736118">
          <w:rPr>
            <w:rStyle w:val="af2"/>
            <w:noProof/>
          </w:rPr>
          <w:t>图</w:t>
        </w:r>
        <w:r w:rsidRPr="00736118">
          <w:rPr>
            <w:rStyle w:val="af2"/>
            <w:noProof/>
          </w:rPr>
          <w:t xml:space="preserve"> 1</w:t>
        </w:r>
        <w:r w:rsidRPr="00736118">
          <w:rPr>
            <w:rStyle w:val="af2"/>
            <w:noProof/>
          </w:rPr>
          <w:noBreakHyphen/>
          <w:t xml:space="preserve">4 </w:t>
        </w:r>
        <w:r w:rsidRPr="00736118">
          <w:rPr>
            <w:rStyle w:val="af2"/>
            <w:noProof/>
          </w:rPr>
          <w:t>三层递进式核心研究问题逻辑拆解图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_Toc236779296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D7D3BF5" w14:textId="1CEFA1A1" w:rsidR="00E2232F" w:rsidRDefault="00E2232F">
      <w:pPr>
        <w:pStyle w:val="afa"/>
        <w:tabs>
          <w:tab w:val="right" w:leader="dot" w:pos="8296"/>
        </w:tabs>
        <w:ind w:left="960" w:hanging="480"/>
        <w:rPr>
          <w:rFonts w:asciiTheme="minorHAnsi" w:eastAsiaTheme="minorEastAsia" w:hAnsiTheme="minorHAnsi" w:cstheme="minorBidi" w:hint="eastAsia"/>
          <w:noProof/>
          <w:sz w:val="22"/>
          <w:szCs w:val="24"/>
          <w14:ligatures w14:val="standardContextual"/>
        </w:rPr>
      </w:pPr>
      <w:hyperlink w:anchor="_Toc236779297" w:history="1">
        <w:r w:rsidRPr="00736118">
          <w:rPr>
            <w:rStyle w:val="af2"/>
            <w:noProof/>
          </w:rPr>
          <w:t>图</w:t>
        </w:r>
        <w:r w:rsidRPr="00736118">
          <w:rPr>
            <w:rStyle w:val="af2"/>
            <w:noProof/>
          </w:rPr>
          <w:t xml:space="preserve"> 1</w:t>
        </w:r>
        <w:r w:rsidRPr="00736118">
          <w:rPr>
            <w:rStyle w:val="af2"/>
            <w:noProof/>
          </w:rPr>
          <w:noBreakHyphen/>
          <w:t>5</w:t>
        </w:r>
        <w:r w:rsidRPr="00736118">
          <w:rPr>
            <w:rStyle w:val="af2"/>
            <w:noProof/>
          </w:rPr>
          <w:t>本研究理论创新贡献对比示意图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_Toc236779297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871DA14" w14:textId="3270882D" w:rsidR="00E2232F" w:rsidRDefault="00E2232F">
      <w:pPr>
        <w:pStyle w:val="afa"/>
        <w:tabs>
          <w:tab w:val="right" w:leader="dot" w:pos="8296"/>
        </w:tabs>
        <w:ind w:left="960" w:hanging="480"/>
        <w:rPr>
          <w:rFonts w:asciiTheme="minorHAnsi" w:eastAsiaTheme="minorEastAsia" w:hAnsiTheme="minorHAnsi" w:cstheme="minorBidi" w:hint="eastAsia"/>
          <w:noProof/>
          <w:sz w:val="22"/>
          <w:szCs w:val="24"/>
          <w14:ligatures w14:val="standardContextual"/>
        </w:rPr>
      </w:pPr>
      <w:hyperlink w:anchor="_Toc236779298" w:history="1">
        <w:r w:rsidRPr="00736118">
          <w:rPr>
            <w:rStyle w:val="af2"/>
            <w:noProof/>
          </w:rPr>
          <w:t>图</w:t>
        </w:r>
        <w:r w:rsidRPr="00736118">
          <w:rPr>
            <w:rStyle w:val="af2"/>
            <w:noProof/>
          </w:rPr>
          <w:t xml:space="preserve"> 1</w:t>
        </w:r>
        <w:r w:rsidRPr="00736118">
          <w:rPr>
            <w:rStyle w:val="af2"/>
            <w:noProof/>
          </w:rPr>
          <w:noBreakHyphen/>
          <w:t>6</w:t>
        </w:r>
        <w:r w:rsidRPr="00736118">
          <w:rPr>
            <w:rStyle w:val="af2"/>
            <w:noProof/>
          </w:rPr>
          <w:t>分层实践价值落地对象辐射图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_Toc236779298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2C81451" w14:textId="7EDB963F" w:rsidR="00E2232F" w:rsidRDefault="00E2232F">
      <w:pPr>
        <w:pStyle w:val="afa"/>
        <w:tabs>
          <w:tab w:val="right" w:leader="dot" w:pos="8296"/>
        </w:tabs>
        <w:ind w:left="960" w:hanging="480"/>
        <w:rPr>
          <w:rFonts w:asciiTheme="minorHAnsi" w:eastAsiaTheme="minorEastAsia" w:hAnsiTheme="minorHAnsi" w:cstheme="minorBidi" w:hint="eastAsia"/>
          <w:noProof/>
          <w:sz w:val="22"/>
          <w:szCs w:val="24"/>
          <w14:ligatures w14:val="standardContextual"/>
        </w:rPr>
      </w:pPr>
      <w:hyperlink w:anchor="_Toc236779299" w:history="1">
        <w:r w:rsidRPr="00736118">
          <w:rPr>
            <w:rStyle w:val="af2"/>
            <w:noProof/>
          </w:rPr>
          <w:t>图</w:t>
        </w:r>
        <w:r w:rsidRPr="00736118">
          <w:rPr>
            <w:rStyle w:val="af2"/>
            <w:noProof/>
          </w:rPr>
          <w:t xml:space="preserve"> 1</w:t>
        </w:r>
        <w:r w:rsidRPr="00736118">
          <w:rPr>
            <w:rStyle w:val="af2"/>
            <w:noProof/>
          </w:rPr>
          <w:noBreakHyphen/>
          <w:t xml:space="preserve">7 </w:t>
        </w:r>
        <w:r w:rsidRPr="00736118">
          <w:rPr>
            <w:rStyle w:val="af2"/>
            <w:noProof/>
          </w:rPr>
          <w:t>嘉数公司案例选取三大依据对比图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_Toc236779299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0C06C94" w14:textId="687D5E9A" w:rsidR="00E2232F" w:rsidRDefault="00E2232F">
      <w:pPr>
        <w:pStyle w:val="afa"/>
        <w:tabs>
          <w:tab w:val="right" w:leader="dot" w:pos="8296"/>
        </w:tabs>
        <w:ind w:left="960" w:hanging="480"/>
        <w:rPr>
          <w:rFonts w:asciiTheme="minorHAnsi" w:eastAsiaTheme="minorEastAsia" w:hAnsiTheme="minorHAnsi" w:cstheme="minorBidi" w:hint="eastAsia"/>
          <w:noProof/>
          <w:sz w:val="22"/>
          <w:szCs w:val="24"/>
          <w14:ligatures w14:val="standardContextual"/>
        </w:rPr>
      </w:pPr>
      <w:hyperlink w:anchor="_Toc236779300" w:history="1">
        <w:r w:rsidRPr="00736118">
          <w:rPr>
            <w:rStyle w:val="af2"/>
            <w:noProof/>
          </w:rPr>
          <w:t>图</w:t>
        </w:r>
        <w:r w:rsidRPr="00736118">
          <w:rPr>
            <w:rStyle w:val="af2"/>
            <w:noProof/>
          </w:rPr>
          <w:t xml:space="preserve"> 1</w:t>
        </w:r>
        <w:r w:rsidRPr="00736118">
          <w:rPr>
            <w:rStyle w:val="af2"/>
            <w:noProof/>
          </w:rPr>
          <w:noBreakHyphen/>
          <w:t>8</w:t>
        </w:r>
        <w:r w:rsidRPr="00736118">
          <w:rPr>
            <w:rStyle w:val="af2"/>
            <w:noProof/>
          </w:rPr>
          <w:t>全文整体研究思路框架图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_Toc236779300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11214B2" w14:textId="09881D2F" w:rsidR="00E2232F" w:rsidRDefault="00E2232F">
      <w:pPr>
        <w:pStyle w:val="afa"/>
        <w:tabs>
          <w:tab w:val="right" w:leader="dot" w:pos="8296"/>
        </w:tabs>
        <w:ind w:left="960" w:hanging="480"/>
        <w:rPr>
          <w:rFonts w:asciiTheme="minorHAnsi" w:eastAsiaTheme="minorEastAsia" w:hAnsiTheme="minorHAnsi" w:cstheme="minorBidi" w:hint="eastAsia"/>
          <w:noProof/>
          <w:sz w:val="22"/>
          <w:szCs w:val="24"/>
          <w14:ligatures w14:val="standardContextual"/>
        </w:rPr>
      </w:pPr>
      <w:hyperlink w:anchor="_Toc236779301" w:history="1">
        <w:r w:rsidRPr="00736118">
          <w:rPr>
            <w:rStyle w:val="af2"/>
            <w:noProof/>
          </w:rPr>
          <w:t>图</w:t>
        </w:r>
        <w:r w:rsidRPr="00736118">
          <w:rPr>
            <w:rStyle w:val="af2"/>
            <w:noProof/>
          </w:rPr>
          <w:t xml:space="preserve"> 1</w:t>
        </w:r>
        <w:r w:rsidRPr="00736118">
          <w:rPr>
            <w:rStyle w:val="af2"/>
            <w:noProof/>
          </w:rPr>
          <w:noBreakHyphen/>
          <w:t>9</w:t>
        </w:r>
        <w:r w:rsidRPr="00736118">
          <w:rPr>
            <w:rStyle w:val="af2"/>
            <w:noProof/>
          </w:rPr>
          <w:t>马克</w:t>
        </w:r>
        <w:r w:rsidRPr="00736118">
          <w:rPr>
            <w:rStyle w:val="af2"/>
            <w:noProof/>
          </w:rPr>
          <w:t>·</w:t>
        </w:r>
        <w:r w:rsidRPr="00736118">
          <w:rPr>
            <w:rStyle w:val="af2"/>
            <w:noProof/>
          </w:rPr>
          <w:t>穆尔原始战略三角理论模型图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_Toc236779301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DB0F3F0" w14:textId="7B98E017" w:rsidR="00E2232F" w:rsidRDefault="00E2232F">
      <w:pPr>
        <w:pStyle w:val="afa"/>
        <w:tabs>
          <w:tab w:val="right" w:leader="dot" w:pos="8296"/>
        </w:tabs>
        <w:ind w:left="960" w:hanging="480"/>
        <w:rPr>
          <w:rFonts w:asciiTheme="minorHAnsi" w:eastAsiaTheme="minorEastAsia" w:hAnsiTheme="minorHAnsi" w:cstheme="minorBidi" w:hint="eastAsia"/>
          <w:noProof/>
          <w:sz w:val="22"/>
          <w:szCs w:val="24"/>
          <w14:ligatures w14:val="standardContextual"/>
        </w:rPr>
      </w:pPr>
      <w:hyperlink w:anchor="_Toc236779302" w:history="1">
        <w:r w:rsidRPr="00736118">
          <w:rPr>
            <w:rStyle w:val="af2"/>
            <w:noProof/>
          </w:rPr>
          <w:t>图</w:t>
        </w:r>
        <w:r w:rsidRPr="00736118">
          <w:rPr>
            <w:rStyle w:val="af2"/>
            <w:noProof/>
          </w:rPr>
          <w:t xml:space="preserve"> 1</w:t>
        </w:r>
        <w:r w:rsidRPr="00736118">
          <w:rPr>
            <w:rStyle w:val="af2"/>
            <w:noProof/>
          </w:rPr>
          <w:noBreakHyphen/>
          <w:t>10</w:t>
        </w:r>
        <w:r w:rsidRPr="00736118">
          <w:rPr>
            <w:rStyle w:val="af2"/>
            <w:noProof/>
          </w:rPr>
          <w:t>嘉数路径三维联动闭环分析框架图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_Toc236779302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88B2C8E" w14:textId="685E75E8" w:rsidR="00E2232F" w:rsidRDefault="00E2232F">
      <w:pPr>
        <w:pStyle w:val="afa"/>
        <w:tabs>
          <w:tab w:val="right" w:leader="dot" w:pos="8296"/>
        </w:tabs>
        <w:ind w:left="960" w:hanging="480"/>
        <w:rPr>
          <w:rFonts w:asciiTheme="minorHAnsi" w:eastAsiaTheme="minorEastAsia" w:hAnsiTheme="minorHAnsi" w:cstheme="minorBidi" w:hint="eastAsia"/>
          <w:noProof/>
          <w:sz w:val="22"/>
          <w:szCs w:val="24"/>
          <w14:ligatures w14:val="standardContextual"/>
        </w:rPr>
      </w:pPr>
      <w:hyperlink w:anchor="_Toc236779303" w:history="1">
        <w:r w:rsidRPr="00736118">
          <w:rPr>
            <w:rStyle w:val="af2"/>
            <w:noProof/>
          </w:rPr>
          <w:t>图</w:t>
        </w:r>
        <w:r w:rsidRPr="00736118">
          <w:rPr>
            <w:rStyle w:val="af2"/>
            <w:noProof/>
          </w:rPr>
          <w:t xml:space="preserve"> 2</w:t>
        </w:r>
        <w:r w:rsidRPr="00736118">
          <w:rPr>
            <w:rStyle w:val="af2"/>
            <w:noProof/>
          </w:rPr>
          <w:noBreakHyphen/>
          <w:t xml:space="preserve">1 </w:t>
        </w:r>
        <w:r w:rsidRPr="00736118">
          <w:rPr>
            <w:rStyle w:val="af2"/>
            <w:noProof/>
          </w:rPr>
          <w:t>嘉数公司</w:t>
        </w:r>
        <w:r w:rsidRPr="00736118">
          <w:rPr>
            <w:rStyle w:val="af2"/>
            <w:noProof/>
          </w:rPr>
          <w:t>LOGO</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_Toc236779303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E3932C8" w14:textId="07794D22" w:rsidR="00E2232F" w:rsidRDefault="00E2232F">
      <w:pPr>
        <w:pStyle w:val="afa"/>
        <w:tabs>
          <w:tab w:val="right" w:leader="dot" w:pos="8296"/>
        </w:tabs>
        <w:ind w:left="960" w:hanging="480"/>
        <w:rPr>
          <w:rFonts w:asciiTheme="minorHAnsi" w:eastAsiaTheme="minorEastAsia" w:hAnsiTheme="minorHAnsi" w:cstheme="minorBidi" w:hint="eastAsia"/>
          <w:noProof/>
          <w:sz w:val="22"/>
          <w:szCs w:val="24"/>
          <w14:ligatures w14:val="standardContextual"/>
        </w:rPr>
      </w:pPr>
      <w:hyperlink w:anchor="_Toc236779304" w:history="1">
        <w:r w:rsidRPr="00736118">
          <w:rPr>
            <w:rStyle w:val="af2"/>
            <w:noProof/>
          </w:rPr>
          <w:t>图</w:t>
        </w:r>
        <w:r w:rsidRPr="00736118">
          <w:rPr>
            <w:rStyle w:val="af2"/>
            <w:noProof/>
          </w:rPr>
          <w:t xml:space="preserve"> 2</w:t>
        </w:r>
        <w:r w:rsidRPr="00736118">
          <w:rPr>
            <w:rStyle w:val="af2"/>
            <w:noProof/>
          </w:rPr>
          <w:noBreakHyphen/>
          <w:t>2</w:t>
        </w:r>
        <w:r w:rsidRPr="00736118">
          <w:rPr>
            <w:rStyle w:val="af2"/>
            <w:noProof/>
          </w:rPr>
          <w:t>嘉数公司关键发展节点（</w:t>
        </w:r>
        <w:r w:rsidRPr="00736118">
          <w:rPr>
            <w:rStyle w:val="af2"/>
            <w:noProof/>
          </w:rPr>
          <w:t>2020—2026</w:t>
        </w:r>
        <w:r w:rsidRPr="00736118">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_Toc236779304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35DEB6A" w14:textId="75E41347" w:rsidR="00E2232F" w:rsidRDefault="00E2232F">
      <w:pPr>
        <w:pStyle w:val="afa"/>
        <w:tabs>
          <w:tab w:val="right" w:leader="dot" w:pos="8296"/>
        </w:tabs>
        <w:ind w:left="960" w:hanging="480"/>
        <w:rPr>
          <w:rFonts w:asciiTheme="minorHAnsi" w:eastAsiaTheme="minorEastAsia" w:hAnsiTheme="minorHAnsi" w:cstheme="minorBidi" w:hint="eastAsia"/>
          <w:noProof/>
          <w:sz w:val="22"/>
          <w:szCs w:val="24"/>
          <w14:ligatures w14:val="standardContextual"/>
        </w:rPr>
      </w:pPr>
      <w:hyperlink w:anchor="_Toc236779305" w:history="1">
        <w:r w:rsidRPr="00736118">
          <w:rPr>
            <w:rStyle w:val="af2"/>
            <w:noProof/>
          </w:rPr>
          <w:t>图</w:t>
        </w:r>
        <w:r w:rsidRPr="00736118">
          <w:rPr>
            <w:rStyle w:val="af2"/>
            <w:noProof/>
          </w:rPr>
          <w:t xml:space="preserve"> 2</w:t>
        </w:r>
        <w:r w:rsidRPr="00736118">
          <w:rPr>
            <w:rStyle w:val="af2"/>
            <w:noProof/>
          </w:rPr>
          <w:noBreakHyphen/>
          <w:t xml:space="preserve">3 </w:t>
        </w:r>
        <w:r w:rsidRPr="00736118">
          <w:rPr>
            <w:rStyle w:val="af2"/>
            <w:rFonts w:ascii="仿宋_GB2312" w:eastAsia="仿宋_GB2312"/>
            <w:noProof/>
          </w:rPr>
          <w:t>嘉数公司</w:t>
        </w:r>
        <w:r w:rsidRPr="00736118">
          <w:rPr>
            <w:rStyle w:val="af2"/>
            <w:rFonts w:eastAsia="仿宋_GB2312"/>
            <w:noProof/>
          </w:rPr>
          <w:t>AI</w:t>
        </w:r>
        <w:r w:rsidRPr="00736118">
          <w:rPr>
            <w:rStyle w:val="af2"/>
            <w:rFonts w:ascii="仿宋_GB2312" w:eastAsia="仿宋_GB2312"/>
            <w:noProof/>
          </w:rPr>
          <w:t>与数字孪生融合架构图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_Toc236779305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51D034C" w14:textId="11776898" w:rsidR="00E2232F" w:rsidRDefault="00E2232F">
      <w:pPr>
        <w:pStyle w:val="afa"/>
        <w:tabs>
          <w:tab w:val="right" w:leader="dot" w:pos="8296"/>
        </w:tabs>
        <w:ind w:left="960" w:hanging="480"/>
        <w:rPr>
          <w:rFonts w:asciiTheme="minorHAnsi" w:eastAsiaTheme="minorEastAsia" w:hAnsiTheme="minorHAnsi" w:cstheme="minorBidi" w:hint="eastAsia"/>
          <w:noProof/>
          <w:sz w:val="22"/>
          <w:szCs w:val="24"/>
          <w14:ligatures w14:val="standardContextual"/>
        </w:rPr>
      </w:pPr>
      <w:hyperlink w:anchor="_Toc236779306" w:history="1">
        <w:r w:rsidRPr="00736118">
          <w:rPr>
            <w:rStyle w:val="af2"/>
            <w:noProof/>
          </w:rPr>
          <w:t>图</w:t>
        </w:r>
        <w:r w:rsidRPr="00736118">
          <w:rPr>
            <w:rStyle w:val="af2"/>
            <w:noProof/>
          </w:rPr>
          <w:t xml:space="preserve"> 2</w:t>
        </w:r>
        <w:r w:rsidRPr="00736118">
          <w:rPr>
            <w:rStyle w:val="af2"/>
            <w:noProof/>
          </w:rPr>
          <w:noBreakHyphen/>
          <w:t>4</w:t>
        </w:r>
        <w:r w:rsidRPr="00736118">
          <w:rPr>
            <w:rStyle w:val="af2"/>
            <w:noProof/>
          </w:rPr>
          <w:t>嘉数公司主要资质与荣誉汇总表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_Toc236779306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5144085" w14:textId="33DFFF1E" w:rsidR="00E2232F" w:rsidRDefault="00E2232F">
      <w:pPr>
        <w:pStyle w:val="afa"/>
        <w:tabs>
          <w:tab w:val="right" w:leader="dot" w:pos="8296"/>
        </w:tabs>
        <w:ind w:left="960" w:hanging="480"/>
        <w:rPr>
          <w:rFonts w:asciiTheme="minorHAnsi" w:eastAsiaTheme="minorEastAsia" w:hAnsiTheme="minorHAnsi" w:cstheme="minorBidi" w:hint="eastAsia"/>
          <w:noProof/>
          <w:sz w:val="22"/>
          <w:szCs w:val="24"/>
          <w14:ligatures w14:val="standardContextual"/>
        </w:rPr>
      </w:pPr>
      <w:hyperlink w:anchor="_Toc236779307" w:history="1">
        <w:r w:rsidRPr="00736118">
          <w:rPr>
            <w:rStyle w:val="af2"/>
            <w:noProof/>
          </w:rPr>
          <w:t>图</w:t>
        </w:r>
        <w:r w:rsidRPr="00736118">
          <w:rPr>
            <w:rStyle w:val="af2"/>
            <w:noProof/>
          </w:rPr>
          <w:t xml:space="preserve"> 3</w:t>
        </w:r>
        <w:r w:rsidRPr="00736118">
          <w:rPr>
            <w:rStyle w:val="af2"/>
            <w:noProof/>
          </w:rPr>
          <w:noBreakHyphen/>
          <w:t xml:space="preserve">1 </w:t>
        </w:r>
        <w:r w:rsidRPr="00736118">
          <w:rPr>
            <w:rStyle w:val="af2"/>
            <w:noProof/>
          </w:rPr>
          <w:t>高层次人次服务平台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_Toc236779307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4FBF3D9" w14:textId="5EE4B09D" w:rsidR="00E2232F" w:rsidRDefault="00E2232F">
      <w:pPr>
        <w:pStyle w:val="afa"/>
        <w:tabs>
          <w:tab w:val="right" w:leader="dot" w:pos="8296"/>
        </w:tabs>
        <w:ind w:left="960" w:hanging="480"/>
        <w:rPr>
          <w:rFonts w:asciiTheme="minorHAnsi" w:eastAsiaTheme="minorEastAsia" w:hAnsiTheme="minorHAnsi" w:cstheme="minorBidi" w:hint="eastAsia"/>
          <w:noProof/>
          <w:sz w:val="22"/>
          <w:szCs w:val="24"/>
          <w14:ligatures w14:val="standardContextual"/>
        </w:rPr>
      </w:pPr>
      <w:hyperlink w:anchor="_Toc236779308" w:history="1">
        <w:r w:rsidRPr="00736118">
          <w:rPr>
            <w:rStyle w:val="af2"/>
            <w:noProof/>
          </w:rPr>
          <w:t>图</w:t>
        </w:r>
        <w:r w:rsidRPr="00736118">
          <w:rPr>
            <w:rStyle w:val="af2"/>
            <w:noProof/>
          </w:rPr>
          <w:t xml:space="preserve"> 3</w:t>
        </w:r>
        <w:r w:rsidRPr="00736118">
          <w:rPr>
            <w:rStyle w:val="af2"/>
            <w:noProof/>
          </w:rPr>
          <w:noBreakHyphen/>
          <w:t>2</w:t>
        </w:r>
        <w:r w:rsidRPr="00736118">
          <w:rPr>
            <w:rStyle w:val="af2"/>
            <w:noProof/>
          </w:rPr>
          <w:t>社会治理一张图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_Toc236779308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0C6BB40" w14:textId="0959628E" w:rsidR="00E2232F" w:rsidRDefault="00E2232F">
      <w:pPr>
        <w:pStyle w:val="afa"/>
        <w:tabs>
          <w:tab w:val="right" w:leader="dot" w:pos="8296"/>
        </w:tabs>
        <w:ind w:left="960" w:hanging="480"/>
        <w:rPr>
          <w:rFonts w:asciiTheme="minorHAnsi" w:eastAsiaTheme="minorEastAsia" w:hAnsiTheme="minorHAnsi" w:cstheme="minorBidi" w:hint="eastAsia"/>
          <w:noProof/>
          <w:sz w:val="22"/>
          <w:szCs w:val="24"/>
          <w14:ligatures w14:val="standardContextual"/>
        </w:rPr>
      </w:pPr>
      <w:hyperlink w:anchor="_Toc236779309" w:history="1">
        <w:r w:rsidRPr="00736118">
          <w:rPr>
            <w:rStyle w:val="af2"/>
            <w:noProof/>
          </w:rPr>
          <w:t>图</w:t>
        </w:r>
        <w:r w:rsidRPr="00736118">
          <w:rPr>
            <w:rStyle w:val="af2"/>
            <w:noProof/>
          </w:rPr>
          <w:t xml:space="preserve"> 3</w:t>
        </w:r>
        <w:r w:rsidRPr="00736118">
          <w:rPr>
            <w:rStyle w:val="af2"/>
            <w:noProof/>
          </w:rPr>
          <w:noBreakHyphen/>
          <w:t>3</w:t>
        </w:r>
        <w:r w:rsidRPr="00736118">
          <w:rPr>
            <w:rStyle w:val="af2"/>
            <w:noProof/>
          </w:rPr>
          <w:t>教育综合服务平台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_Toc236779309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30A63E9" w14:textId="727F4C03" w:rsidR="00E2232F" w:rsidRDefault="00E2232F">
      <w:pPr>
        <w:pStyle w:val="afa"/>
        <w:tabs>
          <w:tab w:val="right" w:leader="dot" w:pos="8296"/>
        </w:tabs>
        <w:ind w:left="960" w:hanging="480"/>
        <w:rPr>
          <w:rFonts w:asciiTheme="minorHAnsi" w:eastAsiaTheme="minorEastAsia" w:hAnsiTheme="minorHAnsi" w:cstheme="minorBidi" w:hint="eastAsia"/>
          <w:noProof/>
          <w:sz w:val="22"/>
          <w:szCs w:val="24"/>
          <w14:ligatures w14:val="standardContextual"/>
        </w:rPr>
      </w:pPr>
      <w:hyperlink w:anchor="_Toc236779310" w:history="1">
        <w:r w:rsidRPr="00736118">
          <w:rPr>
            <w:rStyle w:val="af2"/>
            <w:noProof/>
          </w:rPr>
          <w:t>图</w:t>
        </w:r>
        <w:r w:rsidRPr="00736118">
          <w:rPr>
            <w:rStyle w:val="af2"/>
            <w:noProof/>
          </w:rPr>
          <w:t xml:space="preserve"> 3</w:t>
        </w:r>
        <w:r w:rsidRPr="00736118">
          <w:rPr>
            <w:rStyle w:val="af2"/>
            <w:noProof/>
          </w:rPr>
          <w:noBreakHyphen/>
          <w:t xml:space="preserve">4 </w:t>
        </w:r>
        <w:r w:rsidRPr="00736118">
          <w:rPr>
            <w:rStyle w:val="af2"/>
            <w:noProof/>
          </w:rPr>
          <w:t>研学旅行平台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_Toc236779310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0A7BD6E" w14:textId="7E8F5671" w:rsidR="00E2232F" w:rsidRDefault="00E2232F">
      <w:pPr>
        <w:pStyle w:val="afa"/>
        <w:tabs>
          <w:tab w:val="right" w:leader="dot" w:pos="8296"/>
        </w:tabs>
        <w:ind w:left="960" w:hanging="480"/>
        <w:rPr>
          <w:rFonts w:asciiTheme="minorHAnsi" w:eastAsiaTheme="minorEastAsia" w:hAnsiTheme="minorHAnsi" w:cstheme="minorBidi" w:hint="eastAsia"/>
          <w:noProof/>
          <w:sz w:val="22"/>
          <w:szCs w:val="24"/>
          <w14:ligatures w14:val="standardContextual"/>
        </w:rPr>
      </w:pPr>
      <w:hyperlink w:anchor="_Toc236779311" w:history="1">
        <w:r w:rsidRPr="00736118">
          <w:rPr>
            <w:rStyle w:val="af2"/>
            <w:noProof/>
          </w:rPr>
          <w:t>图</w:t>
        </w:r>
        <w:r w:rsidRPr="00736118">
          <w:rPr>
            <w:rStyle w:val="af2"/>
            <w:noProof/>
          </w:rPr>
          <w:t xml:space="preserve"> 3</w:t>
        </w:r>
        <w:r w:rsidRPr="00736118">
          <w:rPr>
            <w:rStyle w:val="af2"/>
            <w:noProof/>
          </w:rPr>
          <w:noBreakHyphen/>
          <w:t xml:space="preserve">5 </w:t>
        </w:r>
        <w:r w:rsidRPr="00736118">
          <w:rPr>
            <w:rStyle w:val="af2"/>
            <w:noProof/>
          </w:rPr>
          <w:t>轻微事故云快处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_Toc236779311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E1B125B" w14:textId="40A711E0" w:rsidR="00E2232F" w:rsidRDefault="00E2232F">
      <w:pPr>
        <w:pStyle w:val="afa"/>
        <w:tabs>
          <w:tab w:val="right" w:leader="dot" w:pos="8296"/>
        </w:tabs>
        <w:ind w:left="960" w:hanging="480"/>
        <w:rPr>
          <w:rFonts w:asciiTheme="minorHAnsi" w:eastAsiaTheme="minorEastAsia" w:hAnsiTheme="minorHAnsi" w:cstheme="minorBidi" w:hint="eastAsia"/>
          <w:noProof/>
          <w:sz w:val="22"/>
          <w:szCs w:val="24"/>
          <w14:ligatures w14:val="standardContextual"/>
        </w:rPr>
      </w:pPr>
      <w:hyperlink w:anchor="_Toc236779312" w:history="1">
        <w:r w:rsidRPr="00736118">
          <w:rPr>
            <w:rStyle w:val="af2"/>
            <w:noProof/>
          </w:rPr>
          <w:t>图</w:t>
        </w:r>
        <w:r w:rsidRPr="00736118">
          <w:rPr>
            <w:rStyle w:val="af2"/>
            <w:noProof/>
          </w:rPr>
          <w:t xml:space="preserve"> 3</w:t>
        </w:r>
        <w:r w:rsidRPr="00736118">
          <w:rPr>
            <w:rStyle w:val="af2"/>
            <w:noProof/>
          </w:rPr>
          <w:noBreakHyphen/>
          <w:t xml:space="preserve">6 </w:t>
        </w:r>
        <w:r w:rsidRPr="00736118">
          <w:rPr>
            <w:rStyle w:val="af2"/>
            <w:noProof/>
          </w:rPr>
          <w:t>道路安全警企共治服务平台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_Toc236779312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F9C0E63" w14:textId="29A9DADA" w:rsidR="00E2232F" w:rsidRDefault="00E2232F">
      <w:pPr>
        <w:pStyle w:val="afa"/>
        <w:tabs>
          <w:tab w:val="right" w:leader="dot" w:pos="8296"/>
        </w:tabs>
        <w:ind w:left="960" w:hanging="480"/>
        <w:rPr>
          <w:rFonts w:asciiTheme="minorHAnsi" w:eastAsiaTheme="minorEastAsia" w:hAnsiTheme="minorHAnsi" w:cstheme="minorBidi" w:hint="eastAsia"/>
          <w:noProof/>
          <w:sz w:val="22"/>
          <w:szCs w:val="24"/>
          <w14:ligatures w14:val="standardContextual"/>
        </w:rPr>
      </w:pPr>
      <w:hyperlink w:anchor="_Toc236779313" w:history="1">
        <w:r w:rsidRPr="00736118">
          <w:rPr>
            <w:rStyle w:val="af2"/>
            <w:noProof/>
          </w:rPr>
          <w:t>图</w:t>
        </w:r>
        <w:r w:rsidRPr="00736118">
          <w:rPr>
            <w:rStyle w:val="af2"/>
            <w:noProof/>
          </w:rPr>
          <w:t xml:space="preserve"> 3</w:t>
        </w:r>
        <w:r w:rsidRPr="00736118">
          <w:rPr>
            <w:rStyle w:val="af2"/>
            <w:noProof/>
          </w:rPr>
          <w:noBreakHyphen/>
          <w:t xml:space="preserve">7 </w:t>
        </w:r>
        <w:r w:rsidRPr="00736118">
          <w:rPr>
            <w:rStyle w:val="af2"/>
            <w:noProof/>
          </w:rPr>
          <w:t>政务服务平台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_Toc236779313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0E0EA4C" w14:textId="7AEC30BF" w:rsidR="00E2232F" w:rsidRDefault="00E2232F">
      <w:pPr>
        <w:pStyle w:val="afa"/>
        <w:tabs>
          <w:tab w:val="right" w:leader="dot" w:pos="8296"/>
        </w:tabs>
        <w:ind w:left="960" w:hanging="480"/>
        <w:rPr>
          <w:rFonts w:asciiTheme="minorHAnsi" w:eastAsiaTheme="minorEastAsia" w:hAnsiTheme="minorHAnsi" w:cstheme="minorBidi" w:hint="eastAsia"/>
          <w:noProof/>
          <w:sz w:val="22"/>
          <w:szCs w:val="24"/>
          <w14:ligatures w14:val="standardContextual"/>
        </w:rPr>
      </w:pPr>
      <w:hyperlink w:anchor="_Toc236779314" w:history="1">
        <w:r w:rsidRPr="00736118">
          <w:rPr>
            <w:rStyle w:val="af2"/>
            <w:noProof/>
          </w:rPr>
          <w:t>图</w:t>
        </w:r>
        <w:r w:rsidRPr="00736118">
          <w:rPr>
            <w:rStyle w:val="af2"/>
            <w:noProof/>
          </w:rPr>
          <w:t xml:space="preserve"> 3</w:t>
        </w:r>
        <w:r w:rsidRPr="00736118">
          <w:rPr>
            <w:rStyle w:val="af2"/>
            <w:noProof/>
          </w:rPr>
          <w:noBreakHyphen/>
          <w:t>8</w:t>
        </w:r>
        <w:r w:rsidRPr="00736118">
          <w:rPr>
            <w:rStyle w:val="af2"/>
            <w:noProof/>
          </w:rPr>
          <w:t>三维联动路径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_Toc236779314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F8922AC" w14:textId="5723039B" w:rsidR="00E2232F" w:rsidRDefault="00E2232F">
      <w:pPr>
        <w:pStyle w:val="afa"/>
        <w:tabs>
          <w:tab w:val="right" w:leader="dot" w:pos="8296"/>
        </w:tabs>
        <w:ind w:left="960" w:hanging="480"/>
        <w:rPr>
          <w:rFonts w:asciiTheme="minorHAnsi" w:eastAsiaTheme="minorEastAsia" w:hAnsiTheme="minorHAnsi" w:cstheme="minorBidi" w:hint="eastAsia"/>
          <w:noProof/>
          <w:sz w:val="22"/>
          <w:szCs w:val="24"/>
          <w14:ligatures w14:val="standardContextual"/>
        </w:rPr>
      </w:pPr>
      <w:hyperlink w:anchor="_Toc236779315" w:history="1">
        <w:r w:rsidRPr="00736118">
          <w:rPr>
            <w:rStyle w:val="af2"/>
            <w:noProof/>
          </w:rPr>
          <w:t>图</w:t>
        </w:r>
        <w:r w:rsidRPr="00736118">
          <w:rPr>
            <w:rStyle w:val="af2"/>
            <w:noProof/>
          </w:rPr>
          <w:t xml:space="preserve"> 4</w:t>
        </w:r>
        <w:r w:rsidRPr="00736118">
          <w:rPr>
            <w:rStyle w:val="af2"/>
            <w:noProof/>
          </w:rPr>
          <w:noBreakHyphen/>
          <w:t xml:space="preserve">1 </w:t>
        </w:r>
        <w:r w:rsidRPr="00736118">
          <w:rPr>
            <w:rStyle w:val="af2"/>
            <w:noProof/>
          </w:rPr>
          <w:t>国家试点政策合法性机理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_Toc236779315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B04221B" w14:textId="53613C66" w:rsidR="00E2232F" w:rsidRDefault="00E2232F">
      <w:pPr>
        <w:pStyle w:val="afa"/>
        <w:tabs>
          <w:tab w:val="right" w:leader="dot" w:pos="8296"/>
        </w:tabs>
        <w:ind w:left="960" w:hanging="480"/>
        <w:rPr>
          <w:rFonts w:asciiTheme="minorHAnsi" w:eastAsiaTheme="minorEastAsia" w:hAnsiTheme="minorHAnsi" w:cstheme="minorBidi" w:hint="eastAsia"/>
          <w:noProof/>
          <w:sz w:val="22"/>
          <w:szCs w:val="24"/>
          <w14:ligatures w14:val="standardContextual"/>
        </w:rPr>
      </w:pPr>
      <w:hyperlink w:anchor="_Toc236779316" w:history="1">
        <w:r w:rsidRPr="00736118">
          <w:rPr>
            <w:rStyle w:val="af2"/>
            <w:noProof/>
          </w:rPr>
          <w:t>图</w:t>
        </w:r>
        <w:r w:rsidRPr="00736118">
          <w:rPr>
            <w:rStyle w:val="af2"/>
            <w:noProof/>
          </w:rPr>
          <w:t xml:space="preserve"> 4</w:t>
        </w:r>
        <w:r w:rsidRPr="00736118">
          <w:rPr>
            <w:rStyle w:val="af2"/>
            <w:noProof/>
          </w:rPr>
          <w:noBreakHyphen/>
          <w:t xml:space="preserve">2 </w:t>
        </w:r>
        <w:r w:rsidRPr="00736118">
          <w:rPr>
            <w:rStyle w:val="af2"/>
            <w:noProof/>
          </w:rPr>
          <w:t>政企合资双重资源授权结构图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_Toc236779316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689D6F4D" w14:textId="25C15CBF" w:rsidR="00E2232F" w:rsidRDefault="00E2232F">
      <w:pPr>
        <w:pStyle w:val="afa"/>
        <w:tabs>
          <w:tab w:val="right" w:leader="dot" w:pos="8296"/>
        </w:tabs>
        <w:ind w:left="960" w:hanging="480"/>
        <w:rPr>
          <w:rFonts w:asciiTheme="minorHAnsi" w:eastAsiaTheme="minorEastAsia" w:hAnsiTheme="minorHAnsi" w:cstheme="minorBidi" w:hint="eastAsia"/>
          <w:noProof/>
          <w:sz w:val="22"/>
          <w:szCs w:val="24"/>
          <w14:ligatures w14:val="standardContextual"/>
        </w:rPr>
      </w:pPr>
      <w:hyperlink w:anchor="_Toc236779317" w:history="1">
        <w:r w:rsidRPr="00736118">
          <w:rPr>
            <w:rStyle w:val="af2"/>
            <w:noProof/>
          </w:rPr>
          <w:t>图</w:t>
        </w:r>
        <w:r w:rsidRPr="00736118">
          <w:rPr>
            <w:rStyle w:val="af2"/>
            <w:noProof/>
          </w:rPr>
          <w:t xml:space="preserve"> 4</w:t>
        </w:r>
        <w:r w:rsidRPr="00736118">
          <w:rPr>
            <w:rStyle w:val="af2"/>
            <w:noProof/>
          </w:rPr>
          <w:noBreakHyphen/>
          <w:t xml:space="preserve">3 </w:t>
        </w:r>
        <w:r w:rsidRPr="00736118">
          <w:rPr>
            <w:rStyle w:val="af2"/>
            <w:noProof/>
          </w:rPr>
          <w:t>授权</w:t>
        </w:r>
        <w:r w:rsidRPr="00736118">
          <w:rPr>
            <w:rStyle w:val="af2"/>
            <w:rFonts w:ascii="Arial" w:eastAsia="黑体" w:hAnsi="Arial" w:cs="Arial"/>
            <w:noProof/>
          </w:rPr>
          <w:t>-</w:t>
        </w:r>
        <w:r w:rsidRPr="00736118">
          <w:rPr>
            <w:rStyle w:val="af2"/>
            <w:noProof/>
          </w:rPr>
          <w:t>赋能</w:t>
        </w:r>
        <w:r w:rsidRPr="00736118">
          <w:rPr>
            <w:rStyle w:val="af2"/>
            <w:rFonts w:ascii="Arial" w:eastAsia="黑体" w:hAnsi="Arial" w:cs="Arial"/>
            <w:noProof/>
          </w:rPr>
          <w:t>-</w:t>
        </w:r>
        <w:r w:rsidRPr="00736118">
          <w:rPr>
            <w:rStyle w:val="af2"/>
            <w:noProof/>
          </w:rPr>
          <w:t>价值转换图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_Toc236779317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7AC3C2CC" w14:textId="265067FE" w:rsidR="00E2232F" w:rsidRDefault="00E2232F">
      <w:pPr>
        <w:pStyle w:val="afa"/>
        <w:tabs>
          <w:tab w:val="right" w:leader="dot" w:pos="8296"/>
        </w:tabs>
        <w:ind w:left="960" w:hanging="480"/>
        <w:rPr>
          <w:rFonts w:asciiTheme="minorHAnsi" w:eastAsiaTheme="minorEastAsia" w:hAnsiTheme="minorHAnsi" w:cstheme="minorBidi" w:hint="eastAsia"/>
          <w:noProof/>
          <w:sz w:val="22"/>
          <w:szCs w:val="24"/>
          <w14:ligatures w14:val="standardContextual"/>
        </w:rPr>
      </w:pPr>
      <w:hyperlink w:anchor="_Toc236779318" w:history="1">
        <w:r w:rsidRPr="00736118">
          <w:rPr>
            <w:rStyle w:val="af2"/>
            <w:noProof/>
          </w:rPr>
          <w:t>图</w:t>
        </w:r>
        <w:r w:rsidRPr="00736118">
          <w:rPr>
            <w:rStyle w:val="af2"/>
            <w:noProof/>
          </w:rPr>
          <w:t xml:space="preserve"> 4</w:t>
        </w:r>
        <w:r w:rsidRPr="00736118">
          <w:rPr>
            <w:rStyle w:val="af2"/>
            <w:noProof/>
          </w:rPr>
          <w:noBreakHyphen/>
          <w:t xml:space="preserve">4 </w:t>
        </w:r>
        <w:r w:rsidRPr="00736118">
          <w:rPr>
            <w:rStyle w:val="af2"/>
            <w:noProof/>
          </w:rPr>
          <w:t>数字化服务底座图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_Toc236779318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4315068B" w14:textId="51F173D1" w:rsidR="00E2232F" w:rsidRDefault="00E2232F">
      <w:pPr>
        <w:pStyle w:val="afa"/>
        <w:tabs>
          <w:tab w:val="right" w:leader="dot" w:pos="8296"/>
        </w:tabs>
        <w:ind w:left="960" w:hanging="480"/>
        <w:rPr>
          <w:rFonts w:asciiTheme="minorHAnsi" w:eastAsiaTheme="minorEastAsia" w:hAnsiTheme="minorHAnsi" w:cstheme="minorBidi" w:hint="eastAsia"/>
          <w:noProof/>
          <w:sz w:val="22"/>
          <w:szCs w:val="24"/>
          <w14:ligatures w14:val="standardContextual"/>
        </w:rPr>
      </w:pPr>
      <w:hyperlink w:anchor="_Toc236779319" w:history="1">
        <w:r w:rsidRPr="00736118">
          <w:rPr>
            <w:rStyle w:val="af2"/>
            <w:noProof/>
          </w:rPr>
          <w:t>图</w:t>
        </w:r>
        <w:r w:rsidRPr="00736118">
          <w:rPr>
            <w:rStyle w:val="af2"/>
            <w:noProof/>
          </w:rPr>
          <w:t xml:space="preserve"> 4</w:t>
        </w:r>
        <w:r w:rsidRPr="00736118">
          <w:rPr>
            <w:rStyle w:val="af2"/>
            <w:noProof/>
          </w:rPr>
          <w:noBreakHyphen/>
          <w:t xml:space="preserve">5 </w:t>
        </w:r>
        <w:r w:rsidRPr="00736118">
          <w:rPr>
            <w:rStyle w:val="af2"/>
            <w:noProof/>
          </w:rPr>
          <w:t>全栈技术与全域数据双维赋能结构图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_Toc236779319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8A8D4D8" w14:textId="6C742D7F" w:rsidR="00E2232F" w:rsidRDefault="00E2232F">
      <w:pPr>
        <w:pStyle w:val="afa"/>
        <w:tabs>
          <w:tab w:val="right" w:leader="dot" w:pos="8296"/>
        </w:tabs>
        <w:ind w:left="960" w:hanging="480"/>
        <w:rPr>
          <w:rFonts w:asciiTheme="minorHAnsi" w:eastAsiaTheme="minorEastAsia" w:hAnsiTheme="minorHAnsi" w:cstheme="minorBidi" w:hint="eastAsia"/>
          <w:noProof/>
          <w:sz w:val="22"/>
          <w:szCs w:val="24"/>
          <w14:ligatures w14:val="standardContextual"/>
        </w:rPr>
      </w:pPr>
      <w:hyperlink w:anchor="_Toc236779320" w:history="1">
        <w:r w:rsidRPr="00736118">
          <w:rPr>
            <w:rStyle w:val="af2"/>
            <w:noProof/>
          </w:rPr>
          <w:t>图</w:t>
        </w:r>
        <w:r w:rsidRPr="00736118">
          <w:rPr>
            <w:rStyle w:val="af2"/>
            <w:noProof/>
          </w:rPr>
          <w:t xml:space="preserve"> 4</w:t>
        </w:r>
        <w:r w:rsidRPr="00736118">
          <w:rPr>
            <w:rStyle w:val="af2"/>
            <w:noProof/>
          </w:rPr>
          <w:noBreakHyphen/>
          <w:t xml:space="preserve">6 </w:t>
        </w:r>
        <w:r w:rsidRPr="00736118">
          <w:rPr>
            <w:rStyle w:val="af2"/>
            <w:noProof/>
          </w:rPr>
          <w:t>人才创新长效保障机制图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_Toc236779320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1FFA2DD9" w14:textId="333DFC4E" w:rsidR="00E2232F" w:rsidRDefault="00E2232F">
      <w:pPr>
        <w:pStyle w:val="afa"/>
        <w:tabs>
          <w:tab w:val="right" w:leader="dot" w:pos="8296"/>
        </w:tabs>
        <w:ind w:left="960" w:hanging="480"/>
        <w:rPr>
          <w:rFonts w:asciiTheme="minorHAnsi" w:eastAsiaTheme="minorEastAsia" w:hAnsiTheme="minorHAnsi" w:cstheme="minorBidi" w:hint="eastAsia"/>
          <w:noProof/>
          <w:sz w:val="22"/>
          <w:szCs w:val="24"/>
          <w14:ligatures w14:val="standardContextual"/>
        </w:rPr>
      </w:pPr>
      <w:hyperlink w:anchor="_Toc236779321" w:history="1">
        <w:r w:rsidRPr="00736118">
          <w:rPr>
            <w:rStyle w:val="af2"/>
            <w:noProof/>
          </w:rPr>
          <w:t>图</w:t>
        </w:r>
        <w:r w:rsidRPr="00736118">
          <w:rPr>
            <w:rStyle w:val="af2"/>
            <w:noProof/>
          </w:rPr>
          <w:t xml:space="preserve"> 4</w:t>
        </w:r>
        <w:r w:rsidRPr="00736118">
          <w:rPr>
            <w:rStyle w:val="af2"/>
            <w:noProof/>
          </w:rPr>
          <w:noBreakHyphen/>
          <w:t xml:space="preserve">7 </w:t>
        </w:r>
        <w:r w:rsidRPr="00736118">
          <w:rPr>
            <w:rStyle w:val="af2"/>
            <w:noProof/>
          </w:rPr>
          <w:t>公共价值三维增值产出结构图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_Toc236779321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5BBDAD54" w14:textId="1A616BD3" w:rsidR="00E2232F" w:rsidRDefault="00E2232F">
      <w:pPr>
        <w:pStyle w:val="afa"/>
        <w:tabs>
          <w:tab w:val="right" w:leader="dot" w:pos="8296"/>
        </w:tabs>
        <w:ind w:left="960" w:hanging="480"/>
        <w:rPr>
          <w:rFonts w:asciiTheme="minorHAnsi" w:eastAsiaTheme="minorEastAsia" w:hAnsiTheme="minorHAnsi" w:cstheme="minorBidi" w:hint="eastAsia"/>
          <w:noProof/>
          <w:sz w:val="22"/>
          <w:szCs w:val="24"/>
          <w14:ligatures w14:val="standardContextual"/>
        </w:rPr>
      </w:pPr>
      <w:hyperlink w:anchor="_Toc236779322" w:history="1">
        <w:r w:rsidRPr="00736118">
          <w:rPr>
            <w:rStyle w:val="af2"/>
            <w:noProof/>
          </w:rPr>
          <w:t>图</w:t>
        </w:r>
        <w:r w:rsidRPr="00736118">
          <w:rPr>
            <w:rStyle w:val="af2"/>
            <w:noProof/>
          </w:rPr>
          <w:t xml:space="preserve"> 4</w:t>
        </w:r>
        <w:r w:rsidRPr="00736118">
          <w:rPr>
            <w:rStyle w:val="af2"/>
            <w:noProof/>
          </w:rPr>
          <w:noBreakHyphen/>
          <w:t xml:space="preserve">8 </w:t>
        </w:r>
        <w:r w:rsidRPr="00736118">
          <w:rPr>
            <w:rStyle w:val="af2"/>
            <w:noProof/>
          </w:rPr>
          <w:t>公共价值反向赋能授权环境反馈图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_Toc236779322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6AF6502" w14:textId="06C505CD" w:rsidR="00E2232F" w:rsidRDefault="00E2232F">
      <w:pPr>
        <w:pStyle w:val="afa"/>
        <w:tabs>
          <w:tab w:val="right" w:leader="dot" w:pos="8296"/>
        </w:tabs>
        <w:ind w:left="960" w:hanging="480"/>
        <w:rPr>
          <w:rFonts w:asciiTheme="minorHAnsi" w:eastAsiaTheme="minorEastAsia" w:hAnsiTheme="minorHAnsi" w:cstheme="minorBidi" w:hint="eastAsia"/>
          <w:noProof/>
          <w:sz w:val="22"/>
          <w:szCs w:val="24"/>
          <w14:ligatures w14:val="standardContextual"/>
        </w:rPr>
      </w:pPr>
      <w:hyperlink w:anchor="_Toc236779323" w:history="1">
        <w:r w:rsidRPr="00736118">
          <w:rPr>
            <w:rStyle w:val="af2"/>
            <w:noProof/>
          </w:rPr>
          <w:t>图</w:t>
        </w:r>
        <w:r w:rsidRPr="00736118">
          <w:rPr>
            <w:rStyle w:val="af2"/>
            <w:noProof/>
          </w:rPr>
          <w:t xml:space="preserve"> 4</w:t>
        </w:r>
        <w:r w:rsidRPr="00736118">
          <w:rPr>
            <w:rStyle w:val="af2"/>
            <w:noProof/>
          </w:rPr>
          <w:noBreakHyphen/>
          <w:t xml:space="preserve">9 </w:t>
        </w:r>
        <w:r w:rsidRPr="00736118">
          <w:rPr>
            <w:rStyle w:val="af2"/>
            <w:noProof/>
          </w:rPr>
          <w:t>战略三角三维递进逻辑链图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_Toc236779323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61C2AA02" w14:textId="6C074A46" w:rsidR="00E2232F" w:rsidRDefault="00E2232F">
      <w:pPr>
        <w:pStyle w:val="afa"/>
        <w:tabs>
          <w:tab w:val="right" w:leader="dot" w:pos="8296"/>
        </w:tabs>
        <w:ind w:left="960" w:hanging="480"/>
        <w:rPr>
          <w:rFonts w:asciiTheme="minorHAnsi" w:eastAsiaTheme="minorEastAsia" w:hAnsiTheme="minorHAnsi" w:cstheme="minorBidi" w:hint="eastAsia"/>
          <w:noProof/>
          <w:sz w:val="22"/>
          <w:szCs w:val="24"/>
          <w14:ligatures w14:val="standardContextual"/>
        </w:rPr>
      </w:pPr>
      <w:hyperlink w:anchor="_Toc236779324" w:history="1">
        <w:r w:rsidRPr="00736118">
          <w:rPr>
            <w:rStyle w:val="af2"/>
            <w:noProof/>
          </w:rPr>
          <w:t>图</w:t>
        </w:r>
        <w:r w:rsidRPr="00736118">
          <w:rPr>
            <w:rStyle w:val="af2"/>
            <w:noProof/>
          </w:rPr>
          <w:t xml:space="preserve"> 4</w:t>
        </w:r>
        <w:r w:rsidRPr="00736118">
          <w:rPr>
            <w:rStyle w:val="af2"/>
            <w:noProof/>
          </w:rPr>
          <w:noBreakHyphen/>
          <w:t xml:space="preserve">10 </w:t>
        </w:r>
        <w:r w:rsidRPr="00736118">
          <w:rPr>
            <w:rStyle w:val="af2"/>
            <w:noProof/>
          </w:rPr>
          <w:t>嘉数模式可持续动态均衡图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_Toc236779324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6EB95CA2" w14:textId="77777777" w:rsidR="00E2232F" w:rsidRDefault="00E2232F" w:rsidP="00E2232F">
      <w:pPr>
        <w:ind w:firstLine="480"/>
        <w:sectPr w:rsidR="00E2232F">
          <w:pgSz w:w="11906" w:h="16838"/>
          <w:pgMar w:top="1440" w:right="1800" w:bottom="1440" w:left="1800" w:header="851" w:footer="992" w:gutter="0"/>
          <w:cols w:space="425"/>
          <w:docGrid w:type="lines" w:linePitch="312"/>
        </w:sectPr>
      </w:pPr>
      <w:r>
        <w:fldChar w:fldCharType="end"/>
      </w:r>
    </w:p>
    <w:p w14:paraId="24EAF6CC" w14:textId="3A7CCDC2" w:rsidR="00E2232F" w:rsidRDefault="00E2232F" w:rsidP="00E2232F">
      <w:pPr>
        <w:spacing w:line="360" w:lineRule="auto"/>
        <w:ind w:firstLine="480" w:firstLineChars="200"/>
        <w:jc w:val="both"/>
      </w:pPr>
      <w:r>
        <w:rPr/>
        <w:lastRenderedPageBreak/>
        <w:t>表目录</w:t>
      </w:r>
    </w:p>
    <w:p w14:paraId="41458F55" w14:textId="063E73BE" w:rsidR="00E2232F" w:rsidRDefault="00E2232F">
      <w:pPr>
        <w:pStyle w:val="afa"/>
        <w:tabs>
          <w:tab w:val="right" w:leader="dot" w:pos="8296"/>
        </w:tabs>
        <w:ind w:left="960" w:hanging="480"/>
        <w:rPr>
          <w:rFonts w:asciiTheme="minorHAnsi" w:eastAsiaTheme="minorEastAsia" w:hAnsiTheme="minorHAnsi" w:cstheme="minorBidi" w:hint="eastAsia"/>
          <w:noProof/>
          <w:sz w:val="22"/>
          <w:szCs w:val="24"/>
          <w14:ligatures w14:val="standardContextual"/>
        </w:rPr>
      </w:pPr>
      <w:r>
        <w:fldChar w:fldCharType="begin"/>
      </w:r>
      <w:r>
        <w:instrText xml:space="preserve"> </w:instrText>
      </w:r>
      <w:r>
        <w:rPr/>
        <w:instrText>TOC \h \z \c "</w:instrText>
      </w:r>
      <w:r>
        <w:rPr/>
        <w:instrText>表</w:instrText>
      </w:r>
      <w:r>
        <w:rPr/>
        <w:instrText>"</w:instrText>
      </w:r>
      <w:r>
        <w:instrText xml:space="preserve"> </w:instrText>
      </w:r>
      <w:r>
        <w:fldChar w:fldCharType="separate"/>
      </w:r>
      <w:hyperlink w:anchor="_Toc236779325" w:history="1">
        <w:r w:rsidRPr="00B12F77">
          <w:rPr>
            <w:rStyle w:val="af2"/>
            <w:noProof/>
          </w:rPr>
          <w:t>表</w:t>
        </w:r>
        <w:r w:rsidRPr="00B12F77">
          <w:rPr>
            <w:rStyle w:val="af2"/>
            <w:noProof/>
          </w:rPr>
          <w:t xml:space="preserve"> 2</w:t>
        </w:r>
        <w:r w:rsidRPr="00B12F77">
          <w:rPr>
            <w:rStyle w:val="af2"/>
            <w:noProof/>
          </w:rPr>
          <w:noBreakHyphen/>
          <w:t>1</w:t>
        </w:r>
        <w:r w:rsidRPr="00B12F77">
          <w:rPr>
            <w:rStyle w:val="af2"/>
            <w:rFonts w:eastAsia="仿宋_GB2312"/>
            <w:noProof/>
            <w:kern w:val="0"/>
          </w:rPr>
          <w:t xml:space="preserve"> </w:t>
        </w:r>
        <w:r w:rsidRPr="00B12F77">
          <w:rPr>
            <w:rStyle w:val="af2"/>
            <w:rFonts w:ascii="仿宋_GB2312" w:eastAsia="仿宋_GB2312"/>
            <w:noProof/>
            <w:kern w:val="0"/>
          </w:rPr>
          <w:t>嘉数公司核心自研基础平台功能表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_Toc236779325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498890C" w14:textId="25994B6F" w:rsidR="00E2232F" w:rsidRDefault="00E2232F">
      <w:pPr>
        <w:pStyle w:val="afa"/>
        <w:tabs>
          <w:tab w:val="right" w:leader="dot" w:pos="8296"/>
        </w:tabs>
        <w:ind w:left="960" w:hanging="480"/>
        <w:rPr>
          <w:rFonts w:asciiTheme="minorHAnsi" w:eastAsiaTheme="minorEastAsia" w:hAnsiTheme="minorHAnsi" w:cstheme="minorBidi" w:hint="eastAsia"/>
          <w:noProof/>
          <w:sz w:val="22"/>
          <w:szCs w:val="24"/>
          <w14:ligatures w14:val="standardContextual"/>
        </w:rPr>
      </w:pPr>
      <w:hyperlink w:anchor="_Toc236779326" w:history="1">
        <w:r w:rsidRPr="00B12F77">
          <w:rPr>
            <w:rStyle w:val="af2"/>
            <w:noProof/>
          </w:rPr>
          <w:t>表</w:t>
        </w:r>
        <w:r w:rsidRPr="00B12F77">
          <w:rPr>
            <w:rStyle w:val="af2"/>
            <w:noProof/>
          </w:rPr>
          <w:t xml:space="preserve"> 2</w:t>
        </w:r>
        <w:r w:rsidRPr="00B12F77">
          <w:rPr>
            <w:rStyle w:val="af2"/>
            <w:noProof/>
          </w:rPr>
          <w:noBreakHyphen/>
          <w:t>2</w:t>
        </w:r>
        <w:r w:rsidRPr="00B12F77">
          <w:rPr>
            <w:rStyle w:val="af2"/>
            <w:rFonts w:ascii="仿宋_GB2312" w:eastAsia="仿宋_GB2312"/>
            <w:noProof/>
            <w:kern w:val="0"/>
          </w:rPr>
          <w:t>嘉数公司产品层汇总表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_Toc236779326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ACE4AAF" w14:textId="7B36F413" w:rsidR="00E2232F" w:rsidRDefault="00E2232F">
      <w:pPr>
        <w:pStyle w:val="afa"/>
        <w:tabs>
          <w:tab w:val="right" w:leader="dot" w:pos="8296"/>
        </w:tabs>
        <w:ind w:left="960" w:hanging="480"/>
        <w:rPr>
          <w:rFonts w:asciiTheme="minorHAnsi" w:eastAsiaTheme="minorEastAsia" w:hAnsiTheme="minorHAnsi" w:cstheme="minorBidi" w:hint="eastAsia"/>
          <w:noProof/>
          <w:sz w:val="22"/>
          <w:szCs w:val="24"/>
          <w14:ligatures w14:val="standardContextual"/>
        </w:rPr>
      </w:pPr>
      <w:hyperlink w:anchor="_Toc236779327" w:history="1">
        <w:r w:rsidRPr="00B12F77">
          <w:rPr>
            <w:rStyle w:val="af2"/>
            <w:noProof/>
          </w:rPr>
          <w:t>表</w:t>
        </w:r>
        <w:r w:rsidRPr="00B12F77">
          <w:rPr>
            <w:rStyle w:val="af2"/>
            <w:noProof/>
          </w:rPr>
          <w:t xml:space="preserve"> 2</w:t>
        </w:r>
        <w:r w:rsidRPr="00B12F77">
          <w:rPr>
            <w:rStyle w:val="af2"/>
            <w:noProof/>
          </w:rPr>
          <w:noBreakHyphen/>
          <w:t>3</w:t>
        </w:r>
        <w:r w:rsidRPr="00B12F77">
          <w:rPr>
            <w:rStyle w:val="af2"/>
            <w:rFonts w:ascii="仿宋_GB2312" w:eastAsia="仿宋_GB2312"/>
            <w:noProof/>
            <w:kern w:val="0"/>
          </w:rPr>
          <w:t xml:space="preserve">资质 </w:t>
        </w:r>
        <w:r w:rsidRPr="00B12F77">
          <w:rPr>
            <w:rStyle w:val="af2"/>
            <w:rFonts w:eastAsia="仿宋_GB2312"/>
            <w:noProof/>
            <w:kern w:val="0"/>
          </w:rPr>
          <w:t xml:space="preserve">- </w:t>
        </w:r>
        <w:r w:rsidRPr="00B12F77">
          <w:rPr>
            <w:rStyle w:val="af2"/>
            <w:rFonts w:ascii="仿宋_GB2312" w:eastAsia="仿宋_GB2312"/>
            <w:noProof/>
            <w:kern w:val="0"/>
          </w:rPr>
          <w:t>阶段对应表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_Toc236779327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0352606" w14:textId="2713CD54" w:rsidR="00E2232F" w:rsidRPr="00E2232F" w:rsidRDefault="00E2232F" w:rsidP="00E2232F">
      <w:pPr>
        <w:ind w:firstLine="480"/>
        <w:rPr>
          <w:rFonts w:hint="eastAsia"/>
        </w:rPr>
      </w:pPr>
      <w:r>
        <w:fldChar w:fldCharType="end"/>
      </w:r>
    </w:p>
    <w:sectPr w:rsidR="00E2232F" w:rsidRPr="00E2232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395B6" w14:textId="77777777" w:rsidR="004C280C" w:rsidRDefault="004C280C" w:rsidP="00B610B0">
      <w:pPr>
        <w:spacing w:line="240" w:lineRule="auto"/>
        <w:ind w:firstLine="480"/>
      </w:pPr>
      <w:r>
        <w:separator/>
      </w:r>
    </w:p>
  </w:endnote>
  <w:endnote w:type="continuationSeparator" w:id="0">
    <w:p w14:paraId="2C3C813C" w14:textId="77777777" w:rsidR="004C280C" w:rsidRDefault="004C280C" w:rsidP="00B610B0">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auto"/>
    <w:pitch w:val="default"/>
    <w:sig w:usb0="00000000" w:usb1="00000000" w:usb2="00000000" w:usb3="00000000" w:csb0="00040000"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0E0AF" w14:textId="77777777" w:rsidR="00B610B0" w:rsidRDefault="00B610B0">
    <w:pPr>
      <w:pStyle w:val="af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B4942" w14:textId="1653AF33" w:rsidR="00B610B0" w:rsidRDefault="00B610B0" w:rsidP="00B610B0">
    <w:pPr>
      <w:pStyle w:val="af5"/>
      <w:ind w:firstLineChars="11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88143" w14:textId="77777777" w:rsidR="00B610B0" w:rsidRDefault="00B610B0">
    <w:pPr>
      <w:pStyle w:val="af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3467821"/>
      <w:docPartObj>
        <w:docPartGallery w:val="Page Numbers (Bottom of Page)"/>
        <w:docPartUnique/>
      </w:docPartObj>
    </w:sdtPr>
    <w:sdtContent>
      <w:p w14:paraId="250EAE77" w14:textId="20856C7A" w:rsidR="00B610B0" w:rsidRDefault="00B610B0" w:rsidP="00B610B0">
        <w:pPr>
          <w:pStyle w:val="af5"/>
          <w:ind w:firstLine="360"/>
          <w:jc w:val="center"/>
          <w:rPr>
            <w:rFonts w:hint="eastAsia"/>
          </w:rPr>
        </w:pPr>
        <w:r>
          <w:fldChar w:fldCharType="begin"/>
        </w:r>
        <w:r>
          <w:instrText>PAGE   \* MERGEFORMAT</w:instrText>
        </w:r>
        <w:r>
          <w:fldChar w:fldCharType="separate"/>
        </w:r>
        <w:r>
          <w:rPr>
            <w:lang w:val="zh-CN"/>
          </w:rPr>
          <w:t>2</w:t>
        </w:r>
        <w:r>
          <w:fldChar w:fldCharType="end"/>
        </w:r>
      </w:p>
    </w:sdtContent>
  </w:sdt>
  <w:p w14:paraId="78FCF530" w14:textId="77777777" w:rsidR="00B610B0" w:rsidRDefault="00B610B0" w:rsidP="00B610B0">
    <w:pPr>
      <w:pStyle w:val="af5"/>
      <w:ind w:firstLineChars="11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5B748" w14:textId="77777777" w:rsidR="004C280C" w:rsidRDefault="004C280C" w:rsidP="00B610B0">
      <w:pPr>
        <w:spacing w:line="240" w:lineRule="auto"/>
        <w:ind w:firstLine="480"/>
      </w:pPr>
      <w:r>
        <w:separator/>
      </w:r>
    </w:p>
  </w:footnote>
  <w:footnote w:type="continuationSeparator" w:id="0">
    <w:p w14:paraId="059EA59B" w14:textId="77777777" w:rsidR="004C280C" w:rsidRDefault="004C280C" w:rsidP="00B610B0">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E4D3C" w14:textId="77777777" w:rsidR="00B610B0" w:rsidRDefault="00B610B0">
    <w:pPr>
      <w:pStyle w:val="af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F99F7" w14:textId="1C2EC2D2" w:rsidR="00B610B0" w:rsidRDefault="00B610B0" w:rsidP="00B610B0">
    <w:pPr>
      <w:pStyle w:val="af3"/>
      <w:ind w:firstLineChars="0" w:firstLine="0"/>
      <w:jc w:val="both"/>
      <w:rPr>
        <w:rFonts w:hint="eastAsia"/>
      </w:rPr>
    </w:pPr>
  </w:p>
  <w:p w14:paraId="55A5186D" w14:textId="77777777" w:rsidR="00B610B0" w:rsidRDefault="00B610B0">
    <w:pPr>
      <w:pStyle w:val="af3"/>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64112" w14:textId="77777777" w:rsidR="00B610B0" w:rsidRDefault="00B610B0">
    <w:pPr>
      <w:pStyle w:val="af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738C"/>
    <w:multiLevelType w:val="multilevel"/>
    <w:tmpl w:val="32A8BFA2"/>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880" w:hanging="440"/>
      </w:pPr>
      <w:rPr>
        <w:rFonts w:ascii="Times New Roman" w:hAnsi="Times New Roman" w:cs="Times New Roman" w:hint="default"/>
      </w:rPr>
    </w:lvl>
    <w:lvl w:ilvl="2">
      <w:start w:val="1"/>
      <w:numFmt w:val="lowerRoman"/>
      <w:lvlText w:val="%3."/>
      <w:lvlJc w:val="right"/>
      <w:pPr>
        <w:ind w:left="1320" w:hanging="440"/>
      </w:pPr>
      <w:rPr>
        <w:rFonts w:ascii="Times New Roman" w:hAnsi="Times New Roman" w:cs="Times New Roman" w:hint="default"/>
      </w:rPr>
    </w:lvl>
    <w:lvl w:ilvl="3">
      <w:start w:val="1"/>
      <w:numFmt w:val="decimal"/>
      <w:lvlText w:val="%4."/>
      <w:lvlJc w:val="left"/>
      <w:pPr>
        <w:ind w:left="1760" w:hanging="440"/>
      </w:pPr>
      <w:rPr>
        <w:rFonts w:ascii="Times New Roman" w:hAnsi="Times New Roman" w:cs="Times New Roman" w:hint="default"/>
      </w:rPr>
    </w:lvl>
    <w:lvl w:ilvl="4">
      <w:start w:val="1"/>
      <w:numFmt w:val="lowerLetter"/>
      <w:lvlText w:val="%5)"/>
      <w:lvlJc w:val="left"/>
      <w:pPr>
        <w:ind w:left="2200" w:hanging="440"/>
      </w:pPr>
      <w:rPr>
        <w:rFonts w:ascii="Times New Roman" w:hAnsi="Times New Roman" w:cs="Times New Roman" w:hint="default"/>
      </w:rPr>
    </w:lvl>
    <w:lvl w:ilvl="5">
      <w:start w:val="1"/>
      <w:numFmt w:val="lowerRoman"/>
      <w:lvlText w:val="%6."/>
      <w:lvlJc w:val="right"/>
      <w:pPr>
        <w:ind w:left="2640" w:hanging="440"/>
      </w:pPr>
      <w:rPr>
        <w:rFonts w:ascii="Times New Roman" w:hAnsi="Times New Roman" w:cs="Times New Roman" w:hint="default"/>
      </w:rPr>
    </w:lvl>
    <w:lvl w:ilvl="6">
      <w:start w:val="1"/>
      <w:numFmt w:val="decimal"/>
      <w:lvlText w:val="%7."/>
      <w:lvlJc w:val="left"/>
      <w:pPr>
        <w:ind w:left="3080" w:hanging="440"/>
      </w:pPr>
      <w:rPr>
        <w:rFonts w:ascii="Times New Roman" w:hAnsi="Times New Roman" w:cs="Times New Roman" w:hint="default"/>
      </w:rPr>
    </w:lvl>
    <w:lvl w:ilvl="7">
      <w:start w:val="1"/>
      <w:numFmt w:val="lowerLetter"/>
      <w:lvlText w:val="%8)"/>
      <w:lvlJc w:val="left"/>
      <w:pPr>
        <w:ind w:left="3520" w:hanging="440"/>
      </w:pPr>
      <w:rPr>
        <w:rFonts w:ascii="Times New Roman" w:hAnsi="Times New Roman" w:cs="Times New Roman" w:hint="default"/>
      </w:rPr>
    </w:lvl>
    <w:lvl w:ilvl="8">
      <w:start w:val="1"/>
      <w:numFmt w:val="lowerRoman"/>
      <w:lvlText w:val="%9."/>
      <w:lvlJc w:val="right"/>
      <w:pPr>
        <w:ind w:left="3960" w:hanging="440"/>
      </w:pPr>
      <w:rPr>
        <w:rFonts w:ascii="Times New Roman" w:hAnsi="Times New Roman" w:cs="Times New Roman" w:hint="default"/>
      </w:rPr>
    </w:lvl>
  </w:abstractNum>
  <w:abstractNum w:abstractNumId="1" w15:restartNumberingAfterBreak="0">
    <w:nsid w:val="0D720490"/>
    <w:multiLevelType w:val="multilevel"/>
    <w:tmpl w:val="BBA68488"/>
    <w:lvl w:ilvl="0">
      <w:start w:val="1"/>
      <w:numFmt w:val="decimal"/>
      <w:pStyle w:val="1"/>
      <w:suff w:val="space"/>
      <w:lvlText w:val="%1"/>
      <w:lvlJc w:val="left"/>
      <w:pPr>
        <w:ind w:left="709" w:hanging="425"/>
      </w:pPr>
      <w:rPr>
        <w:rFonts w:hint="eastAsia"/>
      </w:rPr>
    </w:lvl>
    <w:lvl w:ilvl="1">
      <w:start w:val="1"/>
      <w:numFmt w:val="decimal"/>
      <w:pStyle w:val="2"/>
      <w:suff w:val="space"/>
      <w:lvlText w:val="%1.%2"/>
      <w:lvlJc w:val="left"/>
      <w:pPr>
        <w:ind w:left="1276" w:hanging="567"/>
      </w:pPr>
      <w:rPr>
        <w:rFonts w:hint="eastAsia"/>
      </w:rPr>
    </w:lvl>
    <w:lvl w:ilvl="2">
      <w:start w:val="1"/>
      <w:numFmt w:val="decimal"/>
      <w:pStyle w:val="a"/>
      <w:suff w:val="space"/>
      <w:lvlText w:val="%1.%2.%3"/>
      <w:lvlJc w:val="left"/>
      <w:pPr>
        <w:ind w:left="1702" w:hanging="567"/>
      </w:pPr>
      <w:rPr>
        <w:rFonts w:hint="eastAsia"/>
      </w:rPr>
    </w:lvl>
    <w:lvl w:ilvl="3">
      <w:start w:val="1"/>
      <w:numFmt w:val="decimal"/>
      <w:lvlText w:val="%1.%2.%3.%4"/>
      <w:lvlJc w:val="left"/>
      <w:pPr>
        <w:ind w:left="2268" w:hanging="708"/>
      </w:pPr>
      <w:rPr>
        <w:rFonts w:hint="eastAsia"/>
      </w:rPr>
    </w:lvl>
    <w:lvl w:ilvl="4">
      <w:start w:val="1"/>
      <w:numFmt w:val="decimal"/>
      <w:lvlText w:val="%1.%2.%3.%4.%5"/>
      <w:lvlJc w:val="left"/>
      <w:pPr>
        <w:ind w:left="2835" w:hanging="850"/>
      </w:pPr>
      <w:rPr>
        <w:rFonts w:hint="eastAsia"/>
      </w:rPr>
    </w:lvl>
    <w:lvl w:ilvl="5">
      <w:start w:val="1"/>
      <w:numFmt w:val="decimal"/>
      <w:lvlText w:val="%1.%2.%3.%4.%5.%6"/>
      <w:lvlJc w:val="left"/>
      <w:pPr>
        <w:ind w:left="3544" w:hanging="1134"/>
      </w:pPr>
      <w:rPr>
        <w:rFonts w:hint="eastAsia"/>
      </w:rPr>
    </w:lvl>
    <w:lvl w:ilvl="6">
      <w:start w:val="1"/>
      <w:numFmt w:val="decimal"/>
      <w:lvlText w:val="%1.%2.%3.%4.%5.%6.%7"/>
      <w:lvlJc w:val="left"/>
      <w:pPr>
        <w:ind w:left="4111" w:hanging="1276"/>
      </w:pPr>
      <w:rPr>
        <w:rFonts w:hint="eastAsia"/>
      </w:rPr>
    </w:lvl>
    <w:lvl w:ilvl="7">
      <w:start w:val="1"/>
      <w:numFmt w:val="decimal"/>
      <w:lvlText w:val="%1.%2.%3.%4.%5.%6.%7.%8"/>
      <w:lvlJc w:val="left"/>
      <w:pPr>
        <w:ind w:left="4678" w:hanging="1418"/>
      </w:pPr>
      <w:rPr>
        <w:rFonts w:hint="eastAsia"/>
      </w:rPr>
    </w:lvl>
    <w:lvl w:ilvl="8">
      <w:start w:val="1"/>
      <w:numFmt w:val="decimal"/>
      <w:lvlText w:val="%1.%2.%3.%4.%5.%6.%7.%8.%9"/>
      <w:lvlJc w:val="left"/>
      <w:pPr>
        <w:ind w:left="5386" w:hanging="1700"/>
      </w:pPr>
      <w:rPr>
        <w:rFonts w:hint="eastAsia"/>
      </w:rPr>
    </w:lvl>
  </w:abstractNum>
  <w:abstractNum w:abstractNumId="2" w15:restartNumberingAfterBreak="0">
    <w:nsid w:val="24742F44"/>
    <w:multiLevelType w:val="multilevel"/>
    <w:tmpl w:val="15025A08"/>
    <w:lvl w:ilvl="0">
      <w:start w:val="1"/>
      <w:numFmt w:val="chineseCountingThousand"/>
      <w:lvlText w:val="第%1章"/>
      <w:lvlJc w:val="left"/>
      <w:pPr>
        <w:ind w:left="0" w:firstLine="0"/>
      </w:pPr>
      <w:rPr>
        <w:rFonts w:ascii="宋体" w:eastAsia="宋体" w:hAnsi="宋体" w:hint="eastAsia"/>
      </w:rPr>
    </w:lvl>
    <w:lvl w:ilvl="1">
      <w:start w:val="1"/>
      <w:numFmt w:val="decimal"/>
      <w:lvlText w:val="1.%2"/>
      <w:lvlJc w:val="left"/>
      <w:pPr>
        <w:ind w:left="0" w:firstLine="425"/>
      </w:pPr>
      <w:rPr>
        <w:rFonts w:ascii="宋体" w:eastAsia="宋体" w:hAnsi="宋体" w:hint="eastAsia"/>
      </w:rPr>
    </w:lvl>
    <w:lvl w:ilvl="2">
      <w:start w:val="1"/>
      <w:numFmt w:val="decimal"/>
      <w:lvlText w:val="1.%2.%3"/>
      <w:lvlJc w:val="left"/>
      <w:pPr>
        <w:ind w:left="0" w:firstLine="851"/>
      </w:pPr>
      <w:rPr>
        <w:rFonts w:ascii="宋体" w:eastAsia="宋体" w:hAnsi="宋体" w:hint="eastAsia"/>
      </w:rPr>
    </w:lvl>
    <w:lvl w:ilvl="3">
      <w:start w:val="1"/>
      <w:numFmt w:val="decimal"/>
      <w:lvlText w:val="%1.%2.%3.%4"/>
      <w:lvlJc w:val="left"/>
      <w:pPr>
        <w:ind w:left="1984" w:hanging="708"/>
      </w:pPr>
      <w:rPr>
        <w:rFonts w:ascii="宋体" w:eastAsia="宋体" w:hAnsi="宋体" w:hint="eastAsia"/>
      </w:rPr>
    </w:lvl>
    <w:lvl w:ilvl="4">
      <w:start w:val="1"/>
      <w:numFmt w:val="decimal"/>
      <w:lvlText w:val="%1.%2.%3.%4.%5"/>
      <w:lvlJc w:val="left"/>
      <w:pPr>
        <w:ind w:left="2551" w:hanging="850"/>
      </w:pPr>
      <w:rPr>
        <w:rFonts w:ascii="宋体" w:eastAsia="宋体" w:hAnsi="宋体" w:hint="eastAsia"/>
      </w:rPr>
    </w:lvl>
    <w:lvl w:ilvl="5">
      <w:start w:val="1"/>
      <w:numFmt w:val="decimal"/>
      <w:lvlText w:val="%1.%2.%3.%4.%5.%6"/>
      <w:lvlJc w:val="left"/>
      <w:pPr>
        <w:ind w:left="3260" w:hanging="1134"/>
      </w:pPr>
      <w:rPr>
        <w:rFonts w:ascii="宋体" w:eastAsia="宋体" w:hAnsi="宋体" w:hint="eastAsia"/>
      </w:rPr>
    </w:lvl>
    <w:lvl w:ilvl="6">
      <w:start w:val="1"/>
      <w:numFmt w:val="decimal"/>
      <w:lvlText w:val="%1.%2.%3.%4.%5.%6.%7"/>
      <w:lvlJc w:val="left"/>
      <w:pPr>
        <w:ind w:left="3827" w:hanging="1276"/>
      </w:pPr>
      <w:rPr>
        <w:rFonts w:ascii="宋体" w:eastAsia="宋体" w:hAnsi="宋体" w:hint="eastAsia"/>
      </w:rPr>
    </w:lvl>
    <w:lvl w:ilvl="7">
      <w:start w:val="1"/>
      <w:numFmt w:val="decimal"/>
      <w:lvlText w:val="%1.%2.%3.%4.%5.%6.%7.%8"/>
      <w:lvlJc w:val="left"/>
      <w:pPr>
        <w:ind w:left="4394" w:hanging="1418"/>
      </w:pPr>
      <w:rPr>
        <w:rFonts w:ascii="宋体" w:eastAsia="宋体" w:hAnsi="宋体" w:hint="eastAsia"/>
      </w:rPr>
    </w:lvl>
    <w:lvl w:ilvl="8">
      <w:start w:val="1"/>
      <w:numFmt w:val="decimal"/>
      <w:lvlText w:val="%1.%2.%3.%4.%5.%6.%7.%8.%9"/>
      <w:lvlJc w:val="left"/>
      <w:pPr>
        <w:ind w:left="5102" w:hanging="1700"/>
      </w:pPr>
      <w:rPr>
        <w:rFonts w:ascii="宋体" w:eastAsia="宋体" w:hAnsi="宋体" w:hint="eastAsia"/>
      </w:rPr>
    </w:lvl>
  </w:abstractNum>
  <w:abstractNum w:abstractNumId="3" w15:restartNumberingAfterBreak="0">
    <w:nsid w:val="3E9342F9"/>
    <w:multiLevelType w:val="multilevel"/>
    <w:tmpl w:val="174C10B0"/>
    <w:lvl w:ilvl="0">
      <w:start w:val="4"/>
      <w:numFmt w:val="decimal"/>
      <w:lvlText w:val="%1."/>
      <w:lvlJc w:val="left"/>
      <w:pPr>
        <w:ind w:left="432" w:hanging="432"/>
      </w:pPr>
      <w:rPr>
        <w:rFonts w:ascii="Times New Roman" w:hAnsi="Times New Roman" w:cs="Times New Roman" w:hint="default"/>
      </w:rPr>
    </w:lvl>
    <w:lvl w:ilvl="1">
      <w:start w:val="1"/>
      <w:numFmt w:val="decimal"/>
      <w:lvlText w:val="%1.%2"/>
      <w:lvlJc w:val="left"/>
      <w:pPr>
        <w:ind w:left="575" w:hanging="575"/>
      </w:pPr>
      <w:rPr>
        <w:rFonts w:ascii="Times New Roman" w:hAnsi="Times New Roman" w:cs="Times New Roman" w:hint="default"/>
        <w:sz w:val="28"/>
        <w:szCs w:val="28"/>
      </w:rPr>
    </w:lvl>
    <w:lvl w:ilvl="2">
      <w:start w:val="1"/>
      <w:numFmt w:val="decimal"/>
      <w:lvlText w:val="%1.%2.%3"/>
      <w:lvlJc w:val="left"/>
      <w:pPr>
        <w:ind w:left="720" w:hanging="720"/>
      </w:pPr>
      <w:rPr>
        <w:rFonts w:ascii="Times New Roman" w:hAnsi="Times New Roman" w:cs="Times New Roman" w:hint="default"/>
        <w:sz w:val="24"/>
        <w:szCs w:val="24"/>
      </w:rPr>
    </w:lvl>
    <w:lvl w:ilvl="3">
      <w:start w:val="1"/>
      <w:numFmt w:val="decimal"/>
      <w:lvlText w:val="%1.%2.%3.%4."/>
      <w:lvlJc w:val="left"/>
      <w:pPr>
        <w:ind w:left="864" w:hanging="864"/>
      </w:pPr>
      <w:rPr>
        <w:rFonts w:ascii="Times New Roman" w:hAnsi="Times New Roman" w:cs="Times New Roman" w:hint="default"/>
      </w:rPr>
    </w:lvl>
    <w:lvl w:ilvl="4">
      <w:start w:val="1"/>
      <w:numFmt w:val="decimal"/>
      <w:lvlText w:val="%1.%2.%3.%4.%5."/>
      <w:lvlJc w:val="left"/>
      <w:pPr>
        <w:ind w:left="1008" w:hanging="1008"/>
      </w:pPr>
      <w:rPr>
        <w:rFonts w:ascii="Times New Roman" w:hAnsi="Times New Roman" w:cs="Times New Roman" w:hint="default"/>
      </w:rPr>
    </w:lvl>
    <w:lvl w:ilvl="5">
      <w:start w:val="1"/>
      <w:numFmt w:val="decimal"/>
      <w:lvlText w:val="%1.%2.%3.%4.%5.%6."/>
      <w:lvlJc w:val="left"/>
      <w:pPr>
        <w:ind w:left="1151" w:hanging="1151"/>
      </w:pPr>
      <w:rPr>
        <w:rFonts w:ascii="Times New Roman" w:hAnsi="Times New Roman" w:cs="Times New Roman" w:hint="default"/>
      </w:rPr>
    </w:lvl>
    <w:lvl w:ilvl="6">
      <w:start w:val="1"/>
      <w:numFmt w:val="decimal"/>
      <w:lvlText w:val="%1.%2.%3.%4.%5.%6.%7."/>
      <w:lvlJc w:val="left"/>
      <w:pPr>
        <w:ind w:left="1296" w:hanging="1296"/>
      </w:pPr>
      <w:rPr>
        <w:rFonts w:ascii="Times New Roman" w:hAnsi="Times New Roman" w:cs="Times New Roman" w:hint="default"/>
      </w:rPr>
    </w:lvl>
    <w:lvl w:ilvl="7">
      <w:start w:val="1"/>
      <w:numFmt w:val="decimal"/>
      <w:lvlText w:val="%1.%2.%3.%4.%5.%6.%7.%8."/>
      <w:lvlJc w:val="left"/>
      <w:pPr>
        <w:ind w:left="1440" w:hanging="1440"/>
      </w:pPr>
      <w:rPr>
        <w:rFonts w:ascii="Times New Roman" w:hAnsi="Times New Roman" w:cs="Times New Roman" w:hint="default"/>
      </w:rPr>
    </w:lvl>
    <w:lvl w:ilvl="8">
      <w:start w:val="1"/>
      <w:numFmt w:val="decimal"/>
      <w:lvlText w:val="%1.%2.%3.%4.%5.%6.%7.%8.%9."/>
      <w:lvlJc w:val="left"/>
      <w:pPr>
        <w:ind w:left="1583" w:hanging="1583"/>
      </w:pPr>
      <w:rPr>
        <w:rFonts w:ascii="Times New Roman" w:hAnsi="Times New Roman" w:cs="Times New Roman" w:hint="default"/>
      </w:rPr>
    </w:lvl>
  </w:abstractNum>
  <w:abstractNum w:abstractNumId="4" w15:restartNumberingAfterBreak="0">
    <w:nsid w:val="5DA97494"/>
    <w:multiLevelType w:val="multilevel"/>
    <w:tmpl w:val="375E84D0"/>
    <w:lvl w:ilvl="0">
      <w:start w:val="3"/>
      <w:numFmt w:val="chineseCountingThousand"/>
      <w:suff w:val="nothing"/>
      <w:lvlText w:val="第%1章"/>
      <w:lvlJc w:val="left"/>
      <w:pPr>
        <w:ind w:left="0" w:firstLine="0"/>
      </w:pPr>
      <w:rPr>
        <w:rFonts w:ascii="宋体" w:eastAsia="宋体" w:hAnsi="宋体" w:hint="eastAsia"/>
      </w:rPr>
    </w:lvl>
    <w:lvl w:ilvl="1">
      <w:start w:val="1"/>
      <w:numFmt w:val="none"/>
      <w:suff w:val="nothing"/>
      <w:lvlText w:val="%2."/>
      <w:lvlJc w:val="left"/>
      <w:pPr>
        <w:ind w:left="1440" w:hanging="360"/>
      </w:pPr>
    </w:lvl>
    <w:lvl w:ilvl="2">
      <w:start w:val="1"/>
      <w:numFmt w:val="none"/>
      <w:suff w:val="nothing"/>
      <w:lvlText w:val="%3."/>
      <w:lvlJc w:val="left"/>
      <w:pPr>
        <w:ind w:left="2160" w:hanging="360"/>
      </w:pPr>
    </w:lvl>
    <w:lvl w:ilvl="3">
      <w:start w:val="1"/>
      <w:numFmt w:val="none"/>
      <w:suff w:val="nothing"/>
      <w:lvlText w:val="%4."/>
      <w:lvlJc w:val="left"/>
      <w:pPr>
        <w:ind w:left="2880" w:hanging="360"/>
      </w:pPr>
    </w:lvl>
    <w:lvl w:ilvl="4">
      <w:start w:val="1"/>
      <w:numFmt w:val="none"/>
      <w:suff w:val="nothing"/>
      <w:lvlText w:val="%5."/>
      <w:lvlJc w:val="left"/>
      <w:pPr>
        <w:ind w:left="3600" w:hanging="360"/>
      </w:pPr>
    </w:lvl>
    <w:lvl w:ilvl="5">
      <w:start w:val="1"/>
      <w:numFmt w:val="none"/>
      <w:suff w:val="nothing"/>
      <w:lvlText w:val="%6."/>
      <w:lvlJc w:val="left"/>
      <w:pPr>
        <w:ind w:left="4320" w:hanging="360"/>
      </w:pPr>
    </w:lvl>
    <w:lvl w:ilvl="6">
      <w:start w:val="1"/>
      <w:numFmt w:val="none"/>
      <w:suff w:val="nothing"/>
      <w:lvlText w:val="%7."/>
      <w:lvlJc w:val="left"/>
      <w:pPr>
        <w:ind w:left="5040" w:hanging="360"/>
      </w:pPr>
    </w:lvl>
    <w:lvl w:ilvl="7">
      <w:start w:val="1"/>
      <w:numFmt w:val="none"/>
      <w:suff w:val="nothing"/>
      <w:lvlText w:val="%8."/>
      <w:lvlJc w:val="left"/>
      <w:pPr>
        <w:ind w:left="5760" w:hanging="360"/>
      </w:pPr>
    </w:lvl>
    <w:lvl w:ilvl="8">
      <w:start w:val="1"/>
      <w:numFmt w:val="none"/>
      <w:suff w:val="nothing"/>
      <w:lvlText w:val="%9."/>
      <w:lvlJc w:val="left"/>
      <w:pPr>
        <w:ind w:left="6480" w:hanging="360"/>
      </w:pPr>
    </w:lvl>
  </w:abstractNum>
  <w:abstractNum w:abstractNumId="5" w15:restartNumberingAfterBreak="0">
    <w:nsid w:val="7042640A"/>
    <w:multiLevelType w:val="multilevel"/>
    <w:tmpl w:val="52F4D2BA"/>
    <w:lvl w:ilvl="0">
      <w:start w:val="3"/>
      <w:numFmt w:val="decimal"/>
      <w:lvlText w:val="%1."/>
      <w:lvlJc w:val="left"/>
      <w:pPr>
        <w:ind w:left="432" w:hanging="432"/>
      </w:pPr>
      <w:rPr>
        <w:rFonts w:ascii="Times New Roman" w:hAnsi="Times New Roman" w:cs="Times New Roman" w:hint="default"/>
      </w:rPr>
    </w:lvl>
    <w:lvl w:ilvl="1">
      <w:start w:val="1"/>
      <w:numFmt w:val="decimal"/>
      <w:lvlText w:val="%1.%2"/>
      <w:lvlJc w:val="left"/>
      <w:pPr>
        <w:ind w:left="575" w:hanging="575"/>
      </w:pPr>
      <w:rPr>
        <w:rFonts w:ascii="Times New Roman" w:hAnsi="Times New Roman" w:cs="Times New Roman" w:hint="default"/>
        <w:sz w:val="28"/>
        <w:szCs w:val="28"/>
      </w:rPr>
    </w:lvl>
    <w:lvl w:ilvl="2">
      <w:start w:val="1"/>
      <w:numFmt w:val="decimal"/>
      <w:lvlText w:val="%1.%2.%3"/>
      <w:lvlJc w:val="left"/>
      <w:pPr>
        <w:ind w:left="720" w:hanging="720"/>
      </w:pPr>
      <w:rPr>
        <w:rFonts w:ascii="Times New Roman" w:hAnsi="Times New Roman" w:cs="Times New Roman" w:hint="default"/>
        <w:sz w:val="24"/>
        <w:szCs w:val="24"/>
      </w:rPr>
    </w:lvl>
    <w:lvl w:ilvl="3">
      <w:start w:val="1"/>
      <w:numFmt w:val="decimal"/>
      <w:lvlText w:val="%1.%2.%3.%4."/>
      <w:lvlJc w:val="left"/>
      <w:pPr>
        <w:ind w:left="864" w:hanging="864"/>
      </w:pPr>
      <w:rPr>
        <w:rFonts w:ascii="Times New Roman" w:hAnsi="Times New Roman" w:cs="Times New Roman" w:hint="default"/>
      </w:rPr>
    </w:lvl>
    <w:lvl w:ilvl="4">
      <w:start w:val="1"/>
      <w:numFmt w:val="decimal"/>
      <w:lvlText w:val="%1.%2.%3.%4.%5."/>
      <w:lvlJc w:val="left"/>
      <w:pPr>
        <w:ind w:left="1008" w:hanging="1008"/>
      </w:pPr>
      <w:rPr>
        <w:rFonts w:ascii="Times New Roman" w:hAnsi="Times New Roman" w:cs="Times New Roman" w:hint="default"/>
      </w:rPr>
    </w:lvl>
    <w:lvl w:ilvl="5">
      <w:start w:val="1"/>
      <w:numFmt w:val="decimal"/>
      <w:lvlText w:val="%1.%2.%3.%4.%5.%6."/>
      <w:lvlJc w:val="left"/>
      <w:pPr>
        <w:ind w:left="1151" w:hanging="1151"/>
      </w:pPr>
      <w:rPr>
        <w:rFonts w:ascii="Times New Roman" w:hAnsi="Times New Roman" w:cs="Times New Roman" w:hint="default"/>
      </w:rPr>
    </w:lvl>
    <w:lvl w:ilvl="6">
      <w:start w:val="1"/>
      <w:numFmt w:val="decimal"/>
      <w:lvlText w:val="%1.%2.%3.%4.%5.%6.%7."/>
      <w:lvlJc w:val="left"/>
      <w:pPr>
        <w:ind w:left="1296" w:hanging="1296"/>
      </w:pPr>
      <w:rPr>
        <w:rFonts w:ascii="Times New Roman" w:hAnsi="Times New Roman" w:cs="Times New Roman" w:hint="default"/>
      </w:rPr>
    </w:lvl>
    <w:lvl w:ilvl="7">
      <w:start w:val="1"/>
      <w:numFmt w:val="decimal"/>
      <w:lvlText w:val="%1.%2.%3.%4.%5.%6.%7.%8."/>
      <w:lvlJc w:val="left"/>
      <w:pPr>
        <w:ind w:left="1440" w:hanging="1440"/>
      </w:pPr>
      <w:rPr>
        <w:rFonts w:ascii="Times New Roman" w:hAnsi="Times New Roman" w:cs="Times New Roman" w:hint="default"/>
      </w:rPr>
    </w:lvl>
    <w:lvl w:ilvl="8">
      <w:start w:val="1"/>
      <w:numFmt w:val="decimal"/>
      <w:lvlText w:val="%1.%2.%3.%4.%5.%6.%7.%8.%9."/>
      <w:lvlJc w:val="left"/>
      <w:pPr>
        <w:ind w:left="1583" w:hanging="1583"/>
      </w:pPr>
      <w:rPr>
        <w:rFonts w:ascii="Times New Roman" w:hAnsi="Times New Roman" w:cs="Times New Roman" w:hint="default"/>
      </w:rPr>
    </w:lvl>
  </w:abstractNum>
  <w:num w:numId="1" w16cid:durableId="1580672272">
    <w:abstractNumId w:val="1"/>
  </w:num>
  <w:num w:numId="2" w16cid:durableId="1834480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55342202">
    <w:abstractNumId w:val="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45379128">
    <w:abstractNumId w:val="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480891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73161958">
    <w:abstractNumId w:val="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455884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33774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updateFields w:val="tru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E4B"/>
    <w:rsid w:val="000D6FA5"/>
    <w:rsid w:val="001179CE"/>
    <w:rsid w:val="00226F29"/>
    <w:rsid w:val="004C280C"/>
    <w:rsid w:val="005A6CF8"/>
    <w:rsid w:val="005C2BA8"/>
    <w:rsid w:val="006B17C7"/>
    <w:rsid w:val="00714EA8"/>
    <w:rsid w:val="00775765"/>
    <w:rsid w:val="00832C68"/>
    <w:rsid w:val="008F3423"/>
    <w:rsid w:val="009E582E"/>
    <w:rsid w:val="00B610B0"/>
    <w:rsid w:val="00B97AB5"/>
    <w:rsid w:val="00CC5E4B"/>
    <w:rsid w:val="00D26104"/>
    <w:rsid w:val="00E2232F"/>
    <w:rsid w:val="00E97F9F"/>
    <w:rsid w:val="00EB3619"/>
    <w:rsid w:val="00EE061E"/>
    <w:rsid w:val="00F43F43"/>
    <w:rsid w:val="00FA3F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46938"/>
  <w15:chartTrackingRefBased/>
  <w15:docId w15:val="{B7267C09-60C6-4942-8787-D70BFC8EB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A3F78"/>
    <w:pPr>
      <w:widowControl w:val="0"/>
      <w:spacing w:line="360" w:lineRule="auto"/>
      <w:ind w:firstLineChars="200" w:firstLine="200"/>
      <w:jc w:val="both"/>
    </w:pPr>
    <w:rPr>
      <w:rFonts w:ascii="Times New Roman" w:eastAsia="宋体" w:hAnsi="Times New Roman" w:cs="Times New Roman"/>
      <w:sz w:val="24"/>
      <w:szCs w:val="21"/>
      <w14:ligatures w14:val="none"/>
    </w:rPr>
  </w:style>
  <w:style w:type="paragraph" w:styleId="1">
    <w:name w:val="heading 1"/>
    <w:basedOn w:val="a0"/>
    <w:next w:val="a0"/>
    <w:link w:val="10"/>
    <w:uiPriority w:val="9"/>
    <w:qFormat/>
    <w:rsid w:val="00FA3F78"/>
    <w:pPr>
      <w:keepNext/>
      <w:keepLines/>
      <w:numPr>
        <w:numId w:val="1"/>
      </w:numPr>
      <w:ind w:left="425"/>
      <w:jc w:val="center"/>
      <w:outlineLvl w:val="0"/>
    </w:pPr>
    <w:rPr>
      <w:rFonts w:ascii="Times New Roman" w:hAnsi="Times New Roman" w:eastAsia="黑体" w:cs="Times New Roman"/>
      <w:color w:val="000000" w:themeColor="text1"/>
      <w:sz w:val="32"/>
      <w:szCs w:val="32"/>
      <w:b/>
      <w:bCs/>
    </w:rPr>
  </w:style>
  <w:style w:type="paragraph" w:styleId="2">
    <w:name w:val="heading 2"/>
    <w:basedOn w:val="a0"/>
    <w:next w:val="a0"/>
    <w:link w:val="20"/>
    <w:uiPriority w:val="9"/>
    <w:unhideWhenUsed/>
    <w:qFormat/>
    <w:rsid w:val="00FA3F78"/>
    <w:pPr>
      <w:keepNext/>
      <w:keepLines/>
      <w:numPr>
        <w:ilvl w:val="1"/>
        <w:numId w:val="1"/>
      </w:numPr>
      <w:spacing w:beforeLines="50" w:before="50" w:afterLines="50" w:after="50"/>
      <w:ind w:left="0" w:firstLine="200"/>
      <w:jc w:val="left"/>
      <w:outlineLvl w:val="1"/>
    </w:pPr>
    <w:rPr>
      <w:rFonts w:ascii="Times New Roman" w:hAnsi="Times New Roman" w:eastAsia="黑体" w:cs="Times New Roman"/>
      <w:color w:val="000000" w:themeColor="text1"/>
      <w:sz w:val="28"/>
      <w:szCs w:val="28"/>
    </w:rPr>
  </w:style>
  <w:style w:type="paragraph" w:styleId="3">
    <w:name w:val="heading 3"/>
    <w:basedOn w:val="a0"/>
    <w:next w:val="a0"/>
    <w:link w:val="30"/>
    <w:uiPriority w:val="9"/>
    <w:semiHidden/>
    <w:unhideWhenUsed/>
    <w:qFormat/>
    <w:rsid w:val="00CC5E4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0"/>
    <w:next w:val="a0"/>
    <w:link w:val="40"/>
    <w:uiPriority w:val="9"/>
    <w:semiHidden/>
    <w:unhideWhenUsed/>
    <w:qFormat/>
    <w:rsid w:val="00CC5E4B"/>
    <w:pPr>
      <w:keepNext/>
      <w:keepLines/>
      <w:spacing w:before="80" w:after="40"/>
      <w:outlineLvl w:val="3"/>
    </w:pPr>
    <w:rPr>
      <w:rFonts w:cstheme="majorBidi"/>
      <w:color w:val="0F4761" w:themeColor="accent1" w:themeShade="BF"/>
      <w:sz w:val="28"/>
      <w:szCs w:val="28"/>
    </w:rPr>
  </w:style>
  <w:style w:type="paragraph" w:styleId="5">
    <w:name w:val="heading 5"/>
    <w:basedOn w:val="a0"/>
    <w:next w:val="a0"/>
    <w:link w:val="50"/>
    <w:uiPriority w:val="9"/>
    <w:semiHidden/>
    <w:unhideWhenUsed/>
    <w:qFormat/>
    <w:rsid w:val="00CC5E4B"/>
    <w:pPr>
      <w:keepNext/>
      <w:keepLines/>
      <w:spacing w:before="80" w:after="40"/>
      <w:outlineLvl w:val="4"/>
    </w:pPr>
    <w:rPr>
      <w:rFonts w:cstheme="majorBidi"/>
      <w:color w:val="0F4761" w:themeColor="accent1" w:themeShade="BF"/>
      <w:szCs w:val="24"/>
    </w:rPr>
  </w:style>
  <w:style w:type="paragraph" w:styleId="6">
    <w:name w:val="heading 6"/>
    <w:basedOn w:val="a0"/>
    <w:next w:val="a0"/>
    <w:link w:val="60"/>
    <w:uiPriority w:val="9"/>
    <w:semiHidden/>
    <w:unhideWhenUsed/>
    <w:qFormat/>
    <w:rsid w:val="00CC5E4B"/>
    <w:pPr>
      <w:keepNext/>
      <w:keepLines/>
      <w:spacing w:before="40"/>
      <w:outlineLvl w:val="5"/>
    </w:pPr>
    <w:rPr>
      <w:rFonts w:cstheme="majorBidi"/>
      <w:b/>
      <w:bCs/>
      <w:color w:val="0F4761" w:themeColor="accent1" w:themeShade="BF"/>
    </w:rPr>
  </w:style>
  <w:style w:type="paragraph" w:styleId="7">
    <w:name w:val="heading 7"/>
    <w:basedOn w:val="a0"/>
    <w:next w:val="a0"/>
    <w:link w:val="70"/>
    <w:uiPriority w:val="9"/>
    <w:semiHidden/>
    <w:unhideWhenUsed/>
    <w:qFormat/>
    <w:rsid w:val="00CC5E4B"/>
    <w:pPr>
      <w:keepNext/>
      <w:keepLines/>
      <w:spacing w:before="4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CC5E4B"/>
    <w:pPr>
      <w:keepNext/>
      <w:keepLines/>
      <w:outlineLvl w:val="7"/>
    </w:pPr>
    <w:rPr>
      <w:rFonts w:cstheme="majorBidi"/>
      <w:color w:val="595959" w:themeColor="text1" w:themeTint="A6"/>
    </w:rPr>
  </w:style>
  <w:style w:type="paragraph" w:styleId="9">
    <w:name w:val="heading 9"/>
    <w:basedOn w:val="a0"/>
    <w:next w:val="a0"/>
    <w:link w:val="90"/>
    <w:uiPriority w:val="9"/>
    <w:semiHidden/>
    <w:unhideWhenUsed/>
    <w:qFormat/>
    <w:rsid w:val="00CC5E4B"/>
    <w:pPr>
      <w:keepNext/>
      <w:keepLines/>
      <w:outlineLvl w:val="8"/>
    </w:pPr>
    <w:rPr>
      <w:rFonts w:eastAsiaTheme="majorEastAsia" w:cstheme="majorBidi"/>
      <w:color w:val="595959" w:themeColor="text1" w:themeTint="A6"/>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FA3F78"/>
    <w:rPr>
      <w:rFonts w:ascii="Times New Roman" w:eastAsia="仿宋" w:hAnsi="Times New Roman" w:cstheme="majorBidi"/>
      <w:color w:val="000000" w:themeColor="text1"/>
      <w:sz w:val="30"/>
      <w:szCs w:val="48"/>
      <w14:ligatures w14:val="none"/>
    </w:rPr>
  </w:style>
  <w:style w:type="character" w:customStyle="1" w:styleId="20">
    <w:name w:val="标题 2 字符"/>
    <w:basedOn w:val="a1"/>
    <w:link w:val="2"/>
    <w:uiPriority w:val="9"/>
    <w:rsid w:val="00FA3F78"/>
    <w:rPr>
      <w:rFonts w:ascii="Times New Roman" w:eastAsia="仿宋" w:hAnsi="Times New Roman" w:cstheme="majorBidi"/>
      <w:color w:val="000000" w:themeColor="text1"/>
      <w:sz w:val="28"/>
      <w:szCs w:val="40"/>
      <w14:ligatures w14:val="none"/>
    </w:rPr>
  </w:style>
  <w:style w:type="character" w:customStyle="1" w:styleId="30">
    <w:name w:val="标题 3 字符"/>
    <w:basedOn w:val="a1"/>
    <w:link w:val="3"/>
    <w:uiPriority w:val="9"/>
    <w:semiHidden/>
    <w:rsid w:val="00CC5E4B"/>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sid w:val="00CC5E4B"/>
    <w:rPr>
      <w:rFonts w:cstheme="majorBidi"/>
      <w:color w:val="0F4761" w:themeColor="accent1" w:themeShade="BF"/>
      <w:sz w:val="28"/>
      <w:szCs w:val="28"/>
    </w:rPr>
  </w:style>
  <w:style w:type="character" w:customStyle="1" w:styleId="50">
    <w:name w:val="标题 5 字符"/>
    <w:basedOn w:val="a1"/>
    <w:link w:val="5"/>
    <w:uiPriority w:val="9"/>
    <w:semiHidden/>
    <w:rsid w:val="00CC5E4B"/>
    <w:rPr>
      <w:rFonts w:cstheme="majorBidi"/>
      <w:color w:val="0F4761" w:themeColor="accent1" w:themeShade="BF"/>
      <w:sz w:val="24"/>
      <w:szCs w:val="24"/>
    </w:rPr>
  </w:style>
  <w:style w:type="character" w:customStyle="1" w:styleId="60">
    <w:name w:val="标题 6 字符"/>
    <w:basedOn w:val="a1"/>
    <w:link w:val="6"/>
    <w:uiPriority w:val="9"/>
    <w:semiHidden/>
    <w:rsid w:val="00CC5E4B"/>
    <w:rPr>
      <w:rFonts w:cstheme="majorBidi"/>
      <w:b/>
      <w:bCs/>
      <w:color w:val="0F4761" w:themeColor="accent1" w:themeShade="BF"/>
    </w:rPr>
  </w:style>
  <w:style w:type="character" w:customStyle="1" w:styleId="70">
    <w:name w:val="标题 7 字符"/>
    <w:basedOn w:val="a1"/>
    <w:link w:val="7"/>
    <w:uiPriority w:val="9"/>
    <w:semiHidden/>
    <w:rsid w:val="00CC5E4B"/>
    <w:rPr>
      <w:rFonts w:cstheme="majorBidi"/>
      <w:b/>
      <w:bCs/>
      <w:color w:val="595959" w:themeColor="text1" w:themeTint="A6"/>
    </w:rPr>
  </w:style>
  <w:style w:type="character" w:customStyle="1" w:styleId="80">
    <w:name w:val="标题 8 字符"/>
    <w:basedOn w:val="a1"/>
    <w:link w:val="8"/>
    <w:uiPriority w:val="9"/>
    <w:semiHidden/>
    <w:rsid w:val="00CC5E4B"/>
    <w:rPr>
      <w:rFonts w:cstheme="majorBidi"/>
      <w:color w:val="595959" w:themeColor="text1" w:themeTint="A6"/>
    </w:rPr>
  </w:style>
  <w:style w:type="character" w:customStyle="1" w:styleId="90">
    <w:name w:val="标题 9 字符"/>
    <w:basedOn w:val="a1"/>
    <w:link w:val="9"/>
    <w:uiPriority w:val="9"/>
    <w:semiHidden/>
    <w:rsid w:val="00CC5E4B"/>
    <w:rPr>
      <w:rFonts w:eastAsiaTheme="majorEastAsia" w:cstheme="majorBidi"/>
      <w:color w:val="595959" w:themeColor="text1" w:themeTint="A6"/>
    </w:rPr>
  </w:style>
  <w:style w:type="paragraph" w:styleId="a4">
    <w:name w:val="Title"/>
    <w:basedOn w:val="a0"/>
    <w:next w:val="a0"/>
    <w:link w:val="a5"/>
    <w:uiPriority w:val="10"/>
    <w:qFormat/>
    <w:rsid w:val="00CC5E4B"/>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CC5E4B"/>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CC5E4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CC5E4B"/>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CC5E4B"/>
    <w:pPr>
      <w:spacing w:before="160" w:after="160"/>
      <w:jc w:val="center"/>
    </w:pPr>
    <w:rPr>
      <w:i/>
      <w:iCs/>
      <w:color w:val="404040" w:themeColor="text1" w:themeTint="BF"/>
    </w:rPr>
  </w:style>
  <w:style w:type="character" w:customStyle="1" w:styleId="a9">
    <w:name w:val="引用 字符"/>
    <w:basedOn w:val="a1"/>
    <w:link w:val="a8"/>
    <w:uiPriority w:val="29"/>
    <w:rsid w:val="00CC5E4B"/>
    <w:rPr>
      <w:i/>
      <w:iCs/>
      <w:color w:val="404040" w:themeColor="text1" w:themeTint="BF"/>
    </w:rPr>
  </w:style>
  <w:style w:type="paragraph" w:styleId="aa">
    <w:name w:val="List Paragraph"/>
    <w:basedOn w:val="a0"/>
    <w:uiPriority w:val="34"/>
    <w:qFormat/>
    <w:rsid w:val="00CC5E4B"/>
    <w:pPr>
      <w:ind w:left="720"/>
      <w:contextualSpacing/>
    </w:pPr>
  </w:style>
  <w:style w:type="character" w:styleId="ab">
    <w:name w:val="Intense Emphasis"/>
    <w:basedOn w:val="a1"/>
    <w:uiPriority w:val="21"/>
    <w:qFormat/>
    <w:rsid w:val="00CC5E4B"/>
    <w:rPr>
      <w:i/>
      <w:iCs/>
      <w:color w:val="0F4761" w:themeColor="accent1" w:themeShade="BF"/>
    </w:rPr>
  </w:style>
  <w:style w:type="paragraph" w:styleId="ac">
    <w:name w:val="Intense Quote"/>
    <w:basedOn w:val="a0"/>
    <w:next w:val="a0"/>
    <w:link w:val="ad"/>
    <w:uiPriority w:val="30"/>
    <w:qFormat/>
    <w:rsid w:val="00CC5E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1"/>
    <w:link w:val="ac"/>
    <w:uiPriority w:val="30"/>
    <w:rsid w:val="00CC5E4B"/>
    <w:rPr>
      <w:i/>
      <w:iCs/>
      <w:color w:val="0F4761" w:themeColor="accent1" w:themeShade="BF"/>
    </w:rPr>
  </w:style>
  <w:style w:type="character" w:styleId="ae">
    <w:name w:val="Intense Reference"/>
    <w:basedOn w:val="a1"/>
    <w:uiPriority w:val="32"/>
    <w:qFormat/>
    <w:rsid w:val="00CC5E4B"/>
    <w:rPr>
      <w:b/>
      <w:bCs/>
      <w:smallCaps/>
      <w:color w:val="0F4761" w:themeColor="accent1" w:themeShade="BF"/>
      <w:spacing w:val="5"/>
    </w:rPr>
  </w:style>
  <w:style w:type="paragraph" w:customStyle="1" w:styleId="a">
    <w:name w:val="标题三"/>
    <w:link w:val="af"/>
    <w:qFormat/>
    <w:rsid w:val="00FA3F78"/>
    <w:pPr>
      <w:numPr>
        <w:ilvl w:val="2"/>
        <w:numId w:val="1"/>
      </w:numPr>
      <w:spacing w:beforeLines="50" w:before="50" w:afterLines="50" w:after="50"/>
      <w:ind w:left="0" w:firstLineChars="200" w:firstLine="200"/>
      <w:jc w:val="left"/>
      <w:outlineLvl w:val="2"/>
    </w:pPr>
    <w:rPr>
      <w:rFonts w:ascii="Times New Roman" w:eastAsia="黑体" w:hAnsi="Times New Roman" w:cs="Times New Roman"/>
      <w:color w:val="000000" w:themeColor="text1"/>
      <w:sz w:val="24"/>
      <w:szCs w:val="24"/>
      <w14:ligatures w14:val="none"/>
    </w:rPr>
  </w:style>
  <w:style w:type="character" w:customStyle="1" w:styleId="af">
    <w:name w:val="标题三 字符"/>
    <w:basedOn w:val="a1"/>
    <w:link w:val="a"/>
    <w:rsid w:val="00FA3F78"/>
    <w:rPr>
      <w:rFonts w:ascii="Times New Roman" w:eastAsia="仿宋" w:hAnsi="Times New Roman" w:cs="Times New Roman"/>
      <w:color w:val="000000" w:themeColor="text1"/>
      <w:sz w:val="24"/>
      <w:szCs w:val="21"/>
      <w14:ligatures w14:val="none"/>
    </w:rPr>
  </w:style>
  <w:style w:type="paragraph" w:customStyle="1" w:styleId="11">
    <w:name w:val="样式1"/>
    <w:basedOn w:val="a0"/>
    <w:rsid w:val="00CC5E4B"/>
    <w:pPr>
      <w:spacing w:before="100" w:beforeAutospacing="1" w:after="100" w:afterAutospacing="1"/>
      <w:jc w:val="center"/>
    </w:pPr>
    <w:rPr>
      <w:rFonts w:ascii="宋体" w:eastAsia="宋体" w:hAnsi="宋体"/>
      <w:b/>
      <w:bCs/>
      <w:sz w:val="28"/>
      <w:szCs w:val="28"/>
    </w:rPr>
  </w:style>
  <w:style w:type="paragraph" w:customStyle="1" w:styleId="31">
    <w:name w:val="样式3"/>
    <w:basedOn w:val="a0"/>
    <w:rsid w:val="00CC5E4B"/>
    <w:pPr>
      <w:spacing w:before="100" w:beforeAutospacing="1" w:after="100" w:afterAutospacing="1"/>
      <w:ind w:firstLine="850"/>
      <w:outlineLvl w:val="2"/>
    </w:pPr>
    <w:rPr>
      <w:b/>
      <w:bCs/>
    </w:rPr>
  </w:style>
  <w:style w:type="paragraph" w:customStyle="1" w:styleId="21">
    <w:name w:val="样式2"/>
    <w:basedOn w:val="a0"/>
    <w:rsid w:val="00CC5E4B"/>
    <w:pPr>
      <w:spacing w:before="100" w:beforeAutospacing="1" w:after="100" w:afterAutospacing="1"/>
      <w:ind w:firstLine="425"/>
      <w:jc w:val="left"/>
      <w:outlineLvl w:val="1"/>
    </w:pPr>
    <w:rPr>
      <w:b/>
      <w:bCs/>
    </w:rPr>
  </w:style>
  <w:style w:type="table" w:styleId="af0">
    <w:name w:val="Table Grid"/>
    <w:basedOn w:val="a2"/>
    <w:uiPriority w:val="99"/>
    <w:rsid w:val="00CC5E4B"/>
    <w:pPr>
      <w:widowControl w:val="0"/>
      <w:jc w:val="both"/>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5">
    <w:name w:val="15"/>
    <w:basedOn w:val="a1"/>
    <w:rsid w:val="00B610B0"/>
    <w:rPr>
      <w:rFonts w:ascii="黑体" w:eastAsia="黑体" w:hAnsi="黑体" w:hint="eastAsia"/>
      <w:b/>
    </w:rPr>
  </w:style>
  <w:style w:type="paragraph" w:styleId="af1">
    <w:name w:val="Normal (Web)"/>
    <w:basedOn w:val="a0"/>
    <w:uiPriority w:val="99"/>
    <w:unhideWhenUsed/>
    <w:rsid w:val="00B610B0"/>
    <w:pPr>
      <w:widowControl/>
      <w:spacing w:before="100" w:beforeAutospacing="1" w:after="100" w:afterAutospacing="1" w:line="240" w:lineRule="auto"/>
      <w:ind w:firstLineChars="0" w:firstLine="0"/>
      <w:jc w:val="left"/>
    </w:pPr>
    <w:rPr>
      <w:rFonts w:ascii="黑体" w:eastAsia="黑体" w:hAnsi="黑体" w:cs="宋体"/>
      <w:kern w:val="0"/>
      <w:szCs w:val="24"/>
    </w:rPr>
  </w:style>
  <w:style w:type="paragraph" w:styleId="TOC">
    <w:name w:val="TOC Heading"/>
    <w:basedOn w:val="1"/>
    <w:next w:val="a0"/>
    <w:uiPriority w:val="39"/>
    <w:unhideWhenUsed/>
    <w:qFormat/>
    <w:rsid w:val="00B610B0"/>
    <w:pPr>
      <w:widowControl/>
      <w:numPr>
        <w:numId w:val="0"/>
      </w:numPr>
      <w:spacing w:before="240" w:line="259" w:lineRule="auto"/>
      <w:jc w:val="left"/>
      <w:outlineLvl w:val="9"/>
    </w:pPr>
    <w:rPr>
      <w:rFonts w:asciiTheme="majorHAnsi" w:eastAsiaTheme="majorEastAsia" w:hAnsiTheme="majorHAnsi"/>
      <w:color w:val="0F4761" w:themeColor="accent1" w:themeShade="BF"/>
      <w:kern w:val="0"/>
      <w:sz w:val="32"/>
      <w:szCs w:val="32"/>
    </w:rPr>
  </w:style>
  <w:style w:type="paragraph" w:styleId="TOC2">
    <w:name w:val="toc 2"/>
    <w:basedOn w:val="a0"/>
    <w:next w:val="a0"/>
    <w:autoRedefine/>
    <w:uiPriority w:val="39"/>
    <w:unhideWhenUsed/>
    <w:rsid w:val="00B610B0"/>
    <w:pPr>
      <w:widowControl/>
      <w:spacing w:after="100" w:line="259" w:lineRule="auto"/>
      <w:ind w:left="220" w:firstLineChars="0" w:firstLine="0"/>
      <w:jc w:val="left"/>
    </w:pPr>
    <w:rPr>
      <w:rFonts w:asciiTheme="minorHAnsi" w:eastAsiaTheme="minorEastAsia" w:hAnsiTheme="minorHAnsi"/>
      <w:kern w:val="0"/>
      <w:sz w:val="22"/>
      <w:szCs w:val="22"/>
    </w:rPr>
  </w:style>
  <w:style w:type="paragraph" w:styleId="TOC1">
    <w:name w:val="toc 1"/>
    <w:basedOn w:val="a0"/>
    <w:next w:val="a0"/>
    <w:autoRedefine/>
    <w:uiPriority w:val="39"/>
    <w:unhideWhenUsed/>
    <w:rsid w:val="00B610B0"/>
    <w:pPr>
      <w:widowControl/>
      <w:tabs>
        <w:tab w:val="right" w:leader="dot" w:pos="8296"/>
      </w:tabs>
      <w:spacing w:after="100" w:line="259" w:lineRule="auto"/>
      <w:ind w:firstLineChars="0" w:firstLine="0"/>
      <w:jc w:val="center"/>
    </w:pPr>
    <w:rPr>
      <w:rFonts w:asciiTheme="minorHAnsi" w:eastAsiaTheme="minorEastAsia" w:hAnsiTheme="minorHAnsi"/>
      <w:kern w:val="0"/>
      <w:sz w:val="22"/>
      <w:szCs w:val="22"/>
    </w:rPr>
  </w:style>
  <w:style w:type="paragraph" w:styleId="TOC3">
    <w:name w:val="toc 3"/>
    <w:basedOn w:val="a0"/>
    <w:next w:val="a0"/>
    <w:autoRedefine/>
    <w:uiPriority w:val="39"/>
    <w:unhideWhenUsed/>
    <w:rsid w:val="00B610B0"/>
    <w:pPr>
      <w:widowControl/>
      <w:spacing w:after="100" w:line="259" w:lineRule="auto"/>
      <w:ind w:left="440" w:firstLineChars="0" w:firstLine="0"/>
      <w:jc w:val="left"/>
    </w:pPr>
    <w:rPr>
      <w:rFonts w:asciiTheme="minorHAnsi" w:eastAsiaTheme="minorEastAsia" w:hAnsiTheme="minorHAnsi"/>
      <w:kern w:val="0"/>
      <w:sz w:val="22"/>
      <w:szCs w:val="22"/>
    </w:rPr>
  </w:style>
  <w:style w:type="character" w:styleId="af2">
    <w:name w:val="Hyperlink"/>
    <w:basedOn w:val="a1"/>
    <w:uiPriority w:val="99"/>
    <w:unhideWhenUsed/>
    <w:rsid w:val="00B610B0"/>
    <w:rPr>
      <w:color w:val="467886" w:themeColor="hyperlink"/>
      <w:u w:val="single"/>
    </w:rPr>
  </w:style>
  <w:style w:type="paragraph" w:styleId="af3">
    <w:name w:val="header"/>
    <w:basedOn w:val="a0"/>
    <w:link w:val="af4"/>
    <w:uiPriority w:val="99"/>
    <w:unhideWhenUsed/>
    <w:rsid w:val="00B610B0"/>
    <w:pPr>
      <w:tabs>
        <w:tab w:val="center" w:pos="4153"/>
        <w:tab w:val="right" w:pos="8306"/>
      </w:tabs>
      <w:snapToGrid w:val="0"/>
      <w:spacing w:line="240" w:lineRule="auto"/>
      <w:jc w:val="center"/>
    </w:pPr>
    <w:rPr>
      <w:sz w:val="18"/>
      <w:szCs w:val="18"/>
    </w:rPr>
  </w:style>
  <w:style w:type="character" w:customStyle="1" w:styleId="af4">
    <w:name w:val="页眉 字符"/>
    <w:basedOn w:val="a1"/>
    <w:link w:val="af3"/>
    <w:uiPriority w:val="99"/>
    <w:rsid w:val="00B610B0"/>
    <w:rPr>
      <w:rFonts w:ascii="Times New Roman" w:eastAsia="仿宋" w:hAnsi="Times New Roman" w:cs="Times New Roman"/>
      <w:sz w:val="18"/>
      <w:szCs w:val="18"/>
      <w14:ligatures w14:val="none"/>
    </w:rPr>
  </w:style>
  <w:style w:type="paragraph" w:styleId="af5">
    <w:name w:val="footer"/>
    <w:basedOn w:val="a0"/>
    <w:link w:val="af6"/>
    <w:uiPriority w:val="99"/>
    <w:unhideWhenUsed/>
    <w:rsid w:val="00B610B0"/>
    <w:pPr>
      <w:tabs>
        <w:tab w:val="center" w:pos="4153"/>
        <w:tab w:val="right" w:pos="8306"/>
      </w:tabs>
      <w:snapToGrid w:val="0"/>
      <w:spacing w:line="240" w:lineRule="auto"/>
      <w:jc w:val="left"/>
    </w:pPr>
    <w:rPr>
      <w:sz w:val="18"/>
      <w:szCs w:val="18"/>
    </w:rPr>
  </w:style>
  <w:style w:type="character" w:customStyle="1" w:styleId="af6">
    <w:name w:val="页脚 字符"/>
    <w:basedOn w:val="a1"/>
    <w:link w:val="af5"/>
    <w:uiPriority w:val="99"/>
    <w:rsid w:val="00B610B0"/>
    <w:rPr>
      <w:rFonts w:ascii="Times New Roman" w:eastAsia="仿宋" w:hAnsi="Times New Roman" w:cs="Times New Roman"/>
      <w:sz w:val="18"/>
      <w:szCs w:val="18"/>
      <w14:ligatures w14:val="none"/>
    </w:rPr>
  </w:style>
  <w:style w:type="paragraph" w:customStyle="1" w:styleId="af7">
    <w:name w:val="图目录"/>
    <w:basedOn w:val="a0"/>
    <w:link w:val="af8"/>
    <w:qFormat/>
    <w:rsid w:val="00B610B0"/>
    <w:pPr>
      <w:ind w:firstLine="0" w:firstLineChars="0"/>
      <w:jc w:val="center"/>
    </w:pPr>
    <w:rPr>
      <w:rFonts w:ascii="Times New Roman" w:hAnsi="Times New Roman" w:eastAsia="黑体" w:cs="Times New Roman"/>
      <w:sz w:val="21"/>
      <w:szCs w:val="21"/>
    </w:rPr>
  </w:style>
  <w:style w:type="character" w:customStyle="1" w:styleId="af8">
    <w:name w:val="图目录 字符"/>
    <w:basedOn w:val="a1"/>
    <w:link w:val="af7"/>
    <w:rsid w:val="00B610B0"/>
    <w:rPr>
      <w:rFonts w:ascii="Times New Roman" w:eastAsia="仿宋" w:hAnsi="Times New Roman" w:cs="Times New Roman"/>
      <w:b/>
      <w:sz w:val="24"/>
      <w:szCs w:val="21"/>
      <w14:ligatures w14:val="none"/>
    </w:rPr>
  </w:style>
  <w:style w:type="paragraph" w:styleId="af9">
    <w:name w:val="caption"/>
    <w:basedOn w:val="a0"/>
    <w:next w:val="a0"/>
    <w:uiPriority w:val="35"/>
    <w:unhideWhenUsed/>
    <w:qFormat/>
    <w:rsid w:val="00E2232F"/>
    <w:rPr>
      <w:rFonts w:asciiTheme="majorHAnsi" w:eastAsia="黑体" w:hAnsiTheme="majorHAnsi" w:cstheme="majorBidi"/>
      <w:sz w:val="20"/>
      <w:szCs w:val="20"/>
    </w:rPr>
  </w:style>
  <w:style w:type="paragraph" w:styleId="afa">
    <w:name w:val="table of figures"/>
    <w:basedOn w:val="a0"/>
    <w:next w:val="a0"/>
    <w:uiPriority w:val="99"/>
    <w:unhideWhenUsed/>
    <w:rsid w:val="00E2232F"/>
    <w:pPr>
      <w:ind w:leftChars="200" w:hangingChars="200" w:hanging="200"/>
    </w:pPr>
  </w:style>
  <w:style w:type="table" w:customStyle="1" w:styleId="SanXian">
    <w:name w:val="三线表"/>
    <w:basedOn w:val="a2"/>
    <w:uiPriority w:val="50"/>
    <w:qFormat/>
    <w:tblPr>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Pr>
    <w:tblStylePr w:type="firstRow">
      <w:rPr>
        <w:b/>
        <w:bCs/>
      </w:rPr>
      <w:tblPr/>
      <w:tcPr>
        <w:tcBorders>
          <w:top w:val="single" w:sz="12" w:space="0" w:color="000000"/>
          <w:bottom w:val="single" w:sz="6" w:space="0" w:color="000000"/>
        </w:tcBorders>
        <w:shd w:val="clear" w:color="auto" w:fill="auto"/>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image" Target="media/image26.png"/><Relationship Id="rId21" Type="http://schemas.openxmlformats.org/officeDocument/2006/relationships/image" Target="media/image9.jpeg"/><Relationship Id="rId34" Type="http://schemas.openxmlformats.org/officeDocument/2006/relationships/image" Target="media/image21.png"/><Relationship Id="rId42" Type="http://schemas.openxmlformats.org/officeDocument/2006/relationships/image" Target="media/image29.jpeg"/><Relationship Id="rId47"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2.jpeg"/><Relationship Id="rId32" Type="http://schemas.openxmlformats.org/officeDocument/2006/relationships/image" Target="media/image19.png"/><Relationship Id="rId37" Type="http://schemas.openxmlformats.org/officeDocument/2006/relationships/image" Target="media/image24.jpeg"/><Relationship Id="rId40" Type="http://schemas.openxmlformats.org/officeDocument/2006/relationships/image" Target="media/image27.jpeg"/><Relationship Id="rId45" Type="http://schemas.openxmlformats.org/officeDocument/2006/relationships/image" Target="media/image32.jpeg"/><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5.png"/><Relationship Id="rId36" Type="http://schemas.openxmlformats.org/officeDocument/2006/relationships/image" Target="media/image23.jpeg"/><Relationship Id="rId10" Type="http://schemas.openxmlformats.org/officeDocument/2006/relationships/footer" Target="footer2.xml"/><Relationship Id="rId19" Type="http://schemas.openxmlformats.org/officeDocument/2006/relationships/image" Target="media/image7.jpeg"/><Relationship Id="rId31" Type="http://schemas.openxmlformats.org/officeDocument/2006/relationships/image" Target="media/image18.png"/><Relationship Id="rId44" Type="http://schemas.openxmlformats.org/officeDocument/2006/relationships/image" Target="media/image31.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jpeg"/><Relationship Id="rId22" Type="http://schemas.openxmlformats.org/officeDocument/2006/relationships/image" Target="media/image10.jpeg"/><Relationship Id="rId27" Type="http://schemas.openxmlformats.org/officeDocument/2006/relationships/footer" Target="footer4.xml"/><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jpeg"/><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image" Target="media/image25.jpeg"/><Relationship Id="rId46" Type="http://schemas.openxmlformats.org/officeDocument/2006/relationships/fontTable" Target="fontTable.xml"/><Relationship Id="rId20" Type="http://schemas.openxmlformats.org/officeDocument/2006/relationships/image" Target="media/image8.jpeg"/><Relationship Id="rId41" Type="http://schemas.openxmlformats.org/officeDocument/2006/relationships/image" Target="media/image28.jpeg"/><Relationship Id="rId200" Type="http://schemas.openxmlformats.org/officeDocument/2006/relationships/image" Target="media/newfig_g1.png"/><Relationship Id="rId201" Type="http://schemas.openxmlformats.org/officeDocument/2006/relationships/image" Target="media/newfig_g2.png"/><Relationship Id="rId202" Type="http://schemas.openxmlformats.org/officeDocument/2006/relationships/image" Target="media/newfig_g3.png"/><Relationship Id="rId203" Type="http://schemas.openxmlformats.org/officeDocument/2006/relationships/image" Target="media/newfig_g4.png"/><Relationship Id="rId204" Type="http://schemas.openxmlformats.org/officeDocument/2006/relationships/image" Target="media/newfig_g5.png"/><Relationship Id="rId205" Type="http://schemas.openxmlformats.org/officeDocument/2006/relationships/image" Target="media/newfig_g6.png"/><Relationship Id="rId206" Type="http://schemas.openxmlformats.org/officeDocument/2006/relationships/image" Target="media/newfig_a.png"/><Relationship Id="rId207" Type="http://schemas.openxmlformats.org/officeDocument/2006/relationships/image" Target="media/newfig_b.png"/><Relationship Id="rId208" Type="http://schemas.openxmlformats.org/officeDocument/2006/relationships/image" Target="media/newfig_c.png"/><Relationship Id="rId209" Type="http://schemas.openxmlformats.org/officeDocument/2006/relationships/image" Target="media/newfig_d.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53</Pages>
  <Words>5685</Words>
  <Characters>32405</Characters>
  <Application>Microsoft Office Word</Application>
  <DocSecurity>0</DocSecurity>
  <Lines>270</Lines>
  <Paragraphs>76</Paragraphs>
  <ScaleCrop>false</ScaleCrop>
  <Company/>
  <LinksUpToDate>false</LinksUpToDate>
  <CharactersWithSpaces>38014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扬 叶</dc:creator>
  <cp:keywords/>
  <dc:description/>
  <cp:lastModifiedBy>扬 叶</cp:lastModifiedBy>
  <cp:revision>1</cp:revision>
  <dcterms:created xsi:type="dcterms:W3CDTF">2026-08-04T14:47:00Z</dcterms:created>
  <dcterms:modified xsi:type="dcterms:W3CDTF">2026-08-04T15:42:00Z</dcterms:modified>
</cp:coreProperties>
</file>