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黑体"/>
          <w:b/>
          <w:sz w:val="36"/>
        </w:rPr>
        <w:t>新质生产力赋能共同富裕的浙江实践与“十五五”路径研究</w:t>
      </w:r>
    </w:p>
    <w:p>
      <w:pPr>
        <w:spacing w:line="360" w:lineRule="auto" w:after="0"/>
        <w:ind w:firstLine="480"/>
        <w:jc w:val="both"/>
      </w:pPr>
      <w:r>
        <w:rPr>
          <w:rFonts w:ascii="Times New Roman" w:hAnsi="Times New Roman" w:eastAsia="宋体"/>
          <w:b/>
          <w:sz w:val="24"/>
        </w:rPr>
        <w:t>——基于“势能—动能—效能”三阶转化框架的理论与实证</w:t>
      </w:r>
    </w:p>
    <w:p>
      <w:pPr>
        <w:spacing w:line="360" w:lineRule="auto" w:after="0"/>
        <w:ind w:firstLine="480"/>
        <w:jc w:val="both"/>
      </w:pPr>
      <w:r>
        <w:rPr>
          <w:rFonts w:ascii="Times New Roman" w:hAnsi="Times New Roman" w:eastAsia="宋体"/>
          <w:b/>
          <w:sz w:val="24"/>
        </w:rPr>
        <w:t>浙江省社科规划“党的二十届四中全会和省委十五届八次全会精神研究阐释”专项课题·研究报告</w:t>
      </w:r>
    </w:p>
    <w:p>
      <w:pPr>
        <w:spacing w:line="360" w:lineRule="auto" w:after="120"/>
        <w:ind w:firstLine="480"/>
        <w:jc w:val="both"/>
      </w:pPr>
      <w:r>
        <w:rPr>
          <w:rFonts w:ascii="Times New Roman" w:hAnsi="Times New Roman" w:eastAsia="宋体"/>
          <w:b/>
          <w:sz w:val="24"/>
        </w:rPr>
        <w:t>摘要</w:t>
      </w:r>
      <w:r>
        <w:rPr>
          <w:rFonts w:ascii="Times New Roman" w:hAnsi="Times New Roman" w:eastAsia="宋体"/>
          <w:b w:val="0"/>
          <w:sz w:val="24"/>
        </w:rPr>
        <w:t>：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在此基础上，报告以2015—2024年浙江省数据为样本，综合运用熵值法、耦合协调度模型和模糊集定性比较分析（fsQCA）三种方法开展实证检验。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120"/>
        <w:ind w:firstLine="480"/>
        <w:jc w:val="both"/>
      </w:pPr>
      <w:r>
        <w:rPr>
          <w:rFonts w:ascii="Times New Roman" w:hAnsi="Times New Roman" w:eastAsia="宋体"/>
          <w:b/>
          <w:sz w:val="24"/>
        </w:rPr>
        <w:t>关键词</w:t>
      </w:r>
      <w:r>
        <w:rPr>
          <w:rFonts w:ascii="Times New Roman" w:hAnsi="Times New Roman" w:eastAsia="宋体"/>
          <w:b w:val="0"/>
          <w:sz w:val="24"/>
        </w:rPr>
        <w:t>：新质生产力；共同富裕；“十五五”规划；耦合协调；组态分析；浙江实践</w:t>
      </w:r>
    </w:p>
    <w:p>
      <w:pPr>
        <w:spacing w:line="360" w:lineRule="auto" w:after="160"/>
        <w:jc w:val="center"/>
      </w:pPr>
      <w:r>
        <w:rPr>
          <w:rFonts w:ascii="Times New Roman" w:hAnsi="Times New Roman" w:eastAsia="黑体"/>
          <w:b/>
          <w:sz w:val="32"/>
        </w:rPr>
        <w:t>一、引言：研究背景、问题提出与研究设计</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80"/>
        <w:jc w:val="left"/>
      </w:pPr>
      <w:r>
        <w:rPr>
          <w:rFonts w:ascii="Times New Roman" w:hAnsi="Times New Roman" w:eastAsia="黑体"/>
          <w:b/>
          <w:sz w:val="28"/>
        </w:rPr>
        <w:t>（二）文献述评</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并围绕缩小城乡差距、地区差距、收入差距的实现机制展开讨论，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），以规避主观赋权可能引致的测度偏误，刻画两大系统各自的水平演进与结构特征。二是耦合协调度模型。借鉴系统科学中的耦合理论，通过耦合度、综合协调指数与耦合协调度（</w:t>
      </w:r>
      <m:oMath>
        <m:r>
          <w:rPr>
            <w:rFonts w:ascii="Cambria Math" w:hAnsi="Cambria Math"/>
          </w:rPr>
          <m:t xml:space="preserve">D</m:t>
        </m:r>
      </m:oMath>
      <w:r>
        <w:rPr>
          <w:rFonts w:ascii="Times New Roman" w:hAnsi="Times New Roman" w:eastAsia="宋体"/>
          <w:b w:val="0"/>
          <w:sz w:val="24"/>
        </w:rPr>
        <w:t>）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弥补传统回归“净效应”思维之不足；从研究情境适配性看，31个省份构成的中等规模样本恰为QCA方法的适用区间，且便于在全国坐标系中定位“浙江组态”。</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理论框架；第四章考察浙江实践的探索历程与典型化事实；第五章说明研究设计；第六至八章依次报告水平测度、耦合协调与组态分析的实证结果；第九章提出“十五五”路径与政策建议；第十章总结全文。</w:t>
      </w:r>
    </w:p>
    <w:p>
      <w:pPr>
        <w:spacing w:line="360" w:lineRule="auto" w:after="160"/>
        <w:jc w:val="center"/>
      </w:pPr>
      <w:r>
        <w:rPr>
          <w:rFonts w:ascii="Times New Roman" w:hAnsi="Times New Roman" w:eastAsia="黑体"/>
          <w:b/>
          <w:sz w:val="32"/>
        </w:rPr>
        <w:t>二、战略意蕴：党的二十届四中全会与省委十五届八次全会关于新质生产力与共同富裕的部署逻辑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三、理论构建：“共富型新质生产力”与“势能—动能—效能”三阶转化框架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所承担的先行探路使命。</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）的时序测度加以检验。</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8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）总体同向上升，两系统耦合协调度（</w:t>
      </w:r>
      <m:oMath>
        <m:r>
          <w:rPr>
            <w:rFonts w:ascii="Cambria Math" w:hAnsi="Cambria Math"/>
          </w:rPr>
          <m:t xml:space="preserve">D</m:t>
        </m:r>
      </m:oMath>
      <w:r>
        <w:rPr>
          <w:rFonts w:ascii="Times New Roman" w:hAnsi="Times New Roman" w:eastAsia="宋体"/>
          <w:b w:val="0"/>
          <w:sz w:val="24"/>
        </w:rPr>
        <w:t>）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w:t>
      </w:r>
      <m:oMath>
        <m:r>
          <w:rPr>
            <w:rFonts w:ascii="Cambria Math" w:hAnsi="Cambria Math"/>
          </w:rPr>
          <m:t xml:space="preserve">D</m:t>
        </m:r>
      </m:oMath>
      <w:r>
        <w:rPr>
          <w:rFonts w:ascii="Times New Roman" w:hAnsi="Times New Roman" w:eastAsia="宋体"/>
          <w:b w:val="0"/>
          <w:sz w:val="24"/>
        </w:rPr>
        <w:t>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160"/>
        <w:jc w:val="center"/>
      </w:pPr>
      <w:r>
        <w:rPr>
          <w:rFonts w:ascii="Times New Roman" w:hAnsi="Times New Roman" w:eastAsia="黑体"/>
          <w:b/>
          <w:sz w:val="32"/>
        </w:rPr>
        <w:t>四、实践考察：浙江统筹新质生产力发展与共同富裕示范的探索历程与典型化事实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浙江R&amp;D经费投入强度由2015年的2.33%升至2024年的3.22%，同期全国平均由2.07%升至2.69%，领先幅度由0.26个百分点扩大至0.53个百分点；2024年全省R&amp;D经费达2901.4亿元，居全国第4位，区域创新能力至“十四五”末稳居全国第4。如图2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2" name="Picture 2"/>
            <wp:cNvGraphicFramePr>
              <a:graphicFrameLocks noChangeAspect="1"/>
            </wp:cNvGraphicFramePr>
            <a:graphic>
              <a:graphicData uri="http://schemas.openxmlformats.org/drawingml/2006/picture">
                <pic:pic>
                  <pic:nvPicPr>
                    <pic:cNvPr id="0" name="fig02_rd.png"/>
                    <pic:cNvPicPr/>
                  </pic:nvPicPr>
                  <pic:blipFill>
                    <a:blip r:embed="rId10"/>
                    <a:stretch>
                      <a:fillRect/>
                    </a:stretch>
                  </pic:blipFill>
                  <pic:spPr>
                    <a:xfrm>
                      <a:off x="0" y="0"/>
                      <a:ext cx="4596384" cy="2139087"/>
                    </a:xfrm>
                    <a:prstGeom prst="rect"/>
                  </pic:spPr>
                </pic:pic>
              </a:graphicData>
            </a:graphic>
          </wp:inline>
        </w:drawing>
      </w:r>
    </w:p>
    <w:p>
      <w:pPr>
        <w:spacing w:after="80"/>
        <w:jc w:val="center"/>
      </w:pPr>
      <w:r>
        <w:rPr>
          <w:rFonts w:ascii="Times New Roman" w:hAnsi="Times New Roman" w:eastAsia="黑体"/>
          <w:b/>
          <w:sz w:val="21"/>
        </w:rPr>
        <w:t xml:space="preserve">图2　</w:t>
      </w:r>
      <w:r>
        <w:rPr>
          <w:rFonts w:ascii="Times New Roman" w:hAnsi="Times New Roman" w:eastAsia="宋体"/>
          <w:b w:val="0"/>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3所示。</w:t>
      </w:r>
    </w:p>
    <w:p>
      <w:pPr>
        <w:spacing w:before="120"/>
        <w:jc w:val="center"/>
      </w:pPr>
      <w:r>
        <w:drawing>
          <wp:inline xmlns:a="http://schemas.openxmlformats.org/drawingml/2006/main" xmlns:pic="http://schemas.openxmlformats.org/drawingml/2006/picture">
            <wp:extent cx="4663561" cy="2220407"/>
            <wp:docPr id="3" name="Picture 3"/>
            <wp:cNvGraphicFramePr>
              <a:graphicFrameLocks noChangeAspect="1"/>
            </wp:cNvGraphicFramePr>
            <a:graphic>
              <a:graphicData uri="http://schemas.openxmlformats.org/drawingml/2006/picture">
                <pic:pic>
                  <pic:nvPicPr>
                    <pic:cNvPr id="0" name="fig03_gdp.png"/>
                    <pic:cNvPicPr/>
                  </pic:nvPicPr>
                  <pic:blipFill>
                    <a:blip r:embed="rId11"/>
                    <a:stretch>
                      <a:fillRect/>
                    </a:stretch>
                  </pic:blipFill>
                  <pic:spPr>
                    <a:xfrm>
                      <a:off x="0" y="0"/>
                      <a:ext cx="4663561" cy="2220407"/>
                    </a:xfrm>
                    <a:prstGeom prst="rect"/>
                  </pic:spPr>
                </pic:pic>
              </a:graphicData>
            </a:graphic>
          </wp:inline>
        </w:drawing>
      </w:r>
    </w:p>
    <w:p>
      <w:pPr>
        <w:spacing w:after="80"/>
        <w:jc w:val="center"/>
      </w:pPr>
      <w:r>
        <w:rPr>
          <w:rFonts w:ascii="Times New Roman" w:hAnsi="Times New Roman" w:eastAsia="黑体"/>
          <w:b/>
          <w:sz w:val="21"/>
        </w:rPr>
        <w:t xml:space="preserve">图3　</w:t>
      </w:r>
      <w:r>
        <w:rPr>
          <w:rFonts w:ascii="Times New Roman" w:hAnsi="Times New Roman" w:eastAsia="宋体"/>
          <w:b w:val="0"/>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4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4" name="Picture 4"/>
            <wp:cNvGraphicFramePr>
              <a:graphicFrameLocks noChangeAspect="1"/>
            </wp:cNvGraphicFramePr>
            <a:graphic>
              <a:graphicData uri="http://schemas.openxmlformats.org/drawingml/2006/picture">
                <pic:pic>
                  <pic:nvPicPr>
                    <pic:cNvPr id="0" name="fig04_digital.png"/>
                    <pic:cNvPicPr/>
                  </pic:nvPicPr>
                  <pic:blipFill>
                    <a:blip r:embed="rId12"/>
                    <a:stretch>
                      <a:fillRect/>
                    </a:stretch>
                  </pic:blipFill>
                  <pic:spPr>
                    <a:xfrm>
                      <a:off x="0" y="0"/>
                      <a:ext cx="4617598" cy="2139086"/>
                    </a:xfrm>
                    <a:prstGeom prst="rect"/>
                  </pic:spPr>
                </pic:pic>
              </a:graphicData>
            </a:graphic>
          </wp:inline>
        </w:drawing>
      </w:r>
    </w:p>
    <w:p>
      <w:pPr>
        <w:spacing w:after="80"/>
        <w:jc w:val="center"/>
      </w:pPr>
      <w:r>
        <w:rPr>
          <w:rFonts w:ascii="Times New Roman" w:hAnsi="Times New Roman" w:eastAsia="黑体"/>
          <w:b/>
          <w:sz w:val="21"/>
        </w:rPr>
        <w:t xml:space="preserve">图4　</w:t>
      </w:r>
      <w:r>
        <w:rPr>
          <w:rFonts w:ascii="Times New Roman" w:hAnsi="Times New Roman" w:eastAsia="宋体"/>
          <w:b w:val="0"/>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5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5" name="Picture 5"/>
            <wp:cNvGraphicFramePr>
              <a:graphicFrameLocks noChangeAspect="1"/>
            </wp:cNvGraphicFramePr>
            <a:graphic>
              <a:graphicData uri="http://schemas.openxmlformats.org/drawingml/2006/picture">
                <pic:pic>
                  <pic:nvPicPr>
                    <pic:cNvPr id="0" name="fig05_income.png"/>
                    <pic:cNvPicPr/>
                  </pic:nvPicPr>
                  <pic:blipFill>
                    <a:blip r:embed="rId13"/>
                    <a:stretch>
                      <a:fillRect/>
                    </a:stretch>
                  </pic:blipFill>
                  <pic:spPr>
                    <a:xfrm>
                      <a:off x="0" y="0"/>
                      <a:ext cx="4684776" cy="2220407"/>
                    </a:xfrm>
                    <a:prstGeom prst="rect"/>
                  </pic:spPr>
                </pic:pic>
              </a:graphicData>
            </a:graphic>
          </wp:inline>
        </w:drawing>
      </w:r>
    </w:p>
    <w:p>
      <w:pPr>
        <w:spacing w:after="80"/>
        <w:jc w:val="center"/>
      </w:pPr>
      <w:r>
        <w:rPr>
          <w:rFonts w:ascii="Times New Roman" w:hAnsi="Times New Roman" w:eastAsia="黑体"/>
          <w:b/>
          <w:sz w:val="21"/>
        </w:rPr>
        <w:t xml:space="preserve">图5　</w:t>
      </w:r>
      <w:r>
        <w:rPr>
          <w:rFonts w:ascii="Times New Roman" w:hAnsi="Times New Roman" w:eastAsia="宋体"/>
          <w:b w:val="0"/>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6所示。</w:t>
      </w:r>
    </w:p>
    <w:p>
      <w:pPr>
        <w:spacing w:before="120"/>
        <w:jc w:val="center"/>
      </w:pPr>
      <w:r>
        <w:drawing>
          <wp:inline xmlns:a="http://schemas.openxmlformats.org/drawingml/2006/main" xmlns:pic="http://schemas.openxmlformats.org/drawingml/2006/picture">
            <wp:extent cx="4044817" cy="2139086"/>
            <wp:docPr id="6" name="Picture 6"/>
            <wp:cNvGraphicFramePr>
              <a:graphicFrameLocks noChangeAspect="1"/>
            </wp:cNvGraphicFramePr>
            <a:graphic>
              <a:graphicData uri="http://schemas.openxmlformats.org/drawingml/2006/picture">
                <pic:pic>
                  <pic:nvPicPr>
                    <pic:cNvPr id="0" name="fig06_lowincome.png"/>
                    <pic:cNvPicPr/>
                  </pic:nvPicPr>
                  <pic:blipFill>
                    <a:blip r:embed="rId14"/>
                    <a:stretch>
                      <a:fillRect/>
                    </a:stretch>
                  </pic:blipFill>
                  <pic:spPr>
                    <a:xfrm>
                      <a:off x="0" y="0"/>
                      <a:ext cx="4044817" cy="2139086"/>
                    </a:xfrm>
                    <a:prstGeom prst="rect"/>
                  </pic:spPr>
                </pic:pic>
              </a:graphicData>
            </a:graphic>
          </wp:inline>
        </w:drawing>
      </w:r>
    </w:p>
    <w:p>
      <w:pPr>
        <w:spacing w:after="80"/>
        <w:jc w:val="center"/>
      </w:pPr>
      <w:r>
        <w:rPr>
          <w:rFonts w:ascii="Times New Roman" w:hAnsi="Times New Roman" w:eastAsia="黑体"/>
          <w:b/>
          <w:sz w:val="21"/>
        </w:rPr>
        <w:t xml:space="preserve">图6　</w:t>
      </w:r>
      <w:r>
        <w:rPr>
          <w:rFonts w:ascii="Times New Roman" w:hAnsi="Times New Roman" w:eastAsia="宋体"/>
          <w:b w:val="0"/>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从空间格局看，富民效能的释放呈现罕见的均衡性。如图7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2623474"/>
            <wp:docPr id="7" name="Picture 7"/>
            <wp:cNvGraphicFramePr>
              <a:graphicFrameLocks noChangeAspect="1"/>
            </wp:cNvGraphicFramePr>
            <a:graphic>
              <a:graphicData uri="http://schemas.openxmlformats.org/drawingml/2006/picture">
                <pic:pic>
                  <pic:nvPicPr>
                    <pic:cNvPr id="0" name="fig07_cities.png"/>
                    <pic:cNvPicPr/>
                  </pic:nvPicPr>
                  <pic:blipFill>
                    <a:blip r:embed="rId15"/>
                    <a:stretch>
                      <a:fillRect/>
                    </a:stretch>
                  </pic:blipFill>
                  <pic:spPr>
                    <a:xfrm>
                      <a:off x="0" y="0"/>
                      <a:ext cx="4324136" cy="2623474"/>
                    </a:xfrm>
                    <a:prstGeom prst="rect"/>
                  </pic:spPr>
                </pic:pic>
              </a:graphicData>
            </a:graphic>
          </wp:inline>
        </w:drawing>
      </w:r>
    </w:p>
    <w:p>
      <w:pPr>
        <w:spacing w:after="80"/>
        <w:jc w:val="center"/>
      </w:pPr>
      <w:r>
        <w:rPr>
          <w:rFonts w:ascii="Times New Roman" w:hAnsi="Times New Roman" w:eastAsia="黑体"/>
          <w:b/>
          <w:sz w:val="21"/>
        </w:rPr>
        <w:t xml:space="preserve">图7　</w:t>
      </w:r>
      <w:r>
        <w:rPr>
          <w:rFonts w:ascii="Times New Roman" w:hAnsi="Times New Roman" w:eastAsia="宋体"/>
          <w:b w:val="0"/>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8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8" name="Picture 8"/>
            <wp:cNvGraphicFramePr>
              <a:graphicFrameLocks noChangeAspect="1"/>
            </wp:cNvGraphicFramePr>
            <a:graphic>
              <a:graphicData uri="http://schemas.openxmlformats.org/drawingml/2006/picture">
                <pic:pic>
                  <pic:nvPicPr>
                    <pic:cNvPr id="0" name="fig08_scatter.png"/>
                    <pic:cNvPicPr/>
                  </pic:nvPicPr>
                  <pic:blipFill>
                    <a:blip r:embed="rId16"/>
                    <a:stretch>
                      <a:fillRect/>
                    </a:stretch>
                  </pic:blipFill>
                  <pic:spPr>
                    <a:xfrm>
                      <a:off x="0" y="0"/>
                      <a:ext cx="4281708" cy="2874508"/>
                    </a:xfrm>
                    <a:prstGeom prst="rect"/>
                  </pic:spPr>
                </pic:pic>
              </a:graphicData>
            </a:graphic>
          </wp:inline>
        </w:drawing>
      </w:r>
    </w:p>
    <w:p>
      <w:pPr>
        <w:spacing w:after="80"/>
        <w:jc w:val="center"/>
      </w:pPr>
      <w:r>
        <w:rPr>
          <w:rFonts w:ascii="Times New Roman" w:hAnsi="Times New Roman" w:eastAsia="黑体"/>
          <w:b/>
          <w:sz w:val="21"/>
        </w:rPr>
        <w:t xml:space="preserve">图8　</w:t>
      </w:r>
      <w:r>
        <w:rPr>
          <w:rFonts w:ascii="Times New Roman" w:hAnsi="Times New Roman" w:eastAsia="宋体"/>
          <w:b w:val="0"/>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）测度与fsQCA组态分析逐一回答。</w:t>
      </w:r>
    </w:p>
    <w:p>
      <w:pPr>
        <w:spacing w:line="360" w:lineRule="auto" w:after="160"/>
        <w:jc w:val="center"/>
      </w:pPr>
      <w:r>
        <w:rPr>
          <w:rFonts w:ascii="Times New Roman" w:hAnsi="Times New Roman" w:eastAsia="黑体"/>
          <w:b/>
          <w:sz w:val="32"/>
        </w:rPr>
        <w:t>五、研究设计：指标体系、模型方法与数据来源</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2．新质生产力发展指数（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R&amp;D经费投入强度（%）</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0.2663</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高新技术企业数（取自然对数）</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0.1232</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数字经济核心产业增加值占GDP比重（%）</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0.2364</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全员劳动生产率（万元/人）</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3．共同富裕指数（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0.2166</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人均地区生产总值（元）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0.1815</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居民人均消费支出（元）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0.2513</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城乡居民收入倍差</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农村居民人均可支配收入（元）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0.2465</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常住人口城镇化率（%）</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bl>
    <w:p>
      <w:pPr>
        <w:spacing w:after="0"/>
      </w:pP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w:t>
      </w:r>
      <m:oMath>
        <m:r>
          <w:rPr>
            <w:rFonts w:ascii="Cambria Math" w:hAnsi="Cambria Math"/>
          </w:rPr>
          <m:t xml:space="preserve">n</m:t>
        </m:r>
      </m:oMath>
      <w:r>
        <w:rPr>
          <w:rFonts w:ascii="Times New Roman" w:hAnsi="Times New Roman" w:eastAsia="宋体"/>
          <w:b w:val="0"/>
          <w:sz w:val="24"/>
        </w:rPr>
        <w:t>年、某系统指标数为</w:t>
      </w:r>
      <m:oMath>
        <m:r>
          <w:rPr>
            <w:rFonts w:ascii="Cambria Math" w:hAnsi="Cambria Math"/>
          </w:rPr>
          <m:t xml:space="preserve">m</m:t>
        </m:r>
      </m:oMath>
      <w:r>
        <w:rPr>
          <w:rFonts w:ascii="Times New Roman" w:hAnsi="Times New Roman" w:eastAsia="宋体"/>
          <w:b w:val="0"/>
          <w:sz w:val="24"/>
        </w:rPr>
        <w:t>项，</w:t>
      </w:r>
      <m:oMath>
        <m:sSub>
          <m:e>
            <m:r>
              <w:rPr>
                <w:rFonts w:ascii="Cambria Math" w:hAnsi="Cambria Math"/>
              </w:rPr>
              <m:t xml:space="preserve">x</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项指标的原始值。由于各指标量纲与数量级不同，且存在正、负向属性差异，首先采用极值法进行标准化：</w:t>
      </w:r>
    </w:p>
    <w:p>
      <w:pPr>
        <w:spacing w:before="80" w:after="80" w:line="360" w:lineRule="auto"/>
        <w:jc w:val="center"/>
      </w:pPr>
      <w:r>
        <w:rPr>
          <w:rFonts w:ascii="Times New Roman" w:hAnsi="Times New Roman" w:eastAsia="宋体"/>
          <w:b w:val="0"/>
          <w:sz w:val="24"/>
        </w:rPr>
        <w:t>正向指标：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；负向指标：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 xml:space="preserve">　　（1）</w:t>
      </w:r>
    </w:p>
    <w:p>
      <w:pPr>
        <w:spacing w:line="360" w:lineRule="auto" w:after="0"/>
        <w:ind w:firstLine="480"/>
        <w:jc w:val="both"/>
      </w:pPr>
      <w:r>
        <w:rPr>
          <w:rFonts w:ascii="Times New Roman" w:hAnsi="Times New Roman" w:eastAsia="宋体"/>
          <w:b w:val="0"/>
          <w:sz w:val="24"/>
        </w:rPr>
        <w:t>式(1)中，</w:t>
      </w:r>
      <m:oMath>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与</w:t>
      </w:r>
      <m:oMath>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为第</w:t>
      </w:r>
      <m:oMath>
        <m:r>
          <w:rPr>
            <w:rFonts w:ascii="Cambria Math" w:hAnsi="Cambria Math"/>
          </w:rPr>
          <m:t xml:space="preserve">j</m:t>
        </m:r>
      </m:oMath>
      <w:r>
        <w:rPr>
          <w:rFonts w:ascii="Times New Roman" w:hAnsi="Times New Roman" w:eastAsia="宋体"/>
          <w:b w:val="0"/>
          <w:sz w:val="24"/>
        </w:rPr>
        <w:t>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w:t>
      </w:r>
      <m:oMath>
        <m:d>
          <m:dPr>
            <m:begChr m:val="("/>
            <m:endChr m:val=")"/>
          </m:dPr>
          <m:e>
            <m:r>
              <w:rPr>
                <w:rFonts w:ascii="Cambria Math" w:hAnsi="Cambria Math"/>
              </w:rPr>
              <m:t xml:space="preserve">0,1</m:t>
            </m:r>
          </m:e>
        </m:d>
      </m:oMath>
      <w:r>
        <w:rPr>
          <w:rFonts w:ascii="Times New Roman" w:hAnsi="Times New Roman" w:eastAsia="宋体"/>
          <w:b w:val="0"/>
          <w:sz w:val="24"/>
        </w:rPr>
        <w:t>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w:t>
      </w:r>
      <m:oMath>
        <m:r>
          <w:rPr>
            <w:rFonts w:ascii="Cambria Math" w:hAnsi="Cambria Math"/>
          </w:rPr>
          <m:t xml:space="preserve">j</m:t>
        </m:r>
      </m:oMath>
      <w:r>
        <w:rPr>
          <w:rFonts w:ascii="Times New Roman" w:hAnsi="Times New Roman" w:eastAsia="宋体"/>
          <w:b w:val="0"/>
          <w:sz w:val="24"/>
        </w:rPr>
        <w:t>项指标的信息熵为：</w:t>
      </w:r>
    </w:p>
    <w:p>
      <w:pPr>
        <w:spacing w:before="80" w:after="80" w:line="360" w:lineRule="auto"/>
        <w:jc w:val="center"/>
      </w:pP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m:rPr>
                <m:sty m:val="p"/>
              </m:rPr>
              <w:rPr>
                <w:rFonts w:ascii="Cambria Math" w:hAnsi="Cambria Math"/>
              </w:rPr>
              <m:t xml:space="preserve">ln</m:t>
            </m:r>
            <m:r>
              <w:rPr>
                <w:rFonts w:ascii="Cambria Math" w:hAnsi="Cambria Math"/>
              </w:rPr>
              <m:t xml:space="preserve"> </m:t>
            </m:r>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d>
              <m:dPr>
                <m:begChr m:val="("/>
                <m:endChr m:val=")"/>
              </m:dPr>
              <m:e>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r>
                  <m:rPr>
                    <m:sty m:val="p"/>
                  </m:rPr>
                  <w:rPr>
                    <w:rFonts w:ascii="Cambria Math" w:hAnsi="Cambria Math"/>
                  </w:rPr>
                  <m:t xml:space="preserve">ln</m:t>
                </m:r>
                <m:r>
                  <w:rPr>
                    <w:rFonts w:ascii="Cambria Math" w:hAnsi="Cambria Math"/>
                  </w:rPr>
                  <m:t xml:space="preserve"> </m:t>
                </m:r>
                <m:sSub>
                  <m:e>
                    <m:r>
                      <w:rPr>
                        <w:rFonts w:ascii="Cambria Math" w:hAnsi="Cambria Math"/>
                      </w:rPr>
                      <m:t xml:space="preserve">p</m:t>
                    </m:r>
                  </m:e>
                  <m:sub>
                    <m:r>
                      <w:rPr>
                        <w:rFonts w:ascii="Cambria Math" w:hAnsi="Cambria Math"/>
                      </w:rPr>
                      <m:t xml:space="preserve">ij</m:t>
                    </m:r>
                  </m:sub>
                </m:sSub>
              </m:e>
            </m:d>
          </m:e>
        </m:nary>
      </m:oMath>
      <w:r>
        <w:rPr>
          <w:rFonts w:ascii="Times New Roman" w:hAnsi="Times New Roman" w:eastAsia="宋体"/>
          <w:b w:val="0"/>
          <w:sz w:val="24"/>
        </w:rPr>
        <w:t>，其中</w:t>
      </w:r>
      <m:oMath>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num>
          <m:den>
            <m:nary>
              <m:naryPr>
                <m:chr m:val="∑"/>
                <m:limLoc m:val="subSup"/>
                <m:supHide m:val="1"/>
              </m:naryPr>
              <m:sub>
                <m:r>
                  <w:rPr>
                    <w:rFonts w:ascii="Cambria Math" w:hAnsi="Cambria Math"/>
                  </w:rPr>
                  <m:t xml:space="preserve">i</m:t>
                </m:r>
              </m:sub>
              <m:sup/>
              <m:e>
                <m:sSub>
                  <m:e>
                    <m:r>
                      <w:rPr>
                        <w:rFonts w:ascii="Cambria Math" w:hAnsi="Cambria Math"/>
                      </w:rPr>
                      <m:t xml:space="preserve">x′</m:t>
                    </m:r>
                  </m:e>
                  <m:sub>
                    <m:r>
                      <w:rPr>
                        <w:rFonts w:ascii="Cambria Math" w:hAnsi="Cambria Math"/>
                      </w:rPr>
                      <m:t xml:space="preserve">ij</m:t>
                    </m:r>
                  </m:sub>
                </m:sSub>
              </m:e>
            </m:nary>
          </m:den>
        </m:f>
      </m:oMath>
      <w:r>
        <w:rPr>
          <w:rFonts w:ascii="Times New Roman" w:hAnsi="Times New Roman" w:eastAsia="宋体"/>
          <w:b w:val="0"/>
          <w:sz w:val="24"/>
        </w:rPr>
        <w:t xml:space="preserve">　　（2）</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spacing w:before="80" w:after="80" w:line="360" w:lineRule="auto"/>
        <w:jc w:val="center"/>
      </w:pPr>
      <m:oMath>
        <m:sSub>
          <m:e>
            <m:r>
              <w:rPr>
                <w:rFonts w:ascii="Cambria Math" w:hAnsi="Cambria Math"/>
              </w:rPr>
              <m:t xml:space="preserve">g</m:t>
            </m:r>
          </m:e>
          <m:sub>
            <m:r>
              <w:rPr>
                <w:rFonts w:ascii="Cambria Math" w:hAnsi="Cambria Math"/>
              </w:rPr>
              <m:t xml:space="preserve">j</m:t>
            </m:r>
          </m:sub>
        </m:sSub>
        <m:r>
          <w:rPr>
            <w:rFonts w:ascii="Cambria Math" w:hAnsi="Cambria Math"/>
          </w:rPr>
          <m:t xml:space="preserve">=1−</m:t>
        </m:r>
        <m:sSub>
          <m:e>
            <m:r>
              <w:rPr>
                <w:rFonts w:ascii="Cambria Math" w:hAnsi="Cambria Math"/>
              </w:rPr>
              <m:t xml:space="preserve">e</m:t>
            </m:r>
          </m:e>
          <m:sub>
            <m:r>
              <w:rPr>
                <w:rFonts w:ascii="Cambria Math" w:hAnsi="Cambria Math"/>
              </w:rPr>
              <m:t xml:space="preserve">j</m:t>
            </m:r>
          </m:sub>
        </m:sSub>
      </m:oMath>
      <w:r>
        <w:rPr>
          <w:rFonts w:ascii="Times New Roman" w:hAnsi="Times New Roman" w:eastAsia="宋体"/>
          <w:b w:val="0"/>
          <w:sz w:val="24"/>
        </w:rPr>
        <w:t>，</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g</m:t>
                </m:r>
              </m:e>
              <m:sub>
                <m:r>
                  <w:rPr>
                    <w:rFonts w:ascii="Cambria Math" w:hAnsi="Cambria Math"/>
                  </w:rPr>
                  <m:t xml:space="preserve">j</m:t>
                </m:r>
              </m:sub>
            </m:sSub>
          </m:num>
          <m:den>
            <m:nary>
              <m:naryPr>
                <m:chr m:val="∑"/>
                <m:limLoc m:val="subSup"/>
                <m:supHide m:val="1"/>
              </m:naryPr>
              <m:sub>
                <m:r>
                  <w:rPr>
                    <w:rFonts w:ascii="Cambria Math" w:hAnsi="Cambria Math"/>
                  </w:rPr>
                  <m:t xml:space="preserve">j</m:t>
                </m:r>
              </m:sub>
              <m:sup/>
              <m:e>
                <m:sSub>
                  <m:e>
                    <m:r>
                      <w:rPr>
                        <w:rFonts w:ascii="Cambria Math" w:hAnsi="Cambria Math"/>
                      </w:rPr>
                      <m:t xml:space="preserve">g</m:t>
                    </m:r>
                  </m:e>
                  <m:sub>
                    <m:r>
                      <w:rPr>
                        <w:rFonts w:ascii="Cambria Math" w:hAnsi="Cambria Math"/>
                      </w:rPr>
                      <m:t xml:space="preserve">j</m:t>
                    </m:r>
                  </m:sub>
                </m:sSub>
              </m:e>
            </m:nary>
          </m:den>
        </m:f>
      </m:oMath>
      <w:r>
        <w:rPr>
          <w:rFonts w:ascii="Times New Roman" w:hAnsi="Times New Roman" w:eastAsia="宋体"/>
          <w:b w:val="0"/>
          <w:sz w:val="24"/>
        </w:rPr>
        <w:t xml:space="preserve">　　（3）</w:t>
      </w:r>
    </w:p>
    <w:p>
      <w:pPr>
        <w:spacing w:line="360" w:lineRule="auto" w:after="0"/>
        <w:ind w:firstLine="480"/>
        <w:jc w:val="both"/>
      </w:pPr>
      <w:r>
        <w:rPr>
          <w:rFonts w:ascii="Times New Roman" w:hAnsi="Times New Roman" w:eastAsia="宋体"/>
          <w:b w:val="0"/>
          <w:sz w:val="24"/>
        </w:rPr>
        <w:t>各年度系统综合指数由标准化值与权重线性加权合成，即</w:t>
      </w:r>
      <m:oMath>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e>
            </m:d>
          </m:e>
        </m:nary>
      </m:oMath>
      <w:r>
        <w:rPr>
          <w:rFonts w:ascii="Times New Roman" w:hAnsi="Times New Roman" w:eastAsia="宋体"/>
          <w:b w:val="0"/>
          <w:sz w:val="24"/>
        </w:rPr>
        <w:t>，由此分别得到历年新质生产力发展指数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及其子系统指数。</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用于刻画两个及以上系统通过各自要素相互作用、彼此影响的关联程度与协同水平。首先定义耦合度：</w:t>
      </w:r>
    </w:p>
    <w:p>
      <w:pPr>
        <w:spacing w:before="80" w:after="80" w:line="360" w:lineRule="auto"/>
        <w:jc w:val="center"/>
      </w:pPr>
      <m:oMath>
        <m:r>
          <w:rPr>
            <w:rFonts w:ascii="Cambria Math" w:hAnsi="Cambria Math"/>
          </w:rPr>
          <m:t xml:space="preserve">C</m:t>
        </m:r>
        <m:r>
          <w:rPr>
            <w:rFonts w:ascii="Cambria Math" w:hAnsi="Cambria Math"/>
          </w:rPr>
          <m:t xml:space="preserve">=</m:t>
        </m:r>
        <m:f>
          <m:num>
            <m:r>
              <w:rPr>
                <w:rFonts w:ascii="Cambria Math" w:hAnsi="Cambria Math"/>
              </w:rPr>
              <m:t xml:space="preserve">2·</m:t>
            </m:r>
            <m:rad>
              <m:radPr>
                <m:degHide m:val="1"/>
              </m:radPr>
              <m:deg/>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rad>
          </m:num>
          <m:den>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den>
        </m:f>
      </m:oMath>
      <w:r>
        <w:rPr>
          <w:rFonts w:ascii="Times New Roman" w:hAnsi="Times New Roman" w:eastAsia="宋体"/>
          <w:b w:val="0"/>
          <w:sz w:val="24"/>
        </w:rPr>
        <w:t xml:space="preserve">　　（4）</w:t>
      </w:r>
    </w:p>
    <w:p>
      <w:pPr>
        <w:spacing w:line="360" w:lineRule="auto" w:after="0"/>
        <w:ind w:firstLine="480"/>
        <w:jc w:val="both"/>
      </w:pPr>
      <m:oMath>
        <m:r>
          <w:rPr>
            <w:rFonts w:ascii="Cambria Math" w:hAnsi="Cambria Math"/>
          </w:rPr>
          <m:t xml:space="preserve">C</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，值越大表明两系统关联互动越紧密。但耦合度存在固有局限：当两系统均处低水平时</w:t>
      </w:r>
      <m:oMath>
        <m:r>
          <w:rPr>
            <w:rFonts w:ascii="Cambria Math" w:hAnsi="Cambria Math"/>
          </w:rPr>
          <m:t xml:space="preserve">C</m:t>
        </m:r>
      </m:oMath>
      <w:r>
        <w:rPr>
          <w:rFonts w:ascii="Times New Roman" w:hAnsi="Times New Roman" w:eastAsia="宋体"/>
          <w:b w:val="0"/>
          <w:sz w:val="24"/>
        </w:rPr>
        <w:t>仍可能接近1，形成“低水平伪协调”的误判。为此引入综合协调指数以反映两系统的整体发展水平：</w:t>
      </w:r>
    </w:p>
    <w:p>
      <w:pPr>
        <w:spacing w:before="80" w:after="80" w:line="360" w:lineRule="auto"/>
        <w:jc w:val="center"/>
      </w:pPr>
      <m:oMath>
        <m:r>
          <w:rPr>
            <w:rFonts w:ascii="Cambria Math" w:hAnsi="Cambria Math"/>
          </w:rPr>
          <m:t xml:space="preserve">T</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 xml:space="preserve">　　（5）</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为待定权重。鉴于新质生产力是共同富裕的物质基础、共同富裕是新质生产力的价值归宿与反哺来源，两系统互为条件、同等重要，取</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＝0.5。在此基础上构建耦合协调度：</w:t>
      </w:r>
    </w:p>
    <w:p>
      <w:pPr>
        <w:spacing w:before="80" w:after="80" w:line="360" w:lineRule="auto"/>
        <w:jc w:val="center"/>
      </w:pPr>
      <m:oMath>
        <m:r>
          <w:rPr>
            <w:rFonts w:ascii="Cambria Math" w:hAnsi="Cambria Math"/>
          </w:rPr>
          <m:t xml:space="preserve">D</m:t>
        </m:r>
        <m:r>
          <w:rPr>
            <w:rFonts w:ascii="Cambria Math" w:hAnsi="Cambria Math"/>
          </w:rPr>
          <m:t xml:space="preserve">=</m:t>
        </m:r>
        <m:rad>
          <m:radPr>
            <m:degHide m:val="1"/>
          </m:radPr>
          <m:deg/>
          <m:e>
            <m:r>
              <w:rPr>
                <w:rFonts w:ascii="Cambria Math" w:hAnsi="Cambria Math"/>
              </w:rPr>
              <m:t xml:space="preserve">C</m:t>
            </m:r>
            <m:r>
              <w:rPr>
                <w:rFonts w:ascii="Cambria Math" w:hAnsi="Cambria Math"/>
              </w:rPr>
              <m:t xml:space="preserve">·</m:t>
            </m:r>
            <m:r>
              <w:rPr>
                <w:rFonts w:ascii="Cambria Math" w:hAnsi="Cambria Math"/>
              </w:rPr>
              <m:t xml:space="preserve">T</m:t>
            </m:r>
          </m:e>
        </m:rad>
      </m:oMath>
      <w:r>
        <w:rPr>
          <w:rFonts w:ascii="Times New Roman" w:hAnsi="Times New Roman" w:eastAsia="宋体"/>
          <w:b w:val="0"/>
          <w:sz w:val="24"/>
        </w:rPr>
        <w:t xml:space="preserve">　　（6）</w:t>
      </w:r>
    </w:p>
    <w:p>
      <w:pPr>
        <w:spacing w:line="360" w:lineRule="auto" w:after="0"/>
        <w:ind w:firstLine="480"/>
        <w:jc w:val="both"/>
      </w:pPr>
      <m:oMath>
        <m:r>
          <w:rPr>
            <w:rFonts w:ascii="Cambria Math" w:hAnsi="Cambria Math"/>
          </w:rPr>
          <m:t xml:space="preserve">D</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，兼顾“关联紧密程度”与“发展水平高低”双重信息，</w:t>
      </w:r>
      <m:oMath>
        <m:r>
          <w:rPr>
            <w:rFonts w:ascii="Cambria Math" w:hAnsi="Cambria Math"/>
          </w:rPr>
          <m:t xml:space="preserve">D</m:t>
        </m:r>
      </m:oMath>
      <w:r>
        <w:rPr>
          <w:rFonts w:ascii="Times New Roman" w:hAnsi="Times New Roman" w:eastAsia="宋体"/>
          <w:b w:val="0"/>
          <w:sz w:val="24"/>
        </w:rPr>
        <w:t>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160"/>
          </w:tcPr>
          <w:p>
            <w:pPr>
              <w:jc w:val="center"/>
            </w:pPr>
            <w:r/>
            <w:r>
              <w:rPr>
                <w:rFonts w:ascii="Times New Roman" w:hAnsi="Times New Roman" w:eastAsia="宋体"/>
                <w:b/>
                <w:sz w:val="21"/>
              </w:rPr>
              <w:t>协调等级</w:t>
            </w:r>
          </w:p>
        </w:tc>
        <w:tc>
          <w:tcPr>
            <w:tcW w:type="dxa" w:w="2160"/>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160"/>
          </w:tcPr>
          <w:p>
            <w:pPr>
              <w:jc w:val="center"/>
            </w:pPr>
            <w:r/>
            <w:r>
              <w:rPr>
                <w:rFonts w:ascii="Times New Roman" w:hAnsi="Times New Roman" w:eastAsia="宋体"/>
                <w:b/>
                <w:sz w:val="21"/>
              </w:rPr>
              <w:t>协调等级</w:t>
            </w:r>
          </w:p>
        </w:tc>
      </w:tr>
      <w:tr>
        <w:tc>
          <w:tcPr>
            <w:tcW w:type="dxa" w:w="2160"/>
          </w:tcPr>
          <w:p>
            <w:pPr>
              <w:jc w:val="center"/>
            </w:pPr>
            <w:r/>
            <w:r>
              <w:rPr>
                <w:rFonts w:ascii="Times New Roman" w:hAnsi="Times New Roman" w:eastAsia="宋体"/>
                <w:b w:val="0"/>
                <w:sz w:val="21"/>
              </w:rPr>
              <w:t>[0, 0.1)</w:t>
            </w:r>
          </w:p>
        </w:tc>
        <w:tc>
          <w:tcPr>
            <w:tcW w:type="dxa" w:w="2160"/>
          </w:tcPr>
          <w:p>
            <w:pPr>
              <w:jc w:val="center"/>
            </w:pPr>
            <w:r/>
            <w:r>
              <w:rPr>
                <w:rFonts w:ascii="Times New Roman" w:hAnsi="Times New Roman" w:eastAsia="宋体"/>
                <w:b w:val="0"/>
                <w:sz w:val="21"/>
              </w:rPr>
              <w:t>极度失调</w:t>
            </w:r>
          </w:p>
        </w:tc>
        <w:tc>
          <w:tcPr>
            <w:tcW w:type="dxa" w:w="2160"/>
          </w:tcPr>
          <w:p>
            <w:pPr>
              <w:jc w:val="center"/>
            </w:pPr>
            <w:r/>
            <w:r>
              <w:rPr>
                <w:rFonts w:ascii="Times New Roman" w:hAnsi="Times New Roman" w:eastAsia="宋体"/>
                <w:b w:val="0"/>
                <w:sz w:val="21"/>
              </w:rPr>
              <w:t>[0.5, 0.6)</w:t>
            </w:r>
          </w:p>
        </w:tc>
        <w:tc>
          <w:tcPr>
            <w:tcW w:type="dxa" w:w="2160"/>
          </w:tcPr>
          <w:p>
            <w:pPr>
              <w:jc w:val="center"/>
            </w:pPr>
            <w:r/>
            <w:r>
              <w:rPr>
                <w:rFonts w:ascii="Times New Roman" w:hAnsi="Times New Roman" w:eastAsia="宋体"/>
                <w:b w:val="0"/>
                <w:sz w:val="21"/>
              </w:rPr>
              <w:t>勉强协调</w:t>
            </w:r>
          </w:p>
        </w:tc>
      </w:tr>
      <w:tr>
        <w:tc>
          <w:tcPr>
            <w:tcW w:type="dxa" w:w="2160"/>
          </w:tcPr>
          <w:p>
            <w:pPr>
              <w:jc w:val="center"/>
            </w:pPr>
            <w:r/>
            <w:r>
              <w:rPr>
                <w:rFonts w:ascii="Times New Roman" w:hAnsi="Times New Roman" w:eastAsia="宋体"/>
                <w:b w:val="0"/>
                <w:sz w:val="21"/>
              </w:rPr>
              <w:t>[0.1, 0.2)</w:t>
            </w:r>
          </w:p>
        </w:tc>
        <w:tc>
          <w:tcPr>
            <w:tcW w:type="dxa" w:w="2160"/>
          </w:tcPr>
          <w:p>
            <w:pPr>
              <w:jc w:val="center"/>
            </w:pPr>
            <w:r/>
            <w:r>
              <w:rPr>
                <w:rFonts w:ascii="Times New Roman" w:hAnsi="Times New Roman" w:eastAsia="宋体"/>
                <w:b w:val="0"/>
                <w:sz w:val="21"/>
              </w:rPr>
              <w:t>严重失调</w:t>
            </w:r>
          </w:p>
        </w:tc>
        <w:tc>
          <w:tcPr>
            <w:tcW w:type="dxa" w:w="2160"/>
          </w:tcPr>
          <w:p>
            <w:pPr>
              <w:jc w:val="center"/>
            </w:pPr>
            <w:r/>
            <w:r>
              <w:rPr>
                <w:rFonts w:ascii="Times New Roman" w:hAnsi="Times New Roman" w:eastAsia="宋体"/>
                <w:b w:val="0"/>
                <w:sz w:val="21"/>
              </w:rPr>
              <w:t>[0.6, 0.7)</w:t>
            </w:r>
          </w:p>
        </w:tc>
        <w:tc>
          <w:tcPr>
            <w:tcW w:type="dxa" w:w="2160"/>
          </w:tcPr>
          <w:p>
            <w:pPr>
              <w:jc w:val="center"/>
            </w:pPr>
            <w:r/>
            <w:r>
              <w:rPr>
                <w:rFonts w:ascii="Times New Roman" w:hAnsi="Times New Roman" w:eastAsia="宋体"/>
                <w:b w:val="0"/>
                <w:sz w:val="21"/>
              </w:rPr>
              <w:t>初级协调</w:t>
            </w:r>
          </w:p>
        </w:tc>
      </w:tr>
      <w:tr>
        <w:tc>
          <w:tcPr>
            <w:tcW w:type="dxa" w:w="2160"/>
          </w:tcPr>
          <w:p>
            <w:pPr>
              <w:jc w:val="center"/>
            </w:pPr>
            <w:r/>
            <w:r>
              <w:rPr>
                <w:rFonts w:ascii="Times New Roman" w:hAnsi="Times New Roman" w:eastAsia="宋体"/>
                <w:b w:val="0"/>
                <w:sz w:val="21"/>
              </w:rPr>
              <w:t>[0.2, 0.3)</w:t>
            </w:r>
          </w:p>
        </w:tc>
        <w:tc>
          <w:tcPr>
            <w:tcW w:type="dxa" w:w="2160"/>
          </w:tcPr>
          <w:p>
            <w:pPr>
              <w:jc w:val="center"/>
            </w:pPr>
            <w:r/>
            <w:r>
              <w:rPr>
                <w:rFonts w:ascii="Times New Roman" w:hAnsi="Times New Roman" w:eastAsia="宋体"/>
                <w:b w:val="0"/>
                <w:sz w:val="21"/>
              </w:rPr>
              <w:t>中度失调</w:t>
            </w:r>
          </w:p>
        </w:tc>
        <w:tc>
          <w:tcPr>
            <w:tcW w:type="dxa" w:w="2160"/>
          </w:tcPr>
          <w:p>
            <w:pPr>
              <w:jc w:val="center"/>
            </w:pPr>
            <w:r/>
            <w:r>
              <w:rPr>
                <w:rFonts w:ascii="Times New Roman" w:hAnsi="Times New Roman" w:eastAsia="宋体"/>
                <w:b w:val="0"/>
                <w:sz w:val="21"/>
              </w:rPr>
              <w:t>[0.7, 0.8)</w:t>
            </w:r>
          </w:p>
        </w:tc>
        <w:tc>
          <w:tcPr>
            <w:tcW w:type="dxa" w:w="2160"/>
          </w:tcPr>
          <w:p>
            <w:pPr>
              <w:jc w:val="center"/>
            </w:pPr>
            <w:r/>
            <w:r>
              <w:rPr>
                <w:rFonts w:ascii="Times New Roman" w:hAnsi="Times New Roman" w:eastAsia="宋体"/>
                <w:b w:val="0"/>
                <w:sz w:val="21"/>
              </w:rPr>
              <w:t>中级协调</w:t>
            </w:r>
          </w:p>
        </w:tc>
      </w:tr>
      <w:tr>
        <w:tc>
          <w:tcPr>
            <w:tcW w:type="dxa" w:w="2160"/>
          </w:tcPr>
          <w:p>
            <w:pPr>
              <w:jc w:val="center"/>
            </w:pPr>
            <w:r/>
            <w:r>
              <w:rPr>
                <w:rFonts w:ascii="Times New Roman" w:hAnsi="Times New Roman" w:eastAsia="宋体"/>
                <w:b w:val="0"/>
                <w:sz w:val="21"/>
              </w:rPr>
              <w:t>[0.3, 0.4)</w:t>
            </w:r>
          </w:p>
        </w:tc>
        <w:tc>
          <w:tcPr>
            <w:tcW w:type="dxa" w:w="2160"/>
          </w:tcPr>
          <w:p>
            <w:pPr>
              <w:jc w:val="center"/>
            </w:pPr>
            <w:r/>
            <w:r>
              <w:rPr>
                <w:rFonts w:ascii="Times New Roman" w:hAnsi="Times New Roman" w:eastAsia="宋体"/>
                <w:b w:val="0"/>
                <w:sz w:val="21"/>
              </w:rPr>
              <w:t>轻度失调</w:t>
            </w:r>
          </w:p>
        </w:tc>
        <w:tc>
          <w:tcPr>
            <w:tcW w:type="dxa" w:w="2160"/>
          </w:tcPr>
          <w:p>
            <w:pPr>
              <w:jc w:val="center"/>
            </w:pPr>
            <w:r/>
            <w:r>
              <w:rPr>
                <w:rFonts w:ascii="Times New Roman" w:hAnsi="Times New Roman" w:eastAsia="宋体"/>
                <w:b w:val="0"/>
                <w:sz w:val="21"/>
              </w:rPr>
              <w:t>[0.8, 0.9)</w:t>
            </w:r>
          </w:p>
        </w:tc>
        <w:tc>
          <w:tcPr>
            <w:tcW w:type="dxa" w:w="2160"/>
          </w:tcPr>
          <w:p>
            <w:pPr>
              <w:jc w:val="center"/>
            </w:pPr>
            <w:r/>
            <w:r>
              <w:rPr>
                <w:rFonts w:ascii="Times New Roman" w:hAnsi="Times New Roman" w:eastAsia="宋体"/>
                <w:b w:val="0"/>
                <w:sz w:val="21"/>
              </w:rPr>
              <w:t>良好协调</w:t>
            </w:r>
          </w:p>
        </w:tc>
      </w:tr>
      <w:tr>
        <w:tc>
          <w:tcPr>
            <w:tcW w:type="dxa" w:w="2160"/>
          </w:tcPr>
          <w:p>
            <w:pPr>
              <w:jc w:val="center"/>
            </w:pPr>
            <w:r/>
            <w:r>
              <w:rPr>
                <w:rFonts w:ascii="Times New Roman" w:hAnsi="Times New Roman" w:eastAsia="宋体"/>
                <w:b w:val="0"/>
                <w:sz w:val="21"/>
              </w:rPr>
              <w:t>[0.4, 0.5)</w:t>
            </w:r>
          </w:p>
        </w:tc>
        <w:tc>
          <w:tcPr>
            <w:tcW w:type="dxa" w:w="2160"/>
          </w:tcPr>
          <w:p>
            <w:pPr>
              <w:jc w:val="center"/>
            </w:pPr>
            <w:r/>
            <w:r>
              <w:rPr>
                <w:rFonts w:ascii="Times New Roman" w:hAnsi="Times New Roman" w:eastAsia="宋体"/>
                <w:b w:val="0"/>
                <w:sz w:val="21"/>
              </w:rPr>
              <w:t>濒临失调</w:t>
            </w:r>
          </w:p>
        </w:tc>
        <w:tc>
          <w:tcPr>
            <w:tcW w:type="dxa" w:w="2160"/>
          </w:tcPr>
          <w:p>
            <w:pPr>
              <w:jc w:val="center"/>
            </w:pPr>
            <w:r/>
            <w:r>
              <w:rPr>
                <w:rFonts w:ascii="Times New Roman" w:hAnsi="Times New Roman" w:eastAsia="宋体"/>
                <w:b w:val="0"/>
                <w:sz w:val="21"/>
              </w:rPr>
              <w:t>[0.9, 1.0]</w:t>
            </w:r>
          </w:p>
        </w:tc>
        <w:tc>
          <w:tcPr>
            <w:tcW w:type="dxa" w:w="2160"/>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w:t>
      </w:r>
      <m:oMath>
        <m:r>
          <w:rPr>
            <w:rFonts w:ascii="Cambria Math" w:hAnsi="Cambria Math"/>
          </w:rPr>
          <m:t xml:space="preserve">C</m:t>
        </m:r>
      </m:oMath>
      <w:r>
        <w:rPr>
          <w:rFonts w:ascii="Times New Roman" w:hAnsi="Times New Roman" w:eastAsia="宋体"/>
          <w:b w:val="0"/>
          <w:sz w:val="24"/>
        </w:rPr>
        <w:t>反映两系统“是否同频”，</w:t>
      </w:r>
      <m:oMath>
        <m:r>
          <w:rPr>
            <w:rFonts w:ascii="Cambria Math" w:hAnsi="Cambria Math"/>
          </w:rPr>
          <m:t xml:space="preserve">T</m:t>
        </m:r>
      </m:oMath>
      <w:r>
        <w:rPr>
          <w:rFonts w:ascii="Times New Roman" w:hAnsi="Times New Roman" w:eastAsia="宋体"/>
          <w:b w:val="0"/>
          <w:sz w:val="24"/>
        </w:rPr>
        <w:t>反映两系统“水平几何”，</w:t>
      </w:r>
      <m:oMath>
        <m:r>
          <w:rPr>
            <w:rFonts w:ascii="Cambria Math" w:hAnsi="Cambria Math"/>
          </w:rPr>
          <m:t xml:space="preserve">D</m:t>
        </m:r>
      </m:oMath>
      <w:r>
        <w:rPr>
          <w:rFonts w:ascii="Times New Roman" w:hAnsi="Times New Roman" w:eastAsia="宋体"/>
          <w:b w:val="0"/>
          <w:sz w:val="24"/>
        </w:rPr>
        <w:t>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对校准后隶属度恰为0.5的案例调整为0.501以避免案例信息丢失。变量测量、校准锚点与阈值设定的完整细节详见实证章。</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2011—2023年）》；人力资本水平（每10万人口拥有大学文化程度人数）取自国家统计局《第七次全国人口普查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160"/>
        <w:jc w:val="center"/>
      </w:pPr>
      <w:r>
        <w:rPr>
          <w:rFonts w:ascii="Times New Roman" w:hAnsi="Times New Roman" w:eastAsia="黑体"/>
          <w:b/>
          <w:sz w:val="32"/>
        </w:rPr>
        <w:t>六、实证分析Ⅰ：浙江省新质生产力与共同富裕发展水平测度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五章构建的指标体系与熵值法测度模型，对2015—2024年浙江省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）进行测算，从总体演变与分维度结构两个层面刻画两大系统的发展轨迹，并对二者的同步性进行初步检验，为下一章的耦合协调分析与第八章的组态分析提供基准事实。</w:t>
      </w:r>
    </w:p>
    <w:p>
      <w:pPr>
        <w:spacing w:line="360" w:lineRule="auto" w:after="80"/>
        <w:jc w:val="left"/>
      </w:pPr>
      <w:r>
        <w:rPr>
          <w:rFonts w:ascii="Times New Roman" w:hAnsi="Times New Roman" w:eastAsia="黑体"/>
          <w:b/>
          <w:sz w:val="28"/>
        </w:rPr>
        <w:t>（一）新质生产力发展指数（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1．总体演变：十年增长逾五倍的持续跃升。利用熵值法测得的两大指数及耦合协调结果如表4所示（耦合度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的系统分析详见第七章，本章聚焦</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两列；指标口径与数据处理说明详见第五章）。</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宋体"/>
                <w:b/>
                <w:sz w:val="18"/>
              </w:rPr>
              <w:t>年份</w:t>
            </w:r>
          </w:p>
        </w:tc>
        <w:tc>
          <w:tcPr>
            <w:tcW w:type="dxa" w:w="1234"/>
          </w:tcPr>
          <w:p>
            <w:pPr>
              <w:jc w:val="center"/>
            </w:pPr>
            <w:r/>
            <w:r>
              <w:rPr>
                <w:rFonts w:ascii="Times New Roman" w:hAnsi="Times New Roman" w:eastAsia="宋体"/>
                <w:b/>
                <w:sz w:val="18"/>
              </w:rPr>
              <w:t>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18"/>
              </w:rPr>
              <w:t>）</w:t>
            </w:r>
          </w:p>
        </w:tc>
        <w:tc>
          <w:tcPr>
            <w:tcW w:type="dxa" w:w="1234"/>
          </w:tcPr>
          <w:p>
            <w:pPr>
              <w:jc w:val="center"/>
            </w:pPr>
            <w:r/>
            <w:r>
              <w:rPr>
                <w:rFonts w:ascii="Times New Roman" w:hAnsi="Times New Roman" w:eastAsia="宋体"/>
                <w:b/>
                <w:sz w:val="18"/>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18"/>
              </w:rPr>
              <w:t>）</w:t>
            </w:r>
          </w:p>
        </w:tc>
        <w:tc>
          <w:tcPr>
            <w:tcW w:type="dxa" w:w="1234"/>
          </w:tcPr>
          <w:p>
            <w:pPr>
              <w:jc w:val="center"/>
            </w:pPr>
            <w:r/>
            <w:r>
              <w:rPr>
                <w:rFonts w:ascii="Times New Roman" w:hAnsi="Times New Roman" w:eastAsia="宋体"/>
                <w:b/>
                <w:sz w:val="18"/>
              </w:rPr>
              <w:t>耦合度（</w:t>
            </w:r>
            <m:oMath>
              <m:r>
                <w:rPr>
                  <w:rFonts w:ascii="Cambria Math" w:hAnsi="Cambria Math"/>
                </w:rPr>
                <m:t xml:space="preserve">C</m:t>
              </m:r>
            </m:oMath>
            <w:r>
              <w:rPr>
                <w:rFonts w:ascii="Times New Roman" w:hAnsi="Times New Roman" w:eastAsia="宋体"/>
                <w:b/>
                <w:sz w:val="18"/>
              </w:rPr>
              <w:t>）</w:t>
            </w:r>
          </w:p>
        </w:tc>
        <w:tc>
          <w:tcPr>
            <w:tcW w:type="dxa" w:w="1234"/>
          </w:tcPr>
          <w:p>
            <w:pPr>
              <w:jc w:val="center"/>
            </w:pPr>
            <w:r/>
            <w:r>
              <w:rPr>
                <w:rFonts w:ascii="Times New Roman" w:hAnsi="Times New Roman" w:eastAsia="宋体"/>
                <w:b/>
                <w:sz w:val="18"/>
              </w:rPr>
              <w:t>综合协调指数（</w:t>
            </w:r>
            <m:oMath>
              <m:r>
                <w:rPr>
                  <w:rFonts w:ascii="Cambria Math" w:hAnsi="Cambria Math"/>
                </w:rPr>
                <m:t xml:space="preserve">T</m:t>
              </m:r>
            </m:oMath>
            <w:r>
              <w:rPr>
                <w:rFonts w:ascii="Times New Roman" w:hAnsi="Times New Roman" w:eastAsia="宋体"/>
                <w:b/>
                <w:sz w:val="18"/>
              </w:rPr>
              <w:t>）</w:t>
            </w:r>
          </w:p>
        </w:tc>
        <w:tc>
          <w:tcPr>
            <w:tcW w:type="dxa" w:w="1234"/>
          </w:tcPr>
          <w:p>
            <w:pPr>
              <w:jc w:val="center"/>
            </w:pPr>
            <w:r/>
            <w:r>
              <w:rPr>
                <w:rFonts w:ascii="Times New Roman" w:hAnsi="Times New Roman" w:eastAsia="宋体"/>
                <w:b/>
                <w:sz w:val="18"/>
              </w:rPr>
              <w:t>耦合协调度（</w:t>
            </w:r>
            <m:oMath>
              <m:r>
                <w:rPr>
                  <w:rFonts w:ascii="Cambria Math" w:hAnsi="Cambria Math"/>
                </w:rPr>
                <m:t xml:space="preserve">D</m:t>
              </m:r>
            </m:oMath>
            <w:r>
              <w:rPr>
                <w:rFonts w:ascii="Times New Roman" w:hAnsi="Times New Roman" w:eastAsia="宋体"/>
                <w:b/>
                <w:sz w:val="18"/>
              </w:rPr>
              <w:t>）</w:t>
            </w:r>
          </w:p>
        </w:tc>
        <w:tc>
          <w:tcPr>
            <w:tcW w:type="dxa" w:w="1234"/>
          </w:tcPr>
          <w:p>
            <w:pPr>
              <w:jc w:val="center"/>
            </w:pPr>
            <w:r/>
            <w:r>
              <w:rPr>
                <w:rFonts w:ascii="Times New Roman" w:hAnsi="Times New Roman" w:eastAsia="宋体"/>
                <w:b/>
                <w:sz w:val="18"/>
              </w:rPr>
              <w:t>协调等级</w:t>
            </w:r>
          </w:p>
        </w:tc>
      </w:tr>
      <w:tr>
        <w:tc>
          <w:tcPr>
            <w:tcW w:type="dxa" w:w="1234"/>
          </w:tcPr>
          <w:p>
            <w:pPr>
              <w:jc w:val="center"/>
            </w:pPr>
            <w:r/>
            <w:r>
              <w:rPr>
                <w:rFonts w:ascii="Times New Roman" w:hAnsi="Times New Roman" w:eastAsia="宋体"/>
                <w:b w:val="0"/>
                <w:sz w:val="18"/>
              </w:rPr>
              <w:t>2015</w:t>
            </w:r>
          </w:p>
        </w:tc>
        <w:tc>
          <w:tcPr>
            <w:tcW w:type="dxa" w:w="1234"/>
          </w:tcPr>
          <w:p>
            <w:pPr>
              <w:jc w:val="center"/>
            </w:pPr>
            <w:r/>
            <w:r>
              <w:rPr>
                <w:rFonts w:ascii="Times New Roman" w:hAnsi="Times New Roman" w:eastAsia="宋体"/>
                <w:b w:val="0"/>
                <w:sz w:val="18"/>
              </w:rPr>
              <w:t>0.130</w:t>
            </w:r>
          </w:p>
        </w:tc>
        <w:tc>
          <w:tcPr>
            <w:tcW w:type="dxa" w:w="1234"/>
          </w:tcPr>
          <w:p>
            <w:pPr>
              <w:jc w:val="center"/>
            </w:pPr>
            <w:r/>
            <w:r>
              <w:rPr>
                <w:rFonts w:ascii="Times New Roman" w:hAnsi="Times New Roman" w:eastAsia="宋体"/>
                <w:b w:val="0"/>
                <w:sz w:val="18"/>
              </w:rPr>
              <w:t>0.108</w:t>
            </w:r>
          </w:p>
        </w:tc>
        <w:tc>
          <w:tcPr>
            <w:tcW w:type="dxa" w:w="1234"/>
          </w:tcPr>
          <w:p>
            <w:pPr>
              <w:jc w:val="center"/>
            </w:pPr>
            <w:r/>
            <w:r>
              <w:rPr>
                <w:rFonts w:ascii="Times New Roman" w:hAnsi="Times New Roman" w:eastAsia="宋体"/>
                <w:b w:val="0"/>
                <w:sz w:val="18"/>
              </w:rPr>
              <w:t>0.996</w:t>
            </w:r>
          </w:p>
        </w:tc>
        <w:tc>
          <w:tcPr>
            <w:tcW w:type="dxa" w:w="1234"/>
          </w:tcPr>
          <w:p>
            <w:pPr>
              <w:jc w:val="center"/>
            </w:pPr>
            <w:r/>
            <w:r>
              <w:rPr>
                <w:rFonts w:ascii="Times New Roman" w:hAnsi="Times New Roman" w:eastAsia="宋体"/>
                <w:b w:val="0"/>
                <w:sz w:val="18"/>
              </w:rPr>
              <w:t>0.119</w:t>
            </w:r>
          </w:p>
        </w:tc>
        <w:tc>
          <w:tcPr>
            <w:tcW w:type="dxa" w:w="1234"/>
          </w:tcPr>
          <w:p>
            <w:pPr>
              <w:jc w:val="center"/>
            </w:pPr>
            <w:r/>
            <w:r>
              <w:rPr>
                <w:rFonts w:ascii="Times New Roman" w:hAnsi="Times New Roman" w:eastAsia="宋体"/>
                <w:b w:val="0"/>
                <w:sz w:val="18"/>
              </w:rPr>
              <w:t>0.345</w:t>
            </w:r>
          </w:p>
        </w:tc>
        <w:tc>
          <w:tcPr>
            <w:tcW w:type="dxa" w:w="1234"/>
          </w:tcPr>
          <w:p>
            <w:pPr>
              <w:jc w:val="center"/>
            </w:pPr>
            <w:r/>
            <w:r>
              <w:rPr>
                <w:rFonts w:ascii="Times New Roman" w:hAnsi="Times New Roman" w:eastAsia="宋体"/>
                <w:b w:val="0"/>
                <w:sz w:val="18"/>
              </w:rPr>
              <w:t>轻度失调</w:t>
            </w:r>
          </w:p>
        </w:tc>
      </w:tr>
      <w:tr>
        <w:tc>
          <w:tcPr>
            <w:tcW w:type="dxa" w:w="1234"/>
          </w:tcPr>
          <w:p>
            <w:pPr>
              <w:jc w:val="center"/>
            </w:pPr>
            <w:r/>
            <w:r>
              <w:rPr>
                <w:rFonts w:ascii="Times New Roman" w:hAnsi="Times New Roman" w:eastAsia="宋体"/>
                <w:b w:val="0"/>
                <w:sz w:val="18"/>
              </w:rPr>
              <w:t>2016</w:t>
            </w:r>
          </w:p>
        </w:tc>
        <w:tc>
          <w:tcPr>
            <w:tcW w:type="dxa" w:w="1234"/>
          </w:tcPr>
          <w:p>
            <w:pPr>
              <w:jc w:val="center"/>
            </w:pPr>
            <w:r/>
            <w:r>
              <w:rPr>
                <w:rFonts w:ascii="Times New Roman" w:hAnsi="Times New Roman" w:eastAsia="宋体"/>
                <w:b w:val="0"/>
                <w:sz w:val="18"/>
              </w:rPr>
              <w:t>0.196</w:t>
            </w:r>
          </w:p>
        </w:tc>
        <w:tc>
          <w:tcPr>
            <w:tcW w:type="dxa" w:w="1234"/>
          </w:tcPr>
          <w:p>
            <w:pPr>
              <w:jc w:val="center"/>
            </w:pPr>
            <w:r/>
            <w:r>
              <w:rPr>
                <w:rFonts w:ascii="Times New Roman" w:hAnsi="Times New Roman" w:eastAsia="宋体"/>
                <w:b w:val="0"/>
                <w:sz w:val="18"/>
              </w:rPr>
              <w:t>0.168</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0.182</w:t>
            </w:r>
          </w:p>
        </w:tc>
        <w:tc>
          <w:tcPr>
            <w:tcW w:type="dxa" w:w="1234"/>
          </w:tcPr>
          <w:p>
            <w:pPr>
              <w:jc w:val="center"/>
            </w:pPr>
            <w:r/>
            <w:r>
              <w:rPr>
                <w:rFonts w:ascii="Times New Roman" w:hAnsi="Times New Roman" w:eastAsia="宋体"/>
                <w:b w:val="0"/>
                <w:sz w:val="18"/>
              </w:rPr>
              <w:t>0.426</w:t>
            </w:r>
          </w:p>
        </w:tc>
        <w:tc>
          <w:tcPr>
            <w:tcW w:type="dxa" w:w="1234"/>
          </w:tcPr>
          <w:p>
            <w:pPr>
              <w:jc w:val="center"/>
            </w:pPr>
            <w:r/>
            <w:r>
              <w:rPr>
                <w:rFonts w:ascii="Times New Roman" w:hAnsi="Times New Roman" w:eastAsia="宋体"/>
                <w:b w:val="0"/>
                <w:sz w:val="18"/>
              </w:rPr>
              <w:t>濒临失调</w:t>
            </w:r>
          </w:p>
        </w:tc>
      </w:tr>
      <w:tr>
        <w:tc>
          <w:tcPr>
            <w:tcW w:type="dxa" w:w="1234"/>
          </w:tcPr>
          <w:p>
            <w:pPr>
              <w:jc w:val="center"/>
            </w:pPr>
            <w:r/>
            <w:r>
              <w:rPr>
                <w:rFonts w:ascii="Times New Roman" w:hAnsi="Times New Roman" w:eastAsia="宋体"/>
                <w:b w:val="0"/>
                <w:sz w:val="18"/>
              </w:rPr>
              <w:t>2017</w:t>
            </w:r>
          </w:p>
        </w:tc>
        <w:tc>
          <w:tcPr>
            <w:tcW w:type="dxa" w:w="1234"/>
          </w:tcPr>
          <w:p>
            <w:pPr>
              <w:jc w:val="center"/>
            </w:pPr>
            <w:r/>
            <w:r>
              <w:rPr>
                <w:rFonts w:ascii="Times New Roman" w:hAnsi="Times New Roman" w:eastAsia="宋体"/>
                <w:b w:val="0"/>
                <w:sz w:val="18"/>
              </w:rPr>
              <w:t>0.272</w:t>
            </w:r>
          </w:p>
        </w:tc>
        <w:tc>
          <w:tcPr>
            <w:tcW w:type="dxa" w:w="1234"/>
          </w:tcPr>
          <w:p>
            <w:pPr>
              <w:jc w:val="center"/>
            </w:pPr>
            <w:r/>
            <w:r>
              <w:rPr>
                <w:rFonts w:ascii="Times New Roman" w:hAnsi="Times New Roman" w:eastAsia="宋体"/>
                <w:b w:val="0"/>
                <w:sz w:val="18"/>
              </w:rPr>
              <w:t>0.241</w:t>
            </w:r>
          </w:p>
        </w:tc>
        <w:tc>
          <w:tcPr>
            <w:tcW w:type="dxa" w:w="1234"/>
          </w:tcPr>
          <w:p>
            <w:pPr>
              <w:jc w:val="center"/>
            </w:pPr>
            <w:r/>
            <w:r>
              <w:rPr>
                <w:rFonts w:ascii="Times New Roman" w:hAnsi="Times New Roman" w:eastAsia="宋体"/>
                <w:b w:val="0"/>
                <w:sz w:val="18"/>
              </w:rPr>
              <w:t>0.998</w:t>
            </w:r>
          </w:p>
        </w:tc>
        <w:tc>
          <w:tcPr>
            <w:tcW w:type="dxa" w:w="1234"/>
          </w:tcPr>
          <w:p>
            <w:pPr>
              <w:jc w:val="center"/>
            </w:pPr>
            <w:r/>
            <w:r>
              <w:rPr>
                <w:rFonts w:ascii="Times New Roman" w:hAnsi="Times New Roman" w:eastAsia="宋体"/>
                <w:b w:val="0"/>
                <w:sz w:val="18"/>
              </w:rPr>
              <w:t>0.256</w:t>
            </w:r>
          </w:p>
        </w:tc>
        <w:tc>
          <w:tcPr>
            <w:tcW w:type="dxa" w:w="1234"/>
          </w:tcPr>
          <w:p>
            <w:pPr>
              <w:jc w:val="center"/>
            </w:pPr>
            <w:r/>
            <w:r>
              <w:rPr>
                <w:rFonts w:ascii="Times New Roman" w:hAnsi="Times New Roman" w:eastAsia="宋体"/>
                <w:b w:val="0"/>
                <w:sz w:val="18"/>
              </w:rPr>
              <w:t>0.506</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2018</w:t>
            </w:r>
          </w:p>
        </w:tc>
        <w:tc>
          <w:tcPr>
            <w:tcW w:type="dxa" w:w="1234"/>
          </w:tcPr>
          <w:p>
            <w:pPr>
              <w:jc w:val="center"/>
            </w:pPr>
            <w:r/>
            <w:r>
              <w:rPr>
                <w:rFonts w:ascii="Times New Roman" w:hAnsi="Times New Roman" w:eastAsia="宋体"/>
                <w:b w:val="0"/>
                <w:sz w:val="18"/>
              </w:rPr>
              <w:t>0.340</w:t>
            </w:r>
          </w:p>
        </w:tc>
        <w:tc>
          <w:tcPr>
            <w:tcW w:type="dxa" w:w="1234"/>
          </w:tcPr>
          <w:p>
            <w:pPr>
              <w:jc w:val="center"/>
            </w:pPr>
            <w:r/>
            <w:r>
              <w:rPr>
                <w:rFonts w:ascii="Times New Roman" w:hAnsi="Times New Roman" w:eastAsia="宋体"/>
                <w:b w:val="0"/>
                <w:sz w:val="18"/>
              </w:rPr>
              <w:t>0.322</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0.331</w:t>
            </w:r>
          </w:p>
        </w:tc>
        <w:tc>
          <w:tcPr>
            <w:tcW w:type="dxa" w:w="1234"/>
          </w:tcPr>
          <w:p>
            <w:pPr>
              <w:jc w:val="center"/>
            </w:pPr>
            <w:r/>
            <w:r>
              <w:rPr>
                <w:rFonts w:ascii="Times New Roman" w:hAnsi="Times New Roman" w:eastAsia="宋体"/>
                <w:b w:val="0"/>
                <w:sz w:val="18"/>
              </w:rPr>
              <w:t>0.575</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2019</w:t>
            </w:r>
          </w:p>
        </w:tc>
        <w:tc>
          <w:tcPr>
            <w:tcW w:type="dxa" w:w="1234"/>
          </w:tcPr>
          <w:p>
            <w:pPr>
              <w:jc w:val="center"/>
            </w:pPr>
            <w:r/>
            <w:r>
              <w:rPr>
                <w:rFonts w:ascii="Times New Roman" w:hAnsi="Times New Roman" w:eastAsia="宋体"/>
                <w:b w:val="0"/>
                <w:sz w:val="18"/>
              </w:rPr>
              <w:t>0.400</w:t>
            </w:r>
          </w:p>
        </w:tc>
        <w:tc>
          <w:tcPr>
            <w:tcW w:type="dxa" w:w="1234"/>
          </w:tcPr>
          <w:p>
            <w:pPr>
              <w:jc w:val="center"/>
            </w:pPr>
            <w:r/>
            <w:r>
              <w:rPr>
                <w:rFonts w:ascii="Times New Roman" w:hAnsi="Times New Roman" w:eastAsia="宋体"/>
                <w:b w:val="0"/>
                <w:sz w:val="18"/>
              </w:rPr>
              <w:t>0.413</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0.406</w:t>
            </w:r>
          </w:p>
        </w:tc>
        <w:tc>
          <w:tcPr>
            <w:tcW w:type="dxa" w:w="1234"/>
          </w:tcPr>
          <w:p>
            <w:pPr>
              <w:jc w:val="center"/>
            </w:pPr>
            <w:r/>
            <w:r>
              <w:rPr>
                <w:rFonts w:ascii="Times New Roman" w:hAnsi="Times New Roman" w:eastAsia="宋体"/>
                <w:b w:val="0"/>
                <w:sz w:val="18"/>
              </w:rPr>
              <w:t>0.637</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2020</w:t>
            </w:r>
          </w:p>
        </w:tc>
        <w:tc>
          <w:tcPr>
            <w:tcW w:type="dxa" w:w="1234"/>
          </w:tcPr>
          <w:p>
            <w:pPr>
              <w:jc w:val="center"/>
            </w:pPr>
            <w:r/>
            <w:r>
              <w:rPr>
                <w:rFonts w:ascii="Times New Roman" w:hAnsi="Times New Roman" w:eastAsia="宋体"/>
                <w:b w:val="0"/>
                <w:sz w:val="18"/>
              </w:rPr>
              <w:t>0.505</w:t>
            </w:r>
          </w:p>
        </w:tc>
        <w:tc>
          <w:tcPr>
            <w:tcW w:type="dxa" w:w="1234"/>
          </w:tcPr>
          <w:p>
            <w:pPr>
              <w:jc w:val="center"/>
            </w:pPr>
            <w:r/>
            <w:r>
              <w:rPr>
                <w:rFonts w:ascii="Times New Roman" w:hAnsi="Times New Roman" w:eastAsia="宋体"/>
                <w:b w:val="0"/>
                <w:sz w:val="18"/>
              </w:rPr>
              <w:t>0.430</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0.467</w:t>
            </w:r>
          </w:p>
        </w:tc>
        <w:tc>
          <w:tcPr>
            <w:tcW w:type="dxa" w:w="1234"/>
          </w:tcPr>
          <w:p>
            <w:pPr>
              <w:jc w:val="center"/>
            </w:pPr>
            <w:r/>
            <w:r>
              <w:rPr>
                <w:rFonts w:ascii="Times New Roman" w:hAnsi="Times New Roman" w:eastAsia="宋体"/>
                <w:b w:val="0"/>
                <w:sz w:val="18"/>
              </w:rPr>
              <w:t>0.683</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2021</w:t>
            </w:r>
          </w:p>
        </w:tc>
        <w:tc>
          <w:tcPr>
            <w:tcW w:type="dxa" w:w="1234"/>
          </w:tcPr>
          <w:p>
            <w:pPr>
              <w:jc w:val="center"/>
            </w:pPr>
            <w:r/>
            <w:r>
              <w:rPr>
                <w:rFonts w:ascii="Times New Roman" w:hAnsi="Times New Roman" w:eastAsia="宋体"/>
                <w:b w:val="0"/>
                <w:sz w:val="18"/>
              </w:rPr>
              <w:t>0.603</w:t>
            </w:r>
          </w:p>
        </w:tc>
        <w:tc>
          <w:tcPr>
            <w:tcW w:type="dxa" w:w="1234"/>
          </w:tcPr>
          <w:p>
            <w:pPr>
              <w:jc w:val="center"/>
            </w:pPr>
            <w:r/>
            <w:r>
              <w:rPr>
                <w:rFonts w:ascii="Times New Roman" w:hAnsi="Times New Roman" w:eastAsia="宋体"/>
                <w:b w:val="0"/>
                <w:sz w:val="18"/>
              </w:rPr>
              <w:t>0.566</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0.584</w:t>
            </w:r>
          </w:p>
        </w:tc>
        <w:tc>
          <w:tcPr>
            <w:tcW w:type="dxa" w:w="1234"/>
          </w:tcPr>
          <w:p>
            <w:pPr>
              <w:jc w:val="center"/>
            </w:pPr>
            <w:r/>
            <w:r>
              <w:rPr>
                <w:rFonts w:ascii="Times New Roman" w:hAnsi="Times New Roman" w:eastAsia="宋体"/>
                <w:b w:val="0"/>
                <w:sz w:val="18"/>
              </w:rPr>
              <w:t>0.764</w:t>
            </w:r>
          </w:p>
        </w:tc>
        <w:tc>
          <w:tcPr>
            <w:tcW w:type="dxa" w:w="1234"/>
          </w:tcPr>
          <w:p>
            <w:pPr>
              <w:jc w:val="center"/>
            </w:pPr>
            <w:r/>
            <w:r>
              <w:rPr>
                <w:rFonts w:ascii="Times New Roman" w:hAnsi="Times New Roman" w:eastAsia="宋体"/>
                <w:b w:val="0"/>
                <w:sz w:val="18"/>
              </w:rPr>
              <w:t>中级协调</w:t>
            </w:r>
          </w:p>
        </w:tc>
      </w:tr>
      <w:tr>
        <w:tc>
          <w:tcPr>
            <w:tcW w:type="dxa" w:w="1234"/>
          </w:tcPr>
          <w:p>
            <w:pPr>
              <w:jc w:val="center"/>
            </w:pPr>
            <w:r/>
            <w:r>
              <w:rPr>
                <w:rFonts w:ascii="Times New Roman" w:hAnsi="Times New Roman" w:eastAsia="宋体"/>
                <w:b w:val="0"/>
                <w:sz w:val="18"/>
              </w:rPr>
              <w:t>2022</w:t>
            </w:r>
          </w:p>
        </w:tc>
        <w:tc>
          <w:tcPr>
            <w:tcW w:type="dxa" w:w="1234"/>
          </w:tcPr>
          <w:p>
            <w:pPr>
              <w:jc w:val="center"/>
            </w:pPr>
            <w:r/>
            <w:r>
              <w:rPr>
                <w:rFonts w:ascii="Times New Roman" w:hAnsi="Times New Roman" w:eastAsia="宋体"/>
                <w:b w:val="0"/>
                <w:sz w:val="18"/>
              </w:rPr>
              <w:t>0.671</w:t>
            </w:r>
          </w:p>
        </w:tc>
        <w:tc>
          <w:tcPr>
            <w:tcW w:type="dxa" w:w="1234"/>
          </w:tcPr>
          <w:p>
            <w:pPr>
              <w:jc w:val="center"/>
            </w:pPr>
            <w:r/>
            <w:r>
              <w:rPr>
                <w:rFonts w:ascii="Times New Roman" w:hAnsi="Times New Roman" w:eastAsia="宋体"/>
                <w:b w:val="0"/>
                <w:sz w:val="18"/>
              </w:rPr>
              <w:t>0.639</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0.655</w:t>
            </w:r>
          </w:p>
        </w:tc>
        <w:tc>
          <w:tcPr>
            <w:tcW w:type="dxa" w:w="1234"/>
          </w:tcPr>
          <w:p>
            <w:pPr>
              <w:jc w:val="center"/>
            </w:pPr>
            <w:r/>
            <w:r>
              <w:rPr>
                <w:rFonts w:ascii="Times New Roman" w:hAnsi="Times New Roman" w:eastAsia="宋体"/>
                <w:b w:val="0"/>
                <w:sz w:val="18"/>
              </w:rPr>
              <w:t>0.809</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2023</w:t>
            </w:r>
          </w:p>
        </w:tc>
        <w:tc>
          <w:tcPr>
            <w:tcW w:type="dxa" w:w="1234"/>
          </w:tcPr>
          <w:p>
            <w:pPr>
              <w:jc w:val="center"/>
            </w:pPr>
            <w:r/>
            <w:r>
              <w:rPr>
                <w:rFonts w:ascii="Times New Roman" w:hAnsi="Times New Roman" w:eastAsia="宋体"/>
                <w:b w:val="0"/>
                <w:sz w:val="18"/>
              </w:rPr>
              <w:t>0.741</w:t>
            </w:r>
          </w:p>
        </w:tc>
        <w:tc>
          <w:tcPr>
            <w:tcW w:type="dxa" w:w="1234"/>
          </w:tcPr>
          <w:p>
            <w:pPr>
              <w:jc w:val="center"/>
            </w:pPr>
            <w:r/>
            <w:r>
              <w:rPr>
                <w:rFonts w:ascii="Times New Roman" w:hAnsi="Times New Roman" w:eastAsia="宋体"/>
                <w:b w:val="0"/>
                <w:sz w:val="18"/>
              </w:rPr>
              <w:t>0.730</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0.736</w:t>
            </w:r>
          </w:p>
        </w:tc>
        <w:tc>
          <w:tcPr>
            <w:tcW w:type="dxa" w:w="1234"/>
          </w:tcPr>
          <w:p>
            <w:pPr>
              <w:jc w:val="center"/>
            </w:pPr>
            <w:r/>
            <w:r>
              <w:rPr>
                <w:rFonts w:ascii="Times New Roman" w:hAnsi="Times New Roman" w:eastAsia="宋体"/>
                <w:b w:val="0"/>
                <w:sz w:val="18"/>
              </w:rPr>
              <w:t>0.858</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2024</w:t>
            </w:r>
          </w:p>
        </w:tc>
        <w:tc>
          <w:tcPr>
            <w:tcW w:type="dxa" w:w="1234"/>
          </w:tcPr>
          <w:p>
            <w:pPr>
              <w:jc w:val="center"/>
            </w:pPr>
            <w:r/>
            <w:r>
              <w:rPr>
                <w:rFonts w:ascii="Times New Roman" w:hAnsi="Times New Roman" w:eastAsia="宋体"/>
                <w:b w:val="0"/>
                <w:sz w:val="18"/>
              </w:rPr>
              <w:t>0.802</w:t>
            </w:r>
          </w:p>
        </w:tc>
        <w:tc>
          <w:tcPr>
            <w:tcW w:type="dxa" w:w="1234"/>
          </w:tcPr>
          <w:p>
            <w:pPr>
              <w:jc w:val="center"/>
            </w:pPr>
            <w:r/>
            <w:r>
              <w:rPr>
                <w:rFonts w:ascii="Times New Roman" w:hAnsi="Times New Roman" w:eastAsia="宋体"/>
                <w:b w:val="0"/>
                <w:sz w:val="18"/>
              </w:rPr>
              <w:t>0.824</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0.813</w:t>
            </w:r>
          </w:p>
        </w:tc>
        <w:tc>
          <w:tcPr>
            <w:tcW w:type="dxa" w:w="1234"/>
          </w:tcPr>
          <w:p>
            <w:pPr>
              <w:jc w:val="center"/>
            </w:pPr>
            <w:r/>
            <w:r>
              <w:rPr>
                <w:rFonts w:ascii="Times New Roman" w:hAnsi="Times New Roman" w:eastAsia="宋体"/>
                <w:b w:val="0"/>
                <w:sz w:val="18"/>
              </w:rPr>
              <w:t>0.902</w:t>
            </w:r>
          </w:p>
        </w:tc>
        <w:tc>
          <w:tcPr>
            <w:tcW w:type="dxa" w:w="1234"/>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如图9所示，2015—2024年浙江省新质生产力发展指数由0.130持续上升至0.802，年均增长22.4%，十年间逐年递增、未出现任何回调，呈现稳定爬升的演进形态。从关键节点看：2017年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达到0.272，与数字经济“一号工程”部署实施的时点相呼应；2020年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400000" cy="2178035"/>
            <wp:docPr id="9" name="Picture 9"/>
            <wp:cNvGraphicFramePr>
              <a:graphicFrameLocks noChangeAspect="1"/>
            </wp:cNvGraphicFramePr>
            <a:graphic>
              <a:graphicData uri="http://schemas.openxmlformats.org/drawingml/2006/picture">
                <pic:pic>
                  <pic:nvPicPr>
                    <pic:cNvPr id="0" name="fig09_index.png"/>
                    <pic:cNvPicPr/>
                  </pic:nvPicPr>
                  <pic:blipFill>
                    <a:blip r:embed="rId17"/>
                    <a:stretch>
                      <a:fillRect/>
                    </a:stretch>
                  </pic:blipFill>
                  <pic:spPr>
                    <a:xfrm>
                      <a:off x="0" y="0"/>
                      <a:ext cx="5400000" cy="2178035"/>
                    </a:xfrm>
                    <a:prstGeom prst="rect"/>
                  </pic:spPr>
                </pic:pic>
              </a:graphicData>
            </a:graphic>
          </wp:inline>
        </w:drawing>
      </w:r>
    </w:p>
    <w:p>
      <w:pPr>
        <w:spacing w:after="80"/>
        <w:jc w:val="center"/>
      </w:pPr>
      <w:r>
        <w:rPr>
          <w:rFonts w:ascii="Times New Roman" w:hAnsi="Times New Roman" w:eastAsia="黑体"/>
          <w:b/>
          <w:sz w:val="21"/>
        </w:rPr>
        <w:t xml:space="preserve">图9　</w:t>
      </w:r>
      <w:r>
        <w:rPr>
          <w:rFonts w:ascii="Times New Roman" w:hAnsi="Times New Roman" w:eastAsia="宋体"/>
          <w:b w:val="0"/>
          <w:sz w:val="21"/>
        </w:rPr>
        <w:t>2015—2024年浙江省新质生产力与共同富裕发展水平测度结果</w:t>
      </w:r>
    </w:p>
    <w:p>
      <w:pPr>
        <w:spacing w:after="120"/>
        <w:jc w:val="left"/>
      </w:pPr>
      <w:r>
        <w:rPr>
          <w:rFonts w:ascii="Times New Roman" w:hAnsi="Times New Roman" w:eastAsia="宋体"/>
          <w:b w:val="0"/>
          <w:sz w:val="21"/>
        </w:rPr>
        <w:t>注：根据表4测度结果绘制。</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80"/>
        <w:jc w:val="left"/>
      </w:pPr>
      <w:r>
        <w:rPr>
          <w:rFonts w:ascii="Times New Roman" w:hAnsi="Times New Roman" w:eastAsia="黑体"/>
          <w:b/>
          <w:sz w:val="28"/>
        </w:rPr>
        <w:t>（二）共同富裕指数（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0.430升至0.566，单年提升0.136，为观测期内最大年度增幅，恰与中央《关于支持浙江高质量发展建设共同富裕示范区的意见》出台、示范区建设全面启动的时点吻合，显示重大制度安排对共同富裕进程的强劲边际推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达0.824、超过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均逐年递增，无任何一年出现方向背离，两大系统呈现“同向共进”的总体格局；二是追赶性：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年均增长25.3%、快于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的22.4%，尤其是2021年示范区建设启动后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加速上行，反映出制度性安排对共同富裕进程的边际拉动；三是收敛性：两大指数的差距在后期趋于收敛，并于2024年出现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（0.802）的反超。</w:t>
      </w:r>
    </w:p>
    <w:p>
      <w:pPr>
        <w:spacing w:line="360" w:lineRule="auto" w:after="0"/>
        <w:ind w:firstLine="480"/>
        <w:jc w:val="both"/>
      </w:pPr>
      <w:r>
        <w:rPr>
          <w:rFonts w:ascii="Times New Roman" w:hAnsi="Times New Roman" w:eastAsia="宋体"/>
          <w:b w:val="0"/>
          <w:sz w:val="24"/>
        </w:rPr>
        <w:t>2．相关性的统计证据。计算表明，2015—2024年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八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3．2024年反超的“双向赋能”信号。2024年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综上，本章的测度结果确立了三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两大系统究竟处于何种耦合协调等级、协调水平如何演进，将在第七章运用耦合协调度模型作系统检验。</w:t>
      </w:r>
    </w:p>
    <w:p>
      <w:pPr>
        <w:spacing w:line="360" w:lineRule="auto" w:after="160"/>
        <w:jc w:val="center"/>
      </w:pPr>
      <w:r>
        <w:rPr>
          <w:rFonts w:ascii="Times New Roman" w:hAnsi="Times New Roman" w:eastAsia="黑体"/>
          <w:b/>
          <w:sz w:val="32"/>
        </w:rPr>
        <w:t>七、实证分析Ⅱ：两大系统耦合协调的时序演进与阶段特征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六章测得的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）基础上，运用耦合协调度模型考察2015—2024年浙江省两大系统耦合协调度（</w:t>
      </w:r>
      <m:oMath>
        <m:r>
          <w:rPr>
            <w:rFonts w:ascii="Cambria Math" w:hAnsi="Cambria Math"/>
          </w:rPr>
          <m:t xml:space="preserve">D</m:t>
        </m:r>
      </m:oMath>
      <w:r>
        <w:rPr>
          <w:rFonts w:ascii="Times New Roman" w:hAnsi="Times New Roman" w:eastAsia="宋体"/>
          <w:b w:val="0"/>
          <w:sz w:val="24"/>
        </w:rPr>
        <w:t>）的时序演进与阶段特征，分解耦合度（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测算结果表明，样本期内浙江省新质生产力与共同富裕两大系统的耦合协调度呈单调上升态势，实现了从失调衰退区间向优质协调区间的历史性跨越。第六章表4已完整报告2015—2024年两大指数、耦合度（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w:t>
      </w:r>
      <m:oMath>
        <m:r>
          <w:rPr>
            <w:rFonts w:ascii="Cambria Math" w:hAnsi="Cambria Math"/>
          </w:rPr>
          <m:t xml:space="preserve">D</m:t>
        </m:r>
      </m:oMath>
      <w:r>
        <w:rPr>
          <w:rFonts w:ascii="Times New Roman" w:hAnsi="Times New Roman" w:eastAsia="宋体"/>
          <w:b w:val="0"/>
          <w:sz w:val="24"/>
        </w:rPr>
        <w:t>由2015年的0.345（轻度失调）提高至2024年的0.902（优质协调），十年间年均提升0.062，依据第五章给出的十档等级划分标准，连续跨越濒临失调、勉强协调、初级协调、中级协调、良好协调五个等级，且无一年份出现回调或停滞。与之呼应，两大指数高度同向共进：</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年均增长22.4%、</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10所示。</w:t>
      </w:r>
    </w:p>
    <w:p>
      <w:pPr>
        <w:spacing w:before="120"/>
        <w:jc w:val="center"/>
      </w:pPr>
      <w:r>
        <w:drawing>
          <wp:inline xmlns:a="http://schemas.openxmlformats.org/drawingml/2006/main" xmlns:pic="http://schemas.openxmlformats.org/drawingml/2006/picture">
            <wp:extent cx="4476170" cy="2269906"/>
            <wp:docPr id="10" name="Picture 10"/>
            <wp:cNvGraphicFramePr>
              <a:graphicFrameLocks noChangeAspect="1"/>
            </wp:cNvGraphicFramePr>
            <a:graphic>
              <a:graphicData uri="http://schemas.openxmlformats.org/drawingml/2006/picture">
                <pic:pic>
                  <pic:nvPicPr>
                    <pic:cNvPr id="0" name="fig10_coupling.png"/>
                    <pic:cNvPicPr/>
                  </pic:nvPicPr>
                  <pic:blipFill>
                    <a:blip r:embed="rId18"/>
                    <a:stretch>
                      <a:fillRect/>
                    </a:stretch>
                  </pic:blipFill>
                  <pic:spPr>
                    <a:xfrm>
                      <a:off x="0" y="0"/>
                      <a:ext cx="4476170" cy="2269906"/>
                    </a:xfrm>
                    <a:prstGeom prst="rect"/>
                  </pic:spPr>
                </pic:pic>
              </a:graphicData>
            </a:graphic>
          </wp:inline>
        </w:drawing>
      </w:r>
    </w:p>
    <w:p>
      <w:pPr>
        <w:spacing w:after="8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2015—2024年浙江省新质生产力与共同富裕耦合协调度演变</w:t>
      </w:r>
    </w:p>
    <w:p>
      <w:pPr>
        <w:spacing w:after="120"/>
        <w:jc w:val="left"/>
      </w:pPr>
      <w:r>
        <w:rPr>
          <w:rFonts w:ascii="Times New Roman" w:hAnsi="Times New Roman" w:eastAsia="宋体"/>
          <w:b w:val="0"/>
          <w:sz w:val="21"/>
        </w:rPr>
        <w:t>注：根据表4测度结果绘制，柱内文字为对应年份的耦合协调等级。</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w:t>
      </w:r>
      <m:oMath>
        <m:r>
          <w:rPr>
            <w:rFonts w:ascii="Cambria Math" w:hAnsi="Cambria Math"/>
          </w:rPr>
          <m:t xml:space="preserve">D</m:t>
        </m:r>
      </m:oMath>
      <w:r>
        <w:rPr>
          <w:rFonts w:ascii="Times New Roman" w:hAnsi="Times New Roman" w:eastAsia="宋体"/>
          <w:b w:val="0"/>
          <w:sz w:val="24"/>
        </w:rPr>
        <w:t>由0.345升至0.506，两年间提升0.161、年均提升逾0.08，跨过</w:t>
      </w:r>
      <m:oMath>
        <m:r>
          <w:rPr>
            <w:rFonts w:ascii="Cambria Math" w:hAnsi="Cambria Math"/>
          </w:rPr>
          <m:t xml:space="preserve">D</m:t>
        </m:r>
      </m:oMath>
      <w:r>
        <w:rPr>
          <w:rFonts w:ascii="Times New Roman" w:hAnsi="Times New Roman" w:eastAsia="宋体"/>
          <w:b w:val="0"/>
          <w:sz w:val="24"/>
        </w:rPr>
        <w:t>＝0.5的协调门槛，由轻度失调经濒临失调进入勉强协调。此阶段的突出特征是“双低起点、快速爬坡”：2015年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仅为0.130、</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阶段Ⅱ为协调起步期（2018—2020）。</w:t>
      </w:r>
      <m:oMath>
        <m:r>
          <w:rPr>
            <w:rFonts w:ascii="Cambria Math" w:hAnsi="Cambria Math"/>
          </w:rPr>
          <m:t xml:space="preserve">D</m:t>
        </m:r>
      </m:oMath>
      <w:r>
        <w:rPr>
          <w:rFonts w:ascii="Times New Roman" w:hAnsi="Times New Roman" w:eastAsia="宋体"/>
          <w:b w:val="0"/>
          <w:sz w:val="24"/>
        </w:rPr>
        <w:t>由0.575升至0.683，2019年进入初级协调。此阶段的关键考验在于外生冲击下的韧性：2020年疫情冲击使全省GDP增速回落至3.6%，</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在R&amp;D经费投入强度升至2.88%、数字经济核心产业增加值占比升至10.9%的支撑下继续攀升（由0.400升至0.505），使</w:t>
      </w:r>
      <m:oMath>
        <m:r>
          <w:rPr>
            <w:rFonts w:ascii="Cambria Math" w:hAnsi="Cambria Math"/>
          </w:rPr>
          <m:t xml:space="preserve">D</m:t>
        </m:r>
      </m:oMath>
      <w:r>
        <w:rPr>
          <w:rFonts w:ascii="Times New Roman" w:hAnsi="Times New Roman" w:eastAsia="宋体"/>
          <w:b w:val="0"/>
          <w:sz w:val="24"/>
        </w:rPr>
        <w:t>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阶段Ⅲ为高水平耦合跃升期（2021—2024）。</w:t>
      </w:r>
      <m:oMath>
        <m:r>
          <w:rPr>
            <w:rFonts w:ascii="Cambria Math" w:hAnsi="Cambria Math"/>
          </w:rPr>
          <m:t xml:space="preserve">D</m:t>
        </m:r>
      </m:oMath>
      <w:r>
        <w:rPr>
          <w:rFonts w:ascii="Times New Roman" w:hAnsi="Times New Roman" w:eastAsia="宋体"/>
          <w:b w:val="0"/>
          <w:sz w:val="24"/>
        </w:rPr>
        <w:t>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w:t>
      </w:r>
      <m:oMath>
        <m:r>
          <w:rPr>
            <w:rFonts w:ascii="Cambria Math" w:hAnsi="Cambria Math"/>
          </w:rPr>
          <m:t xml:space="preserve">D</m:t>
        </m:r>
      </m:oMath>
      <w:r>
        <w:rPr>
          <w:rFonts w:ascii="Times New Roman" w:hAnsi="Times New Roman" w:eastAsia="宋体"/>
          <w:b w:val="0"/>
          <w:sz w:val="24"/>
        </w:rPr>
        <w:t>＝0.764，恰为由初级协调跃入中级协调的转折之年；至2024年</w:t>
      </w:r>
      <m:oMath>
        <m:r>
          <w:rPr>
            <w:rFonts w:ascii="Cambria Math" w:hAnsi="Cambria Math"/>
          </w:rPr>
          <m:t xml:space="preserve">D</m:t>
        </m:r>
      </m:oMath>
      <w:r>
        <w:rPr>
          <w:rFonts w:ascii="Times New Roman" w:hAnsi="Times New Roman" w:eastAsia="宋体"/>
          <w:b w:val="0"/>
          <w:sz w:val="24"/>
        </w:rPr>
        <w:t>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w:t>
      </w:r>
      <m:oMath>
        <m:r>
          <w:rPr>
            <w:rFonts w:ascii="Cambria Math" w:hAnsi="Cambria Math"/>
          </w:rPr>
          <m:t xml:space="preserve">D</m:t>
        </m:r>
      </m:oMath>
      <w:r>
        <w:rPr>
          <w:rFonts w:ascii="Times New Roman" w:hAnsi="Times New Roman" w:eastAsia="宋体"/>
          <w:b w:val="0"/>
          <w:sz w:val="24"/>
        </w:rPr>
        <w:t>由耦合度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共同决定，二者经济含义迥异：</w:t>
      </w:r>
      <m:oMath>
        <m:r>
          <w:rPr>
            <w:rFonts w:ascii="Cambria Math" w:hAnsi="Cambria Math"/>
          </w:rPr>
          <m:t xml:space="preserve">C</m:t>
        </m:r>
      </m:oMath>
      <w:r>
        <w:rPr>
          <w:rFonts w:ascii="Times New Roman" w:hAnsi="Times New Roman" w:eastAsia="宋体"/>
          <w:b w:val="0"/>
          <w:sz w:val="24"/>
        </w:rPr>
        <w:t>刻画两系统交互关联的紧密程度，</w:t>
      </w:r>
      <m:oMath>
        <m:r>
          <w:rPr>
            <w:rFonts w:ascii="Cambria Math" w:hAnsi="Cambria Math"/>
          </w:rPr>
          <m:t xml:space="preserve">T</m:t>
        </m:r>
      </m:oMath>
      <w:r>
        <w:rPr>
          <w:rFonts w:ascii="Times New Roman" w:hAnsi="Times New Roman" w:eastAsia="宋体"/>
          <w:b w:val="0"/>
          <w:sz w:val="24"/>
        </w:rPr>
        <w:t>刻画两系统整体发展水平的高低。对</w:t>
      </w:r>
      <m:oMath>
        <m:r>
          <w:rPr>
            <w:rFonts w:ascii="Cambria Math" w:hAnsi="Cambria Math"/>
          </w:rPr>
          <m:t xml:space="preserve">D</m:t>
        </m:r>
      </m:oMath>
      <w:r>
        <w:rPr>
          <w:rFonts w:ascii="Times New Roman" w:hAnsi="Times New Roman" w:eastAsia="宋体"/>
          <w:b w:val="0"/>
          <w:sz w:val="24"/>
        </w:rPr>
        <w:t>作结构分解，可以获得三个层层递进的典型化事实。</w:t>
      </w:r>
    </w:p>
    <w:p>
      <w:pPr>
        <w:spacing w:line="360" w:lineRule="auto" w:after="0"/>
        <w:ind w:firstLine="480"/>
        <w:jc w:val="both"/>
      </w:pPr>
      <w:r>
        <w:rPr>
          <w:rFonts w:ascii="Times New Roman" w:hAnsi="Times New Roman" w:eastAsia="宋体"/>
          <w:b w:val="0"/>
          <w:sz w:val="24"/>
        </w:rPr>
        <w:t>一是耦合度</w:t>
      </w:r>
      <m:oMath>
        <m:r>
          <w:rPr>
            <w:rFonts w:ascii="Cambria Math" w:hAnsi="Cambria Math"/>
          </w:rPr>
          <m:t xml:space="preserve">C</m:t>
        </m:r>
      </m:oMath>
      <w:r>
        <w:rPr>
          <w:rFonts w:ascii="Times New Roman" w:hAnsi="Times New Roman" w:eastAsia="宋体"/>
          <w:b w:val="0"/>
          <w:sz w:val="24"/>
        </w:rPr>
        <w:t>全程高位运行，两系统始终强关联。</w:t>
      </w:r>
      <m:oMath>
        <m:r>
          <w:rPr>
            <w:rFonts w:ascii="Cambria Math" w:hAnsi="Cambria Math"/>
          </w:rPr>
          <m:t xml:space="preserve">C</m:t>
        </m:r>
      </m:oMath>
      <w:r>
        <w:rPr>
          <w:rFonts w:ascii="Times New Roman" w:hAnsi="Times New Roman" w:eastAsia="宋体"/>
          <w:b w:val="0"/>
          <w:sz w:val="24"/>
        </w:rPr>
        <w:t>在样本期内始终保持在0.996以上，2018年起多数年份达到1.000，表明浙江的新质生产力发展从起点上就深度嵌入民生场景与共富制度安排，两系统之间不存在“两张皮”式的脱钩状态。但高耦合不等于高协调：2015年</w:t>
      </w:r>
      <m:oMath>
        <m:r>
          <w:rPr>
            <w:rFonts w:ascii="Cambria Math" w:hAnsi="Cambria Math"/>
          </w:rPr>
          <m:t xml:space="preserve">C</m:t>
        </m:r>
      </m:oMath>
      <w:r>
        <w:rPr>
          <w:rFonts w:ascii="Times New Roman" w:hAnsi="Times New Roman" w:eastAsia="宋体"/>
          <w:b w:val="0"/>
          <w:sz w:val="24"/>
        </w:rPr>
        <w:t>高达0.996而</w:t>
      </w:r>
      <m:oMath>
        <m:r>
          <w:rPr>
            <w:rFonts w:ascii="Cambria Math" w:hAnsi="Cambria Math"/>
          </w:rPr>
          <m:t xml:space="preserve">D</m:t>
        </m:r>
      </m:oMath>
      <w:r>
        <w:rPr>
          <w:rFonts w:ascii="Times New Roman" w:hAnsi="Times New Roman" w:eastAsia="宋体"/>
          <w:b w:val="0"/>
          <w:sz w:val="24"/>
        </w:rPr>
        <w:t>仅为0.345，其原因在于</w:t>
      </w:r>
      <m:oMath>
        <m:r>
          <w:rPr>
            <w:rFonts w:ascii="Cambria Math" w:hAnsi="Cambria Math"/>
          </w:rPr>
          <m:t xml:space="preserve">T</m:t>
        </m:r>
      </m:oMath>
      <w:r>
        <w:rPr>
          <w:rFonts w:ascii="Times New Roman" w:hAnsi="Times New Roman" w:eastAsia="宋体"/>
          <w:b w:val="0"/>
          <w:sz w:val="24"/>
        </w:rPr>
        <w: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二是</w:t>
      </w:r>
      <m:oMath>
        <m:r>
          <w:rPr>
            <w:rFonts w:ascii="Cambria Math" w:hAnsi="Cambria Math"/>
          </w:rPr>
          <m:t xml:space="preserve">D</m:t>
        </m:r>
      </m:oMath>
      <w:r>
        <w:rPr>
          <w:rFonts w:ascii="Times New Roman" w:hAnsi="Times New Roman" w:eastAsia="宋体"/>
          <w:b w:val="0"/>
          <w:sz w:val="24"/>
        </w:rPr>
        <w:t>的提升几乎完全由</w:t>
      </w:r>
      <m:oMath>
        <m:r>
          <w:rPr>
            <w:rFonts w:ascii="Cambria Math" w:hAnsi="Cambria Math"/>
          </w:rPr>
          <m:t xml:space="preserve">T</m:t>
        </m:r>
      </m:oMath>
      <w:r>
        <w:rPr>
          <w:rFonts w:ascii="Times New Roman" w:hAnsi="Times New Roman" w:eastAsia="宋体"/>
          <w:b w:val="0"/>
          <w:sz w:val="24"/>
        </w:rPr>
        <w:t>驱动，属于“整体抬升型”协调。在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近似等于</w:t>
      </w:r>
      <m:oMath>
        <m:r>
          <w:rPr>
            <w:rFonts w:ascii="Cambria Math" w:hAnsi="Cambria Math"/>
          </w:rPr>
          <m:t xml:space="preserve">T</m:t>
        </m:r>
      </m:oMath>
      <w:r>
        <w:rPr>
          <w:rFonts w:ascii="Times New Roman" w:hAnsi="Times New Roman" w:eastAsia="宋体"/>
          <w:b w:val="0"/>
          <w:sz w:val="24"/>
        </w:rPr>
        <w:t>的平方根，因而</w:t>
      </w:r>
      <m:oMath>
        <m:r>
          <w:rPr>
            <w:rFonts w:ascii="Cambria Math" w:hAnsi="Cambria Math"/>
          </w:rPr>
          <m:t xml:space="preserve">T</m:t>
        </m:r>
      </m:oMath>
      <w:r>
        <w:rPr>
          <w:rFonts w:ascii="Times New Roman" w:hAnsi="Times New Roman" w:eastAsia="宋体"/>
          <w:b w:val="0"/>
          <w:sz w:val="24"/>
        </w:rPr>
        <w:t>由0.119升至0.813，构成</w:t>
      </w:r>
      <m:oMath>
        <m:r>
          <w:rPr>
            <w:rFonts w:ascii="Cambria Math" w:hAnsi="Cambria Math"/>
          </w:rPr>
          <m:t xml:space="preserve">D</m:t>
        </m:r>
      </m:oMath>
      <w:r>
        <w:rPr>
          <w:rFonts w:ascii="Times New Roman" w:hAnsi="Times New Roman" w:eastAsia="宋体"/>
          <w:b w:val="0"/>
          <w:sz w:val="24"/>
        </w:rPr>
        <w:t>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三是两大指数的相对位势在期末发生逆转。样本期内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，2019年两指数曾短暂交叠（0.400对0.413），2020年疫情之年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的领先幅度一度扩大至0.075；至2024年，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（0.824）明显反超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w:t>
      </w:r>
      <m:oMath>
        <m:r>
          <w:rPr>
            <w:rFonts w:ascii="Cambria Math" w:hAnsi="Cambria Math"/>
          </w:rPr>
          <m:t xml:space="preserve">D</m:t>
        </m:r>
      </m:oMath>
      <w:r>
        <w:rPr>
          <w:rFonts w:ascii="Times New Roman" w:hAnsi="Times New Roman" w:eastAsia="宋体"/>
          <w:b w:val="0"/>
          <w:sz w:val="24"/>
        </w:rPr>
        <w:t>在快速上升过程中未因地区分化而受阻的关键。</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w:t>
      </w:r>
      <m:oMath>
        <m:r>
          <w:rPr>
            <w:rFonts w:ascii="Cambria Math" w:hAnsi="Cambria Math"/>
          </w:rPr>
          <m:t xml:space="preserve">T</m:t>
        </m:r>
      </m:oMath>
      <w:r>
        <w:rPr>
          <w:rFonts w:ascii="Times New Roman" w:hAnsi="Times New Roman" w:eastAsia="宋体"/>
          <w:b w:val="0"/>
          <w:sz w:val="24"/>
        </w:rPr>
        <w: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三是人力资本反哺关的修复启动了效能向势能的回流，是期末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w:t>
      </w:r>
      <m:oMath>
        <m:r>
          <w:rPr>
            <w:rFonts w:ascii="Cambria Math" w:hAnsi="Cambria Math"/>
          </w:rPr>
          <m:t xml:space="preserve">D</m:t>
        </m:r>
      </m:oMath>
      <w:r>
        <w:rPr>
          <w:rFonts w:ascii="Times New Roman" w:hAnsi="Times New Roman" w:eastAsia="宋体"/>
          <w:b w:val="0"/>
          <w:sz w:val="24"/>
        </w:rPr>
        <w:t>的等级跃迁节点在时序上高度对应——2016—2017年一批创新平台与改革举措落地，对应</w:t>
      </w:r>
      <m:oMath>
        <m:r>
          <w:rPr>
            <w:rFonts w:ascii="Cambria Math" w:hAnsi="Cambria Math"/>
          </w:rPr>
          <m:t xml:space="preserve">D</m:t>
        </m:r>
      </m:oMath>
      <w:r>
        <w:rPr>
          <w:rFonts w:ascii="Times New Roman" w:hAnsi="Times New Roman" w:eastAsia="宋体"/>
          <w:b w:val="0"/>
          <w:sz w:val="24"/>
        </w:rPr>
        <w:t>跨越0.5协调门槛；2021年示范区获批与数字化改革启动，对应</w:t>
      </w:r>
      <m:oMath>
        <m:r>
          <w:rPr>
            <w:rFonts w:ascii="Cambria Math" w:hAnsi="Cambria Math"/>
          </w:rPr>
          <m:t xml:space="preserve">D</m:t>
        </m:r>
      </m:oMath>
      <w:r>
        <w:rPr>
          <w:rFonts w:ascii="Times New Roman" w:hAnsi="Times New Roman" w:eastAsia="宋体"/>
          <w:b w:val="0"/>
          <w:sz w:val="24"/>
        </w:rPr>
        <w:t>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八章基于全国省份样本的fsQCA分析。</w:t>
      </w:r>
    </w:p>
    <w:p>
      <w:pPr>
        <w:spacing w:line="360" w:lineRule="auto" w:after="160"/>
        <w:jc w:val="center"/>
      </w:pPr>
      <w:r>
        <w:rPr>
          <w:rFonts w:ascii="Times New Roman" w:hAnsi="Times New Roman" w:eastAsia="黑体"/>
          <w:b/>
          <w:sz w:val="32"/>
        </w:rPr>
        <w:t>八、实证分析Ⅲ：共富型发展的多元组态路径——基于31个省份的fsQCA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五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校准采用直接校准法，以样本95%、50%、5%分位数分别作为完全隶属、交叉点与完全不隶属锚点，隶属度恰为0.5的案例调整为0.501以避免其在真值表分析中被剔除。各变量校准锚点如表5所示。</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变量</w:t>
            </w:r>
          </w:p>
        </w:tc>
        <w:tc>
          <w:tcPr>
            <w:tcW w:type="dxa" w:w="2160"/>
          </w:tcPr>
          <w:p>
            <w:pPr>
              <w:jc w:val="center"/>
            </w:pPr>
            <w:r/>
            <w:r>
              <w:rPr>
                <w:rFonts w:ascii="Times New Roman" w:hAnsi="Times New Roman" w:eastAsia="宋体"/>
                <w:b/>
                <w:sz w:val="21"/>
              </w:rPr>
              <w:t>完全隶属(95%)</w:t>
            </w:r>
          </w:p>
        </w:tc>
        <w:tc>
          <w:tcPr>
            <w:tcW w:type="dxa" w:w="2160"/>
          </w:tcPr>
          <w:p>
            <w:pPr>
              <w:jc w:val="center"/>
            </w:pPr>
            <w:r/>
            <w:r>
              <w:rPr>
                <w:rFonts w:ascii="Times New Roman" w:hAnsi="Times New Roman" w:eastAsia="宋体"/>
                <w:b/>
                <w:sz w:val="21"/>
              </w:rPr>
              <w:t>交叉点(50%)</w:t>
            </w:r>
          </w:p>
        </w:tc>
        <w:tc>
          <w:tcPr>
            <w:tcW w:type="dxa" w:w="2160"/>
          </w:tcPr>
          <w:p>
            <w:pPr>
              <w:jc w:val="center"/>
            </w:pPr>
            <w:r/>
            <w:r>
              <w:rPr>
                <w:rFonts w:ascii="Times New Roman" w:hAnsi="Times New Roman" w:eastAsia="宋体"/>
                <w:b/>
                <w:sz w:val="21"/>
              </w:rPr>
              <w:t>完全不隶属(5%)</w:t>
            </w:r>
          </w:p>
        </w:tc>
      </w:tr>
      <w:tr>
        <w:tc>
          <w:tcPr>
            <w:tcW w:type="dxa" w:w="2160"/>
          </w:tcPr>
          <w:p>
            <w:pPr>
              <w:jc w:val="center"/>
            </w:pPr>
            <w:r/>
            <w:r>
              <w:rPr>
                <w:rFonts w:ascii="Times New Roman" w:hAnsi="Times New Roman" w:eastAsia="宋体"/>
                <w:b w:val="0"/>
                <w:sz w:val="21"/>
              </w:rPr>
              <w:t>共富绩效指数</w:t>
            </w:r>
          </w:p>
        </w:tc>
        <w:tc>
          <w:tcPr>
            <w:tcW w:type="dxa" w:w="2160"/>
          </w:tcPr>
          <w:p>
            <w:pPr>
              <w:jc w:val="center"/>
            </w:pPr>
            <w:r/>
            <w:r>
              <w:rPr>
                <w:rFonts w:ascii="Times New Roman" w:hAnsi="Times New Roman" w:eastAsia="宋体"/>
                <w:b w:val="0"/>
                <w:sz w:val="21"/>
              </w:rPr>
              <w:t>0.792</w:t>
            </w:r>
          </w:p>
        </w:tc>
        <w:tc>
          <w:tcPr>
            <w:tcW w:type="dxa" w:w="2160"/>
          </w:tcPr>
          <w:p>
            <w:pPr>
              <w:jc w:val="center"/>
            </w:pPr>
            <w:r/>
            <w:r>
              <w:rPr>
                <w:rFonts w:ascii="Times New Roman" w:hAnsi="Times New Roman" w:eastAsia="宋体"/>
                <w:b w:val="0"/>
                <w:sz w:val="21"/>
              </w:rPr>
              <w:t>0.242</w:t>
            </w:r>
          </w:p>
        </w:tc>
        <w:tc>
          <w:tcPr>
            <w:tcW w:type="dxa" w:w="2160"/>
          </w:tcPr>
          <w:p>
            <w:pPr>
              <w:jc w:val="center"/>
            </w:pPr>
            <w:r/>
            <w:r>
              <w:rPr>
                <w:rFonts w:ascii="Times New Roman" w:hAnsi="Times New Roman" w:eastAsia="宋体"/>
                <w:b w:val="0"/>
                <w:sz w:val="21"/>
              </w:rPr>
              <w:t>0.073</w:t>
            </w:r>
          </w:p>
        </w:tc>
      </w:tr>
      <w:tr>
        <w:tc>
          <w:tcPr>
            <w:tcW w:type="dxa" w:w="2160"/>
          </w:tcPr>
          <w:p>
            <w:pPr>
              <w:jc w:val="center"/>
            </w:pPr>
            <w:r/>
            <w:r>
              <w:rPr>
                <w:rFonts w:ascii="Times New Roman" w:hAnsi="Times New Roman" w:eastAsia="宋体"/>
                <w:b w:val="0"/>
                <w:sz w:val="21"/>
              </w:rPr>
              <w:t>创新投入强度</w:t>
            </w:r>
          </w:p>
        </w:tc>
        <w:tc>
          <w:tcPr>
            <w:tcW w:type="dxa" w:w="2160"/>
          </w:tcPr>
          <w:p>
            <w:pPr>
              <w:jc w:val="center"/>
            </w:pPr>
            <w:r/>
            <w:r>
              <w:rPr>
                <w:rFonts w:ascii="Times New Roman" w:hAnsi="Times New Roman" w:eastAsia="宋体"/>
                <w:b w:val="0"/>
                <w:sz w:val="21"/>
              </w:rPr>
              <w:t>3.96</w:t>
            </w:r>
          </w:p>
        </w:tc>
        <w:tc>
          <w:tcPr>
            <w:tcW w:type="dxa" w:w="2160"/>
          </w:tcPr>
          <w:p>
            <w:pPr>
              <w:jc w:val="center"/>
            </w:pPr>
            <w:r/>
            <w:r>
              <w:rPr>
                <w:rFonts w:ascii="Times New Roman" w:hAnsi="Times New Roman" w:eastAsia="宋体"/>
                <w:b w:val="0"/>
                <w:sz w:val="21"/>
              </w:rPr>
              <w:t>2.08</w:t>
            </w:r>
          </w:p>
        </w:tc>
        <w:tc>
          <w:tcPr>
            <w:tcW w:type="dxa" w:w="2160"/>
          </w:tcPr>
          <w:p>
            <w:pPr>
              <w:jc w:val="center"/>
            </w:pPr>
            <w:r/>
            <w:r>
              <w:rPr>
                <w:rFonts w:ascii="Times New Roman" w:hAnsi="Times New Roman" w:eastAsia="宋体"/>
                <w:b w:val="0"/>
                <w:sz w:val="21"/>
              </w:rPr>
              <w:t>0.70</w:t>
            </w:r>
          </w:p>
        </w:tc>
      </w:tr>
      <w:tr>
        <w:tc>
          <w:tcPr>
            <w:tcW w:type="dxa" w:w="2160"/>
          </w:tcPr>
          <w:p>
            <w:pPr>
              <w:jc w:val="center"/>
            </w:pPr>
            <w:r/>
            <w:r>
              <w:rPr>
                <w:rFonts w:ascii="Times New Roman" w:hAnsi="Times New Roman" w:eastAsia="宋体"/>
                <w:b w:val="0"/>
                <w:sz w:val="21"/>
              </w:rPr>
              <w:t>数字普惠金融</w:t>
            </w:r>
          </w:p>
        </w:tc>
        <w:tc>
          <w:tcPr>
            <w:tcW w:type="dxa" w:w="2160"/>
          </w:tcPr>
          <w:p>
            <w:pPr>
              <w:jc w:val="center"/>
            </w:pPr>
            <w:r/>
            <w:r>
              <w:rPr>
                <w:rFonts w:ascii="Times New Roman" w:hAnsi="Times New Roman" w:eastAsia="宋体"/>
                <w:b w:val="0"/>
                <w:sz w:val="21"/>
              </w:rPr>
              <w:t>458.71</w:t>
            </w:r>
          </w:p>
        </w:tc>
        <w:tc>
          <w:tcPr>
            <w:tcW w:type="dxa" w:w="2160"/>
          </w:tcPr>
          <w:p>
            <w:pPr>
              <w:jc w:val="center"/>
            </w:pPr>
            <w:r/>
            <w:r>
              <w:rPr>
                <w:rFonts w:ascii="Times New Roman" w:hAnsi="Times New Roman" w:eastAsia="宋体"/>
                <w:b w:val="0"/>
                <w:sz w:val="21"/>
              </w:rPr>
              <w:t>384.24</w:t>
            </w:r>
          </w:p>
        </w:tc>
        <w:tc>
          <w:tcPr>
            <w:tcW w:type="dxa" w:w="2160"/>
          </w:tcPr>
          <w:p>
            <w:pPr>
              <w:jc w:val="center"/>
            </w:pPr>
            <w:r/>
            <w:r>
              <w:rPr>
                <w:rFonts w:ascii="Times New Roman" w:hAnsi="Times New Roman" w:eastAsia="宋体"/>
                <w:b w:val="0"/>
                <w:sz w:val="21"/>
              </w:rPr>
              <w:t>357.91</w:t>
            </w:r>
          </w:p>
        </w:tc>
      </w:tr>
      <w:tr>
        <w:tc>
          <w:tcPr>
            <w:tcW w:type="dxa" w:w="2160"/>
          </w:tcPr>
          <w:p>
            <w:pPr>
              <w:jc w:val="center"/>
            </w:pPr>
            <w:r/>
            <w:r>
              <w:rPr>
                <w:rFonts w:ascii="Times New Roman" w:hAnsi="Times New Roman" w:eastAsia="宋体"/>
                <w:b w:val="0"/>
                <w:sz w:val="21"/>
              </w:rPr>
              <w:t>人力资本水平</w:t>
            </w:r>
          </w:p>
        </w:tc>
        <w:tc>
          <w:tcPr>
            <w:tcW w:type="dxa" w:w="2160"/>
          </w:tcPr>
          <w:p>
            <w:pPr>
              <w:jc w:val="center"/>
            </w:pPr>
            <w:r/>
            <w:r>
              <w:rPr>
                <w:rFonts w:ascii="Times New Roman" w:hAnsi="Times New Roman" w:eastAsia="宋体"/>
                <w:b w:val="0"/>
                <w:sz w:val="21"/>
              </w:rPr>
              <w:t>30406</w:t>
            </w:r>
          </w:p>
        </w:tc>
        <w:tc>
          <w:tcPr>
            <w:tcW w:type="dxa" w:w="2160"/>
          </w:tcPr>
          <w:p>
            <w:pPr>
              <w:jc w:val="center"/>
            </w:pPr>
            <w:r/>
            <w:r>
              <w:rPr>
                <w:rFonts w:ascii="Times New Roman" w:hAnsi="Times New Roman" w:eastAsia="宋体"/>
                <w:b w:val="0"/>
                <w:sz w:val="21"/>
              </w:rPr>
              <w:t>14880</w:t>
            </w:r>
          </w:p>
        </w:tc>
        <w:tc>
          <w:tcPr>
            <w:tcW w:type="dxa" w:w="2160"/>
          </w:tcPr>
          <w:p>
            <w:pPr>
              <w:jc w:val="center"/>
            </w:pPr>
            <w:r/>
            <w:r>
              <w:rPr>
                <w:rFonts w:ascii="Times New Roman" w:hAnsi="Times New Roman" w:eastAsia="宋体"/>
                <w:b w:val="0"/>
                <w:sz w:val="21"/>
              </w:rPr>
              <w:t>10986</w:t>
            </w:r>
          </w:p>
        </w:tc>
      </w:tr>
      <w:tr>
        <w:tc>
          <w:tcPr>
            <w:tcW w:type="dxa" w:w="2160"/>
          </w:tcPr>
          <w:p>
            <w:pPr>
              <w:jc w:val="center"/>
            </w:pPr>
            <w:r/>
            <w:r>
              <w:rPr>
                <w:rFonts w:ascii="Times New Roman" w:hAnsi="Times New Roman" w:eastAsia="宋体"/>
                <w:b w:val="0"/>
                <w:sz w:val="21"/>
              </w:rPr>
              <w:t>民营经济活力</w:t>
            </w:r>
          </w:p>
        </w:tc>
        <w:tc>
          <w:tcPr>
            <w:tcW w:type="dxa" w:w="2160"/>
          </w:tcPr>
          <w:p>
            <w:pPr>
              <w:jc w:val="center"/>
            </w:pPr>
            <w:r/>
            <w:r>
              <w:rPr>
                <w:rFonts w:ascii="Times New Roman" w:hAnsi="Times New Roman" w:eastAsia="宋体"/>
                <w:b w:val="0"/>
                <w:sz w:val="21"/>
              </w:rPr>
              <w:t>70.5</w:t>
            </w:r>
          </w:p>
        </w:tc>
        <w:tc>
          <w:tcPr>
            <w:tcW w:type="dxa" w:w="2160"/>
          </w:tcPr>
          <w:p>
            <w:pPr>
              <w:jc w:val="center"/>
            </w:pPr>
            <w:r/>
            <w:r>
              <w:rPr>
                <w:rFonts w:ascii="Times New Roman" w:hAnsi="Times New Roman" w:eastAsia="宋体"/>
                <w:b w:val="0"/>
                <w:sz w:val="21"/>
              </w:rPr>
              <w:t>5.0</w:t>
            </w:r>
          </w:p>
        </w:tc>
        <w:tc>
          <w:tcPr>
            <w:tcW w:type="dxa" w:w="2160"/>
          </w:tcPr>
          <w:p>
            <w:pPr>
              <w:jc w:val="center"/>
            </w:pPr>
            <w:r/>
            <w:r>
              <w:rPr>
                <w:rFonts w:ascii="Times New Roman" w:hAnsi="Times New Roman" w:eastAsia="宋体"/>
                <w:b w:val="0"/>
                <w:sz w:val="21"/>
              </w:rPr>
              <w:t>0.0</w:t>
            </w:r>
          </w:p>
        </w:tc>
      </w:tr>
      <w:tr>
        <w:tc>
          <w:tcPr>
            <w:tcW w:type="dxa" w:w="2160"/>
          </w:tcPr>
          <w:p>
            <w:pPr>
              <w:jc w:val="center"/>
            </w:pPr>
            <w:r/>
            <w:r>
              <w:rPr>
                <w:rFonts w:ascii="Times New Roman" w:hAnsi="Times New Roman" w:eastAsia="宋体"/>
                <w:b w:val="0"/>
                <w:sz w:val="21"/>
              </w:rPr>
              <w:t>城镇化水平</w:t>
            </w:r>
          </w:p>
        </w:tc>
        <w:tc>
          <w:tcPr>
            <w:tcW w:type="dxa" w:w="2160"/>
          </w:tcPr>
          <w:p>
            <w:pPr>
              <w:jc w:val="center"/>
            </w:pPr>
            <w:r/>
            <w:r>
              <w:rPr>
                <w:rFonts w:ascii="Times New Roman" w:hAnsi="Times New Roman" w:eastAsia="宋体"/>
                <w:b w:val="0"/>
                <w:sz w:val="21"/>
              </w:rPr>
              <w:t>87.11</w:t>
            </w:r>
          </w:p>
        </w:tc>
        <w:tc>
          <w:tcPr>
            <w:tcW w:type="dxa" w:w="2160"/>
          </w:tcPr>
          <w:p>
            <w:pPr>
              <w:jc w:val="center"/>
            </w:pPr>
            <w:r/>
            <w:r>
              <w:rPr>
                <w:rFonts w:ascii="Times New Roman" w:hAnsi="Times New Roman" w:eastAsia="宋体"/>
                <w:b w:val="0"/>
                <w:sz w:val="21"/>
              </w:rPr>
              <w:t>66.14</w:t>
            </w:r>
          </w:p>
        </w:tc>
        <w:tc>
          <w:tcPr>
            <w:tcW w:type="dxa" w:w="2160"/>
          </w:tcPr>
          <w:p>
            <w:pPr>
              <w:jc w:val="center"/>
            </w:pPr>
            <w:r/>
            <w:r>
              <w:rPr>
                <w:rFonts w:ascii="Times New Roman" w:hAnsi="Times New Roman" w:eastAsia="宋体"/>
                <w:b w:val="0"/>
                <w:sz w:val="21"/>
              </w:rPr>
              <w:t>55.38</w:t>
            </w:r>
          </w:p>
        </w:tc>
      </w:tr>
    </w:tbl>
    <w:p>
      <w:pPr>
        <w:spacing w:after="0"/>
      </w:pP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组态分析之前，须先检验各单一条件是否构成结果的必要条件，判定门槛通常为一致性0.9。检验结果如表6所示。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高共富绩效</w:t>
            </w:r>
          </w:p>
        </w:tc>
        <w:tc>
          <w:tcPr>
            <w:tcW w:type="dxa" w:w="2880"/>
          </w:tcPr>
          <w:p>
            <w:pPr>
              <w:jc w:val="center"/>
            </w:pPr>
            <w:r/>
            <w:r>
              <w:rPr>
                <w:rFonts w:ascii="Times New Roman" w:hAnsi="Times New Roman" w:eastAsia="宋体"/>
                <w:b/>
                <w:sz w:val="21"/>
              </w:rPr>
              <w:t>非高共富绩效</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0.845/0.846</w:t>
            </w:r>
          </w:p>
        </w:tc>
        <w:tc>
          <w:tcPr>
            <w:tcW w:type="dxa" w:w="2880"/>
          </w:tcPr>
          <w:p>
            <w:pPr>
              <w:jc w:val="center"/>
            </w:pPr>
            <w:r/>
            <w:r>
              <w:rPr>
                <w:rFonts w:ascii="Times New Roman" w:hAnsi="Times New Roman" w:eastAsia="宋体"/>
                <w:b w:val="0"/>
                <w:sz w:val="21"/>
              </w:rPr>
              <w:t>0.470/0.556</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0.556/0.470</w:t>
            </w:r>
          </w:p>
        </w:tc>
        <w:tc>
          <w:tcPr>
            <w:tcW w:type="dxa" w:w="2880"/>
          </w:tcPr>
          <w:p>
            <w:pPr>
              <w:jc w:val="center"/>
            </w:pPr>
            <w:r/>
            <w:r>
              <w:rPr>
                <w:rFonts w:ascii="Times New Roman" w:hAnsi="Times New Roman" w:eastAsia="宋体"/>
                <w:b w:val="0"/>
                <w:sz w:val="21"/>
              </w:rPr>
              <w:t>0.869/0.869</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0.871/0.843</w:t>
            </w:r>
          </w:p>
        </w:tc>
        <w:tc>
          <w:tcPr>
            <w:tcW w:type="dxa" w:w="2880"/>
          </w:tcPr>
          <w:p>
            <w:pPr>
              <w:jc w:val="center"/>
            </w:pPr>
            <w:r/>
            <w:r>
              <w:rPr>
                <w:rFonts w:ascii="Times New Roman" w:hAnsi="Times New Roman" w:eastAsia="宋体"/>
                <w:b w:val="0"/>
                <w:sz w:val="21"/>
              </w:rPr>
              <w:t>0.494/0.566</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0.551/0.480</w:t>
            </w:r>
          </w:p>
        </w:tc>
        <w:tc>
          <w:tcPr>
            <w:tcW w:type="dxa" w:w="2880"/>
          </w:tcPr>
          <w:p>
            <w:pPr>
              <w:jc w:val="center"/>
            </w:pPr>
            <w:r/>
            <w:r>
              <w:rPr>
                <w:rFonts w:ascii="Times New Roman" w:hAnsi="Times New Roman" w:eastAsia="宋体"/>
                <w:b w:val="0"/>
                <w:sz w:val="21"/>
              </w:rPr>
              <w:t>0.863/0.888</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0.753/0.779</w:t>
            </w:r>
          </w:p>
        </w:tc>
        <w:tc>
          <w:tcPr>
            <w:tcW w:type="dxa" w:w="2880"/>
          </w:tcPr>
          <w:p>
            <w:pPr>
              <w:jc w:val="center"/>
            </w:pPr>
            <w:r/>
            <w:r>
              <w:rPr>
                <w:rFonts w:ascii="Times New Roman" w:hAnsi="Times New Roman" w:eastAsia="宋体"/>
                <w:b w:val="0"/>
                <w:sz w:val="21"/>
              </w:rPr>
              <w:t>0.541/0.662</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0.673/0.554</w:t>
            </w:r>
          </w:p>
        </w:tc>
        <w:tc>
          <w:tcPr>
            <w:tcW w:type="dxa" w:w="2880"/>
          </w:tcPr>
          <w:p>
            <w:pPr>
              <w:jc w:val="center"/>
            </w:pPr>
            <w:r/>
            <w:r>
              <w:rPr>
                <w:rFonts w:ascii="Times New Roman" w:hAnsi="Times New Roman" w:eastAsia="宋体"/>
                <w:b w:val="0"/>
                <w:sz w:val="21"/>
              </w:rPr>
              <w:t>0.819/0.797</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0.810/0.842</w:t>
            </w:r>
          </w:p>
        </w:tc>
        <w:tc>
          <w:tcPr>
            <w:tcW w:type="dxa" w:w="2880"/>
          </w:tcPr>
          <w:p>
            <w:pPr>
              <w:jc w:val="center"/>
            </w:pPr>
            <w:r/>
            <w:r>
              <w:rPr>
                <w:rFonts w:ascii="Times New Roman" w:hAnsi="Times New Roman" w:eastAsia="宋体"/>
                <w:b w:val="0"/>
                <w:sz w:val="21"/>
              </w:rPr>
              <w:t>0.490/0.601</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0.616/0.505</w:t>
            </w:r>
          </w:p>
        </w:tc>
        <w:tc>
          <w:tcPr>
            <w:tcW w:type="dxa" w:w="2880"/>
          </w:tcPr>
          <w:p>
            <w:pPr>
              <w:jc w:val="center"/>
            </w:pPr>
            <w:r/>
            <w:r>
              <w:rPr>
                <w:rFonts w:ascii="Times New Roman" w:hAnsi="Times New Roman" w:eastAsia="宋体"/>
                <w:b w:val="0"/>
                <w:sz w:val="21"/>
              </w:rPr>
              <w:t>0.871/0.844</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0.851/0.850</w:t>
            </w:r>
          </w:p>
        </w:tc>
        <w:tc>
          <w:tcPr>
            <w:tcW w:type="dxa" w:w="2880"/>
          </w:tcPr>
          <w:p>
            <w:pPr>
              <w:jc w:val="center"/>
            </w:pPr>
            <w:r/>
            <w:r>
              <w:rPr>
                <w:rFonts w:ascii="Times New Roman" w:hAnsi="Times New Roman" w:eastAsia="宋体"/>
                <w:b w:val="0"/>
                <w:sz w:val="21"/>
              </w:rPr>
              <w:t>0.497/0.586</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0.586/0.496</w:t>
            </w:r>
          </w:p>
        </w:tc>
        <w:tc>
          <w:tcPr>
            <w:tcW w:type="dxa" w:w="2880"/>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表6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7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S1</w:t>
            </w:r>
          </w:p>
        </w:tc>
        <w:tc>
          <w:tcPr>
            <w:tcW w:type="dxa" w:w="2880"/>
          </w:tcPr>
          <w:p>
            <w:pPr>
              <w:jc w:val="center"/>
            </w:pPr>
            <w:r/>
            <w:r>
              <w:rPr>
                <w:rFonts w:ascii="Times New Roman" w:hAnsi="Times New Roman" w:eastAsia="宋体"/>
                <w:b/>
                <w:sz w:val="21"/>
              </w:rPr>
              <w:t>S2</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w:t>
            </w:r>
          </w:p>
        </w:tc>
        <w:tc>
          <w:tcPr>
            <w:tcW w:type="dxa" w:w="2880"/>
          </w:tcPr>
          <w:p>
            <w:pPr>
              <w:jc w:val="center"/>
            </w:pPr>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一致性</w:t>
            </w:r>
          </w:p>
        </w:tc>
        <w:tc>
          <w:tcPr>
            <w:tcW w:type="dxa" w:w="2880"/>
          </w:tcPr>
          <w:p>
            <w:pPr>
              <w:jc w:val="center"/>
            </w:pPr>
            <w:r/>
            <w:r>
              <w:rPr>
                <w:rFonts w:ascii="Times New Roman" w:hAnsi="Times New Roman" w:eastAsia="宋体"/>
                <w:b w:val="0"/>
                <w:sz w:val="21"/>
              </w:rPr>
              <w:t>0.956</w:t>
            </w:r>
          </w:p>
        </w:tc>
        <w:tc>
          <w:tcPr>
            <w:tcW w:type="dxa" w:w="2880"/>
          </w:tcPr>
          <w:p>
            <w:pPr>
              <w:jc w:val="center"/>
            </w:pPr>
            <w:r/>
            <w:r>
              <w:rPr>
                <w:rFonts w:ascii="Times New Roman" w:hAnsi="Times New Roman" w:eastAsia="宋体"/>
                <w:b w:val="0"/>
                <w:sz w:val="21"/>
              </w:rPr>
              <w:t>0.980</w:t>
            </w:r>
          </w:p>
        </w:tc>
      </w:tr>
      <w:tr>
        <w:tc>
          <w:tcPr>
            <w:tcW w:type="dxa" w:w="2880"/>
          </w:tcPr>
          <w:p>
            <w:pPr>
              <w:jc w:val="center"/>
            </w:pPr>
            <w:r/>
            <w:r>
              <w:rPr>
                <w:rFonts w:ascii="Times New Roman" w:hAnsi="Times New Roman" w:eastAsia="宋体"/>
                <w:b w:val="0"/>
                <w:sz w:val="21"/>
              </w:rPr>
              <w:t>原始覆盖度</w:t>
            </w:r>
          </w:p>
        </w:tc>
        <w:tc>
          <w:tcPr>
            <w:tcW w:type="dxa" w:w="2880"/>
          </w:tcPr>
          <w:p>
            <w:pPr>
              <w:jc w:val="center"/>
            </w:pPr>
            <w:r/>
            <w:r>
              <w:rPr>
                <w:rFonts w:ascii="Times New Roman" w:hAnsi="Times New Roman" w:eastAsia="宋体"/>
                <w:b w:val="0"/>
                <w:sz w:val="21"/>
              </w:rPr>
              <w:t>0.605</w:t>
            </w:r>
          </w:p>
        </w:tc>
        <w:tc>
          <w:tcPr>
            <w:tcW w:type="dxa" w:w="2880"/>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11所示。</w:t>
      </w:r>
    </w:p>
    <w:p>
      <w:pPr>
        <w:spacing w:before="120"/>
        <w:jc w:val="center"/>
      </w:pPr>
      <w:r>
        <w:drawing>
          <wp:inline xmlns:a="http://schemas.openxmlformats.org/drawingml/2006/main" xmlns:pic="http://schemas.openxmlformats.org/drawingml/2006/picture">
            <wp:extent cx="5400000" cy="2235647"/>
            <wp:docPr id="11" name="Picture 11"/>
            <wp:cNvGraphicFramePr>
              <a:graphicFrameLocks noChangeAspect="1"/>
            </wp:cNvGraphicFramePr>
            <a:graphic>
              <a:graphicData uri="http://schemas.openxmlformats.org/drawingml/2006/picture">
                <pic:pic>
                  <pic:nvPicPr>
                    <pic:cNvPr id="0" name="fig11_qca.png"/>
                    <pic:cNvPicPr/>
                  </pic:nvPicPr>
                  <pic:blipFill>
                    <a:blip r:embed="rId19"/>
                    <a:stretch>
                      <a:fillRect/>
                    </a:stretch>
                  </pic:blipFill>
                  <pic:spPr>
                    <a:xfrm>
                      <a:off x="0" y="0"/>
                      <a:ext cx="5400000" cy="2235647"/>
                    </a:xfrm>
                    <a:prstGeom prst="rect"/>
                  </pic:spPr>
                </pic:pic>
              </a:graphicData>
            </a:graphic>
          </wp:inline>
        </w:drawing>
      </w:r>
    </w:p>
    <w:p>
      <w:pPr>
        <w:spacing w:after="80"/>
        <w:jc w:val="center"/>
      </w:pPr>
      <w:r>
        <w:rPr>
          <w:rFonts w:ascii="Times New Roman" w:hAnsi="Times New Roman" w:eastAsia="黑体"/>
          <w:b/>
          <w:sz w:val="21"/>
        </w:rPr>
        <w:t xml:space="preserve">图11　</w:t>
      </w:r>
      <w:r>
        <w:rPr>
          <w:rFonts w:ascii="Times New Roman" w:hAnsi="Times New Roman" w:eastAsia="宋体"/>
          <w:b w:val="0"/>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宋体"/>
                <w:b/>
                <w:sz w:val="21"/>
              </w:rPr>
              <w:t>条件</w:t>
            </w:r>
          </w:p>
        </w:tc>
        <w:tc>
          <w:tcPr>
            <w:tcW w:type="dxa" w:w="1728"/>
          </w:tcPr>
          <w:p>
            <w:pPr>
              <w:jc w:val="center"/>
            </w:pPr>
            <w:r/>
            <w:r>
              <w:rPr>
                <w:rFonts w:ascii="Times New Roman" w:hAnsi="Times New Roman" w:eastAsia="宋体"/>
                <w:b/>
                <w:sz w:val="21"/>
              </w:rPr>
              <w:t>N1</w:t>
            </w:r>
          </w:p>
        </w:tc>
        <w:tc>
          <w:tcPr>
            <w:tcW w:type="dxa" w:w="1728"/>
          </w:tcPr>
          <w:p>
            <w:pPr>
              <w:jc w:val="center"/>
            </w:pPr>
            <w:r/>
            <w:r>
              <w:rPr>
                <w:rFonts w:ascii="Times New Roman" w:hAnsi="Times New Roman" w:eastAsia="宋体"/>
                <w:b/>
                <w:sz w:val="21"/>
              </w:rPr>
              <w:t>N2</w:t>
            </w:r>
          </w:p>
        </w:tc>
        <w:tc>
          <w:tcPr>
            <w:tcW w:type="dxa" w:w="1728"/>
          </w:tcPr>
          <w:p>
            <w:pPr>
              <w:jc w:val="center"/>
            </w:pPr>
            <w:r/>
            <w:r>
              <w:rPr>
                <w:rFonts w:ascii="Times New Roman" w:hAnsi="Times New Roman" w:eastAsia="宋体"/>
                <w:b/>
                <w:sz w:val="21"/>
              </w:rPr>
              <w:t>N3</w:t>
            </w:r>
          </w:p>
        </w:tc>
        <w:tc>
          <w:tcPr>
            <w:tcW w:type="dxa" w:w="1728"/>
          </w:tcPr>
          <w:p>
            <w:pPr>
              <w:jc w:val="center"/>
            </w:pPr>
            <w:r/>
            <w:r>
              <w:rPr>
                <w:rFonts w:ascii="Times New Roman" w:hAnsi="Times New Roman" w:eastAsia="宋体"/>
                <w:b/>
                <w:sz w:val="21"/>
              </w:rPr>
              <w:t>N4</w:t>
            </w:r>
          </w:p>
        </w:tc>
      </w:tr>
      <w:tr>
        <w:tc>
          <w:tcPr>
            <w:tcW w:type="dxa" w:w="1728"/>
          </w:tcPr>
          <w:p>
            <w:pPr>
              <w:jc w:val="center"/>
            </w:pPr>
            <w:r/>
            <w:r>
              <w:rPr>
                <w:rFonts w:ascii="Times New Roman" w:hAnsi="Times New Roman" w:eastAsia="宋体"/>
                <w:b w:val="0"/>
                <w:sz w:val="21"/>
              </w:rPr>
              <w:t>创新投入强度</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数字普惠金融</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人力资本水平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民营经济活力</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城镇化水平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一致性</w:t>
            </w:r>
          </w:p>
        </w:tc>
        <w:tc>
          <w:tcPr>
            <w:tcW w:type="dxa" w:w="1728"/>
          </w:tcPr>
          <w:p>
            <w:pPr>
              <w:jc w:val="center"/>
            </w:pPr>
            <w:r/>
            <w:r>
              <w:rPr>
                <w:rFonts w:ascii="Times New Roman" w:hAnsi="Times New Roman" w:eastAsia="宋体"/>
                <w:b w:val="0"/>
                <w:sz w:val="21"/>
              </w:rPr>
              <w:t>0.965</w:t>
            </w:r>
          </w:p>
        </w:tc>
        <w:tc>
          <w:tcPr>
            <w:tcW w:type="dxa" w:w="1728"/>
          </w:tcPr>
          <w:p>
            <w:pPr>
              <w:jc w:val="center"/>
            </w:pPr>
            <w:r/>
            <w:r>
              <w:rPr>
                <w:rFonts w:ascii="Times New Roman" w:hAnsi="Times New Roman" w:eastAsia="宋体"/>
                <w:b w:val="0"/>
                <w:sz w:val="21"/>
              </w:rPr>
              <w:t>0.957</w:t>
            </w:r>
          </w:p>
        </w:tc>
        <w:tc>
          <w:tcPr>
            <w:tcW w:type="dxa" w:w="1728"/>
          </w:tcPr>
          <w:p>
            <w:pPr>
              <w:jc w:val="center"/>
            </w:pPr>
            <w:r/>
            <w:r>
              <w:rPr>
                <w:rFonts w:ascii="Times New Roman" w:hAnsi="Times New Roman" w:eastAsia="宋体"/>
                <w:b w:val="0"/>
                <w:sz w:val="21"/>
              </w:rPr>
              <w:t>0.959</w:t>
            </w:r>
          </w:p>
        </w:tc>
        <w:tc>
          <w:tcPr>
            <w:tcW w:type="dxa" w:w="1728"/>
          </w:tcPr>
          <w:p>
            <w:pPr>
              <w:jc w:val="center"/>
            </w:pPr>
            <w:r/>
            <w:r>
              <w:rPr>
                <w:rFonts w:ascii="Times New Roman" w:hAnsi="Times New Roman" w:eastAsia="宋体"/>
                <w:b w:val="0"/>
                <w:sz w:val="21"/>
              </w:rPr>
              <w:t>0.990</w:t>
            </w:r>
          </w:p>
        </w:tc>
      </w:tr>
      <w:tr>
        <w:tc>
          <w:tcPr>
            <w:tcW w:type="dxa" w:w="1728"/>
          </w:tcPr>
          <w:p>
            <w:pPr>
              <w:jc w:val="center"/>
            </w:pPr>
            <w:r/>
            <w:r>
              <w:rPr>
                <w:rFonts w:ascii="Times New Roman" w:hAnsi="Times New Roman" w:eastAsia="宋体"/>
                <w:b w:val="0"/>
                <w:sz w:val="21"/>
              </w:rPr>
              <w:t>原始覆盖度</w:t>
            </w:r>
          </w:p>
        </w:tc>
        <w:tc>
          <w:tcPr>
            <w:tcW w:type="dxa" w:w="1728"/>
          </w:tcPr>
          <w:p>
            <w:pPr>
              <w:jc w:val="center"/>
            </w:pPr>
            <w:r/>
            <w:r>
              <w:rPr>
                <w:rFonts w:ascii="Times New Roman" w:hAnsi="Times New Roman" w:eastAsia="宋体"/>
                <w:b w:val="0"/>
                <w:sz w:val="21"/>
              </w:rPr>
              <w:t>0.387</w:t>
            </w:r>
          </w:p>
        </w:tc>
        <w:tc>
          <w:tcPr>
            <w:tcW w:type="dxa" w:w="1728"/>
          </w:tcPr>
          <w:p>
            <w:pPr>
              <w:jc w:val="center"/>
            </w:pPr>
            <w:r/>
            <w:r>
              <w:rPr>
                <w:rFonts w:ascii="Times New Roman" w:hAnsi="Times New Roman" w:eastAsia="宋体"/>
                <w:b w:val="0"/>
                <w:sz w:val="21"/>
              </w:rPr>
              <w:t>0.279</w:t>
            </w:r>
          </w:p>
        </w:tc>
        <w:tc>
          <w:tcPr>
            <w:tcW w:type="dxa" w:w="1728"/>
          </w:tcPr>
          <w:p>
            <w:pPr>
              <w:jc w:val="center"/>
            </w:pPr>
            <w:r/>
            <w:r>
              <w:rPr>
                <w:rFonts w:ascii="Times New Roman" w:hAnsi="Times New Roman" w:eastAsia="宋体"/>
                <w:b w:val="0"/>
                <w:sz w:val="21"/>
              </w:rPr>
              <w:t>0.779</w:t>
            </w:r>
          </w:p>
        </w:tc>
        <w:tc>
          <w:tcPr>
            <w:tcW w:type="dxa" w:w="1728"/>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注：符号含义同表7。非高共富绩效总体解一致性0.943、总体覆盖度0.869。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七章测得的</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七章的时序证据形成互证。结合第六、七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亦为下一章“十五五”路径设计提供了实证依据。</w:t>
      </w:r>
    </w:p>
    <w:p>
      <w:pPr>
        <w:spacing w:line="360" w:lineRule="auto" w:after="160"/>
        <w:jc w:val="center"/>
      </w:pPr>
      <w:r>
        <w:rPr>
          <w:rFonts w:ascii="Times New Roman" w:hAnsi="Times New Roman" w:eastAsia="黑体"/>
          <w:b/>
          <w:sz w:val="32"/>
        </w:rPr>
        <w:t>九、“十五五”路径：深化共富型新质生产力发展的浙江方略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）的耦合协调度（</w:t>
      </w:r>
      <m:oMath>
        <m:r>
          <w:rPr>
            <w:rFonts w:ascii="Cambria Math" w:hAnsi="Cambria Math"/>
          </w:rPr>
          <m:t xml:space="preserve">D</m:t>
        </m:r>
      </m:oMath>
      <w:r>
        <w:rPr>
          <w:rFonts w:ascii="Times New Roman" w:hAnsi="Times New Roman" w:eastAsia="宋体"/>
          <w:b w:val="0"/>
          <w:sz w:val="24"/>
        </w:rPr>
        <w:t>）已由2015年的0.345（轻度失调）跃升至2024年的0.902（优质协调），2024年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12所示。</w:t>
      </w:r>
    </w:p>
    <w:p>
      <w:pPr>
        <w:spacing w:before="120"/>
        <w:jc w:val="center"/>
      </w:pPr>
      <w:r>
        <w:drawing>
          <wp:inline xmlns:a="http://schemas.openxmlformats.org/drawingml/2006/main" xmlns:pic="http://schemas.openxmlformats.org/drawingml/2006/picture">
            <wp:extent cx="5038343" cy="2881579"/>
            <wp:docPr id="12" name="Picture 12"/>
            <wp:cNvGraphicFramePr>
              <a:graphicFrameLocks noChangeAspect="1"/>
            </wp:cNvGraphicFramePr>
            <a:graphic>
              <a:graphicData uri="http://schemas.openxmlformats.org/drawingml/2006/picture">
                <pic:pic>
                  <pic:nvPicPr>
                    <pic:cNvPr id="0" name="fig12_roadmap.png"/>
                    <pic:cNvPicPr/>
                  </pic:nvPicPr>
                  <pic:blipFill>
                    <a:blip r:embed="rId20"/>
                    <a:stretch>
                      <a:fillRect/>
                    </a:stretch>
                  </pic:blipFill>
                  <pic:spPr>
                    <a:xfrm>
                      <a:off x="0" y="0"/>
                      <a:ext cx="5038343" cy="2881579"/>
                    </a:xfrm>
                    <a:prstGeom prst="rect"/>
                  </pic:spPr>
                </pic:pic>
              </a:graphicData>
            </a:graphic>
          </wp:inline>
        </w:drawing>
      </w:r>
    </w:p>
    <w:p>
      <w:pPr>
        <w:spacing w:after="80"/>
        <w:jc w:val="center"/>
      </w:pPr>
      <w:r>
        <w:rPr>
          <w:rFonts w:ascii="Times New Roman" w:hAnsi="Times New Roman" w:eastAsia="黑体"/>
          <w:b/>
          <w:sz w:val="21"/>
        </w:rPr>
        <w:t xml:space="preserve">图12　</w:t>
      </w:r>
      <w:r>
        <w:rPr>
          <w:rFonts w:ascii="Times New Roman" w:hAnsi="Times New Roman" w:eastAsia="宋体"/>
          <w:b w:val="0"/>
          <w:sz w:val="21"/>
        </w:rPr>
        <w:t>“十五五”时期浙江深化共富型新质生产力发展的路径施工图</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）由0.130升至0.802，共同富裕指数（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）由0.108升至0.824，两者Pearson相关系数达0.9941，呈高度同向共进态势；耦合协调度（</w:t>
      </w:r>
      <m:oMath>
        <m:r>
          <w:rPr>
            <w:rFonts w:ascii="Cambria Math" w:hAnsi="Cambria Math"/>
          </w:rPr>
          <m:t xml:space="preserve">D</m:t>
        </m:r>
      </m:oMath>
      <w:r>
        <w:rPr>
          <w:rFonts w:ascii="Times New Roman" w:hAnsi="Times New Roman" w:eastAsia="宋体"/>
          <w:b w:val="0"/>
          <w:sz w:val="24"/>
        </w:rPr>
        <w:t>）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w:t>
      </w:r>
      <m:oMath>
        <m:r>
          <w:rPr>
            <w:rFonts w:ascii="Cambria Math" w:hAnsi="Cambria Math"/>
          </w:rPr>
          <m:t xml:space="preserve">D</m:t>
        </m:r>
      </m:oMath>
      <w:r>
        <w:rPr>
          <w:rFonts w:ascii="Times New Roman" w:hAnsi="Times New Roman" w:eastAsia="宋体"/>
          <w:b w:val="0"/>
          <w:sz w:val="24"/>
        </w:rPr>
        <w:t>值达0.764，恰为从初级协调跃入中级协调的转折年，此后于2022年、2024年先后跃上良好协调与优质协调两个台阶；2020年疫情冲击下富裕度回落而共享度逆势提升，显示低保市域同标、转移支付等兜底机制发挥了“稳定器”作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共同富裕对新质生产力的反哺效应开始显现，理论框架中的“双向赋能”机制获得初步验证；第八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160"/>
        <w:jc w:val="center"/>
      </w:pPr>
      <w:r>
        <w:rPr>
          <w:rFonts w:ascii="Times New Roman" w:hAnsi="Times New Roman" w:eastAsia="黑体"/>
          <w:b/>
          <w:sz w:val="32"/>
        </w:rPr>
        <w:t>参考文献</w:t>
      </w:r>
    </w:p>
    <w:p>
      <w:pPr>
        <w:spacing w:after="60"/>
        <w:jc w:val="left"/>
      </w:pPr>
      <w:r>
        <w:rPr>
          <w:rFonts w:ascii="Times New Roman" w:hAnsi="Times New Roman" w:eastAsia="宋体"/>
          <w:b w:val="0"/>
          <w:sz w:val="21"/>
        </w:rPr>
        <w:t>［1］中共中央关于制定国民经济和社会发展第十五个五年规划的建议［N］．人民日报，2025-10-29(1)．</w:t>
      </w:r>
    </w:p>
    <w:p>
      <w:pPr>
        <w:spacing w:after="60"/>
        <w:jc w:val="left"/>
      </w:pPr>
      <w:r>
        <w:rPr>
          <w:rFonts w:ascii="Times New Roman" w:hAnsi="Times New Roman" w:eastAsia="宋体"/>
          <w:b w:val="0"/>
          <w:sz w:val="21"/>
        </w:rPr>
        <w:t>［2］中国共产党第二十届中央委员会第四次全体会议公报［N］．人民日报，2025-10-24(1)．</w:t>
      </w:r>
    </w:p>
    <w:p>
      <w:pPr>
        <w:spacing w:after="60"/>
        <w:jc w:val="left"/>
      </w:pPr>
      <w:r>
        <w:rPr>
          <w:rFonts w:ascii="Times New Roman" w:hAnsi="Times New Roman" w:eastAsia="宋体"/>
          <w:b w:val="0"/>
          <w:sz w:val="21"/>
        </w:rPr>
        <w:t>［3］习近平．关于《中共中央关于制定国民经济和社会发展第十五个五年规划的建议》的说明［N］．人民日报，2025-10-29．</w:t>
      </w:r>
    </w:p>
    <w:p>
      <w:pPr>
        <w:spacing w:after="60"/>
        <w:jc w:val="left"/>
      </w:pPr>
      <w:r>
        <w:rPr>
          <w:rFonts w:ascii="Times New Roman" w:hAnsi="Times New Roman" w:eastAsia="宋体"/>
          <w:b w:val="0"/>
          <w:sz w:val="21"/>
        </w:rPr>
        <w:t>［4］中共浙江省委关于制定浙江省国民经济和社会发展第十五个五年规划的建议［N］．浙江日报，2025-12-03．</w:t>
      </w:r>
    </w:p>
    <w:p>
      <w:pPr>
        <w:spacing w:after="60"/>
        <w:jc w:val="left"/>
      </w:pPr>
      <w:r>
        <w:rPr>
          <w:rFonts w:ascii="Times New Roman" w:hAnsi="Times New Roman" w:eastAsia="宋体"/>
          <w:b w:val="0"/>
          <w:sz w:val="21"/>
        </w:rPr>
        <w:t>［5］中共中央、国务院．关于支持浙江高质量发展建设共同富裕示范区的意见［N］．人民日报，2021-06-11(1)．</w:t>
      </w:r>
    </w:p>
    <w:p>
      <w:pPr>
        <w:spacing w:after="60"/>
        <w:jc w:val="left"/>
      </w:pPr>
      <w:r>
        <w:rPr>
          <w:rFonts w:ascii="Times New Roman" w:hAnsi="Times New Roman" w:eastAsia="宋体"/>
          <w:b w:val="0"/>
          <w:sz w:val="21"/>
        </w:rPr>
        <w:t>［6］中共浙江省委．关于加快建设创新浙江因地制宜发展新质生产力的决定［Z］．2025-07-17．</w:t>
      </w:r>
    </w:p>
    <w:p>
      <w:pPr>
        <w:spacing w:after="60"/>
        <w:jc w:val="left"/>
      </w:pPr>
      <w:r>
        <w:rPr>
          <w:rFonts w:ascii="Times New Roman" w:hAnsi="Times New Roman" w:eastAsia="宋体"/>
          <w:b w:val="0"/>
          <w:sz w:val="21"/>
        </w:rPr>
        <w:t>［7］中共浙江省委、浙江省人民政府．关于以“千万工程”牵引城乡融合发展缩小“三大差距”推进共同富裕先行示范的实施方案［Z］．2025-03．</w:t>
      </w:r>
    </w:p>
    <w:p>
      <w:pPr>
        <w:spacing w:after="60"/>
        <w:jc w:val="left"/>
      </w:pPr>
      <w:r>
        <w:rPr>
          <w:rFonts w:ascii="Times New Roman" w:hAnsi="Times New Roman" w:eastAsia="宋体"/>
          <w:b w:val="0"/>
          <w:sz w:val="21"/>
        </w:rPr>
        <w:t>［8］习近平．发展新质生产力是推动高质量发展的内在要求和重要着力点［J］．求是，2024(11)．</w:t>
      </w:r>
    </w:p>
    <w:p>
      <w:pPr>
        <w:spacing w:after="60"/>
        <w:jc w:val="left"/>
      </w:pPr>
      <w:r>
        <w:rPr>
          <w:rFonts w:ascii="Times New Roman" w:hAnsi="Times New Roman" w:eastAsia="宋体"/>
          <w:b w:val="0"/>
          <w:sz w:val="21"/>
        </w:rPr>
        <w:t>［9］习近平．扎实推动共同富裕［J］．求是，2021(20)．</w:t>
      </w:r>
    </w:p>
    <w:p>
      <w:pPr>
        <w:spacing w:after="60"/>
        <w:jc w:val="left"/>
      </w:pPr>
      <w:r>
        <w:rPr>
          <w:rFonts w:ascii="Times New Roman" w:hAnsi="Times New Roman" w:eastAsia="宋体"/>
          <w:b w:val="0"/>
          <w:sz w:val="21"/>
        </w:rPr>
        <w:t>［10］习近平．高举中国特色社会主义伟大旗帜　为全面建设社会主义现代化国家而团结奋斗——在中国共产党第二十次全国代表大会上的报告［M］．北京：人民出版社，2022．</w:t>
      </w:r>
    </w:p>
    <w:p>
      <w:pPr>
        <w:spacing w:after="60"/>
        <w:jc w:val="left"/>
      </w:pPr>
      <w:r>
        <w:rPr>
          <w:rFonts w:ascii="Times New Roman" w:hAnsi="Times New Roman" w:eastAsia="宋体"/>
          <w:b w:val="0"/>
          <w:sz w:val="21"/>
        </w:rPr>
        <w:t>［11］刘培林，钱滔，黄先海，等．共同富裕的内涵、实现路径与测度方法［J］．管理世界，2021(8)．</w:t>
      </w:r>
    </w:p>
    <w:p>
      <w:pPr>
        <w:spacing w:after="60"/>
        <w:jc w:val="left"/>
      </w:pPr>
      <w:r>
        <w:rPr>
          <w:rFonts w:ascii="Times New Roman" w:hAnsi="Times New Roman" w:eastAsia="宋体"/>
          <w:b w:val="0"/>
          <w:sz w:val="21"/>
        </w:rPr>
        <w:t>［12］万海远，陈基平．共同富裕的理论内涵与量化方法［J］．财贸经济，2021(12)．</w:t>
      </w:r>
    </w:p>
    <w:p>
      <w:pPr>
        <w:spacing w:after="60"/>
        <w:jc w:val="left"/>
      </w:pPr>
      <w:r>
        <w:rPr>
          <w:rFonts w:ascii="Times New Roman" w:hAnsi="Times New Roman" w:eastAsia="宋体"/>
          <w:b w:val="0"/>
          <w:sz w:val="21"/>
        </w:rPr>
        <w:t>［13］陈丽君，郁建兴，徐铱娜．共同富裕指数模型的构建［J］．治理研究，2021(4)．</w:t>
      </w:r>
    </w:p>
    <w:p>
      <w:pPr>
        <w:spacing w:after="60"/>
        <w:jc w:val="left"/>
      </w:pPr>
      <w:r>
        <w:rPr>
          <w:rFonts w:ascii="Times New Roman" w:hAnsi="Times New Roman" w:eastAsia="宋体"/>
          <w:b w:val="0"/>
          <w:sz w:val="21"/>
        </w:rPr>
        <w:t>［14］李实．共同富裕的目标和实现路径选择［J］．经济研究，2021(11)．</w:t>
      </w:r>
    </w:p>
    <w:p>
      <w:pPr>
        <w:spacing w:after="60"/>
        <w:jc w:val="left"/>
      </w:pPr>
      <w:r>
        <w:rPr>
          <w:rFonts w:ascii="Times New Roman" w:hAnsi="Times New Roman" w:eastAsia="宋体"/>
          <w:b w:val="0"/>
          <w:sz w:val="21"/>
        </w:rPr>
        <w:t>［15］周文，许凌云．论新质生产力：内涵特征与重要着力点［J］．改革，2023(10)．</w:t>
      </w:r>
    </w:p>
    <w:p>
      <w:pPr>
        <w:spacing w:after="60"/>
        <w:jc w:val="left"/>
      </w:pPr>
      <w:r>
        <w:rPr>
          <w:rFonts w:ascii="Times New Roman" w:hAnsi="Times New Roman" w:eastAsia="宋体"/>
          <w:b w:val="0"/>
          <w:sz w:val="21"/>
        </w:rPr>
        <w:t>［16］洪银兴．新质生产力及其培育和发展［J］．经济学动态，2024(1)．</w:t>
      </w:r>
    </w:p>
    <w:p>
      <w:pPr>
        <w:spacing w:after="60"/>
        <w:jc w:val="left"/>
      </w:pPr>
      <w:r>
        <w:rPr>
          <w:rFonts w:ascii="Times New Roman" w:hAnsi="Times New Roman" w:eastAsia="宋体"/>
          <w:b w:val="0"/>
          <w:sz w:val="21"/>
        </w:rPr>
        <w:t>［17］黄祖辉．准确把握中国乡村振兴战略［J］．中国农村经济，2018(4)．</w:t>
      </w:r>
    </w:p>
    <w:p>
      <w:pPr>
        <w:spacing w:after="60"/>
        <w:jc w:val="left"/>
      </w:pPr>
      <w:r>
        <w:rPr>
          <w:rFonts w:ascii="Times New Roman" w:hAnsi="Times New Roman" w:eastAsia="宋体"/>
          <w:b w:val="0"/>
          <w:sz w:val="21"/>
        </w:rPr>
        <w:t>［18］杜运周，贾良定．组态视角与定性比较分析（QCA）：管理学研究的一条新道路［J］．管理世界，2017(6)．</w:t>
      </w:r>
    </w:p>
    <w:p>
      <w:pPr>
        <w:spacing w:after="60"/>
        <w:jc w:val="left"/>
      </w:pPr>
      <w:r>
        <w:rPr>
          <w:rFonts w:ascii="Times New Roman" w:hAnsi="Times New Roman" w:eastAsia="宋体"/>
          <w:b w:val="0"/>
          <w:sz w:val="21"/>
        </w:rPr>
        <w:t>［19］杜运周，刘秋辰，程建青．什么样的营商环境生态产生城市高创业活跃度？——基于制度组态的分析［J］．管理世界，2020(9)．</w:t>
      </w:r>
    </w:p>
    <w:p>
      <w:pPr>
        <w:spacing w:after="60"/>
        <w:jc w:val="left"/>
      </w:pPr>
      <w:r>
        <w:rPr>
          <w:rFonts w:ascii="Times New Roman" w:hAnsi="Times New Roman" w:eastAsia="宋体"/>
          <w:b w:val="0"/>
          <w:sz w:val="21"/>
        </w:rPr>
        <w:t>［20］王淑佳，孔伟，任亮，等．国内耦合协调度模型的误区及修正［J］．自然资源学报，2021，36(3)．</w:t>
      </w:r>
    </w:p>
    <w:p>
      <w:pPr>
        <w:spacing w:after="60"/>
        <w:jc w:val="left"/>
      </w:pPr>
      <w:r>
        <w:rPr>
          <w:rFonts w:ascii="Times New Roman" w:hAnsi="Times New Roman" w:eastAsia="宋体"/>
          <w:b w:val="0"/>
          <w:sz w:val="21"/>
        </w:rPr>
        <w:t>［21］陈劲，王福世，李秉远．中国人工智能人才高地建设的路径探析——基于模糊集定性比较分析［J］．商业经济与管理，2026(2)．</w:t>
      </w:r>
    </w:p>
    <w:p>
      <w:pPr>
        <w:spacing w:after="60"/>
        <w:jc w:val="left"/>
      </w:pPr>
      <w:r>
        <w:rPr>
          <w:rFonts w:ascii="Times New Roman" w:hAnsi="Times New Roman" w:eastAsia="宋体"/>
          <w:b w:val="0"/>
          <w:sz w:val="21"/>
        </w:rPr>
        <w:t>［22］王福世，陈劲，贺敬文，等．中国人才高地建设的多元路径研究——基于fsQCA的组态分析［J］．经济与管理研究，2026(6)．</w:t>
      </w:r>
    </w:p>
    <w:p>
      <w:pPr>
        <w:spacing w:after="60"/>
        <w:jc w:val="left"/>
      </w:pPr>
      <w:r>
        <w:rPr>
          <w:rFonts w:ascii="Times New Roman" w:hAnsi="Times New Roman" w:eastAsia="宋体"/>
          <w:b w:val="0"/>
          <w:sz w:val="21"/>
        </w:rPr>
        <w:t>［23］苗阳，方晶，胡逸晔．浙江省教育、科技、人才一体化改革的机制、成效与深化路径［J］．科技管理研究，2025(23)．</w:t>
      </w:r>
    </w:p>
    <w:p>
      <w:pPr>
        <w:spacing w:after="60"/>
        <w:jc w:val="left"/>
      </w:pPr>
      <w:r>
        <w:rPr>
          <w:rFonts w:ascii="Times New Roman" w:hAnsi="Times New Roman" w:eastAsia="宋体"/>
          <w:b w:val="0"/>
          <w:sz w:val="21"/>
        </w:rPr>
        <w:t>［24］郭峰，王靖一，王芳，等．测度中国数字普惠金融发展：指数编制与空间特征［J］．经济学（季刊），2020，19(4)．</w:t>
      </w:r>
    </w:p>
    <w:p>
      <w:pPr>
        <w:spacing w:after="60"/>
        <w:jc w:val="left"/>
      </w:pPr>
      <w:r>
        <w:rPr>
          <w:rFonts w:ascii="Times New Roman" w:hAnsi="Times New Roman" w:eastAsia="宋体"/>
          <w:b w:val="0"/>
          <w:sz w:val="21"/>
        </w:rPr>
        <w:t>［25］MOORE J F. Predators and prey: a new ecology of competition［J］. Harvard Business Review, 1993, 71(3).</w:t>
      </w:r>
    </w:p>
    <w:p>
      <w:pPr>
        <w:spacing w:after="60"/>
        <w:jc w:val="left"/>
      </w:pPr>
      <w:r>
        <w:rPr>
          <w:rFonts w:ascii="Times New Roman" w:hAnsi="Times New Roman" w:eastAsia="宋体"/>
          <w:b w:val="0"/>
          <w:sz w:val="21"/>
        </w:rPr>
        <w:t>［26］RAGIN C C. Redesigning social inquiry: fuzzy sets and beyond［M］. Chicago: University of Chicago Press, 2008.</w:t>
      </w:r>
    </w:p>
    <w:p>
      <w:pPr>
        <w:spacing w:after="60"/>
        <w:jc w:val="left"/>
      </w:pPr>
      <w:r>
        <w:rPr>
          <w:rFonts w:ascii="Times New Roman" w:hAnsi="Times New Roman" w:eastAsia="宋体"/>
          <w:b w:val="0"/>
          <w:sz w:val="21"/>
        </w:rPr>
        <w:t>［27］PAPPAS I O, WOODSIDE A G. Fuzzy-set qualitative comparative analysis (fsQCA): guidelines for research practice in information systems and marketing［J］. International Journal of Information Management, 2021, 58: 102310.</w:t>
      </w:r>
    </w:p>
    <w:p>
      <w:pPr>
        <w:spacing w:after="60"/>
        <w:jc w:val="left"/>
      </w:pPr>
      <w:r>
        <w:rPr>
          <w:rFonts w:ascii="Times New Roman" w:hAnsi="Times New Roman" w:eastAsia="宋体"/>
          <w:b w:val="0"/>
          <w:sz w:val="21"/>
        </w:rPr>
        <w:t>［28］浙江省统计局，国家统计局浙江调查总队．浙江省国民经济和社会发展统计公报（2015—2025年历年）［R］．</w:t>
      </w:r>
    </w:p>
    <w:p>
      <w:pPr>
        <w:spacing w:after="60"/>
        <w:jc w:val="left"/>
      </w:pPr>
      <w:r>
        <w:rPr>
          <w:rFonts w:ascii="Times New Roman" w:hAnsi="Times New Roman" w:eastAsia="宋体"/>
          <w:b w:val="0"/>
          <w:sz w:val="21"/>
        </w:rPr>
        <w:t>［29］国家统计局，科学技术部，财政部．全国科技经费投入统计公报（2015—2024年历年）［R］．</w:t>
      </w:r>
    </w:p>
    <w:p>
      <w:pPr>
        <w:spacing w:after="60"/>
        <w:jc w:val="left"/>
      </w:pPr>
      <w:r>
        <w:rPr>
          <w:rFonts w:ascii="Times New Roman" w:hAnsi="Times New Roman" w:eastAsia="宋体"/>
          <w:b w:val="0"/>
          <w:sz w:val="21"/>
        </w:rPr>
        <w:t>［30］国家统计局．第七次全国人口普查公报（第六号）——人口受教育情况［R］．2021-05．</w:t>
      </w:r>
    </w:p>
    <w:p>
      <w:pPr>
        <w:spacing w:after="60"/>
        <w:jc w:val="left"/>
      </w:pPr>
      <w:r>
        <w:rPr>
          <w:rFonts w:ascii="Times New Roman" w:hAnsi="Times New Roman" w:eastAsia="宋体"/>
          <w:b w:val="0"/>
          <w:sz w:val="21"/>
        </w:rPr>
        <w:t>［31］北京大学数字金融研究中心课题组．北京大学数字普惠金融指数（2011—2023年）［R］．2024．</w:t>
      </w:r>
    </w:p>
    <w:p>
      <w:pPr>
        <w:spacing w:after="60"/>
        <w:jc w:val="left"/>
      </w:pPr>
      <w:r>
        <w:rPr>
          <w:rFonts w:ascii="Times New Roman" w:hAnsi="Times New Roman" w:eastAsia="宋体"/>
          <w:b w:val="0"/>
          <w:sz w:val="21"/>
        </w:rPr>
        <w:t>［32］中国信息通信研究院．中国数字经济发展研究报告（2024年）［R］．2024-08．</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