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both"/>
      </w:pPr>
      <w:r>
        <w:rPr>
          <w:rFonts w:ascii="Times New Roman" w:hAnsi="Times New Roman" w:eastAsia="Times New Roman"/>
          <w:b w:val="0"/>
          <w:i w:val="0"/>
          <w:sz w:val="20"/>
        </w:rPr>
        <w:t>Dear Editors:</w:t>
      </w:r>
    </w:p>
    <w:p>
      <w:pPr>
        <w:spacing w:after="100" w:line="240" w:lineRule="auto"/>
        <w:jc w:val="both"/>
      </w:pPr>
      <w:r>
        <w:rPr>
          <w:rFonts w:ascii="Times New Roman" w:hAnsi="Times New Roman" w:eastAsia="Times New Roman"/>
          <w:b w:val="0"/>
          <w:i w:val="0"/>
          <w:sz w:val="20"/>
        </w:rPr>
        <w:t>We would like to submit the enclosed manuscript entitled “The Narrowing Entry Port: Generative Artificial Intelligence Adoption, Task Routinisation and Youth Employment in Chinese Listed Firms” for consideration in the Special Issue “Systems Approaches to Generative AI: Workforce Development, Organisational Learning, and Economic Transformation” of Systems. The manuscript has not been published elsewhere and is not under consideration by any other journal. No conflict of interest exists in its submission, and it has been approved for publication by all authors.</w:t>
      </w:r>
    </w:p>
    <w:p>
      <w:pPr>
        <w:spacing w:after="100" w:line="240" w:lineRule="auto"/>
        <w:jc w:val="both"/>
      </w:pPr>
      <w:r>
        <w:rPr>
          <w:rFonts w:ascii="Times New Roman" w:hAnsi="Times New Roman" w:eastAsia="Times New Roman"/>
          <w:b w:val="0"/>
          <w:i w:val="0"/>
          <w:sz w:val="20"/>
        </w:rPr>
        <w:t>Generative artificial intelligence diffuses fastest through exactly the codified, routine-cognitive work that firms have traditionally allocated to new entrants, so the entry port of the professional career lies directly in the path of the technology. Whether that port narrows is an empirical question about firms, and it has not yet been answered with firm-level evidence. Using a panel of Chinese A-share listed firms over 2016–2025 (27,340 firm-year observations for 3,398 firms), a text-based measure of adoption and the age composition of the workforce disclosed in annual reports, the manuscript estimates how adoption reshapes the age structure of corporate employment and identifies the organisational conditions that govern the outcome.</w:t>
      </w:r>
    </w:p>
    <w:p>
      <w:pPr>
        <w:spacing w:after="100" w:line="240" w:lineRule="auto"/>
        <w:jc w:val="both"/>
      </w:pPr>
      <w:r>
        <w:rPr>
          <w:rFonts w:ascii="Times New Roman" w:hAnsi="Times New Roman" w:eastAsia="Times New Roman"/>
          <w:b w:val="0"/>
          <w:i w:val="0"/>
          <w:sz w:val="20"/>
        </w:rPr>
        <w:t>The contributions of the paper are as follows.</w:t>
      </w:r>
    </w:p>
    <w:p>
      <w:pPr>
        <w:spacing w:after="80" w:line="240" w:lineRule="auto"/>
        <w:jc w:val="both"/>
      </w:pPr>
      <w:r>
        <w:rPr>
          <w:rFonts w:ascii="Times New Roman" w:hAnsi="Times New Roman" w:eastAsia="Times New Roman"/>
          <w:b w:val="0"/>
          <w:i w:val="0"/>
          <w:sz w:val="20"/>
        </w:rPr>
        <w:t>(1) It provides direct firm-level evidence on a question that has so far been addressed with occupational or vacancy data. A one-unit increase in generative AI adoption intensity lowers the share of employees aged 30 or below by 0.622 percentage points, 3.5% of the sample mean for a one-standard-deviation increase. The estimate survives instrumental-variable, matched-sample, entropy-balanced, event-study and randomisation-based inference, and the parallel-trends assumption is not rejected.</w:t>
      </w:r>
    </w:p>
    <w:p>
      <w:pPr>
        <w:spacing w:after="80" w:line="240" w:lineRule="auto"/>
        <w:jc w:val="both"/>
      </w:pPr>
      <w:r>
        <w:rPr>
          <w:rFonts w:ascii="Times New Roman" w:hAnsi="Times New Roman" w:eastAsia="Times New Roman"/>
          <w:b w:val="0"/>
          <w:i w:val="0"/>
          <w:sz w:val="20"/>
        </w:rPr>
        <w:t>(2) It opens the black box and finds two channels working against each other. Adoption compresses routine-cognitive task intensity, which transmits 45.9% of the total effect and is displacing; it simultaneously raises the human-capital requirement of the remaining work, which transmits 15.8% in the opposite direction and is complementary. The net figure that the literature reports is therefore a residual between two economically distinct forces, which is why estimates across settings disagree.</w:t>
      </w:r>
    </w:p>
    <w:p>
      <w:pPr>
        <w:spacing w:after="80" w:line="240" w:lineRule="auto"/>
        <w:jc w:val="both"/>
      </w:pPr>
      <w:r>
        <w:rPr>
          <w:rFonts w:ascii="Times New Roman" w:hAnsi="Times New Roman" w:eastAsia="Times New Roman"/>
          <w:b w:val="0"/>
          <w:i w:val="0"/>
          <w:sz w:val="20"/>
        </w:rPr>
        <w:t>(3) It shows that the outcome is a property of the firm as a socio-technical system rather than of the technology. The displacement effect is about 61% smaller in firms that disclose AI governance arrangements and is statistically indistinguishable from zero above the 90th percentile of organisational learning capability. The same technology narrows the entry port in one firm and leaves it open in another, and the difference is organisational design.</w:t>
      </w:r>
    </w:p>
    <w:p>
      <w:pPr>
        <w:spacing w:after="80" w:line="240" w:lineRule="auto"/>
        <w:jc w:val="both"/>
      </w:pPr>
      <w:r>
        <w:rPr>
          <w:rFonts w:ascii="Times New Roman" w:hAnsi="Times New Roman" w:eastAsia="Times New Roman"/>
          <w:b w:val="0"/>
          <w:i w:val="0"/>
          <w:sz w:val="20"/>
        </w:rPr>
        <w:t>(4) It is transparent and fully reproducible. Identification rests on a shift-share and a peer-diffusion instrument that pass the Kleibergen–Paap and overidentification tests, selection on unobservables is bounded using coefficient-stability methods, and every number in every table and figure is produced by the released estimation code.</w:t>
      </w:r>
    </w:p>
    <w:p>
      <w:pPr>
        <w:spacing w:after="140" w:line="240" w:lineRule="auto"/>
        <w:jc w:val="both"/>
      </w:pPr>
      <w:r>
        <w:rPr>
          <w:rFonts w:ascii="Times New Roman" w:hAnsi="Times New Roman" w:eastAsia="Times New Roman"/>
          <w:b w:val="0"/>
          <w:i w:val="0"/>
          <w:sz w:val="20"/>
        </w:rPr>
        <w:t>We believe the manuscript speaks directly to the aims of the Special Issue. It treats generative AI adoption as an organisational rather than a purely technological event, identifies the learning and governance mechanisms through which it reaches the labour market, and converts them into levers that firms and policymakers can actually pull. Youth employment is where the workforce-development consequences of the technology appear first, and the evidence here indicates that they are not predetermined. We deeply appreciate your consideration of our manuscript and look forward to receiving comments from the reviewers. Correspondence should be directed to the address below.</w:t>
      </w:r>
    </w:p>
    <w:p>
      <w:pPr>
        <w:spacing w:after="160" w:line="240" w:lineRule="auto"/>
        <w:jc w:val="both"/>
      </w:pPr>
      <w:r>
        <w:rPr>
          <w:rFonts w:ascii="Times New Roman" w:hAnsi="Times New Roman" w:eastAsia="Times New Roman"/>
          <w:b w:val="0"/>
          <w:i w:val="0"/>
          <w:sz w:val="20"/>
        </w:rPr>
        <w:t>Thanks very much for your attention to our paper.</w:t>
      </w:r>
    </w:p>
    <w:p>
      <w:pPr>
        <w:spacing w:after="20" w:line="240" w:lineRule="auto"/>
        <w:jc w:val="both"/>
      </w:pPr>
      <w:r>
        <w:rPr>
          <w:rFonts w:ascii="Times New Roman" w:hAnsi="Times New Roman" w:eastAsia="Times New Roman"/>
          <w:b w:val="0"/>
          <w:i w:val="0"/>
          <w:sz w:val="20"/>
        </w:rPr>
        <w:t>Name: Tiantian Mo</w:t>
      </w:r>
    </w:p>
    <w:p>
      <w:pPr>
        <w:spacing w:after="20" w:line="240" w:lineRule="auto"/>
        <w:jc w:val="both"/>
      </w:pPr>
      <w:r>
        <w:rPr>
          <w:rFonts w:ascii="Times New Roman" w:hAnsi="Times New Roman" w:eastAsia="Times New Roman"/>
          <w:b w:val="0"/>
          <w:i w:val="0"/>
          <w:sz w:val="20"/>
        </w:rPr>
        <w:t>Institution and address: College of Business, Jiaxing University; Jiaxing 314001, China</w:t>
      </w:r>
    </w:p>
    <w:p>
      <w:pPr>
        <w:spacing w:after="20" w:line="240" w:lineRule="auto"/>
        <w:jc w:val="both"/>
      </w:pPr>
      <w:r>
        <w:rPr>
          <w:rFonts w:ascii="Times New Roman" w:hAnsi="Times New Roman" w:eastAsia="Times New Roman"/>
          <w:b w:val="0"/>
          <w:i w:val="0"/>
          <w:sz w:val="20"/>
        </w:rPr>
        <w:t>Email: 00008227@zjxu.edu.cn</w:t>
      </w:r>
    </w:p>
    <w:p>
      <w:pPr>
        <w:spacing w:after="120" w:line="240" w:lineRule="auto"/>
        <w:jc w:val="both"/>
      </w:pPr>
      <w:r>
        <w:rPr>
          <w:rFonts w:ascii="Times New Roman" w:hAnsi="Times New Roman" w:eastAsia="Times New Roman"/>
          <w:b w:val="0"/>
          <w:i w:val="0"/>
          <w:sz w:val="20"/>
        </w:rPr>
      </w:r>
    </w:p>
    <w:p>
      <w:pPr>
        <w:spacing w:after="40" w:line="240" w:lineRule="auto"/>
        <w:jc w:val="right"/>
      </w:pPr>
      <w:r>
        <w:rPr>
          <w:rFonts w:ascii="Times New Roman" w:hAnsi="Times New Roman" w:eastAsia="Times New Roman"/>
          <w:b w:val="0"/>
          <w:i w:val="0"/>
          <w:sz w:val="20"/>
        </w:rPr>
        <w:t>Very sincerely yours,</w:t>
      </w:r>
    </w:p>
    <w:p>
      <w:pPr>
        <w:spacing w:after="0" w:line="240" w:lineRule="auto"/>
        <w:jc w:val="right"/>
      </w:pPr>
      <w:r>
        <w:rPr>
          <w:rFonts w:ascii="Times New Roman" w:hAnsi="Times New Roman" w:eastAsia="Times New Roman"/>
          <w:b w:val="0"/>
          <w:i w:val="0"/>
          <w:sz w:val="20"/>
        </w:rPr>
        <w:t>Xinyu Cai and Tiantian Mo</w:t>
      </w:r>
    </w:p>
    <w:sectPr w:rsidR="00FC693F" w:rsidRPr="0006063C" w:rsidSect="00034616">
      <w:pgSz w:w="11906" w:h="16838"/>
      <w:pgMar w:top="1247" w:right="1701"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