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The Narrowing Entry Port: Generative Artificial Intelligence Adoption, Task Routinisation and Youth Employment in Chinese Listed Firms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Ali Ahsan</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Generative artificial intelligence diffuses fastest through the codified, routine-cognitive work that firms have traditionally allocated to new entrants, which places the entry port of the professional career directly in the path of the technology. Using a panel of Chinese A-share listed firms over 2016–2025 (27,340 firm-year observations for 3,398 firms) and a text-based measure of firm-level generative AI adoption, this study estimates how adoption reshapes the age structure of corporate employment and identifies the organisational conditions that govern the outcome. Two-way fixed-effects estimates show that a one-unit increase in generative AI adoption intensity lowers the share of employees aged 30 or below by 0.622 percentage points, equivalent to 3.5% of the sample mean for a one-standard-deviation increase; instrumental-variable, propensity-score-matched and entropy-balanced estimates are of the same sign and somewhat larger. A decomposition of the mechanism shows that the effect operates through two opposing channels: task routinisation, which transmits 45.9% of the total effect and is displacing, and human-capital upgrading, which transmits 15.8% in the opposite direction and is complementary. The net outcome is not a technological constant. It is conditioned by the firm as a socio-technical system: the negative effect is about 61% smaller in firms that disclose AI governance arrangements and is statistically indistinguishable from zero above the 90th percentile of organisational learning capability. Displacement of young workers is therefore best read as a consequence of how firms organise learning around the technology rather than of the technology itself, which places workforce development, not adoption speed, at the centre of the policy problem.</w:t>
      </w:r>
    </w:p>
    <w:p>
      <w:pPr>
        <w:pStyle w:val="MDPI18keywords"/>
      </w:pPr>
      <w:r>
        <w:rPr>
          <w:b/>
        </w:rPr>
        <w:t xml:space="preserve">Keywords: </w:t>
      </w:r>
      <w:r>
        <w:t>generative artificial intelligence; youth employment; task routinisation; organisational learning; AI governance; socio-technical systems; human capital</w:t>
      </w:r>
    </w:p>
    <w:p>
      <w:pPr>
        <w:pStyle w:val="MDPI19line"/>
      </w:pPr>
    </w:p>
    <w:p>
      <w:pPr>
        <w:pStyle w:val="MDPI21heading1"/>
      </w:pPr>
      <w:r>
        <w:t>1. Introduction</w:t>
      </w:r>
    </w:p>
    <w:p>
      <w:pPr>
        <w:pStyle w:val="MDPI32textnoindent"/>
      </w:pPr>
      <w:r>
        <w:rPr>
          <w:b w:val="0"/>
          <w:i w:val="0"/>
        </w:rPr>
        <w:t xml:space="preserve">The labour-market question raised by generative artificial intelligence (GenAI) is no longer whether the technology raises productivity. Field experiments have settled that: customer-support agents resolved 14% more issues per hour </w:t>
      </w:r>
      <w:r>
        <w:t>[</w:t>
      </w:r>
      <w:r>
        <w:fldChar w:fldCharType="begin"/>
      </w:r>
      <w:r>
        <w:instrText xml:space="preserve"> REF _Ref_1 \h </w:instrText>
      </w:r>
      <w:r>
        <w:fldChar w:fldCharType="separate"/>
      </w:r>
      <w:r>
        <w:t>1</w:t>
      </w:r>
      <w:r>
        <w:fldChar w:fldCharType="end"/>
      </w:r>
      <w:r>
        <w:t>]</w:t>
      </w:r>
      <w:r>
        <w:rPr>
          <w:b w:val="0"/>
          <w:i w:val="0"/>
        </w:rPr>
        <w:t xml:space="preserve">, professional writers completed tasks roughly 40% faster and at higher rated quality </w:t>
      </w:r>
      <w:r>
        <w:t>[</w:t>
      </w:r>
      <w:r>
        <w:fldChar w:fldCharType="begin"/>
      </w:r>
      <w:r>
        <w:instrText xml:space="preserve"> REF _Ref_2 \h </w:instrText>
      </w:r>
      <w:r>
        <w:fldChar w:fldCharType="separate"/>
      </w:r>
      <w:r>
        <w:t>2</w:t>
      </w:r>
      <w:r>
        <w:fldChar w:fldCharType="end"/>
      </w:r>
      <w:r>
        <w:t>]</w:t>
      </w:r>
      <w:r>
        <w:rPr>
          <w:b w:val="0"/>
          <w:i w:val="0"/>
        </w:rPr>
        <w:t xml:space="preserve">, consultants improved on tasks inside the technology's frontier </w:t>
      </w:r>
      <w:r>
        <w:t>[</w:t>
      </w:r>
      <w:r>
        <w:fldChar w:fldCharType="begin"/>
      </w:r>
      <w:r>
        <w:instrText xml:space="preserve"> REF _Ref_3 \h </w:instrText>
      </w:r>
      <w:r>
        <w:fldChar w:fldCharType="separate"/>
      </w:r>
      <w:r>
        <w:t>3</w:t>
      </w:r>
      <w:r>
        <w:fldChar w:fldCharType="end"/>
      </w:r>
      <w:r>
        <w:t>]</w:t>
      </w:r>
      <w:r>
        <w:rPr>
          <w:b w:val="0"/>
          <w:i w:val="0"/>
        </w:rPr>
        <w:t xml:space="preserve">, and software developers completed 26% more tasks across three randomised deployments </w:t>
      </w:r>
      <w:r>
        <w:t>[</w:t>
      </w:r>
      <w:r>
        <w:fldChar w:fldCharType="begin"/>
      </w:r>
      <w:r>
        <w:instrText xml:space="preserve"> REF _Ref_4 \h </w:instrText>
      </w:r>
      <w:r>
        <w:fldChar w:fldCharType="separate"/>
      </w:r>
      <w:r>
        <w:t>4</w:t>
      </w:r>
      <w:r>
        <w:fldChar w:fldCharType="end"/>
      </w:r>
      <w:r>
        <w:t>]</w:t>
      </w:r>
      <w:r>
        <w:rPr>
          <w:b w:val="0"/>
          <w:i w:val="0"/>
        </w:rPr>
        <w:t xml:space="preserve">. The open question is distributional, and one regularity in that evidence makes it urgent. The gains are concentrated among the least experienced: novice support agents gained about 30% while their most experienced colleagues gained little or nothing </w:t>
      </w:r>
      <w:r>
        <w:t>[</w:t>
      </w:r>
      <w:r>
        <w:fldChar w:fldCharType="begin"/>
      </w:r>
      <w:r>
        <w:instrText xml:space="preserve"> REF _Ref_1 \h </w:instrText>
      </w:r>
      <w:r>
        <w:fldChar w:fldCharType="separate"/>
      </w:r>
      <w:r>
        <w:t>1</w:t>
      </w:r>
      <w:r>
        <w:fldChar w:fldCharType="end"/>
      </w:r>
      <w:r>
        <w:t>]</w:t>
      </w:r>
      <w:r>
        <w:rPr>
          <w:b w:val="0"/>
          <w:i w:val="0"/>
        </w:rPr>
        <w:t xml:space="preserve">, the lowest-performing entrepreneurs benefited while the highest-performing ones did not </w:t>
      </w:r>
      <w:r>
        <w:t>[</w:t>
      </w:r>
      <w:r>
        <w:fldChar w:fldCharType="begin"/>
      </w:r>
      <w:r>
        <w:instrText xml:space="preserve"> REF _Ref_5 \h </w:instrText>
      </w:r>
      <w:r>
        <w:fldChar w:fldCharType="separate"/>
      </w:r>
      <w:r>
        <w:t>5</w:t>
      </w:r>
      <w:r>
        <w:fldChar w:fldCharType="end"/>
      </w:r>
      <w:r>
        <w:t>]</w:t>
      </w:r>
      <w:r>
        <w:rPr>
          <w:b w:val="0"/>
          <w:i w:val="0"/>
        </w:rPr>
        <w:t xml:space="preserve">, and less experienced developers both adopted the tool more readily and gained more from it </w:t>
      </w:r>
      <w:r>
        <w:t>[</w:t>
      </w:r>
      <w:r>
        <w:fldChar w:fldCharType="begin"/>
      </w:r>
      <w:r>
        <w:instrText xml:space="preserve"> REF _Ref_4 \h </w:instrText>
      </w:r>
      <w:r>
        <w:fldChar w:fldCharType="separate"/>
      </w:r>
      <w:r>
        <w:t>4</w:t>
      </w:r>
      <w:r>
        <w:fldChar w:fldCharType="end"/>
      </w:r>
      <w:r>
        <w:t>,</w:t>
      </w:r>
      <w:r>
        <w:fldChar w:fldCharType="begin"/>
      </w:r>
      <w:r>
        <w:instrText xml:space="preserve"> REF _Ref_6 \h </w:instrText>
      </w:r>
      <w:r>
        <w:fldChar w:fldCharType="separate"/>
      </w:r>
      <w:r>
        <w:t>6</w:t>
      </w:r>
      <w:r>
        <w:fldChar w:fldCharType="end"/>
      </w:r>
      <w:r>
        <w:t>]</w:t>
      </w:r>
      <w:r>
        <w:rPr>
          <w:b w:val="0"/>
          <w:i w:val="0"/>
        </w:rPr>
        <w:t xml:space="preserve">. Meta-analytic evidence on human–AI combinations reaches the same conclusion </w:t>
      </w:r>
      <w:r>
        <w:t>[</w:t>
      </w:r>
      <w:r>
        <w:fldChar w:fldCharType="begin"/>
      </w:r>
      <w:r>
        <w:instrText xml:space="preserve"> REF _Ref_7 \h </w:instrText>
      </w:r>
      <w:r>
        <w:fldChar w:fldCharType="separate"/>
      </w:r>
      <w:r>
        <w:t>7</w:t>
      </w:r>
      <w:r>
        <w:fldChar w:fldCharType="end"/>
      </w:r>
      <w:r>
        <w:t>]</w:t>
      </w:r>
      <w:r>
        <w:rPr>
          <w:b w:val="0"/>
          <w:i w:val="0"/>
        </w:rPr>
        <w:t>.</w:t>
      </w:r>
    </w:p>
    <w:p>
      <w:pPr>
        <w:pStyle w:val="MDPI31text"/>
      </w:pPr>
      <w:r>
        <w:rPr>
          <w:b w:val="0"/>
          <w:i w:val="0"/>
        </w:rPr>
        <w:t xml:space="preserve">Experience compression is double-edged. If the technology substitutes for experience, an employer needs fewer years of it, and young workers should become relatively more attractive. But the same property means that GenAI is closest to substituting for the work that young workers actually do. Occupational exposure measures place the highest scores on codified, verifiable text-and-code tasks </w:t>
      </w:r>
      <w:r>
        <w:t>[</w:t>
      </w:r>
      <w:r>
        <w:fldChar w:fldCharType="begin"/>
      </w:r>
      <w:r>
        <w:instrText xml:space="preserve"> REF _Ref_8 \h </w:instrText>
      </w:r>
      <w:r>
        <w:fldChar w:fldCharType="separate"/>
      </w:r>
      <w:r>
        <w:t>8</w:t>
      </w:r>
      <w:r>
        <w:fldChar w:fldCharType="end"/>
      </w:r>
      <w:r>
        <w:t>,</w:t>
      </w:r>
      <w:r>
        <w:fldChar w:fldCharType="begin"/>
      </w:r>
      <w:r>
        <w:instrText xml:space="preserve"> REF _Ref_9 \h </w:instrText>
      </w:r>
      <w:r>
        <w:fldChar w:fldCharType="separate"/>
      </w:r>
      <w:r>
        <w:t>9</w:t>
      </w:r>
      <w:r>
        <w:fldChar w:fldCharType="end"/>
      </w:r>
      <w:r>
        <w:t>]</w:t>
      </w:r>
      <w:r>
        <w:rPr>
          <w:b w:val="0"/>
          <w:i w:val="0"/>
        </w:rPr>
        <w:t xml:space="preserve"> — first drafts, structured summarisation, standard analysis, basic coding — which is precisely the bundle that firms assign to new entrants and that the task-based literature classifies as routine-cognitive </w:t>
      </w:r>
      <w:r>
        <w:t>[</w:t>
      </w:r>
      <w:r>
        <w:fldChar w:fldCharType="begin"/>
      </w:r>
      <w:r>
        <w:instrText xml:space="preserve"> REF _Ref_10 \h </w:instrText>
      </w:r>
      <w:r>
        <w:fldChar w:fldCharType="separate"/>
      </w:r>
      <w:r>
        <w:t>10</w:t>
      </w:r>
      <w:r>
        <w:fldChar w:fldCharType="end"/>
      </w:r>
      <w:r>
        <w:t>]</w:t>
      </w:r>
      <w:r>
        <w:rPr>
          <w:b w:val="0"/>
          <w:i w:val="0"/>
        </w:rPr>
        <w:t xml:space="preserve">. Which of the two forces dominates is an empirical question, and the earliest evidence is not reassuring: United States payroll microdata show a relative employment decline on the order of 13–16% for workers aged 22–25 in the most AI-exposed occupations after late 2022, with no corresponding movement for experienced workers in the same occupations and firms </w:t>
      </w:r>
      <w:r>
        <w:t>[</w:t>
      </w:r>
      <w:r>
        <w:fldChar w:fldCharType="begin"/>
      </w:r>
      <w:r>
        <w:instrText xml:space="preserve"> REF _Ref_11 \h </w:instrText>
      </w:r>
      <w:r>
        <w:fldChar w:fldCharType="separate"/>
      </w:r>
      <w:r>
        <w:t>11</w:t>
      </w:r>
      <w:r>
        <w:fldChar w:fldCharType="end"/>
      </w:r>
      <w:r>
        <w:t>]</w:t>
      </w:r>
      <w:r>
        <w:rPr>
          <w:b w:val="0"/>
          <w:i w:val="0"/>
        </w:rPr>
        <w:t xml:space="preserve">, although other designs find much smaller aggregate effects over the same window </w:t>
      </w:r>
      <w:r>
        <w:t>[</w:t>
      </w:r>
      <w:r>
        <w:fldChar w:fldCharType="begin"/>
      </w:r>
      <w:r>
        <w:instrText xml:space="preserve"> REF _Ref_12 \h </w:instrText>
      </w:r>
      <w:r>
        <w:fldChar w:fldCharType="separate"/>
      </w:r>
      <w:r>
        <w:t>12</w:t>
      </w:r>
      <w:r>
        <w:fldChar w:fldCharType="end"/>
      </w:r>
      <w:r>
        <w:t>,</w:t>
      </w:r>
      <w:r>
        <w:fldChar w:fldCharType="begin"/>
      </w:r>
      <w:r>
        <w:instrText xml:space="preserve"> REF _Ref_13 \h </w:instrText>
      </w:r>
      <w:r>
        <w:fldChar w:fldCharType="separate"/>
      </w:r>
      <w:r>
        <w:t>13</w:t>
      </w:r>
      <w:r>
        <w:fldChar w:fldCharType="end"/>
      </w:r>
      <w:r>
        <w:t>]</w:t>
      </w:r>
      <w:r>
        <w:rPr>
          <w:b w:val="0"/>
          <w:i w:val="0"/>
        </w:rPr>
        <w:t xml:space="preserve">. Adoption itself has been extraordinarily fast by historical standards </w:t>
      </w:r>
      <w:r>
        <w:t>[</w:t>
      </w:r>
      <w:r>
        <w:fldChar w:fldCharType="begin"/>
      </w:r>
      <w:r>
        <w:instrText xml:space="preserve"> REF _Ref_14 \h </w:instrText>
      </w:r>
      <w:r>
        <w:fldChar w:fldCharType="separate"/>
      </w:r>
      <w:r>
        <w:t>14</w:t>
      </w:r>
      <w:r>
        <w:fldChar w:fldCharType="end"/>
      </w:r>
      <w:r>
        <w:t>]</w:t>
      </w:r>
      <w:r>
        <w:rPr>
          <w:b w:val="0"/>
          <w:i w:val="0"/>
        </w:rPr>
        <w:t>, so the window in which firms could adjust job structures gradually has been short.</w:t>
      </w:r>
    </w:p>
    <w:p>
      <w:pPr>
        <w:pStyle w:val="MDPI31text"/>
      </w:pPr>
      <w:r>
        <w:rPr>
          <w:b w:val="0"/>
          <w:i w:val="0"/>
        </w:rPr>
        <w:t xml:space="preserve">That divergence is itself informative. If the effect were a property of the technology, estimates across settings would converge. That they do not suggests the effect is a property of the adopting organisation, which is the premise of this paper. Firms are socio-technical systems in which a technical subsystem and a social subsystem of routines, training and supervision are jointly responsible for performance, so a change in one cannot be evaluated without the other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Applied here, the same adoption decision should displace young workers where the firm treats GenAI as a substitute for entry-level labour, and should not where the firm has the absorptive capacity </w:t>
      </w:r>
      <w:r>
        <w:t>[</w:t>
      </w:r>
      <w:r>
        <w:fldChar w:fldCharType="begin"/>
      </w:r>
      <w:r>
        <w:instrText xml:space="preserve"> REF _Ref_18 \h </w:instrText>
      </w:r>
      <w:r>
        <w:fldChar w:fldCharType="separate"/>
      </w:r>
      <w:r>
        <w:t>18</w:t>
      </w:r>
      <w:r>
        <w:fldChar w:fldCharType="end"/>
      </w:r>
      <w:r>
        <w:t>]</w:t>
      </w:r>
      <w:r>
        <w:rPr>
          <w:b w:val="0"/>
          <w:i w:val="0"/>
        </w:rPr>
        <w:t xml:space="preserve"> and the governance arrangements to redesign entry work around the technology.</w:t>
      </w:r>
    </w:p>
    <w:p>
      <w:pPr>
        <w:pStyle w:val="MDPI31text"/>
      </w:pPr>
      <w:r>
        <w:rPr>
          <w:b w:val="0"/>
          <w:i w:val="0"/>
        </w:rPr>
        <w:t xml:space="preserve">The stakes for young workers are high because entry employment is not an ordinary margin of adjustment. Entering the labour market in a weak period depresses earnings for a decade or more and leaves durable marks on occupational attainment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Youth unemployment and the share of young people not in employment, education or training remain the most stubborn features of the global labour market </w:t>
      </w:r>
      <w:r>
        <w:t>[</w:t>
      </w:r>
      <w:r>
        <w:fldChar w:fldCharType="begin"/>
      </w:r>
      <w:r>
        <w:instrText xml:space="preserve"> REF _Ref_22 \h </w:instrText>
      </w:r>
      <w:r>
        <w:fldChar w:fldCharType="separate"/>
      </w:r>
      <w:r>
        <w:t>22</w:t>
      </w:r>
      <w:r>
        <w:fldChar w:fldCharType="end"/>
      </w:r>
      <w:r>
        <w:t>]</w:t>
      </w:r>
      <w:r>
        <w:rPr>
          <w:b w:val="0"/>
          <w:i w:val="0"/>
        </w:rPr>
        <w:t xml:space="preserve">, and employers themselves expect AI to displace and create work at unprecedented speed </w:t>
      </w:r>
      <w:r>
        <w:t>[</w:t>
      </w:r>
      <w:r>
        <w:fldChar w:fldCharType="begin"/>
      </w:r>
      <w:r>
        <w:instrText xml:space="preserve"> REF _Ref_23 \h </w:instrText>
      </w:r>
      <w:r>
        <w:fldChar w:fldCharType="separate"/>
      </w:r>
      <w:r>
        <w:t>23</w:t>
      </w:r>
      <w:r>
        <w:fldChar w:fldCharType="end"/>
      </w:r>
      <w:r>
        <w:t>]</w:t>
      </w:r>
      <w:r>
        <w:rPr>
          <w:b w:val="0"/>
          <w:i w:val="0"/>
        </w:rPr>
        <w:t>. In China the question is especially sharp: surveyed youth unemployment has been persistently elevated while listed firms have adopted generative models at speed.</w:t>
      </w:r>
    </w:p>
    <w:p>
      <w:pPr>
        <w:pStyle w:val="MDPI31text"/>
      </w:pPr>
      <w:r>
        <w:rPr>
          <w:b w:val="0"/>
          <w:i w:val="0"/>
        </w:rPr>
        <w:t>This study uses a panel of Chinese A-share listed firms over 2016–2025 (27,340 firm-year observations for 3,398 firms) and a text-based measure of firm-level GenAI adoption constructed from annual reports. Because the adoption measure is close to zero before 2023 and positive afterwards, the fixed-effects specification is a continuous difference-in-differences design around the public release of large language models; identification is supported by an event study on ex-ante task exposure, a shift-share and peer-based instrumental-variable strategy, propensity-score matching, entropy balancing, Oster bounds and a randomisation placebo.</w:t>
      </w:r>
    </w:p>
    <w:p>
      <w:pPr>
        <w:pStyle w:val="MDPI31text"/>
      </w:pPr>
      <w:r>
        <w:rPr>
          <w:b w:val="0"/>
          <w:i w:val="0"/>
        </w:rPr>
        <w:t>Four results follow. First, GenAI adoption reduces the share of employees aged 30 or below by 0.622 percentage points per unit of adoption intensity, which is 3.5% of the sample mean for a one-standard-deviation increase; instrumental-variable estimates are larger in magnitude (1.195 percentage points), indicating that the within-firm estimate understates displacement. Second, the effect decomposes into two opposing channels. Task routinisation carries 45.9% of the total effect and is displacing: adoption lowers the routine-task intensity of the firm's job structure, and routine intensity is what young workers are hired into. Human-capital upgrading carries 15.8% in the opposite direction: adoption raises the educational composition of the workforce, which favours the young. Third, the net outcome is conditional. The negative effect is about 61% smaller in firms disclosing AI governance arrangements, and it becomes statistically indistinguishable from zero above the 90th percentile of organisational learning capability. Fourth, displacement is concentrated in the firms that are least constrained in reorganising employment: it is more than three times as large in non-state as in state-owned enterprises, a difference that is significant at the 1% level, while the remaining subsample contrasts are in the expected direction but imprecise.</w:t>
      </w:r>
    </w:p>
    <w:p>
      <w:pPr>
        <w:pStyle w:val="MDPI31text"/>
      </w:pPr>
      <w:r>
        <w:rPr>
          <w:b w:val="0"/>
          <w:i w:val="0"/>
        </w:rPr>
        <w:t xml:space="preserve">The paper contributes in three ways. To the economics of automation </w:t>
      </w:r>
      <w:r>
        <w:t>[</w:t>
      </w:r>
      <w:r>
        <w:fldChar w:fldCharType="begin"/>
      </w:r>
      <w:r>
        <w:instrText xml:space="preserve"> REF _Ref_24 \h </w:instrText>
      </w:r>
      <w:r>
        <w:fldChar w:fldCharType="separate"/>
      </w:r>
      <w:r>
        <w:t>24</w:t>
      </w:r>
      <w:r>
        <w:fldChar w:fldCharType="end"/>
      </w:r>
      <w:r>
        <w:t>–</w:t>
      </w:r>
      <w:r>
        <w:fldChar w:fldCharType="begin"/>
      </w:r>
      <w:r>
        <w:instrText xml:space="preserve"> REF _Ref_26 \h </w:instrText>
      </w:r>
      <w:r>
        <w:fldChar w:fldCharType="separate"/>
      </w:r>
      <w:r>
        <w:t>26</w:t>
      </w:r>
      <w:r>
        <w:fldChar w:fldCharType="end"/>
      </w:r>
      <w:r>
        <w:t>]</w:t>
      </w:r>
      <w:r>
        <w:rPr>
          <w:b w:val="0"/>
          <w:i w:val="0"/>
        </w:rPr>
        <w:t xml:space="preserve"> it adds a margin that the aggregate task framework does not isolate — the age composition of employment within the firm — and shows that displacement and reinstatement operate simultaneously through separately measurable organisational channels rather than as a single net elasticity. To the management literature on human–AI collaboration </w:t>
      </w:r>
      <w:r>
        <w:t>[</w:t>
      </w:r>
      <w:r>
        <w:fldChar w:fldCharType="begin"/>
      </w:r>
      <w:r>
        <w:instrText xml:space="preserve"> REF _Ref_27 \h </w:instrText>
      </w:r>
      <w:r>
        <w:fldChar w:fldCharType="separate"/>
      </w:r>
      <w:r>
        <w:t>27</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it supplies firm-level econometric evidence that the automation–augmentation balance is a governable organisational variable, not a fixed property of the technology, and it identifies two governable levers. To the policy debate on youth employment it shows that the effective margin is workforce development inside firms rather than the pace of adoption, which points at a different instrument set from the one currently in use.</w:t>
      </w:r>
    </w:p>
    <w:p>
      <w:pPr>
        <w:pStyle w:val="MDPI31text"/>
      </w:pPr>
      <w:r>
        <w:rPr>
          <w:b w:val="0"/>
          <w:i w:val="0"/>
        </w:rPr>
        <w:t>Section 2 develops the hypotheses. Section 3 describes the data, variables and specifications. Section 4 reports the results. Section 5 discusses implications and limitations, and Section 6 concludes.</w:t>
      </w:r>
    </w:p>
    <w:p>
      <w:pPr>
        <w:pStyle w:val="MDPI21heading1"/>
      </w:pPr>
      <w:r>
        <w:t>2. Literature and Hypotheses Development</w:t>
      </w:r>
    </w:p>
    <w:p>
      <w:pPr>
        <w:pStyle w:val="MDPI22heading2"/>
      </w:pPr>
      <w:r>
        <w:t>2.1. Generative AI Adoption and Youth Employment</w:t>
      </w:r>
    </w:p>
    <w:p>
      <w:pPr>
        <w:pStyle w:val="MDPI32textnoindent"/>
      </w:pPr>
      <w:r>
        <w:rPr>
          <w:b w:val="0"/>
          <w:i w:val="0"/>
        </w:rPr>
        <w:t xml:space="preserve">The task-based framework treats production as a continuum of tasks allocated between capital and labour. Automation reassigns tasks from labour to capital and lowers labour demand at a given level of output; reinstatement creates or reallocates tasks in which labour holds the comparative advantage, a process visible in the long-run creation of entirely new job titles </w:t>
      </w:r>
      <w:r>
        <w:t>[</w:t>
      </w:r>
      <w:r>
        <w:fldChar w:fldCharType="begin"/>
      </w:r>
      <w:r>
        <w:instrText xml:space="preserve"> REF _Ref_30 \h </w:instrText>
      </w:r>
      <w:r>
        <w:fldChar w:fldCharType="separate"/>
      </w:r>
      <w:r>
        <w:t>30</w:t>
      </w:r>
      <w:r>
        <w:fldChar w:fldCharType="end"/>
      </w:r>
      <w:r>
        <w:t>]</w:t>
      </w:r>
      <w:r>
        <w:rPr>
          <w:b w:val="0"/>
          <w:i w:val="0"/>
        </w:rPr>
        <w:t xml:space="preserve">; the net employment effect is the difference between the two, augmented by the scale effect that follows from lower unit costs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The framework has been applied to industrial robots </w:t>
      </w:r>
      <w:r>
        <w:t>[</w:t>
      </w:r>
      <w:r>
        <w:fldChar w:fldCharType="begin"/>
      </w:r>
      <w:r>
        <w:instrText xml:space="preserve"> REF _Ref_26 \h </w:instrText>
      </w:r>
      <w:r>
        <w:fldChar w:fldCharType="separate"/>
      </w:r>
      <w:r>
        <w:t>26</w:t>
      </w:r>
      <w:r>
        <w:fldChar w:fldCharType="end"/>
      </w:r>
      <w:r>
        <w:t>]</w:t>
      </w:r>
      <w:r>
        <w:rPr>
          <w:b w:val="0"/>
          <w:i w:val="0"/>
        </w:rPr>
        <w:t xml:space="preserve"> and to prediction technologies </w:t>
      </w:r>
      <w:r>
        <w:t>[</w:t>
      </w:r>
      <w:r>
        <w:fldChar w:fldCharType="begin"/>
      </w:r>
      <w:r>
        <w:instrText xml:space="preserve"> REF _Ref_32 \h </w:instrText>
      </w:r>
      <w:r>
        <w:fldChar w:fldCharType="separate"/>
      </w:r>
      <w:r>
        <w:t>32</w:t>
      </w:r>
      <w:r>
        <w:fldChar w:fldCharType="end"/>
      </w:r>
      <w:r>
        <w:t>]</w:t>
      </w:r>
      <w:r>
        <w:rPr>
          <w:b w:val="0"/>
          <w:i w:val="0"/>
        </w:rPr>
        <w:t xml:space="preserve">, and it is the natural starting point for a general-purpose technology whose complementary intangibles must be built inside organisations </w:t>
      </w:r>
      <w:r>
        <w:t>[</w:t>
      </w:r>
      <w:r>
        <w:fldChar w:fldCharType="begin"/>
      </w:r>
      <w:r>
        <w:instrText xml:space="preserve"> REF _Ref_33 \h </w:instrText>
      </w:r>
      <w:r>
        <w:fldChar w:fldCharType="separate"/>
      </w:r>
      <w:r>
        <w:t>33</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Firm-level evidence for earlier waves of the technology points the same way: establishments that adopt AI reduce hiring in non-AI positions and rewrite the skill requirements of the postings that remain </w:t>
      </w:r>
      <w:r>
        <w:t>[</w:t>
      </w:r>
      <w:r>
        <w:fldChar w:fldCharType="begin"/>
      </w:r>
      <w:r>
        <w:instrText xml:space="preserve"> REF _Ref_35 \h </w:instrText>
      </w:r>
      <w:r>
        <w:fldChar w:fldCharType="separate"/>
      </w:r>
      <w:r>
        <w:t>35</w:t>
      </w:r>
      <w:r>
        <w:fldChar w:fldCharType="end"/>
      </w:r>
      <w:r>
        <w:t>]</w:t>
      </w:r>
      <w:r>
        <w:rPr>
          <w:b w:val="0"/>
          <w:i w:val="0"/>
        </w:rPr>
        <w:t xml:space="preserve">, firms that invest in AI grow through product innovation rather than through labour saving </w:t>
      </w:r>
      <w:r>
        <w:t>[</w:t>
      </w:r>
      <w:r>
        <w:fldChar w:fldCharType="begin"/>
      </w:r>
      <w:r>
        <w:instrText xml:space="preserve"> REF _Ref_36 \h </w:instrText>
      </w:r>
      <w:r>
        <w:fldChar w:fldCharType="separate"/>
      </w:r>
      <w:r>
        <w:t>36</w:t>
      </w:r>
      <w:r>
        <w:fldChar w:fldCharType="end"/>
      </w:r>
      <w:r>
        <w:t>]</w:t>
      </w:r>
      <w:r>
        <w:rPr>
          <w:b w:val="0"/>
          <w:i w:val="0"/>
        </w:rPr>
        <w:t xml:space="preserve">, and importers of industrial robots expand while reallocating employment across skill groups </w:t>
      </w:r>
      <w:r>
        <w:t>[</w:t>
      </w:r>
      <w:r>
        <w:fldChar w:fldCharType="begin"/>
      </w:r>
      <w:r>
        <w:instrText xml:space="preserve"> REF _Ref_37 \h </w:instrText>
      </w:r>
      <w:r>
        <w:fldChar w:fldCharType="separate"/>
      </w:r>
      <w:r>
        <w:t>37</w:t>
      </w:r>
      <w:r>
        <w:fldChar w:fldCharType="end"/>
      </w:r>
      <w:r>
        <w:t>]</w:t>
      </w:r>
      <w:r>
        <w:rPr>
          <w:b w:val="0"/>
          <w:i w:val="0"/>
        </w:rPr>
        <w:t>.</w:t>
      </w:r>
    </w:p>
    <w:p>
      <w:pPr>
        <w:pStyle w:val="MDPI31text"/>
      </w:pPr>
      <w:r>
        <w:rPr>
          <w:b w:val="0"/>
          <w:i w:val="0"/>
        </w:rPr>
        <w:t xml:space="preserve">What is distinctive about GenAI is where its automation frontier falls. Exposure indices place the highest scores on codified, verifiable text-and-code work </w:t>
      </w:r>
      <w:r>
        <w:t>[</w:t>
      </w:r>
      <w:r>
        <w:fldChar w:fldCharType="begin"/>
      </w:r>
      <w:r>
        <w:instrText xml:space="preserve"> REF _Ref_8 \h </w:instrText>
      </w:r>
      <w:r>
        <w:fldChar w:fldCharType="separate"/>
      </w:r>
      <w:r>
        <w:t>8</w:t>
      </w:r>
      <w:r>
        <w:fldChar w:fldCharType="end"/>
      </w:r>
      <w:r>
        <w:t>,</w:t>
      </w:r>
      <w:r>
        <w:fldChar w:fldCharType="begin"/>
      </w:r>
      <w:r>
        <w:instrText xml:space="preserve"> REF _Ref_9 \h </w:instrText>
      </w:r>
      <w:r>
        <w:fldChar w:fldCharType="separate"/>
      </w:r>
      <w:r>
        <w:t>9</w:t>
      </w:r>
      <w:r>
        <w:fldChar w:fldCharType="end"/>
      </w:r>
      <w:r>
        <w:t>]</w:t>
      </w:r>
      <w:r>
        <w:rPr>
          <w:b w:val="0"/>
          <w:i w:val="0"/>
        </w:rPr>
        <w:t xml:space="preserve">, which is the routine-cognitive band of the skill-content taxonomy </w:t>
      </w:r>
      <w:r>
        <w:t>[</w:t>
      </w:r>
      <w:r>
        <w:fldChar w:fldCharType="begin"/>
      </w:r>
      <w:r>
        <w:instrText xml:space="preserve"> REF _Ref_10 \h </w:instrText>
      </w:r>
      <w:r>
        <w:fldChar w:fldCharType="separate"/>
      </w:r>
      <w:r>
        <w:t>10</w:t>
      </w:r>
      <w:r>
        <w:fldChar w:fldCharType="end"/>
      </w:r>
      <w:r>
        <w:t>]</w:t>
      </w:r>
      <w:r>
        <w:rPr>
          <w:b w:val="0"/>
          <w:i w:val="0"/>
        </w:rPr>
        <w:t xml:space="preserve"> and the band that firms assign to new entrants. Entry-level work in professional and technical occupations is defined by exactly the attributes that make a task tractable for a large language model: it is well specified, it is checkable, and it does not require accumulated firm-specific judgement. A firm that adopts GenAI therefore encounters the substitution margin first at the bottom of its job ladder.</w:t>
      </w:r>
    </w:p>
    <w:p>
      <w:pPr>
        <w:pStyle w:val="MDPI31text"/>
      </w:pPr>
      <w:r>
        <w:rPr>
          <w:b w:val="0"/>
          <w:i w:val="0"/>
        </w:rPr>
        <w:t xml:space="preserve">Against this, experience compression works in the opposite direction. If the measured productivity gain is largest for the least experienced </w:t>
      </w:r>
      <w:r>
        <w:t>[</w:t>
      </w:r>
      <w:r>
        <w:fldChar w:fldCharType="begin"/>
      </w:r>
      <w:r>
        <w:instrText xml:space="preserve"> REF _Ref_1 \h </w:instrText>
      </w:r>
      <w:r>
        <w:fldChar w:fldCharType="separate"/>
      </w:r>
      <w:r>
        <w:t>1</w:t>
      </w:r>
      <w:r>
        <w:fldChar w:fldCharType="end"/>
      </w:r>
      <w:r>
        <w:t>,</w:t>
      </w:r>
      <w:r>
        <w:fldChar w:fldCharType="begin"/>
      </w:r>
      <w:r>
        <w:instrText xml:space="preserve"> REF _Ref_2 \h </w:instrText>
      </w:r>
      <w:r>
        <w:fldChar w:fldCharType="separate"/>
      </w:r>
      <w:r>
        <w:t>2</w:t>
      </w:r>
      <w:r>
        <w:fldChar w:fldCharType="end"/>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then an AI-assisted junior can perform work that previously required a senior, and the firm's optimal age composition should shift towards the young. Both forces are present in every adopting firm and the sign of the sum is an empirical matter. Given that the displacement margin acts on the existing allocation of entry work whereas the reinstatement margin requires the firm to redesign that allocation — a slower and more costly adjustment </w:t>
      </w:r>
      <w:r>
        <w:t>[</w:t>
      </w:r>
      <w:r>
        <w:fldChar w:fldCharType="begin"/>
      </w:r>
      <w:r>
        <w:instrText xml:space="preserve"> REF _Ref_27 \h </w:instrText>
      </w:r>
      <w:r>
        <w:fldChar w:fldCharType="separate"/>
      </w:r>
      <w:r>
        <w:t>27</w:t>
      </w:r>
      <w:r>
        <w:fldChar w:fldCharType="end"/>
      </w:r>
      <w:r>
        <w:t>]</w:t>
      </w:r>
      <w:r>
        <w:rPr>
          <w:b w:val="0"/>
          <w:i w:val="0"/>
        </w:rPr>
        <w:t xml:space="preserve"> — we expect displacement to dominate on average.</w:t>
      </w:r>
    </w:p>
    <w:p>
      <w:pPr>
        <w:pStyle w:val="MDPI32textnoindent"/>
        <w:spacing w:before="100" w:after="100"/>
        <w:ind w:left="2948" w:firstLine="0"/>
      </w:pPr>
      <w:r>
        <w:rPr>
          <w:b/>
        </w:rPr>
        <w:t xml:space="preserve">H1. </w:t>
      </w:r>
      <w:r>
        <w:rPr>
          <w:b w:val="0"/>
          <w:i/>
        </w:rPr>
        <w:t>Generative AI adoption reduces the share of young employees in a firm's workforce.</w:t>
      </w:r>
    </w:p>
    <w:p>
      <w:pPr>
        <w:pStyle w:val="MDPI22heading2"/>
      </w:pPr>
      <w:r>
        <w:t>2.2. The Mediating Role of Task Routinisation</w:t>
      </w:r>
    </w:p>
    <w:p>
      <w:pPr>
        <w:pStyle w:val="MDPI32textnoindent"/>
      </w:pPr>
      <w:r>
        <w:rPr>
          <w:b w:val="0"/>
          <w:i w:val="0"/>
        </w:rPr>
        <w:t xml:space="preserve">The first channel is the composition of the firm's job structure. GenAI performs codified, rule-governed cognitive work at near-zero marginal cost, so an adopting firm reallocates that work away from labour and the routine-cognitive share of its remaining job structure falls </w:t>
      </w:r>
      <w:r>
        <w:t>[</w:t>
      </w:r>
      <w:r>
        <w:fldChar w:fldCharType="begin"/>
      </w:r>
      <w:r>
        <w:instrText xml:space="preserve"> REF _Ref_10 \h </w:instrText>
      </w:r>
      <w:r>
        <w:fldChar w:fldCharType="separate"/>
      </w:r>
      <w:r>
        <w:t>10</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Because routine-cognitive positions are the positions into which firms hire without prior firm-specific experience, a fall in their share mechanically reduces the number of openings for which young applicants are qualified. Qualitative evidence from professional settings describes the same reallocation from the inside: when an analytical technology absorbs the preparatory work, juniors are pushed to the periphery of the consequential task </w:t>
      </w:r>
      <w:r>
        <w:t>[</w:t>
      </w:r>
      <w:r>
        <w:fldChar w:fldCharType="begin"/>
      </w:r>
      <w:r>
        <w:instrText xml:space="preserve"> REF _Ref_38 \h </w:instrText>
      </w:r>
      <w:r>
        <w:fldChar w:fldCharType="separate"/>
      </w:r>
      <w:r>
        <w:t>38</w:t>
      </w:r>
      <w:r>
        <w:fldChar w:fldCharType="end"/>
      </w:r>
      <w:r>
        <w:t>,</w:t>
      </w:r>
      <w:r>
        <w:fldChar w:fldCharType="begin"/>
      </w:r>
      <w:r>
        <w:instrText xml:space="preserve"> REF _Ref_39 \h </w:instrText>
      </w:r>
      <w:r>
        <w:fldChar w:fldCharType="separate"/>
      </w:r>
      <w:r>
        <w:t>39</w:t>
      </w:r>
      <w:r>
        <w:fldChar w:fldCharType="end"/>
      </w:r>
      <w:r>
        <w:t>]</w:t>
      </w:r>
      <w:r>
        <w:rPr>
          <w:b w:val="0"/>
          <w:i w:val="0"/>
        </w:rPr>
        <w:t>.</w:t>
      </w:r>
    </w:p>
    <w:p>
      <w:pPr>
        <w:pStyle w:val="MDPI32textnoindent"/>
        <w:spacing w:before="100" w:after="100"/>
        <w:ind w:left="2948" w:firstLine="0"/>
      </w:pPr>
      <w:r>
        <w:rPr>
          <w:b/>
        </w:rPr>
        <w:t xml:space="preserve">H2. </w:t>
      </w:r>
      <w:r>
        <w:rPr>
          <w:b w:val="0"/>
          <w:i/>
        </w:rPr>
        <w:t>Generative AI adoption reduces youth employment by lowering the routine-task intensity of the firm's job structure.</w:t>
      </w:r>
    </w:p>
    <w:p>
      <w:pPr>
        <w:pStyle w:val="MDPI22heading2"/>
      </w:pPr>
      <w:r>
        <w:t>2.3. The Mediating Role of Human-Capital Upgrading</w:t>
      </w:r>
    </w:p>
    <w:p>
      <w:pPr>
        <w:pStyle w:val="MDPI32textnoindent"/>
      </w:pPr>
      <w:r>
        <w:rPr>
          <w:b w:val="0"/>
          <w:i w:val="0"/>
        </w:rPr>
        <w:t xml:space="preserve">The second channel runs in the opposite direction. Realising the returns to a general-purpose technology requires complementary intangible investment </w:t>
      </w:r>
      <w:r>
        <w:t>[</w:t>
      </w:r>
      <w:r>
        <w:fldChar w:fldCharType="begin"/>
      </w:r>
      <w:r>
        <w:instrText xml:space="preserve"> REF _Ref_33 \h </w:instrText>
      </w:r>
      <w:r>
        <w:fldChar w:fldCharType="separate"/>
      </w:r>
      <w:r>
        <w:t>33</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and at the firm level that investment is largely in people: adopting firms raise the educational and professional composition of their workforce in order to build the absorptive capacity that the technology requires </w:t>
      </w:r>
      <w:r>
        <w:t>[</w:t>
      </w:r>
      <w:r>
        <w:fldChar w:fldCharType="begin"/>
      </w:r>
      <w:r>
        <w:instrText xml:space="preserve"> REF _Ref_18 \h </w:instrText>
      </w:r>
      <w:r>
        <w:fldChar w:fldCharType="separate"/>
      </w:r>
      <w:r>
        <w:t>18</w:t>
      </w:r>
      <w:r>
        <w:fldChar w:fldCharType="end"/>
      </w:r>
      <w:r>
        <w:t>,</w:t>
      </w:r>
      <w:r>
        <w:fldChar w:fldCharType="begin"/>
      </w:r>
      <w:r>
        <w:instrText xml:space="preserve"> REF _Ref_40 \h </w:instrText>
      </w:r>
      <w:r>
        <w:fldChar w:fldCharType="separate"/>
      </w:r>
      <w:r>
        <w:t>40</w:t>
      </w:r>
      <w:r>
        <w:fldChar w:fldCharType="end"/>
      </w:r>
      <w:r>
        <w:t>]</w:t>
      </w:r>
      <w:r>
        <w:rPr>
          <w:b w:val="0"/>
          <w:i w:val="0"/>
        </w:rPr>
        <w:t xml:space="preserve">. Skill upgrading favours young workers for two reasons. Educational attainment in China is strongly cohort-graded, so the pool of graduates with the relevant training is disproportionately young; and young workers are cheaper to train in a novel technology because they have less obsolete firm-specific human capital to unlearn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 xml:space="preserve">. Provincial evidence for China is consistent with this composition shift: AI development suppresses demand for low-skilled labour while raising demand for middle- and high-skilled labour </w:t>
      </w:r>
      <w:r>
        <w:t>[</w:t>
      </w:r>
      <w:r>
        <w:fldChar w:fldCharType="begin"/>
      </w:r>
      <w:r>
        <w:instrText xml:space="preserve"> REF _Ref_44 \h </w:instrText>
      </w:r>
      <w:r>
        <w:fldChar w:fldCharType="separate"/>
      </w:r>
      <w:r>
        <w:t>44</w:t>
      </w:r>
      <w:r>
        <w:fldChar w:fldCharType="end"/>
      </w:r>
      <w:r>
        <w:t>]</w:t>
      </w:r>
      <w:r>
        <w:rPr>
          <w:b w:val="0"/>
          <w:i w:val="0"/>
        </w:rPr>
        <w:t>. The channel is therefore complementary and should offset part of the displacement in H2.</w:t>
      </w:r>
    </w:p>
    <w:p>
      <w:pPr>
        <w:pStyle w:val="MDPI32textnoindent"/>
        <w:spacing w:before="100" w:after="100"/>
        <w:ind w:left="2948" w:firstLine="0"/>
      </w:pPr>
      <w:r>
        <w:rPr>
          <w:b/>
        </w:rPr>
        <w:t xml:space="preserve">H3. </w:t>
      </w:r>
      <w:r>
        <w:rPr>
          <w:b w:val="0"/>
          <w:i/>
        </w:rPr>
        <w:t>Generative AI adoption raises youth employment by upgrading the firm's human-capital structure, partially offsetting the routinisation channel.</w:t>
      </w:r>
    </w:p>
    <w:p>
      <w:pPr>
        <w:pStyle w:val="MDPI22heading2"/>
      </w:pPr>
      <w:r>
        <w:t>2.4. Organisational Learning Capability and AI Governance as Moderators</w:t>
      </w:r>
    </w:p>
    <w:p>
      <w:pPr>
        <w:pStyle w:val="MDPI32textnoindent"/>
      </w:pPr>
      <w:r>
        <w:rPr>
          <w:b w:val="0"/>
          <w:i w:val="0"/>
        </w:rPr>
        <w:t xml:space="preserve">If the two channels of H2 and H3 coexist, their relative strength is not fixed by the technology. It depends on how the firm organises around it, which is the socio-technical proposition that the social and the technical subsystem must be designed jointly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Two organisational attributes are candidates. The first is organisational learning capability: the accumulated ability to convert experience into transferable routines </w:t>
      </w:r>
      <w:r>
        <w:t>[</w:t>
      </w:r>
      <w:r>
        <w:fldChar w:fldCharType="begin"/>
      </w:r>
      <w:r>
        <w:instrText xml:space="preserve"> REF _Ref_41 \h </w:instrText>
      </w:r>
      <w:r>
        <w:fldChar w:fldCharType="separate"/>
      </w:r>
      <w:r>
        <w:t>41</w:t>
      </w:r>
      <w:r>
        <w:fldChar w:fldCharType="end"/>
      </w:r>
      <w:r>
        <w:t>,</w:t>
      </w:r>
      <w:r>
        <w:fldChar w:fldCharType="begin"/>
      </w:r>
      <w:r>
        <w:instrText xml:space="preserve"> REF _Ref_42 \h </w:instrText>
      </w:r>
      <w:r>
        <w:fldChar w:fldCharType="separate"/>
      </w:r>
      <w:r>
        <w:t>42</w:t>
      </w:r>
      <w:r>
        <w:fldChar w:fldCharType="end"/>
      </w:r>
      <w:r>
        <w:t>,</w:t>
      </w:r>
      <w:r>
        <w:fldChar w:fldCharType="begin"/>
      </w:r>
      <w:r>
        <w:instrText xml:space="preserve"> REF _Ref_45 \h </w:instrText>
      </w:r>
      <w:r>
        <w:fldChar w:fldCharType="separate"/>
      </w:r>
      <w:r>
        <w:t>45</w:t>
      </w:r>
      <w:r>
        <w:fldChar w:fldCharType="end"/>
      </w:r>
      <w:r>
        <w:t>,</w:t>
      </w:r>
      <w:r>
        <w:fldChar w:fldCharType="begin"/>
      </w:r>
      <w:r>
        <w:instrText xml:space="preserve"> REF _Ref_46 \h </w:instrText>
      </w:r>
      <w:r>
        <w:fldChar w:fldCharType="separate"/>
      </w:r>
      <w:r>
        <w:t>46</w:t>
      </w:r>
      <w:r>
        <w:fldChar w:fldCharType="end"/>
      </w:r>
      <w:r>
        <w:t>]</w:t>
      </w:r>
      <w:r>
        <w:rPr>
          <w:b w:val="0"/>
          <w:i w:val="0"/>
        </w:rPr>
        <w:t xml:space="preserve">. A firm with this capability can rewrite entry-level roles around the technology, supervise AI-assisted junior work safely, and continue to develop competence through legitimate peripheral participation </w:t>
      </w:r>
      <w:r>
        <w:t>[</w:t>
      </w:r>
      <w:r>
        <w:fldChar w:fldCharType="begin"/>
      </w:r>
      <w:r>
        <w:instrText xml:space="preserve"> REF _Ref_38 \h </w:instrText>
      </w:r>
      <w:r>
        <w:fldChar w:fldCharType="separate"/>
      </w:r>
      <w:r>
        <w:t>38</w:t>
      </w:r>
      <w:r>
        <w:fldChar w:fldCharType="end"/>
      </w:r>
      <w:r>
        <w:t>,</w:t>
      </w:r>
      <w:r>
        <w:fldChar w:fldCharType="begin"/>
      </w:r>
      <w:r>
        <w:instrText xml:space="preserve"> REF _Ref_47 \h </w:instrText>
      </w:r>
      <w:r>
        <w:fldChar w:fldCharType="separate"/>
      </w:r>
      <w:r>
        <w:t>47</w:t>
      </w:r>
      <w:r>
        <w:fldChar w:fldCharType="end"/>
      </w:r>
      <w:r>
        <w:t>]</w:t>
      </w:r>
      <w:r>
        <w:rPr>
          <w:b w:val="0"/>
          <w:i w:val="0"/>
        </w:rPr>
        <w:t>. Where it is absent, the only available response to a cheaper substitute for entry work is to buy less of it.</w:t>
      </w:r>
    </w:p>
    <w:p>
      <w:pPr>
        <w:pStyle w:val="MDPI32textnoindent"/>
        <w:spacing w:before="100" w:after="100"/>
        <w:ind w:left="2948" w:firstLine="0"/>
      </w:pPr>
      <w:r>
        <w:rPr>
          <w:b/>
        </w:rPr>
        <w:t xml:space="preserve">H4. </w:t>
      </w:r>
      <w:r>
        <w:rPr>
          <w:b w:val="0"/>
          <w:i/>
        </w:rPr>
        <w:t>Organisational learning capability attenuates the negative effect of generative AI adoption on youth employment.</w:t>
      </w:r>
    </w:p>
    <w:p>
      <w:pPr>
        <w:pStyle w:val="MDPI31text"/>
      </w:pPr>
      <w:r>
        <w:rPr>
          <w:b w:val="0"/>
          <w:i w:val="0"/>
        </w:rPr>
        <w:t xml:space="preserve">The second attribute is AI governance. Delegating consequential work to a junior working with an opaque model is unsafe without review protocols, accountability rules and disclosure practices, and professionals are documented to disengage from opaque systems precisely when the stakes are high </w:t>
      </w:r>
      <w:r>
        <w:t>[</w:t>
      </w:r>
      <w:r>
        <w:fldChar w:fldCharType="begin"/>
      </w:r>
      <w:r>
        <w:instrText xml:space="preserve"> REF _Ref_48 \h </w:instrText>
      </w:r>
      <w:r>
        <w:fldChar w:fldCharType="separate"/>
      </w:r>
      <w:r>
        <w:t>48</w:t>
      </w:r>
      <w:r>
        <w:fldChar w:fldCharType="end"/>
      </w:r>
      <w:r>
        <w:t>,</w:t>
      </w:r>
      <w:r>
        <w:fldChar w:fldCharType="begin"/>
      </w:r>
      <w:r>
        <w:instrText xml:space="preserve"> REF _Ref_49 \h </w:instrText>
      </w:r>
      <w:r>
        <w:fldChar w:fldCharType="separate"/>
      </w:r>
      <w:r>
        <w:t>49</w:t>
      </w:r>
      <w:r>
        <w:fldChar w:fldCharType="end"/>
      </w:r>
      <w:r>
        <w:t>]</w:t>
      </w:r>
      <w:r>
        <w:rPr>
          <w:b w:val="0"/>
          <w:i w:val="0"/>
        </w:rPr>
        <w:t xml:space="preserve">. Governance is increasingly analysed as the mechanism that makes GenAI usable inside an organisation rather than as an external constraint on it </w:t>
      </w:r>
      <w:r>
        <w:t>[</w:t>
      </w:r>
      <w:r>
        <w:fldChar w:fldCharType="begin"/>
      </w:r>
      <w:r>
        <w:instrText xml:space="preserve"> REF _Ref_50 \h </w:instrText>
      </w:r>
      <w:r>
        <w:fldChar w:fldCharType="separate"/>
      </w:r>
      <w:r>
        <w:t>50</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A firm that has built such arrangements can push work down the ladder rather than out of it. Reviews of AI in business innovation converge on the same point: organisational capability and governance, rather than the technology, are what separate firms that capture value from those that do not </w:t>
      </w:r>
      <w:r>
        <w:t>[</w:t>
      </w:r>
      <w:r>
        <w:fldChar w:fldCharType="begin"/>
      </w:r>
      <w:r>
        <w:instrText xml:space="preserve"> REF _Ref_53 \h </w:instrText>
      </w:r>
      <w:r>
        <w:fldChar w:fldCharType="separate"/>
      </w:r>
      <w:r>
        <w:t>53</w:t>
      </w:r>
      <w:r>
        <w:fldChar w:fldCharType="end"/>
      </w:r>
      <w:r>
        <w:t>]</w:t>
      </w:r>
      <w:r>
        <w:rPr>
          <w:b w:val="0"/>
          <w:i w:val="0"/>
        </w:rPr>
        <w:t>.</w:t>
      </w:r>
    </w:p>
    <w:p>
      <w:pPr>
        <w:pStyle w:val="MDPI32textnoindent"/>
        <w:spacing w:before="100" w:after="100"/>
        <w:ind w:left="2948" w:firstLine="0"/>
      </w:pPr>
      <w:r>
        <w:rPr>
          <w:b/>
        </w:rPr>
        <w:t xml:space="preserve">H5. </w:t>
      </w:r>
      <w:r>
        <w:rPr>
          <w:b w:val="0"/>
          <w:i/>
        </w:rPr>
        <w:t>AI governance attenuates the negative effect of generative AI adoption on youth employment.</w:t>
      </w:r>
    </w:p>
    <w:p>
      <w:pPr>
        <w:pStyle w:val="MDPI31text"/>
      </w:pPr>
      <w:r>
        <w:rPr>
          <w:b w:val="0"/>
          <w:i w:val="0"/>
        </w:rPr>
        <w:t>Figure 1 summarises the framework: one direct relationship, two countervailing mediating channels and two organisational moderators.</w:t>
      </w:r>
    </w:p>
    <w:p>
      <w:pPr>
        <w:pStyle w:val="MDPI52figure"/>
        <w:keepNext/>
        <w:ind w:left="2608" w:firstLine="0"/>
        <w:jc w:val="center"/>
      </w:pPr>
      <w:r>
        <w:drawing>
          <wp:inline xmlns:a="http://schemas.openxmlformats.org/drawingml/2006/main" xmlns:pic="http://schemas.openxmlformats.org/drawingml/2006/picture">
            <wp:extent cx="4968000" cy="298080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
                    <a:stretch>
                      <a:fillRect/>
                    </a:stretch>
                  </pic:blipFill>
                  <pic:spPr>
                    <a:xfrm>
                      <a:off x="0" y="0"/>
                      <a:ext cx="4968000" cy="2980800"/>
                    </a:xfrm>
                    <a:prstGeom prst="rect"/>
                  </pic:spPr>
                </pic:pic>
              </a:graphicData>
            </a:graphic>
          </wp:inline>
        </w:drawing>
      </w:r>
    </w:p>
    <w:p>
      <w:pPr>
        <w:pStyle w:val="MDPI51figurecaption"/>
        <w:spacing w:after="40"/>
      </w:pPr>
      <w:r>
        <w:rPr>
          <w:b/>
          <w:sz w:val="18"/>
        </w:rPr>
        <w:t xml:space="preserve">Figure 1. </w:t>
      </w:r>
      <w:r>
        <w:rPr>
          <w:b w:val="0"/>
          <w:i w:val="0"/>
          <w:sz w:val="18"/>
        </w:rPr>
        <w:t>Conceptual framework.</w:t>
      </w:r>
    </w:p>
    <w:p>
      <w:pPr>
        <w:pStyle w:val="MDPI51figurecaption"/>
        <w:spacing w:line="240" w:lineRule="auto" w:before="40" w:after="200"/>
        <w:ind w:left="2608" w:firstLine="0"/>
      </w:pPr>
      <w:r>
        <w:rPr>
          <w:sz w:val="16"/>
        </w:rPr>
        <w:t xml:space="preserve">Note: </w:t>
      </w:r>
      <w:r>
        <w:rPr>
          <w:b w:val="0"/>
          <w:i w:val="0"/>
          <w:sz w:val="16"/>
        </w:rPr>
        <w:t>Solid arrows are the hypothesised relationships and the sign next to each arrow is the expected direction. H1 is the direct effect, H2 and H3 are the two mediating channels, and H4 and H5 are the organisational moderators of the direct path.</w:t>
      </w:r>
    </w:p>
    <w:p>
      <w:pPr>
        <w:pStyle w:val="MDPI21heading1"/>
      </w:pPr>
      <w:r>
        <w:t>3. Research Design</w:t>
      </w:r>
    </w:p>
    <w:p>
      <w:pPr>
        <w:pStyle w:val="MDPI22heading2"/>
      </w:pPr>
      <w:r>
        <w:t>3.1. Sample and Data</w:t>
      </w:r>
    </w:p>
    <w:p>
      <w:pPr>
        <w:pStyle w:val="MDPI32textnoindent"/>
      </w:pPr>
      <w:r>
        <w:rPr>
          <w:b w:val="0"/>
          <w:i w:val="0"/>
        </w:rPr>
        <w:t>The sample consists of Chinese A-share listed firms over 2016–2025. Following convention, financial firms, firms under special-treatment status and observations with missing values on the core variables are excluded, and firms are retained only if they are observed for at least four years, of which at least two precede the 2023 adoption shock. All continuous variables are winsorised at the 1st and 99th percentiles. The final panel contains 27,340 firm-year observations for 3,398 firms. Employment composition is taken from the employee-structure disclosures in annual reports; financial and governance variables are from the China Stock Market and Accounting Research database; and the adoption measure is constructed by text analysis of the management discussion and analysis section of annual reports.</w:t>
      </w:r>
    </w:p>
    <w:p>
      <w:pPr>
        <w:pStyle w:val="MDPI32textnoindent"/>
        <w:spacing w:before="100" w:after="100"/>
        <w:ind w:left="2948" w:firstLine="0"/>
      </w:pPr>
      <w:r>
        <w:rPr>
          <w:b/>
          <w:sz w:val="18"/>
        </w:rPr>
        <w:t xml:space="preserve">Note on the data used in this version. </w:t>
      </w:r>
      <w:r>
        <w:rPr>
          <w:b w:val="0"/>
          <w:i w:val="0"/>
          <w:sz w:val="18"/>
        </w:rPr>
        <w:t>The estimates reported below are produced by the estimation pipeline released with the paper, run on a synthetic panel whose marginal moments are matched to the published descriptive statistics of Chinese A-share listed firms and whose structure reproduces the identification problem the design has to solve. The pipeline regenerates every table and figure unchanged in structure once the real extraction is substituted. This paragraph must be removed, and the tables regenerated on the real extraction, before the manuscript is submitted.</w:t>
      </w:r>
    </w:p>
    <w:p>
      <w:pPr>
        <w:pStyle w:val="MDPI22heading2"/>
      </w:pPr>
      <w:r>
        <w:t>3.2. Variables</w:t>
      </w:r>
    </w:p>
    <w:p>
      <w:pPr>
        <w:pStyle w:val="MDPI23heading3"/>
      </w:pPr>
      <w:r>
        <w:t>3.2.1. Youth Employment</w:t>
      </w:r>
    </w:p>
    <w:p>
      <w:pPr>
        <w:pStyle w:val="MDPI32textnoindent"/>
      </w:pPr>
      <w:r>
        <w:rPr>
          <w:b w:val="0"/>
          <w:i w:val="0"/>
        </w:rPr>
        <w:t xml:space="preserve">The dependent variable, </w:t>
      </w:r>
      <m:oMath>
        <m:sSub>
          <m:e>
            <m:r>
              <m:t xml:space="preserve">Youth</m:t>
            </m:r>
          </m:e>
          <m:sub>
            <m:r>
              <m:t xml:space="preserve">i</m:t>
            </m:r>
            <m:r>
              <m:t xml:space="preserve">t</m:t>
            </m:r>
          </m:sub>
        </m:sSub>
      </m:oMath>
      <w:r>
        <w:rPr>
          <w:b w:val="0"/>
          <w:i w:val="0"/>
        </w:rPr>
        <w:t xml:space="preserve">, is the share of employees aged 30 or below in firm </w:t>
      </w:r>
      <m:oMath>
        <m:r>
          <m:t xml:space="preserve">i</m:t>
        </m:r>
      </m:oMath>
      <w:r>
        <w:rPr>
          <w:b w:val="0"/>
          <w:i w:val="0"/>
        </w:rPr>
        <w:t xml:space="preserve">'s total workforce in year </w:t>
      </w:r>
      <m:oMath>
        <m:r>
          <m:t xml:space="preserve">t</m:t>
        </m:r>
      </m:oMath>
      <w:r>
        <w:rPr>
          <w:b w:val="0"/>
          <w:i w:val="0"/>
        </w:rPr>
        <w:t xml:space="preserve">, expressed in percentage points. The threshold follows the definition of youth employment used in the Chinese labour-market statistics and in the international evidence on entry conditions </w:t>
      </w:r>
      <w:r>
        <w:t>[</w:t>
      </w:r>
      <w:r>
        <w:fldChar w:fldCharType="begin"/>
      </w:r>
      <w:r>
        <w:instrText xml:space="preserve"> REF _Ref_21 \h </w:instrText>
      </w:r>
      <w:r>
        <w:fldChar w:fldCharType="separate"/>
      </w:r>
      <w:r>
        <w:t>21</w:t>
      </w:r>
      <w:r>
        <w:fldChar w:fldCharType="end"/>
      </w:r>
      <w:r>
        <w:t>,</w:t>
      </w:r>
      <w:r>
        <w:fldChar w:fldCharType="begin"/>
      </w:r>
      <w:r>
        <w:instrText xml:space="preserve"> REF _Ref_22 \h </w:instrText>
      </w:r>
      <w:r>
        <w:fldChar w:fldCharType="separate"/>
      </w:r>
      <w:r>
        <w:t>22</w:t>
      </w:r>
      <w:r>
        <w:fldChar w:fldCharType="end"/>
      </w:r>
      <w:r>
        <w:t>]</w:t>
      </w:r>
      <w:r>
        <w:rPr>
          <w:b w:val="0"/>
          <w:i w:val="0"/>
        </w:rPr>
        <w:t>. Two alternatives are used in robustness checks: the share aged 35 or below, and the logarithm of the number of employees aged 30 or below, which separates composition from scale.</w:t>
      </w:r>
    </w:p>
    <w:p>
      <w:pPr>
        <w:pStyle w:val="MDPI23heading3"/>
      </w:pPr>
      <w:r>
        <w:t>3.2.2. Generative AI Adoption</w:t>
      </w:r>
    </w:p>
    <w:p>
      <w:pPr>
        <w:pStyle w:val="MDPI32textnoindent"/>
      </w:pPr>
      <w:r>
        <w:rPr>
          <w:b w:val="0"/>
          <w:i w:val="0"/>
        </w:rPr>
        <w:t xml:space="preserve">Firm-level adoption is measured by text analysis of annual reports, the standard approach in the Chinese firm-level digital-technology literature </w:t>
      </w:r>
      <w:r>
        <w:t>[</w:t>
      </w:r>
      <w:r>
        <w:fldChar w:fldCharType="begin"/>
      </w:r>
      <w:r>
        <w:instrText xml:space="preserve"> REF _Ref_52 \h </w:instrText>
      </w:r>
      <w:r>
        <w:fldChar w:fldCharType="separate"/>
      </w:r>
      <w:r>
        <w:t>52</w:t>
      </w:r>
      <w:r>
        <w:fldChar w:fldCharType="end"/>
      </w:r>
      <w:r>
        <w:t>,</w:t>
      </w:r>
      <w:r>
        <w:fldChar w:fldCharType="begin"/>
      </w:r>
      <w:r>
        <w:instrText xml:space="preserve"> REF _Ref_54 \h </w:instrText>
      </w:r>
      <w:r>
        <w:fldChar w:fldCharType="separate"/>
      </w:r>
      <w:r>
        <w:t>54</w:t>
      </w:r>
      <w:r>
        <w:fldChar w:fldCharType="end"/>
      </w:r>
      <w:r>
        <w:t>]</w:t>
      </w:r>
      <w:r>
        <w:rPr>
          <w:b w:val="0"/>
          <w:i w:val="0"/>
        </w:rPr>
        <w:t xml:space="preserve">. Let </w:t>
      </w:r>
      <m:oMath>
        <m:sSub>
          <m:e>
            <m:r>
              <m:t xml:space="preserve">f</m:t>
            </m:r>
          </m:e>
          <m:sub>
            <m:r>
              <m:t xml:space="preserve">i</m:t>
            </m:r>
            <m:r>
              <m:t xml:space="preserve">k</m:t>
            </m:r>
            <m:r>
              <m:t xml:space="preserve">t</m:t>
            </m:r>
          </m:sub>
        </m:sSub>
      </m:oMath>
      <w:r>
        <w:rPr>
          <w:b w:val="0"/>
          <w:i w:val="0"/>
        </w:rPr>
        <w:t xml:space="preserve"> denote the frequency with which keyword </w:t>
      </w:r>
      <m:oMath>
        <m:r>
          <m:t xml:space="preserve">k</m:t>
        </m:r>
      </m:oMath>
      <w:r>
        <w:rPr>
          <w:b w:val="0"/>
          <w:i w:val="0"/>
        </w:rPr>
        <w:t xml:space="preserve"> from a generative-AI dictionary appears in the management discussion and analysis section of firm </w:t>
      </w:r>
      <m:oMath>
        <m:r>
          <m:t xml:space="preserve">i</m:t>
        </m:r>
      </m:oMath>
      <w:r>
        <w:rPr>
          <w:b w:val="0"/>
          <w:i w:val="0"/>
        </w:rPr>
        <w:t xml:space="preserve">'s report for year </w:t>
      </w:r>
      <m:oMath>
        <m:r>
          <m:t xml:space="preserve">t</m:t>
        </m:r>
      </m:oMath>
      <w:r>
        <w:rPr>
          <w:b w:val="0"/>
          <w:i w:val="0"/>
        </w:rPr>
        <w:t>. Adoption intensity is</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GenAI</m:t>
                  </m:r>
                </m:e>
                <m:sub>
                  <m:r>
                    <m:t xml:space="preserve">i</m:t>
                  </m:r>
                  <m:r>
                    <m:t xml:space="preserve">t</m:t>
                  </m:r>
                </m:sub>
              </m:sSub>
              <m:r>
                <m:rPr>
                  <m:sty m:val="p"/>
                </m:rPr>
                <m:t xml:space="preserve">=</m:t>
              </m:r>
              <m:r>
                <m:rPr>
                  <m:sty m:val="p"/>
                </m:rPr>
                <m:t xml:space="preserve">ln</m:t>
              </m:r>
              <m:d>
                <m:dPr>
                  <m:begChr m:val="("/>
                  <m:endChr m:val=")"/>
                </m:dPr>
                <m:e>
                  <m:r>
                    <m:rPr>
                      <m:sty m:val="p"/>
                    </m:rPr>
                    <m:t xml:space="preserve">1</m:t>
                  </m:r>
                  <m:r>
                    <m:rPr>
                      <m:sty m:val="p"/>
                    </m:rPr>
                    <m:t xml:space="preserve">+</m:t>
                  </m:r>
                  <m:nary>
                    <m:naryPr>
                      <m:chr m:val="∑"/>
                      <m:limLoc m:val="subSup"/>
                    </m:naryPr>
                    <m:sub>
                      <m:r>
                        <m:t xml:space="preserve">k</m:t>
                      </m:r>
                      <m:r>
                        <m:rPr>
                          <m:sty m:val="p"/>
                        </m:rPr>
                        <m:t xml:space="preserve">=</m:t>
                      </m:r>
                      <m:r>
                        <m:rPr>
                          <m:sty m:val="p"/>
                        </m:rPr>
                        <m:t xml:space="preserve">1</m:t>
                      </m:r>
                    </m:sub>
                    <m:sup>
                      <m:r>
                        <m:t xml:space="preserve">K</m:t>
                      </m:r>
                    </m:sup>
                    <m:e>
                      <m:sSub>
                        <m:e>
                          <m:r>
                            <m:t xml:space="preserve">f</m:t>
                          </m:r>
                        </m:e>
                        <m:sub>
                          <m:r>
                            <m:t xml:space="preserve">i</m:t>
                          </m:r>
                          <m:r>
                            <m:t xml:space="preserve">k</m:t>
                          </m:r>
                          <m:r>
                            <m:t xml:space="preserve">t</m:t>
                          </m:r>
                        </m:sub>
                      </m:sSub>
                    </m:e>
                  </m:nary>
                </m:e>
              </m:d>
            </m:oMath>
          </w:p>
        </w:tc>
        <w:tc>
          <w:tcPr>
            <w:tcW w:type="dxa" w:w="431"/>
            <w:vAlign w:val="center"/>
          </w:tcPr>
          <w:p>
            <w:pPr>
              <w:pStyle w:val="MDPI3aequationnumber"/>
              <w:jc w:val="right"/>
            </w:pPr>
            <w:r>
              <w:t>(1)</w:t>
            </w:r>
          </w:p>
        </w:tc>
      </w:tr>
    </w:tbl>
    <w:p>
      <w:pPr>
        <w:pStyle w:val="MDPI31text"/>
      </w:pPr>
      <w:r>
        <w:rPr>
          <w:b w:val="0"/>
          <w:i w:val="0"/>
        </w:rPr>
        <w:t>The dictionary covers generative and large-model terminology (generative artificial intelligence, large model, large language model, pre-trained model, multimodal model, intelligent agent, AI-generated content, prompt engineering and named systems). Because these terms are essentially absent from Chinese annual reports before 2023, the measure is close to zero throughout the pre-shock period and positive afterwards, with substantial cross-sectional variation in depth.</w:t>
      </w:r>
    </w:p>
    <w:p>
      <w:pPr>
        <w:pStyle w:val="MDPI31text"/>
      </w:pPr>
      <w:r>
        <w:rPr>
          <w:b w:val="0"/>
          <w:i w:val="0"/>
        </w:rPr>
        <w:t xml:space="preserve">For the event-study design we also construct a time-invariant measure of ex-ante exposure. Let </w:t>
      </w:r>
      <m:oMath>
        <m:sSub>
          <m:e>
            <m:r>
              <m:t xml:space="preserve">s</m:t>
            </m:r>
          </m:e>
          <m:sub>
            <m:r>
              <m:t xml:space="preserve">i</m:t>
            </m:r>
            <m:r>
              <m:t xml:space="preserve">o</m:t>
            </m:r>
          </m:sub>
        </m:sSub>
      </m:oMath>
      <w:r>
        <w:rPr>
          <w:b w:val="0"/>
          <w:i w:val="0"/>
        </w:rPr>
        <w:t xml:space="preserve"> be the share of firm </w:t>
      </w:r>
      <m:oMath>
        <m:r>
          <m:t xml:space="preserve">i</m:t>
        </m:r>
      </m:oMath>
      <w:r>
        <w:rPr>
          <w:b w:val="0"/>
          <w:i w:val="0"/>
        </w:rPr>
        <w:t xml:space="preserve">'s pre-shock workforce in professional category </w:t>
      </w:r>
      <m:oMath>
        <m:r>
          <m:t xml:space="preserve">o</m:t>
        </m:r>
      </m:oMath>
      <w:r>
        <w:rPr>
          <w:b w:val="0"/>
          <w:i w:val="0"/>
        </w:rPr>
        <w:t xml:space="preserve"> and </w:t>
      </w:r>
      <m:oMath>
        <m:sSub>
          <m:e>
            <m:r>
              <m:t xml:space="preserve">e</m:t>
            </m:r>
          </m:e>
          <m:sub>
            <m:r>
              <m:t xml:space="preserve">o</m:t>
            </m:r>
          </m:sub>
        </m:sSub>
      </m:oMath>
      <w:r>
        <w:rPr>
          <w:b w:val="0"/>
          <w:i w:val="0"/>
        </w:rPr>
        <w:t xml:space="preserve"> the generative-AI exposure score of that category taken from the occupational exposure literature </w:t>
      </w:r>
      <w:r>
        <w:t>[</w:t>
      </w:r>
      <w:r>
        <w:fldChar w:fldCharType="begin"/>
      </w:r>
      <w:r>
        <w:instrText xml:space="preserve"> REF _Ref_8 \h </w:instrText>
      </w:r>
      <w:r>
        <w:fldChar w:fldCharType="separate"/>
      </w:r>
      <w:r>
        <w:t>8</w:t>
      </w:r>
      <w:r>
        <w:fldChar w:fldCharType="end"/>
      </w:r>
      <w:r>
        <w:t>,</w:t>
      </w:r>
      <w:r>
        <w:fldChar w:fldCharType="begin"/>
      </w:r>
      <w:r>
        <w:instrText xml:space="preserve"> REF _Ref_9 \h </w:instrText>
      </w:r>
      <w:r>
        <w:fldChar w:fldCharType="separate"/>
      </w:r>
      <w:r>
        <w:t>9</w:t>
      </w:r>
      <w:r>
        <w:fldChar w:fldCharType="end"/>
      </w:r>
      <w:r>
        <w:t>]</w:t>
      </w:r>
      <w:r>
        <w:rPr>
          <w:b w:val="0"/>
          <w:i w:val="0"/>
        </w:rPr>
        <w:t>. Exposure is the share-weighted average</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Exposure</m:t>
                  </m:r>
                </m:e>
                <m:sub>
                  <m:r>
                    <m:t xml:space="preserve">i</m:t>
                  </m:r>
                </m:sub>
              </m:sSub>
              <m:r>
                <m:rPr>
                  <m:sty m:val="p"/>
                </m:rPr>
                <m:t xml:space="preserve">=</m:t>
              </m:r>
              <m:nary>
                <m:naryPr>
                  <m:chr m:val="∑"/>
                  <m:limLoc m:val="subSup"/>
                  <m:supHide m:val="1"/>
                </m:naryPr>
                <m:sub>
                  <m:r>
                    <m:t xml:space="preserve">o</m:t>
                  </m:r>
                </m:sub>
                <m:sup/>
                <m:e>
                  <m:sSub>
                    <m:e>
                      <m:r>
                        <m:t xml:space="preserve">s</m:t>
                      </m:r>
                    </m:e>
                    <m:sub>
                      <m:r>
                        <m:t xml:space="preserve">i</m:t>
                      </m:r>
                      <m:r>
                        <m:t xml:space="preserve">o</m:t>
                      </m:r>
                    </m:sub>
                  </m:sSub>
                  <m:r>
                    <m:t xml:space="preserve"> </m:t>
                  </m:r>
                  <m:sSub>
                    <m:e>
                      <m:r>
                        <m:t xml:space="preserve">e</m:t>
                      </m:r>
                    </m:e>
                    <m:sub>
                      <m:r>
                        <m:t xml:space="preserve">o</m:t>
                      </m:r>
                    </m:sub>
                  </m:sSub>
                </m:e>
              </m:nary>
            </m:oMath>
          </w:p>
        </w:tc>
        <w:tc>
          <w:tcPr>
            <w:tcW w:type="dxa" w:w="431"/>
            <w:vAlign w:val="center"/>
          </w:tcPr>
          <w:p>
            <w:pPr>
              <w:pStyle w:val="MDPI3aequationnumber"/>
              <w:jc w:val="right"/>
            </w:pPr>
            <w:r>
              <w:t>(2)</w:t>
            </w:r>
          </w:p>
        </w:tc>
      </w:tr>
    </w:tbl>
    <w:p>
      <w:pPr>
        <w:pStyle w:val="MDPI31text"/>
      </w:pPr>
      <w:r>
        <w:rPr>
          <w:b w:val="0"/>
          <w:i w:val="0"/>
        </w:rPr>
        <w:t>computed over the three years preceding the shock.</w:t>
      </w:r>
    </w:p>
    <w:p>
      <w:pPr>
        <w:pStyle w:val="MDPI23heading3"/>
      </w:pPr>
      <w:r>
        <w:t>3.2.3. Mediating Variables</w:t>
      </w:r>
    </w:p>
    <w:p>
      <w:pPr>
        <w:pStyle w:val="MDPI32textnoindent"/>
      </w:pPr>
      <w:r>
        <w:rPr>
          <w:b w:val="0"/>
          <w:i w:val="0"/>
        </w:rPr>
        <w:t xml:space="preserve">Task routinisation, </w:t>
      </w:r>
      <m:oMath>
        <m:sSub>
          <m:e>
            <m:r>
              <m:t xml:space="preserve">RTI</m:t>
            </m:r>
          </m:e>
          <m:sub>
            <m:r>
              <m:t xml:space="preserve">i</m:t>
            </m:r>
            <m:r>
              <m:t xml:space="preserve">t</m:t>
            </m:r>
          </m:sub>
        </m:sSub>
      </m:oMath>
      <w:r>
        <w:rPr>
          <w:b w:val="0"/>
          <w:i w:val="0"/>
        </w:rPr>
        <w:t xml:space="preserve">, is the share of the workforce in administrative and basic technical categories, the positions whose task content the skill-content taxonomy classifies as routine-cognitive </w:t>
      </w:r>
      <w:r>
        <w:t>[</w:t>
      </w:r>
      <w:r>
        <w:fldChar w:fldCharType="begin"/>
      </w:r>
      <w:r>
        <w:instrText xml:space="preserve"> REF _Ref_10 \h </w:instrText>
      </w:r>
      <w:r>
        <w:fldChar w:fldCharType="separate"/>
      </w:r>
      <w:r>
        <w:t>10</w:t>
      </w:r>
      <w:r>
        <w:fldChar w:fldCharType="end"/>
      </w:r>
      <w:r>
        <w:t>]</w:t>
      </w:r>
      <w:r>
        <w:rPr>
          <w:b w:val="0"/>
          <w:i w:val="0"/>
        </w:rPr>
        <w:t xml:space="preserve">. Human-capital upgrading, </w:t>
      </w:r>
      <m:oMath>
        <m:sSub>
          <m:e>
            <m:r>
              <m:t xml:space="preserve">HCU</m:t>
            </m:r>
          </m:e>
          <m:sub>
            <m:r>
              <m:t xml:space="preserve">i</m:t>
            </m:r>
            <m:r>
              <m:t xml:space="preserve">t</m:t>
            </m:r>
          </m:sub>
        </m:sSub>
      </m:oMath>
      <w:r>
        <w:rPr>
          <w:b w:val="0"/>
          <w:i w:val="0"/>
        </w:rPr>
        <w:t>, is the share of employees holding a bachelor's degree or above. Both are expressed in percentage points.</w:t>
      </w:r>
    </w:p>
    <w:p>
      <w:pPr>
        <w:pStyle w:val="MDPI23heading3"/>
      </w:pPr>
      <w:r>
        <w:t>3.2.4. Moderating Variables</w:t>
      </w:r>
    </w:p>
    <w:p>
      <w:pPr>
        <w:pStyle w:val="MDPI32textnoindent"/>
      </w:pPr>
      <w:r>
        <w:rPr>
          <w:b w:val="0"/>
          <w:i w:val="0"/>
        </w:rPr>
        <w:t xml:space="preserve">Organisational learning capability, </w:t>
      </w:r>
      <m:oMath>
        <m:sSub>
          <m:e>
            <m:r>
              <m:t xml:space="preserve">OLC</m:t>
            </m:r>
          </m:e>
          <m:sub>
            <m:r>
              <m:t xml:space="preserve">i</m:t>
            </m:r>
          </m:sub>
        </m:sSub>
      </m:oMath>
      <w:r>
        <w:rPr>
          <w:b w:val="0"/>
          <w:i w:val="0"/>
        </w:rPr>
        <w:t xml:space="preserve">, is the standardised pre-shock intensity of employee training and development expenditure per employee, a conventional observable proxy for the capacity to convert experience into routines </w:t>
      </w:r>
      <w:r>
        <w:t>[</w:t>
      </w:r>
      <w:r>
        <w:fldChar w:fldCharType="begin"/>
      </w:r>
      <w:r>
        <w:instrText xml:space="preserve"> REF _Ref_42 \h </w:instrText>
      </w:r>
      <w:r>
        <w:fldChar w:fldCharType="separate"/>
      </w:r>
      <w:r>
        <w:t>42</w:t>
      </w:r>
      <w:r>
        <w:fldChar w:fldCharType="end"/>
      </w:r>
      <w:r>
        <w:t>]</w:t>
      </w:r>
      <w:r>
        <w:rPr>
          <w:b w:val="0"/>
          <w:i w:val="0"/>
        </w:rPr>
        <w:t xml:space="preserve">. AI governance, </w:t>
      </w:r>
      <m:oMath>
        <m:sSub>
          <m:e>
            <m:r>
              <m:t xml:space="preserve">AIGov</m:t>
            </m:r>
          </m:e>
          <m:sub>
            <m:r>
              <m:t xml:space="preserve">i</m:t>
            </m:r>
            <m:r>
              <m:t xml:space="preserve">t</m:t>
            </m:r>
          </m:sub>
        </m:sSub>
      </m:oMath>
      <w:r>
        <w:rPr>
          <w:b w:val="0"/>
          <w:i w:val="0"/>
        </w:rPr>
        <w:t xml:space="preserve">, is an indicator equal to one if the annual report discloses AI or algorithmic governance arrangements — an ethics or data-governance committee, model review or accountability rules </w:t>
      </w:r>
      <w:r>
        <w:t>[</w:t>
      </w:r>
      <w:r>
        <w:fldChar w:fldCharType="begin"/>
      </w:r>
      <w:r>
        <w:instrText xml:space="preserve"> REF _Ref_50 \h </w:instrText>
      </w:r>
      <w:r>
        <w:fldChar w:fldCharType="separate"/>
      </w:r>
      <w:r>
        <w:t>50</w:t>
      </w:r>
      <w:r>
        <w:fldChar w:fldCharType="end"/>
      </w:r>
      <w:r>
        <w:t>,</w:t>
      </w:r>
      <w:r>
        <w:fldChar w:fldCharType="begin"/>
      </w:r>
      <w:r>
        <w:instrText xml:space="preserve"> REF _Ref_51 \h </w:instrText>
      </w:r>
      <w:r>
        <w:fldChar w:fldCharType="separate"/>
      </w:r>
      <w:r>
        <w:t>51</w:t>
      </w:r>
      <w:r>
        <w:fldChar w:fldCharType="end"/>
      </w:r>
      <w:r>
        <w:t>]</w:t>
      </w:r>
      <w:r>
        <w:rPr>
          <w:b w:val="0"/>
          <w:i w:val="0"/>
        </w:rPr>
        <w:t>.</w:t>
      </w:r>
    </w:p>
    <w:p>
      <w:pPr>
        <w:pStyle w:val="MDPI23heading3"/>
      </w:pPr>
      <w:r>
        <w:t>3.2.5. Control Variables</w:t>
      </w:r>
    </w:p>
    <w:p>
      <w:pPr>
        <w:pStyle w:val="MDPI32textnoindent"/>
      </w:pPr>
      <w:r>
        <w:rPr>
          <w:b w:val="0"/>
          <w:i w:val="0"/>
        </w:rPr>
        <w:t>Following the firm-level literature we control for firm size (the natural logarithm of total assets), leverage, return on equity, revenue growth, firm age, board size, the share of independent directors, CEO duality, Tobin's Q and fixed-asset intensity. Table 1 defines all variables.</w:t>
      </w:r>
    </w:p>
    <w:p>
      <w:pPr>
        <w:pStyle w:val="MDPI41tablecaption"/>
        <w:keepNext/>
        <w:spacing w:after="60"/>
      </w:pPr>
      <w:r>
        <w:rPr>
          <w:b/>
          <w:sz w:val="18"/>
        </w:rPr>
        <w:t xml:space="preserve">Table 1. </w:t>
      </w:r>
      <w:r>
        <w:rPr>
          <w:b w:val="0"/>
          <w:i w:val="0"/>
          <w:sz w:val="18"/>
        </w:rPr>
        <w:t>Definitions of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6286"/>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Variable</w:t>
            </w:r>
          </w:p>
        </w:tc>
        <w:tc>
          <w:tcPr>
            <w:tcW w:type="dxa" w:w="6286"/>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variables</w:t>
            </w:r>
          </w:p>
        </w:tc>
      </w:tr>
      <w:tr>
        <w:trPr>
          <w:cantSplit/>
        </w:trPr>
        <w:tc>
          <w:tcPr>
            <w:tcW w:type="dxa" w:w="1571"/>
          </w:tcPr>
          <w:p>
            <w:pPr>
              <w:pStyle w:val="MDPI42tablebody"/>
              <w:keepNext/>
              <w:spacing w:line="240" w:lineRule="auto" w:before="30" w:after="30"/>
              <w:jc w:val="left"/>
            </w:pPr>
            <w:r>
              <w:rPr>
                <w:b w:val="0"/>
                <w:i/>
                <w:sz w:val="18"/>
              </w:rPr>
              <w:t>Youth</w:t>
            </w:r>
          </w:p>
        </w:tc>
        <w:tc>
          <w:tcPr>
            <w:tcW w:type="dxa" w:w="6286"/>
          </w:tcPr>
          <w:p>
            <w:pPr>
              <w:pStyle w:val="MDPI42tablebody"/>
              <w:keepNext/>
              <w:spacing w:line="240" w:lineRule="auto" w:before="30" w:after="30"/>
              <w:jc w:val="left"/>
            </w:pPr>
            <w:r>
              <w:rPr>
                <w:b w:val="0"/>
                <w:i w:val="0"/>
                <w:sz w:val="18"/>
              </w:rPr>
              <w:t>Share of employees aged 30 or below in total employees (%)</w:t>
            </w:r>
          </w:p>
        </w:tc>
      </w:tr>
      <w:tr>
        <w:trPr>
          <w:cantSplit/>
        </w:trPr>
        <w:tc>
          <w:tcPr>
            <w:tcW w:type="dxa" w:w="1571"/>
          </w:tcPr>
          <w:p>
            <w:pPr>
              <w:pStyle w:val="MDPI42tablebody"/>
              <w:keepNext/>
              <w:spacing w:line="240" w:lineRule="auto" w:before="30" w:after="30"/>
              <w:jc w:val="left"/>
            </w:pPr>
            <w:r>
              <w:rPr>
                <w:b w:val="0"/>
                <w:i/>
                <w:sz w:val="18"/>
              </w:rPr>
              <w:t>Youth35</w:t>
            </w:r>
          </w:p>
        </w:tc>
        <w:tc>
          <w:tcPr>
            <w:tcW w:type="dxa" w:w="6286"/>
          </w:tcPr>
          <w:p>
            <w:pPr>
              <w:pStyle w:val="MDPI42tablebody"/>
              <w:keepNext/>
              <w:spacing w:line="240" w:lineRule="auto" w:before="30" w:after="30"/>
              <w:jc w:val="left"/>
            </w:pPr>
            <w:r>
              <w:rPr>
                <w:b w:val="0"/>
                <w:i w:val="0"/>
                <w:sz w:val="18"/>
              </w:rPr>
              <w:t>Share of employees aged 35 or below in total employees (%)</w:t>
            </w:r>
          </w:p>
        </w:tc>
      </w:tr>
      <w:tr>
        <w:trPr>
          <w:cantSplit/>
        </w:trPr>
        <w:tc>
          <w:tcPr>
            <w:tcW w:type="dxa" w:w="1571"/>
          </w:tcPr>
          <w:p>
            <w:pPr>
              <w:pStyle w:val="MDPI42tablebody"/>
              <w:keepNext/>
              <w:spacing w:line="240" w:lineRule="auto" w:before="30" w:after="30"/>
              <w:jc w:val="left"/>
            </w:pPr>
            <w:r>
              <w:rPr>
                <w:b w:val="0"/>
                <w:i/>
                <w:sz w:val="18"/>
              </w:rPr>
              <w:t>LnYoung</w:t>
            </w:r>
          </w:p>
        </w:tc>
        <w:tc>
          <w:tcPr>
            <w:tcW w:type="dxa" w:w="6286"/>
          </w:tcPr>
          <w:p>
            <w:pPr>
              <w:pStyle w:val="MDPI42tablebody"/>
              <w:keepNext/>
              <w:spacing w:line="240" w:lineRule="auto" w:before="30" w:after="30"/>
              <w:jc w:val="left"/>
            </w:pPr>
            <w:r>
              <w:rPr>
                <w:b w:val="0"/>
                <w:i w:val="0"/>
                <w:sz w:val="18"/>
              </w:rPr>
              <w:t>Natural logarithm of one plus the number of employees aged 30 or below</w:t>
            </w:r>
          </w:p>
        </w:tc>
      </w:tr>
      <w:tr>
        <w:trPr>
          <w:cantSplit/>
        </w:trPr>
        <w:tc>
          <w:tcPr>
            <w:tcW w:type="dxa" w:w="7858"/>
            <w:gridSpan w:val="2"/>
          </w:tcPr>
          <w:p>
            <w:pPr>
              <w:pStyle w:val="MDPI42tablebody"/>
              <w:keepNext/>
              <w:spacing w:line="240" w:lineRule="auto" w:before="60" w:after="30"/>
              <w:jc w:val="left"/>
            </w:pPr>
            <w:r>
              <w:rPr>
                <w:b/>
                <w:i/>
                <w:sz w:val="18"/>
              </w:rPr>
              <w:t>Explanatory variable</w:t>
            </w:r>
          </w:p>
        </w:tc>
      </w:tr>
      <w:tr>
        <w:trPr>
          <w:cantSplit/>
        </w:trPr>
        <w:tc>
          <w:tcPr>
            <w:tcW w:type="dxa" w:w="1571"/>
          </w:tcPr>
          <w:p>
            <w:pPr>
              <w:pStyle w:val="MDPI42tablebody"/>
              <w:keepNext/>
              <w:spacing w:line="240" w:lineRule="auto" w:before="30" w:after="30"/>
              <w:jc w:val="left"/>
            </w:pPr>
            <w:r>
              <w:rPr>
                <w:b w:val="0"/>
                <w:i/>
                <w:sz w:val="18"/>
              </w:rPr>
              <w:t>GenAI</w:t>
            </w:r>
          </w:p>
        </w:tc>
        <w:tc>
          <w:tcPr>
            <w:tcW w:type="dxa" w:w="6286"/>
          </w:tcPr>
          <w:p>
            <w:pPr>
              <w:pStyle w:val="MDPI42tablebody"/>
              <w:keepNext/>
              <w:spacing w:line="240" w:lineRule="auto" w:before="30" w:after="30"/>
              <w:jc w:val="left"/>
            </w:pPr>
            <w:r>
              <w:rPr>
                <w:b w:val="0"/>
                <w:i w:val="0"/>
                <w:sz w:val="18"/>
              </w:rPr>
              <w:t>Natural logarithm of one plus the frequency of generative-AI keywords in the management discussion and analysis section of the annual report</w:t>
            </w:r>
          </w:p>
        </w:tc>
      </w:tr>
      <w:tr>
        <w:trPr>
          <w:cantSplit/>
        </w:trPr>
        <w:tc>
          <w:tcPr>
            <w:tcW w:type="dxa" w:w="1571"/>
          </w:tcPr>
          <w:p>
            <w:pPr>
              <w:pStyle w:val="MDPI42tablebody"/>
              <w:keepNext/>
              <w:spacing w:line="240" w:lineRule="auto" w:before="30" w:after="30"/>
              <w:jc w:val="left"/>
            </w:pPr>
            <w:r>
              <w:rPr>
                <w:b w:val="0"/>
                <w:i/>
                <w:sz w:val="18"/>
              </w:rPr>
              <w:t>Exposure</w:t>
            </w:r>
          </w:p>
        </w:tc>
        <w:tc>
          <w:tcPr>
            <w:tcW w:type="dxa" w:w="6286"/>
          </w:tcPr>
          <w:p>
            <w:pPr>
              <w:pStyle w:val="MDPI42tablebody"/>
              <w:keepNext/>
              <w:spacing w:line="240" w:lineRule="auto" w:before="30" w:after="30"/>
              <w:jc w:val="left"/>
            </w:pPr>
            <w:r>
              <w:rPr>
                <w:b w:val="0"/>
                <w:i w:val="0"/>
                <w:sz w:val="18"/>
              </w:rPr>
              <w:t>Share-weighted average generative-AI exposure of the firm's pre-shock professional composition</w:t>
            </w:r>
          </w:p>
        </w:tc>
      </w:tr>
      <w:tr>
        <w:trPr>
          <w:cantSplit/>
        </w:trPr>
        <w:tc>
          <w:tcPr>
            <w:tcW w:type="dxa" w:w="7858"/>
            <w:gridSpan w:val="2"/>
          </w:tcPr>
          <w:p>
            <w:pPr>
              <w:pStyle w:val="MDPI42tablebody"/>
              <w:keepNext/>
              <w:spacing w:line="240" w:lineRule="auto" w:before="60" w:after="30"/>
              <w:jc w:val="left"/>
            </w:pPr>
            <w:r>
              <w:rPr>
                <w:b/>
                <w:i/>
                <w:sz w:val="18"/>
              </w:rPr>
              <w:t>Mediating variables</w:t>
            </w:r>
          </w:p>
        </w:tc>
      </w:tr>
      <w:tr>
        <w:trPr>
          <w:cantSplit/>
        </w:trPr>
        <w:tc>
          <w:tcPr>
            <w:tcW w:type="dxa" w:w="1571"/>
          </w:tcPr>
          <w:p>
            <w:pPr>
              <w:pStyle w:val="MDPI42tablebody"/>
              <w:keepNext/>
              <w:spacing w:line="240" w:lineRule="auto" w:before="30" w:after="30"/>
              <w:jc w:val="left"/>
            </w:pPr>
            <w:r>
              <w:rPr>
                <w:b w:val="0"/>
                <w:i/>
                <w:sz w:val="18"/>
              </w:rPr>
              <w:t>RTI</w:t>
            </w:r>
          </w:p>
        </w:tc>
        <w:tc>
          <w:tcPr>
            <w:tcW w:type="dxa" w:w="6286"/>
          </w:tcPr>
          <w:p>
            <w:pPr>
              <w:pStyle w:val="MDPI42tablebody"/>
              <w:keepNext/>
              <w:spacing w:line="240" w:lineRule="auto" w:before="30" w:after="30"/>
              <w:jc w:val="left"/>
            </w:pPr>
            <w:r>
              <w:rPr>
                <w:b w:val="0"/>
                <w:i w:val="0"/>
                <w:sz w:val="18"/>
              </w:rPr>
              <w:t>Share of employees in administrative and basic technical categories, that is, routine-cognitive positions (%)</w:t>
            </w:r>
          </w:p>
        </w:tc>
      </w:tr>
      <w:tr>
        <w:trPr>
          <w:cantSplit/>
        </w:trPr>
        <w:tc>
          <w:tcPr>
            <w:tcW w:type="dxa" w:w="1571"/>
          </w:tcPr>
          <w:p>
            <w:pPr>
              <w:pStyle w:val="MDPI42tablebody"/>
              <w:keepNext/>
              <w:spacing w:line="240" w:lineRule="auto" w:before="30" w:after="30"/>
              <w:jc w:val="left"/>
            </w:pPr>
            <w:r>
              <w:rPr>
                <w:b w:val="0"/>
                <w:i/>
                <w:sz w:val="18"/>
              </w:rPr>
              <w:t>HCU</w:t>
            </w:r>
          </w:p>
        </w:tc>
        <w:tc>
          <w:tcPr>
            <w:tcW w:type="dxa" w:w="6286"/>
          </w:tcPr>
          <w:p>
            <w:pPr>
              <w:pStyle w:val="MDPI42tablebody"/>
              <w:keepNext/>
              <w:spacing w:line="240" w:lineRule="auto" w:before="30" w:after="30"/>
              <w:jc w:val="left"/>
            </w:pPr>
            <w:r>
              <w:rPr>
                <w:b w:val="0"/>
                <w:i w:val="0"/>
                <w:sz w:val="18"/>
              </w:rPr>
              <w:t>Share of employees holding a bachelor's degree or above (%)</w:t>
            </w:r>
          </w:p>
        </w:tc>
      </w:tr>
      <w:tr>
        <w:trPr>
          <w:cantSplit/>
        </w:trPr>
        <w:tc>
          <w:tcPr>
            <w:tcW w:type="dxa" w:w="7858"/>
            <w:gridSpan w:val="2"/>
          </w:tcPr>
          <w:p>
            <w:pPr>
              <w:pStyle w:val="MDPI42tablebody"/>
              <w:keepNext/>
              <w:spacing w:line="240" w:lineRule="auto" w:before="60" w:after="30"/>
              <w:jc w:val="left"/>
            </w:pPr>
            <w:r>
              <w:rPr>
                <w:b/>
                <w:i/>
                <w:sz w:val="18"/>
              </w:rPr>
              <w:t>Moderating variables</w:t>
            </w:r>
          </w:p>
        </w:tc>
      </w:tr>
      <w:tr>
        <w:trPr>
          <w:cantSplit/>
        </w:trPr>
        <w:tc>
          <w:tcPr>
            <w:tcW w:type="dxa" w:w="1571"/>
          </w:tcPr>
          <w:p>
            <w:pPr>
              <w:pStyle w:val="MDPI42tablebody"/>
              <w:keepNext/>
              <w:spacing w:line="240" w:lineRule="auto" w:before="30" w:after="30"/>
              <w:jc w:val="left"/>
            </w:pPr>
            <w:r>
              <w:rPr>
                <w:b w:val="0"/>
                <w:i/>
                <w:sz w:val="18"/>
              </w:rPr>
              <w:t>OLC</w:t>
            </w:r>
          </w:p>
        </w:tc>
        <w:tc>
          <w:tcPr>
            <w:tcW w:type="dxa" w:w="6286"/>
          </w:tcPr>
          <w:p>
            <w:pPr>
              <w:pStyle w:val="MDPI42tablebody"/>
              <w:keepNext/>
              <w:spacing w:line="240" w:lineRule="auto" w:before="30" w:after="30"/>
              <w:jc w:val="left"/>
            </w:pPr>
            <w:r>
              <w:rPr>
                <w:b w:val="0"/>
                <w:i w:val="0"/>
                <w:sz w:val="18"/>
              </w:rPr>
              <w:t>Standardised pre-shock employee training and development expenditure per employee</w:t>
            </w:r>
          </w:p>
        </w:tc>
      </w:tr>
      <w:tr>
        <w:trPr>
          <w:cantSplit/>
        </w:trPr>
        <w:tc>
          <w:tcPr>
            <w:tcW w:type="dxa" w:w="1571"/>
          </w:tcPr>
          <w:p>
            <w:pPr>
              <w:pStyle w:val="MDPI42tablebody"/>
              <w:keepNext/>
              <w:spacing w:line="240" w:lineRule="auto" w:before="30" w:after="30"/>
              <w:jc w:val="left"/>
            </w:pPr>
            <w:r>
              <w:rPr>
                <w:b w:val="0"/>
                <w:i/>
                <w:sz w:val="18"/>
              </w:rPr>
              <w:t>AIGov</w:t>
            </w:r>
          </w:p>
        </w:tc>
        <w:tc>
          <w:tcPr>
            <w:tcW w:type="dxa" w:w="6286"/>
          </w:tcPr>
          <w:p>
            <w:pPr>
              <w:pStyle w:val="MDPI42tablebody"/>
              <w:keepNext/>
              <w:spacing w:line="240" w:lineRule="auto" w:before="30" w:after="30"/>
              <w:jc w:val="left"/>
            </w:pPr>
            <w:r>
              <w:rPr>
                <w:b w:val="0"/>
                <w:i w:val="0"/>
                <w:sz w:val="18"/>
              </w:rPr>
              <w:t>Indicator equal to one if the annual report discloses AI or algorithmic governance arrangements</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571"/>
          </w:tcPr>
          <w:p>
            <w:pPr>
              <w:pStyle w:val="MDPI42tablebody"/>
              <w:keepNext/>
              <w:spacing w:line="240" w:lineRule="auto" w:before="30" w:after="30"/>
              <w:jc w:val="left"/>
            </w:pPr>
            <w:r>
              <w:rPr>
                <w:b w:val="0"/>
                <w:i/>
                <w:sz w:val="18"/>
              </w:rPr>
              <w:t>Size</w:t>
            </w:r>
          </w:p>
        </w:tc>
        <w:tc>
          <w:tcPr>
            <w:tcW w:type="dxa" w:w="6286"/>
          </w:tcPr>
          <w:p>
            <w:pPr>
              <w:pStyle w:val="MDPI42tablebody"/>
              <w:keepNext/>
              <w:spacing w:line="240" w:lineRule="auto" w:before="30" w:after="30"/>
              <w:jc w:val="left"/>
            </w:pPr>
            <w:r>
              <w:rPr>
                <w:b w:val="0"/>
                <w:i w:val="0"/>
                <w:sz w:val="18"/>
              </w:rPr>
              <w:t>Natural logarithm of total assets</w:t>
            </w:r>
          </w:p>
        </w:tc>
      </w:tr>
      <w:tr>
        <w:trPr>
          <w:cantSplit/>
        </w:trPr>
        <w:tc>
          <w:tcPr>
            <w:tcW w:type="dxa" w:w="1571"/>
          </w:tcPr>
          <w:p>
            <w:pPr>
              <w:pStyle w:val="MDPI42tablebody"/>
              <w:keepNext/>
              <w:spacing w:line="240" w:lineRule="auto" w:before="30" w:after="30"/>
              <w:jc w:val="left"/>
            </w:pPr>
            <w:r>
              <w:rPr>
                <w:b w:val="0"/>
                <w:i/>
                <w:sz w:val="18"/>
              </w:rPr>
              <w:t>Lev</w:t>
            </w:r>
          </w:p>
        </w:tc>
        <w:tc>
          <w:tcPr>
            <w:tcW w:type="dxa" w:w="6286"/>
          </w:tcPr>
          <w:p>
            <w:pPr>
              <w:pStyle w:val="MDPI42tablebody"/>
              <w:keepNext/>
              <w:spacing w:line="240" w:lineRule="auto" w:before="30" w:after="30"/>
              <w:jc w:val="left"/>
            </w:pPr>
            <w:r>
              <w:rPr>
                <w:b w:val="0"/>
                <w:i w:val="0"/>
                <w:sz w:val="18"/>
              </w:rPr>
              <w:t>Total liabilities divided by total assets</w:t>
            </w:r>
          </w:p>
        </w:tc>
      </w:tr>
      <w:tr>
        <w:trPr>
          <w:cantSplit/>
        </w:trPr>
        <w:tc>
          <w:tcPr>
            <w:tcW w:type="dxa" w:w="1571"/>
          </w:tcPr>
          <w:p>
            <w:pPr>
              <w:pStyle w:val="MDPI42tablebody"/>
              <w:keepNext/>
              <w:spacing w:line="240" w:lineRule="auto" w:before="30" w:after="30"/>
              <w:jc w:val="left"/>
            </w:pPr>
            <w:r>
              <w:rPr>
                <w:b w:val="0"/>
                <w:i/>
                <w:sz w:val="18"/>
              </w:rPr>
              <w:t>ROE</w:t>
            </w:r>
          </w:p>
        </w:tc>
        <w:tc>
          <w:tcPr>
            <w:tcW w:type="dxa" w:w="6286"/>
          </w:tcPr>
          <w:p>
            <w:pPr>
              <w:pStyle w:val="MDPI42tablebody"/>
              <w:keepNext/>
              <w:spacing w:line="240" w:lineRule="auto" w:before="30" w:after="30"/>
              <w:jc w:val="left"/>
            </w:pPr>
            <w:r>
              <w:rPr>
                <w:b w:val="0"/>
                <w:i w:val="0"/>
                <w:sz w:val="18"/>
              </w:rPr>
              <w:t>Net profit divided by total shareholders' equity</w:t>
            </w:r>
          </w:p>
        </w:tc>
      </w:tr>
      <w:tr>
        <w:trPr>
          <w:cantSplit/>
        </w:trPr>
        <w:tc>
          <w:tcPr>
            <w:tcW w:type="dxa" w:w="1571"/>
          </w:tcPr>
          <w:p>
            <w:pPr>
              <w:pStyle w:val="MDPI42tablebody"/>
              <w:keepNext/>
              <w:spacing w:line="240" w:lineRule="auto" w:before="30" w:after="30"/>
              <w:jc w:val="left"/>
            </w:pPr>
            <w:r>
              <w:rPr>
                <w:b w:val="0"/>
                <w:i/>
                <w:sz w:val="18"/>
              </w:rPr>
              <w:t>Growth</w:t>
            </w:r>
          </w:p>
        </w:tc>
        <w:tc>
          <w:tcPr>
            <w:tcW w:type="dxa" w:w="6286"/>
          </w:tcPr>
          <w:p>
            <w:pPr>
              <w:pStyle w:val="MDPI42tablebody"/>
              <w:keepNext/>
              <w:spacing w:line="240" w:lineRule="auto" w:before="30" w:after="30"/>
              <w:jc w:val="left"/>
            </w:pPr>
            <w:r>
              <w:rPr>
                <w:b w:val="0"/>
                <w:i w:val="0"/>
                <w:sz w:val="18"/>
              </w:rPr>
              <w:t>Year-on-year growth rate of operating revenue</w:t>
            </w:r>
          </w:p>
        </w:tc>
      </w:tr>
      <w:tr>
        <w:trPr>
          <w:cantSplit/>
        </w:trPr>
        <w:tc>
          <w:tcPr>
            <w:tcW w:type="dxa" w:w="1571"/>
          </w:tcPr>
          <w:p>
            <w:pPr>
              <w:pStyle w:val="MDPI42tablebody"/>
              <w:keepNext/>
              <w:spacing w:line="240" w:lineRule="auto" w:before="30" w:after="30"/>
              <w:jc w:val="left"/>
            </w:pPr>
            <w:r>
              <w:rPr>
                <w:b w:val="0"/>
                <w:i/>
                <w:sz w:val="18"/>
              </w:rPr>
              <w:t>Age</w:t>
            </w:r>
          </w:p>
        </w:tc>
        <w:tc>
          <w:tcPr>
            <w:tcW w:type="dxa" w:w="6286"/>
          </w:tcPr>
          <w:p>
            <w:pPr>
              <w:pStyle w:val="MDPI42tablebody"/>
              <w:keepNext/>
              <w:spacing w:line="240" w:lineRule="auto" w:before="30" w:after="30"/>
              <w:jc w:val="left"/>
            </w:pPr>
            <w:r>
              <w:rPr>
                <w:b w:val="0"/>
                <w:i w:val="0"/>
                <w:sz w:val="18"/>
              </w:rPr>
              <w:t>Natural logarithm of one plus the number of years since the firm was founded</w:t>
            </w:r>
          </w:p>
        </w:tc>
      </w:tr>
      <w:tr>
        <w:trPr>
          <w:cantSplit/>
        </w:trPr>
        <w:tc>
          <w:tcPr>
            <w:tcW w:type="dxa" w:w="1571"/>
          </w:tcPr>
          <w:p>
            <w:pPr>
              <w:pStyle w:val="MDPI42tablebody"/>
              <w:keepNext/>
              <w:spacing w:line="240" w:lineRule="auto" w:before="30" w:after="30"/>
              <w:jc w:val="left"/>
            </w:pPr>
            <w:r>
              <w:rPr>
                <w:b w:val="0"/>
                <w:i/>
                <w:sz w:val="18"/>
              </w:rPr>
              <w:t>Board</w:t>
            </w:r>
          </w:p>
        </w:tc>
        <w:tc>
          <w:tcPr>
            <w:tcW w:type="dxa" w:w="6286"/>
          </w:tcPr>
          <w:p>
            <w:pPr>
              <w:pStyle w:val="MDPI42tablebody"/>
              <w:keepNext/>
              <w:spacing w:line="240" w:lineRule="auto" w:before="30" w:after="30"/>
              <w:jc w:val="left"/>
            </w:pPr>
            <w:r>
              <w:rPr>
                <w:b w:val="0"/>
                <w:i w:val="0"/>
                <w:sz w:val="18"/>
              </w:rPr>
              <w:t>Natural logarithm of the number of directors</w:t>
            </w:r>
          </w:p>
        </w:tc>
      </w:tr>
      <w:tr>
        <w:trPr>
          <w:cantSplit/>
        </w:trPr>
        <w:tc>
          <w:tcPr>
            <w:tcW w:type="dxa" w:w="1571"/>
          </w:tcPr>
          <w:p>
            <w:pPr>
              <w:pStyle w:val="MDPI42tablebody"/>
              <w:keepNext/>
              <w:spacing w:line="240" w:lineRule="auto" w:before="30" w:after="30"/>
              <w:jc w:val="left"/>
            </w:pPr>
            <w:r>
              <w:rPr>
                <w:b w:val="0"/>
                <w:i/>
                <w:sz w:val="18"/>
              </w:rPr>
              <w:t>Indep</w:t>
            </w:r>
          </w:p>
        </w:tc>
        <w:tc>
          <w:tcPr>
            <w:tcW w:type="dxa" w:w="6286"/>
          </w:tcPr>
          <w:p>
            <w:pPr>
              <w:pStyle w:val="MDPI42tablebody"/>
              <w:keepNext/>
              <w:spacing w:line="240" w:lineRule="auto" w:before="30" w:after="30"/>
              <w:jc w:val="left"/>
            </w:pPr>
            <w:r>
              <w:rPr>
                <w:b w:val="0"/>
                <w:i w:val="0"/>
                <w:sz w:val="18"/>
              </w:rPr>
              <w:t>Number of independent directors divided by board size</w:t>
            </w:r>
          </w:p>
        </w:tc>
      </w:tr>
      <w:tr>
        <w:trPr>
          <w:cantSplit/>
        </w:trPr>
        <w:tc>
          <w:tcPr>
            <w:tcW w:type="dxa" w:w="1571"/>
          </w:tcPr>
          <w:p>
            <w:pPr>
              <w:pStyle w:val="MDPI42tablebody"/>
              <w:keepNext/>
              <w:spacing w:line="240" w:lineRule="auto" w:before="30" w:after="30"/>
              <w:jc w:val="left"/>
            </w:pPr>
            <w:r>
              <w:rPr>
                <w:b w:val="0"/>
                <w:i/>
                <w:sz w:val="18"/>
              </w:rPr>
              <w:t>Dual</w:t>
            </w:r>
          </w:p>
        </w:tc>
        <w:tc>
          <w:tcPr>
            <w:tcW w:type="dxa" w:w="6286"/>
          </w:tcPr>
          <w:p>
            <w:pPr>
              <w:pStyle w:val="MDPI42tablebody"/>
              <w:keepNext/>
              <w:spacing w:line="240" w:lineRule="auto" w:before="30" w:after="30"/>
              <w:jc w:val="left"/>
            </w:pPr>
            <w:r>
              <w:rPr>
                <w:b w:val="0"/>
                <w:i w:val="0"/>
                <w:sz w:val="18"/>
              </w:rPr>
              <w:t>Indicator equal to one if the CEO also chairs the board</w:t>
            </w:r>
          </w:p>
        </w:tc>
      </w:tr>
      <w:tr>
        <w:trPr>
          <w:cantSplit/>
        </w:trPr>
        <w:tc>
          <w:tcPr>
            <w:tcW w:type="dxa" w:w="1571"/>
          </w:tcPr>
          <w:p>
            <w:pPr>
              <w:pStyle w:val="MDPI42tablebody"/>
              <w:keepNext/>
              <w:spacing w:line="240" w:lineRule="auto" w:before="30" w:after="30"/>
              <w:jc w:val="left"/>
            </w:pPr>
            <w:r>
              <w:rPr>
                <w:b w:val="0"/>
                <w:i/>
                <w:sz w:val="18"/>
              </w:rPr>
              <w:t>TobinQ</w:t>
            </w:r>
          </w:p>
        </w:tc>
        <w:tc>
          <w:tcPr>
            <w:tcW w:type="dxa" w:w="6286"/>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571"/>
          </w:tcPr>
          <w:p>
            <w:pPr>
              <w:pStyle w:val="MDPI42tablebody"/>
              <w:keepNext/>
              <w:spacing w:line="240" w:lineRule="auto" w:before="30" w:after="30"/>
              <w:jc w:val="left"/>
            </w:pPr>
            <w:r>
              <w:rPr>
                <w:b w:val="0"/>
                <w:i/>
                <w:sz w:val="18"/>
              </w:rPr>
              <w:t>Fixed</w:t>
            </w:r>
          </w:p>
        </w:tc>
        <w:tc>
          <w:tcPr>
            <w:tcW w:type="dxa" w:w="6286"/>
          </w:tcPr>
          <w:p>
            <w:pPr>
              <w:pStyle w:val="MDPI42tablebody"/>
              <w:keepNext/>
              <w:spacing w:line="240" w:lineRule="auto" w:before="30" w:after="30"/>
              <w:jc w:val="left"/>
            </w:pPr>
            <w:r>
              <w:rPr>
                <w:b w:val="0"/>
                <w:i w:val="0"/>
                <w:sz w:val="18"/>
              </w:rPr>
              <w:t>Net fixed assets divided by total assets</w:t>
            </w:r>
          </w:p>
        </w:tc>
      </w:tr>
      <w:tr>
        <w:trPr>
          <w:cantSplit/>
        </w:trPr>
        <w:tc>
          <w:tcPr>
            <w:tcW w:type="dxa" w:w="7858"/>
            <w:gridSpan w:val="2"/>
          </w:tcPr>
          <w:p>
            <w:pPr>
              <w:pStyle w:val="MDPI42tablebody"/>
              <w:keepNext/>
              <w:spacing w:line="240" w:lineRule="auto" w:before="60" w:after="30"/>
              <w:jc w:val="left"/>
            </w:pPr>
            <w:r>
              <w:rPr>
                <w:b/>
                <w:i/>
                <w:sz w:val="18"/>
              </w:rPr>
              <w:t>Instruments</w:t>
            </w:r>
          </w:p>
        </w:tc>
      </w:tr>
      <w:tr>
        <w:trPr>
          <w:cantSplit/>
        </w:trPr>
        <w:tc>
          <w:tcPr>
            <w:tcW w:type="dxa" w:w="1571"/>
          </w:tcPr>
          <w:p>
            <w:pPr>
              <w:pStyle w:val="MDPI42tablebody"/>
              <w:keepNext/>
              <w:spacing w:line="240" w:lineRule="auto" w:before="30" w:after="30"/>
              <w:jc w:val="left"/>
            </w:pPr>
            <w:r>
              <w:rPr>
                <w:b w:val="0"/>
                <w:i/>
                <w:sz w:val="18"/>
              </w:rPr>
              <w:t>IV_Bartik</w:t>
            </w:r>
          </w:p>
        </w:tc>
        <w:tc>
          <w:tcPr>
            <w:tcW w:type="dxa" w:w="6286"/>
          </w:tcPr>
          <w:p>
            <w:pPr>
              <w:pStyle w:val="MDPI42tablebody"/>
              <w:keepNext/>
              <w:spacing w:line="240" w:lineRule="auto" w:before="30" w:after="30"/>
              <w:jc w:val="left"/>
            </w:pPr>
            <w:r>
              <w:rPr>
                <w:b w:val="0"/>
                <w:i w:val="0"/>
                <w:sz w:val="18"/>
              </w:rPr>
              <w:t>1984 provincial fixed-line telephone penetration rate interacted with the national revenue index of the artificial-intelligence industry, rebased to unity in every pre-shock year</w:t>
            </w:r>
          </w:p>
        </w:tc>
      </w:tr>
      <w:tr>
        <w:trPr>
          <w:cantSplit/>
        </w:trPr>
        <w:tc>
          <w:tcPr>
            <w:tcW w:type="dxa" w:w="1571"/>
          </w:tcPr>
          <w:p>
            <w:pPr>
              <w:pStyle w:val="MDPI42tablebody"/>
              <w:spacing w:line="240" w:lineRule="auto" w:before="30" w:after="30"/>
              <w:jc w:val="left"/>
            </w:pPr>
            <w:r>
              <w:rPr>
                <w:b w:val="0"/>
                <w:i/>
                <w:sz w:val="18"/>
              </w:rPr>
              <w:t>IV_Peer</w:t>
            </w:r>
          </w:p>
        </w:tc>
        <w:tc>
          <w:tcPr>
            <w:tcW w:type="dxa" w:w="6286"/>
          </w:tcPr>
          <w:p>
            <w:pPr>
              <w:pStyle w:val="MDPI42tablebody"/>
              <w:spacing w:line="240" w:lineRule="auto" w:before="30" w:after="30"/>
              <w:jc w:val="left"/>
            </w:pPr>
            <w:r>
              <w:rPr>
                <w:b w:val="0"/>
                <w:i w:val="0"/>
                <w:sz w:val="18"/>
              </w:rPr>
              <w:t>Leave-one-out mean adoption intensity of other firms in the same industry and province</w:t>
            </w:r>
          </w:p>
        </w:tc>
      </w:tr>
    </w:tbl>
    <w:p>
      <w:pPr>
        <w:pStyle w:val="MDPI22heading2"/>
      </w:pPr>
      <w:r>
        <w:t>3.3. Model Specification</w:t>
      </w:r>
    </w:p>
    <w:p>
      <w:pPr>
        <w:pStyle w:val="MDPI32textnoindent"/>
      </w:pPr>
      <w:r>
        <w:rPr>
          <w:b w:val="0"/>
          <w:i w:val="0"/>
        </w:rPr>
        <w:t>The baseline specification is a two-way fixed-effects regression,</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GenAI</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oMath>
          </w:p>
        </w:tc>
        <w:tc>
          <w:tcPr>
            <w:tcW w:type="dxa" w:w="431"/>
            <w:vAlign w:val="center"/>
          </w:tcPr>
          <w:p>
            <w:pPr>
              <w:pStyle w:val="MDPI3aequationnumber"/>
              <w:jc w:val="right"/>
            </w:pPr>
            <w:r>
              <w:t>(3)</w:t>
            </w:r>
          </w:p>
        </w:tc>
      </w:tr>
    </w:tbl>
    <w:p>
      <w:pPr>
        <w:pStyle w:val="MDPI31text"/>
      </w:pPr>
      <w:r>
        <w:rPr>
          <w:b w:val="0"/>
          <w:i w:val="0"/>
        </w:rPr>
        <w:t xml:space="preserve">where </w:t>
      </w:r>
      <m:oMath>
        <m:sSub>
          <m:e>
            <m:r>
              <m:t xml:space="preserve">X</m:t>
            </m:r>
          </m:e>
          <m:sub>
            <m:r>
              <m:t xml:space="preserve">i</m:t>
            </m:r>
            <m:r>
              <m:t xml:space="preserve">t</m:t>
            </m:r>
          </m:sub>
        </m:sSub>
      </m:oMath>
      <w:r>
        <w:rPr>
          <w:b w:val="0"/>
          <w:i w:val="0"/>
        </w:rPr>
        <w:t xml:space="preserve"> is the control vector, </w:t>
      </w:r>
      <m:oMath>
        <m:sSub>
          <m:e>
            <m:r>
              <m:t xml:space="preserve">μ</m:t>
            </m:r>
          </m:e>
          <m:sub>
            <m:r>
              <m:t xml:space="preserve">i</m:t>
            </m:r>
          </m:sub>
        </m:sSub>
      </m:oMath>
      <w:r>
        <w:rPr>
          <w:b w:val="0"/>
          <w:i w:val="0"/>
        </w:rPr>
        <w:t xml:space="preserve"> and </w:t>
      </w:r>
      <m:oMath>
        <m:sSub>
          <m:e>
            <m:r>
              <m:t xml:space="preserve">λ</m:t>
            </m:r>
          </m:e>
          <m:sub>
            <m:r>
              <m:t xml:space="preserve">t</m:t>
            </m:r>
          </m:sub>
        </m:sSub>
      </m:oMath>
      <w:r>
        <w:rPr>
          <w:b w:val="0"/>
          <w:i w:val="0"/>
        </w:rPr>
        <w:t xml:space="preserve"> are firm and year fixed effects, and standard errors are clustered at the firm level </w:t>
      </w:r>
      <w:r>
        <w:t>[</w:t>
      </w:r>
      <w:r>
        <w:fldChar w:fldCharType="begin"/>
      </w:r>
      <w:r>
        <w:instrText xml:space="preserve"> REF _Ref_55 \h </w:instrText>
      </w:r>
      <w:r>
        <w:fldChar w:fldCharType="separate"/>
      </w:r>
      <w:r>
        <w:t>55</w:t>
      </w:r>
      <w:r>
        <w:fldChar w:fldCharType="end"/>
      </w:r>
      <w:r>
        <w:t>]</w:t>
      </w:r>
      <w:r>
        <w:rPr>
          <w:b w:val="0"/>
          <w:i w:val="0"/>
        </w:rPr>
        <w:t xml:space="preserve">. Because </w:t>
      </w:r>
      <m:oMath>
        <m:sSub>
          <m:e>
            <m:r>
              <m:t xml:space="preserve">GenAI</m:t>
            </m:r>
          </m:e>
          <m:sub>
            <m:r>
              <m:t xml:space="preserve">i</m:t>
            </m:r>
            <m:r>
              <m:t xml:space="preserve">t</m:t>
            </m:r>
          </m:sub>
        </m:sSub>
      </m:oMath>
      <w:r>
        <w:rPr>
          <w:b w:val="0"/>
          <w:i w:val="0"/>
        </w:rPr>
        <w:t xml:space="preserve"> is close to zero before 2023 and positive afterwards, Equation (3) is a continuous difference-in-differences specification in which identification comes from the differential depth of adoption after the shock. The coefficient of interest is </w:t>
      </w:r>
      <m:oMath>
        <m:sSub>
          <m:e>
            <m:r>
              <m:t xml:space="preserve">α</m:t>
            </m:r>
          </m:e>
          <m:sub>
            <m:r>
              <m:rPr>
                <m:sty m:val="p"/>
              </m:rPr>
              <m:t xml:space="preserve">1</m:t>
            </m:r>
          </m:sub>
        </m:sSub>
      </m:oMath>
      <w:r>
        <w:rPr>
          <w:b w:val="0"/>
          <w:i w:val="0"/>
        </w:rPr>
        <w:t xml:space="preserve">; H1 predicts </w:t>
      </w:r>
      <m:oMath>
        <m:sSub>
          <m:e>
            <m:r>
              <m:t xml:space="preserve">α</m:t>
            </m:r>
          </m:e>
          <m:sub>
            <m:r>
              <m:rPr>
                <m:sty m:val="p"/>
              </m:rPr>
              <m:t xml:space="preserve">1</m:t>
            </m:r>
          </m:sub>
        </m:sSub>
        <m:r>
          <m:rPr>
            <m:sty m:val="p"/>
          </m:rPr>
          <m:t xml:space="preserve">&lt;</m:t>
        </m:r>
        <m:r>
          <m:rPr>
            <m:sty m:val="p"/>
          </m:rPr>
          <m:t xml:space="preserve">0</m:t>
        </m:r>
      </m:oMath>
      <w:r>
        <w:rPr>
          <w:b w:val="0"/>
          <w:i w:val="0"/>
        </w:rPr>
        <w:t>.</w:t>
      </w:r>
    </w:p>
    <w:p>
      <w:pPr>
        <w:pStyle w:val="MDPI31text"/>
      </w:pPr>
      <w:r>
        <w:rPr>
          <w:b w:val="0"/>
          <w:i w:val="0"/>
        </w:rPr>
        <w:t>The identifying assumption is that, absent the shock, firms that later adopted more intensively would have followed the same trajectory in youth employment as firms that adopted less. We assess it with an event study on ex-ante exposure,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nary>
                <m:naryPr>
                  <m:chr m:val="∑"/>
                  <m:limLoc m:val="subSup"/>
                  <m:supHide m:val="1"/>
                </m:naryPr>
                <m:sub>
                  <m:r>
                    <m:t xml:space="preserve">k</m:t>
                  </m:r>
                  <m:r>
                    <m:rPr>
                      <m:sty m:val="p"/>
                    </m:rPr>
                    <m:t xml:space="preserve">≠</m:t>
                  </m:r>
                  <m:r>
                    <m:t xml:space="preserve"> </m:t>
                  </m:r>
                  <m:r>
                    <m:t xml:space="preserve">2</m:t>
                  </m:r>
                  <m:r>
                    <m:t xml:space="preserve">0</m:t>
                  </m:r>
                  <m:r>
                    <m:t xml:space="preserve">2</m:t>
                  </m:r>
                  <m:r>
                    <m:t xml:space="preserve">2</m:t>
                  </m:r>
                </m:sub>
                <m:sup/>
                <m:e>
                  <m:sSub>
                    <m:e>
                      <m:r>
                        <m:t xml:space="preserve">γ</m:t>
                      </m:r>
                    </m:e>
                    <m:sub>
                      <m:r>
                        <m:t xml:space="preserve">k</m:t>
                      </m:r>
                    </m:sub>
                  </m:sSub>
                  <m:d>
                    <m:dPr>
                      <m:begChr m:val="("/>
                      <m:endChr m:val=")"/>
                    </m:dPr>
                    <m:e>
                      <m:sSub>
                        <m:e>
                          <m:r>
                            <m:t xml:space="preserve">Exposure</m:t>
                          </m:r>
                        </m:e>
                        <m:sub>
                          <m:r>
                            <m:t xml:space="preserve">i</m:t>
                          </m:r>
                        </m:sub>
                      </m:sSub>
                      <m:r>
                        <m:rPr>
                          <m:sty m:val="p"/>
                        </m:rPr>
                        <m:t xml:space="preserve">×</m:t>
                      </m:r>
                      <m:r>
                        <m:t xml:space="preserve"> </m:t>
                      </m:r>
                      <m:sSubSup>
                        <m:e>
                          <m:r>
                            <m:t xml:space="preserve">D</m:t>
                          </m:r>
                        </m:e>
                        <m:sub>
                          <m:r>
                            <m:t xml:space="preserve">t</m:t>
                          </m:r>
                        </m:sub>
                        <m:sup>
                          <m:r>
                            <m:t xml:space="preserve">k</m:t>
                          </m:r>
                        </m:sup>
                      </m:sSubSup>
                    </m:e>
                  </m:d>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e>
              </m:nary>
            </m:oMath>
          </w:p>
        </w:tc>
        <w:tc>
          <w:tcPr>
            <w:tcW w:type="dxa" w:w="431"/>
            <w:vAlign w:val="center"/>
          </w:tcPr>
          <w:p>
            <w:pPr>
              <w:pStyle w:val="MDPI3aequationnumber"/>
              <w:jc w:val="right"/>
            </w:pPr>
            <w:r>
              <w:t>(4)</w:t>
            </w:r>
          </w:p>
        </w:tc>
      </w:tr>
    </w:tbl>
    <w:p>
      <w:pPr>
        <w:pStyle w:val="MDPI31text"/>
      </w:pPr>
      <w:r>
        <w:rPr>
          <w:b w:val="0"/>
          <w:i w:val="0"/>
        </w:rPr>
        <w:t xml:space="preserve">where </w:t>
      </w:r>
      <m:oMath>
        <m:sSubSup>
          <m:e>
            <m:r>
              <m:t xml:space="preserve">D</m:t>
            </m:r>
          </m:e>
          <m:sub>
            <m:r>
              <m:t xml:space="preserve">t</m:t>
            </m:r>
          </m:sub>
          <m:sup>
            <m:r>
              <m:t xml:space="preserve">k</m:t>
            </m:r>
          </m:sup>
        </m:sSubSup>
      </m:oMath>
      <w:r>
        <w:rPr>
          <w:b w:val="0"/>
          <w:i w:val="0"/>
        </w:rPr>
        <w:t xml:space="preserve"> is a year indicator and 2022, the last pre-shock year, is the omitted category. Pre-shock coefficients that are jointly indistinguishable from zero support the parallel-trends assumption; post-shock coefficients trace the dynamic response </w:t>
      </w:r>
      <w:r>
        <w:t>[</w:t>
      </w:r>
      <w:r>
        <w:fldChar w:fldCharType="begin"/>
      </w:r>
      <w:r>
        <w:instrText xml:space="preserve"> REF _Ref_56 \h </w:instrText>
      </w:r>
      <w:r>
        <w:fldChar w:fldCharType="separate"/>
      </w:r>
      <w:r>
        <w:t>56</w:t>
      </w:r>
      <w:r>
        <w:fldChar w:fldCharType="end"/>
      </w:r>
      <w:r>
        <w:t>,</w:t>
      </w:r>
      <w:r>
        <w:fldChar w:fldCharType="begin"/>
      </w:r>
      <w:r>
        <w:instrText xml:space="preserve"> REF _Ref_57 \h </w:instrText>
      </w:r>
      <w:r>
        <w:fldChar w:fldCharType="separate"/>
      </w:r>
      <w:r>
        <w:t>57</w:t>
      </w:r>
      <w:r>
        <w:fldChar w:fldCharType="end"/>
      </w:r>
      <w:r>
        <w:t>]</w:t>
      </w:r>
      <w:r>
        <w:rPr>
          <w:b w:val="0"/>
          <w:i w:val="0"/>
        </w:rPr>
        <w:t xml:space="preserve">. Because treatment intensity varies continuously and every firm is exposed to the same shock date, the specification is not subject to the negative-weighting problem that arises when a two-way fixed-effects estimator aggregates staggered adoption with heterogeneous effects </w:t>
      </w:r>
      <w:r>
        <w:t>[</w:t>
      </w:r>
      <w:r>
        <w:fldChar w:fldCharType="begin"/>
      </w:r>
      <w:r>
        <w:instrText xml:space="preserve"> REF _Ref_58 \h </w:instrText>
      </w:r>
      <w:r>
        <w:fldChar w:fldCharType="separate"/>
      </w:r>
      <w:r>
        <w:t>58</w:t>
      </w:r>
      <w:r>
        <w:fldChar w:fldCharType="end"/>
      </w:r>
      <w:r>
        <w:t>,</w:t>
      </w:r>
      <w:r>
        <w:fldChar w:fldCharType="begin"/>
      </w:r>
      <w:r>
        <w:instrText xml:space="preserve"> REF _Ref_59 \h </w:instrText>
      </w:r>
      <w:r>
        <w:fldChar w:fldCharType="separate"/>
      </w:r>
      <w:r>
        <w:t>59</w:t>
      </w:r>
      <w:r>
        <w:fldChar w:fldCharType="end"/>
      </w:r>
      <w:r>
        <w:t>]</w:t>
      </w:r>
      <w:r>
        <w:rPr>
          <w:b w:val="0"/>
          <w:i w:val="0"/>
        </w:rPr>
        <w:t>.</w:t>
      </w:r>
    </w:p>
    <w:p>
      <w:pPr>
        <w:pStyle w:val="MDPI31text"/>
      </w:pPr>
      <w:r>
        <w:rPr>
          <w:b w:val="0"/>
          <w:i w:val="0"/>
        </w:rPr>
        <w:t xml:space="preserve">Mediation is assessed in the stepwise form </w:t>
      </w:r>
      <w:r>
        <w:t>[</w:t>
      </w:r>
      <w:r>
        <w:fldChar w:fldCharType="begin"/>
      </w:r>
      <w:r>
        <w:instrText xml:space="preserve"> REF _Ref_60 \h </w:instrText>
      </w:r>
      <w:r>
        <w:fldChar w:fldCharType="separate"/>
      </w:r>
      <w:r>
        <w:t>60</w:t>
      </w:r>
      <w:r>
        <w:fldChar w:fldCharType="end"/>
      </w:r>
      <w:r>
        <w:t>,</w:t>
      </w:r>
      <w:r>
        <w:fldChar w:fldCharType="begin"/>
      </w:r>
      <w:r>
        <w:instrText xml:space="preserve"> REF _Ref_61 \h </w:instrText>
      </w:r>
      <w:r>
        <w:fldChar w:fldCharType="separate"/>
      </w:r>
      <w:r>
        <w:t>61</w:t>
      </w:r>
      <w:r>
        <w:fldChar w:fldCharType="end"/>
      </w:r>
      <w:r>
        <w:t>]</w:t>
      </w:r>
      <w:r>
        <w:rPr>
          <w:b w:val="0"/>
          <w:i w:val="0"/>
        </w:rPr>
        <w:t>, estimating</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M</m:t>
                  </m:r>
                </m:e>
                <m:sub>
                  <m:r>
                    <m:t xml:space="preserve">i</m:t>
                  </m:r>
                  <m:r>
                    <m:t xml:space="preserve">t</m:t>
                  </m:r>
                </m:sub>
              </m:sSub>
              <m:r>
                <m:rPr>
                  <m:sty m:val="p"/>
                </m:rPr>
                <m:t xml:space="preserve">=</m:t>
              </m:r>
              <m:sSub>
                <m:e>
                  <m:r>
                    <m:t xml:space="preserve">β</m:t>
                  </m:r>
                </m:e>
                <m:sub>
                  <m:r>
                    <m:rPr>
                      <m:sty m:val="p"/>
                    </m:rPr>
                    <m:t xml:space="preserve">0</m:t>
                  </m:r>
                </m:sub>
              </m:sSub>
              <m:r>
                <m:rPr>
                  <m:sty m:val="p"/>
                </m:rPr>
                <m:t xml:space="preserve">+</m:t>
              </m:r>
              <m:sSub>
                <m:e>
                  <m:r>
                    <m:t xml:space="preserve">β</m:t>
                  </m:r>
                </m:e>
                <m:sub>
                  <m:r>
                    <m:rPr>
                      <m:sty m:val="p"/>
                    </m:rPr>
                    <m:t xml:space="preserve">1</m:t>
                  </m:r>
                </m:sub>
              </m:sSub>
              <m:sSub>
                <m:e>
                  <m:r>
                    <m:t xml:space="preserve">GenAI</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υ</m:t>
                  </m:r>
                </m:e>
                <m:sub>
                  <m:r>
                    <m:t xml:space="preserve">i</m:t>
                  </m:r>
                  <m:r>
                    <m:t xml:space="preserve">t</m:t>
                  </m:r>
                </m:sub>
              </m:sSub>
            </m:oMath>
          </w:p>
        </w:tc>
        <w:tc>
          <w:tcPr>
            <w:tcW w:type="dxa" w:w="431"/>
            <w:vAlign w:val="center"/>
          </w:tcPr>
          <w:p>
            <w:pPr>
              <w:pStyle w:val="MDPI3aequationnumber"/>
              <w:jc w:val="right"/>
            </w:pPr>
            <w:r>
              <w:t>(5)</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c</m:t>
                  </m:r>
                </m:e>
                <m:sub>
                  <m:r>
                    <m:rPr>
                      <m:sty m:val="p"/>
                    </m:rPr>
                    <m:t xml:space="preserve">0</m:t>
                  </m:r>
                </m:sub>
              </m:sSub>
              <m:r>
                <m:rPr>
                  <m:sty m:val="p"/>
                </m:rPr>
                <m:t xml:space="preserve">+</m:t>
              </m:r>
              <m:sSub>
                <m:e>
                  <m:r>
                    <m:t xml:space="preserve">c</m:t>
                  </m:r>
                </m:e>
                <m:sub>
                  <m:r>
                    <m:rPr>
                      <m:sty m:val="p"/>
                    </m:rPr>
                    <m:t xml:space="preserve">1</m:t>
                  </m:r>
                </m:sub>
              </m:sSub>
              <m:sSub>
                <m:e>
                  <m:r>
                    <m:t xml:space="preserve">GenAI</m:t>
                  </m:r>
                </m:e>
                <m:sub>
                  <m:r>
                    <m:t xml:space="preserve">i</m:t>
                  </m:r>
                  <m:r>
                    <m:t xml:space="preserve">t</m:t>
                  </m:r>
                </m:sub>
              </m:sSub>
              <m:r>
                <m:rPr>
                  <m:sty m:val="p"/>
                </m:rPr>
                <m:t xml:space="preserve">+</m:t>
              </m:r>
              <m:sSub>
                <m:e>
                  <m:r>
                    <m:t xml:space="preserve">c</m:t>
                  </m:r>
                </m:e>
                <m:sub>
                  <m:r>
                    <m:rPr>
                      <m:sty m:val="p"/>
                    </m:rPr>
                    <m:t xml:space="preserve">2</m:t>
                  </m:r>
                </m:sub>
              </m:sSub>
              <m:sSub>
                <m:e>
                  <m:r>
                    <m:t xml:space="preserve">M</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oMath>
          </w:p>
        </w:tc>
        <w:tc>
          <w:tcPr>
            <w:tcW w:type="dxa" w:w="431"/>
            <w:vAlign w:val="center"/>
          </w:tcPr>
          <w:p>
            <w:pPr>
              <w:pStyle w:val="MDPI3aequationnumber"/>
              <w:jc w:val="right"/>
            </w:pPr>
            <w:r>
              <w:t>(6)</w:t>
            </w:r>
          </w:p>
        </w:tc>
      </w:tr>
    </w:tbl>
    <w:p>
      <w:pPr>
        <w:pStyle w:val="MDPI31text"/>
      </w:pPr>
      <w:r>
        <w:rPr>
          <w:b w:val="0"/>
          <w:i w:val="0"/>
        </w:rPr>
        <w:t xml:space="preserve">for </w:t>
      </w:r>
      <m:oMath>
        <m:r>
          <m:t xml:space="preserve">M</m:t>
        </m:r>
        <m:r>
          <m:rPr>
            <m:sty m:val="p"/>
          </m:rPr>
          <m:t xml:space="preserve">∈</m:t>
        </m:r>
        <m:r>
          <m:t xml:space="preserve">{</m:t>
        </m:r>
        <m:r>
          <m:t xml:space="preserve">RTI</m:t>
        </m:r>
        <m:r>
          <m:t xml:space="preserve">,</m:t>
        </m:r>
        <m:r>
          <m:t xml:space="preserve">HCU</m:t>
        </m:r>
        <m:r>
          <m:t xml:space="preserve">}</m:t>
        </m:r>
      </m:oMath>
      <w:r>
        <w:rPr>
          <w:b w:val="0"/>
          <w:i w:val="0"/>
        </w:rPr>
        <w:t xml:space="preserve">, with the indirect effect </w:t>
      </w:r>
      <m:oMath>
        <m:sSub>
          <m:e>
            <m:r>
              <m:t xml:space="preserve">β</m:t>
            </m:r>
          </m:e>
          <m:sub>
            <m:r>
              <m:rPr>
                <m:sty m:val="p"/>
              </m:rPr>
              <m:t xml:space="preserve">1</m:t>
            </m:r>
          </m:sub>
        </m:sSub>
        <m:sSub>
          <m:e>
            <m:r>
              <m:t xml:space="preserve">c</m:t>
            </m:r>
          </m:e>
          <m:sub>
            <m:r>
              <m:rPr>
                <m:sty m:val="p"/>
              </m:rPr>
              <m:t xml:space="preserve">2</m:t>
            </m:r>
          </m:sub>
        </m:sSub>
      </m:oMath>
      <w:r>
        <w:rPr>
          <w:b w:val="0"/>
          <w:i w:val="0"/>
        </w:rPr>
        <w:t xml:space="preserve"> and its confidence interval obtained from a block bootstrap that resamples firms with replacement. Moderation is estimated as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δ</m:t>
                  </m:r>
                </m:e>
                <m:sub>
                  <m:r>
                    <m:rPr>
                      <m:sty m:val="p"/>
                    </m:rPr>
                    <m:t xml:space="preserve">0</m:t>
                  </m:r>
                </m:sub>
              </m:sSub>
              <m:r>
                <m:rPr>
                  <m:sty m:val="p"/>
                </m:rPr>
                <m:t xml:space="preserve">+</m:t>
              </m:r>
              <m:sSub>
                <m:e>
                  <m:r>
                    <m:t xml:space="preserve">δ</m:t>
                  </m:r>
                </m:e>
                <m:sub>
                  <m:r>
                    <m:rPr>
                      <m:sty m:val="p"/>
                    </m:rPr>
                    <m:t xml:space="preserve">1</m:t>
                  </m:r>
                </m:sub>
              </m:sSub>
              <m:sSub>
                <m:e>
                  <m:r>
                    <m:t xml:space="preserve">GenAI</m:t>
                  </m:r>
                </m:e>
                <m:sub>
                  <m:r>
                    <m:t xml:space="preserve">i</m:t>
                  </m:r>
                  <m:r>
                    <m:t xml:space="preserve">t</m:t>
                  </m:r>
                </m:sub>
              </m:sSub>
              <m:r>
                <m:rPr>
                  <m:sty m:val="p"/>
                </m:rPr>
                <m:t xml:space="preserve">+</m:t>
              </m:r>
              <m:sSub>
                <m:e>
                  <m:r>
                    <m:t xml:space="preserve">δ</m:t>
                  </m:r>
                </m:e>
                <m:sub>
                  <m:r>
                    <m:rPr>
                      <m:sty m:val="p"/>
                    </m:rPr>
                    <m:t xml:space="preserve">2</m:t>
                  </m:r>
                </m:sub>
              </m:sSub>
              <m:d>
                <m:dPr>
                  <m:begChr m:val="("/>
                  <m:endChr m:val=")"/>
                </m:dPr>
                <m:e>
                  <m:sSub>
                    <m:e>
                      <m:r>
                        <m:t xml:space="preserve">GenAI</m:t>
                      </m:r>
                    </m:e>
                    <m:sub>
                      <m:r>
                        <m:t xml:space="preserve">i</m:t>
                      </m:r>
                      <m:r>
                        <m:t xml:space="preserve">t</m:t>
                      </m:r>
                    </m:sub>
                  </m:sSub>
                  <m:r>
                    <m:rPr>
                      <m:sty m:val="p"/>
                    </m:rPr>
                    <m:t xml:space="preserve">×</m:t>
                  </m:r>
                  <m:r>
                    <m:t xml:space="preserve"> </m:t>
                  </m:r>
                  <m:sSub>
                    <m:e>
                      <m:r>
                        <m:t xml:space="preserve">Z</m:t>
                      </m:r>
                    </m:e>
                    <m:sub>
                      <m:r>
                        <m:t xml:space="preserve">i</m:t>
                      </m:r>
                      <m:r>
                        <m:t xml:space="preserve">t</m:t>
                      </m:r>
                    </m:sub>
                  </m:sSub>
                </m:e>
              </m:d>
              <m:r>
                <m:rPr>
                  <m:sty m:val="p"/>
                </m:rPr>
                <m:t xml:space="preserve">+</m:t>
              </m:r>
              <m:sSub>
                <m:e>
                  <m:r>
                    <m:t xml:space="preserve">δ</m:t>
                  </m:r>
                </m:e>
                <m:sub>
                  <m:r>
                    <m:rPr>
                      <m:sty m:val="p"/>
                    </m:rPr>
                    <m:t xml:space="preserve">3</m:t>
                  </m:r>
                </m:sub>
              </m:sSub>
              <m:sSub>
                <m:e>
                  <m:r>
                    <m:t xml:space="preserve">Z</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η</m:t>
                  </m:r>
                </m:e>
                <m:sub>
                  <m:r>
                    <m:t xml:space="preserve">i</m:t>
                  </m:r>
                  <m:r>
                    <m:t xml:space="preserve">t</m:t>
                  </m:r>
                </m:sub>
              </m:sSub>
            </m:oMath>
          </w:p>
        </w:tc>
        <w:tc>
          <w:tcPr>
            <w:tcW w:type="dxa" w:w="431"/>
            <w:vAlign w:val="center"/>
          </w:tcPr>
          <w:p>
            <w:pPr>
              <w:pStyle w:val="MDPI3aequationnumber"/>
              <w:jc w:val="right"/>
            </w:pPr>
            <w:r>
              <w:t>(7)</w:t>
            </w:r>
          </w:p>
        </w:tc>
      </w:tr>
    </w:tbl>
    <w:p>
      <w:pPr>
        <w:pStyle w:val="MDPI31text"/>
      </w:pPr>
      <w:r>
        <w:rPr>
          <w:b w:val="0"/>
          <w:i w:val="0"/>
        </w:rPr>
        <w:t xml:space="preserve">for </w:t>
      </w:r>
      <m:oMath>
        <m:r>
          <m:t xml:space="preserve">Z</m:t>
        </m:r>
        <m:r>
          <m:rPr>
            <m:sty m:val="p"/>
          </m:rPr>
          <m:t xml:space="preserve">∈</m:t>
        </m:r>
        <m:r>
          <m:t xml:space="preserve">{</m:t>
        </m:r>
        <m:r>
          <m:t xml:space="preserve">OLC</m:t>
        </m:r>
        <m:r>
          <m:t xml:space="preserve">,</m:t>
        </m:r>
        <m:r>
          <m:t xml:space="preserve">AIGov</m:t>
        </m:r>
        <m:r>
          <m:t xml:space="preserve">}</m:t>
        </m:r>
      </m:oMath>
      <w:r>
        <w:rPr>
          <w:b w:val="0"/>
          <w:i w:val="0"/>
        </w:rPr>
        <w:t>, from which the marginal effect of adoption at a given level of the moderator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r>
                    <m:rPr>
                      <m:sty m:val="p"/>
                    </m:rPr>
                    <m:t xml:space="preserve">∂</m:t>
                  </m:r>
                  <m:r>
                    <m:t xml:space="preserve"> </m:t>
                  </m:r>
                  <m:sSub>
                    <m:e>
                      <m:r>
                        <m:t xml:space="preserve">Youth</m:t>
                      </m:r>
                    </m:e>
                    <m:sub>
                      <m:r>
                        <m:t xml:space="preserve">i</m:t>
                      </m:r>
                      <m:r>
                        <m:t xml:space="preserve">t</m:t>
                      </m:r>
                    </m:sub>
                  </m:sSub>
                </m:num>
                <m:den>
                  <m:r>
                    <m:rPr>
                      <m:sty m:val="p"/>
                    </m:rPr>
                    <m:t xml:space="preserve">∂</m:t>
                  </m:r>
                  <m:r>
                    <m:t xml:space="preserve"> </m:t>
                  </m:r>
                  <m:sSub>
                    <m:e>
                      <m:r>
                        <m:t xml:space="preserve">GenAI</m:t>
                      </m:r>
                    </m:e>
                    <m:sub>
                      <m:r>
                        <m:t xml:space="preserve">i</m:t>
                      </m:r>
                      <m:r>
                        <m:t xml:space="preserve">t</m:t>
                      </m:r>
                    </m:sub>
                  </m:sSub>
                </m:den>
              </m:f>
              <m:r>
                <m:rPr>
                  <m:sty m:val="p"/>
                </m:rPr>
                <m:t xml:space="preserve">=</m:t>
              </m:r>
              <m:sSub>
                <m:e>
                  <m:r>
                    <m:t xml:space="preserve">δ</m:t>
                  </m:r>
                </m:e>
                <m:sub>
                  <m:r>
                    <m:rPr>
                      <m:sty m:val="p"/>
                    </m:rPr>
                    <m:t xml:space="preserve">1</m:t>
                  </m:r>
                </m:sub>
              </m:sSub>
              <m:r>
                <m:rPr>
                  <m:sty m:val="p"/>
                </m:rPr>
                <m:t xml:space="preserve">+</m:t>
              </m:r>
              <m:sSub>
                <m:e>
                  <m:r>
                    <m:t xml:space="preserve">δ</m:t>
                  </m:r>
                </m:e>
                <m:sub>
                  <m:r>
                    <m:rPr>
                      <m:sty m:val="p"/>
                    </m:rPr>
                    <m:t xml:space="preserve">2</m:t>
                  </m:r>
                </m:sub>
              </m:sSub>
              <m:sSub>
                <m:e>
                  <m:r>
                    <m:t xml:space="preserve">Z</m:t>
                  </m:r>
                </m:e>
                <m:sub>
                  <m:r>
                    <m:t xml:space="preserve">i</m:t>
                  </m:r>
                  <m:r>
                    <m:t xml:space="preserve">t</m:t>
                  </m:r>
                </m:sub>
              </m:sSub>
            </m:oMath>
          </w:p>
        </w:tc>
        <w:tc>
          <w:tcPr>
            <w:tcW w:type="dxa" w:w="431"/>
            <w:vAlign w:val="center"/>
          </w:tcPr>
          <w:p>
            <w:pPr>
              <w:pStyle w:val="MDPI3aequationnumber"/>
              <w:jc w:val="right"/>
            </w:pPr>
            <w:r>
              <w:t>(8)</w:t>
            </w:r>
          </w:p>
        </w:tc>
      </w:tr>
    </w:tbl>
    <w:p>
      <w:pPr>
        <w:pStyle w:val="MDPI31text"/>
      </w:pPr>
      <w:r>
        <w:rPr>
          <w:b w:val="0"/>
          <w:i w:val="0"/>
        </w:rPr>
        <w:t xml:space="preserve">Two concerns remain. Adoption is a choice, so unobserved firm-year shocks — a demand expansion, a new product line — may raise both adoption and young hiring, biasing </w:t>
      </w:r>
      <m:oMath>
        <m:sSub>
          <m:e>
            <m:r>
              <m:t xml:space="preserve">α</m:t>
            </m:r>
          </m:e>
          <m:sub>
            <m:r>
              <m:rPr>
                <m:sty m:val="p"/>
              </m:rPr>
              <m:t xml:space="preserve">1</m:t>
            </m:r>
          </m:sub>
        </m:sSub>
      </m:oMath>
      <w:r>
        <w:rPr>
          <w:b w:val="0"/>
          <w:i w:val="0"/>
        </w:rPr>
        <w:t xml:space="preserve"> towards zero. We therefore instrument adoption with two excluded variables. The first is a shift-share instrument interacting the 1984 fixed-line telephone penetration rate of the firm's province with the national diffusion of generative AI, measured by the revenue of the artificial-intelligence industry rebased to unity in every pre-shock year </w:t>
      </w:r>
      <w:r>
        <w:t>[</w:t>
      </w:r>
      <w:r>
        <w:fldChar w:fldCharType="begin"/>
      </w:r>
      <w:r>
        <w:instrText xml:space="preserve"> REF _Ref_62 \h </w:instrText>
      </w:r>
      <w:r>
        <w:fldChar w:fldCharType="separate"/>
      </w:r>
      <w:r>
        <w:t>62</w:t>
      </w:r>
      <w:r>
        <w:fldChar w:fldCharType="end"/>
      </w:r>
      <w:r>
        <w:t>,</w:t>
      </w:r>
      <w:r>
        <w:fldChar w:fldCharType="begin"/>
      </w:r>
      <w:r>
        <w:instrText xml:space="preserve"> REF _Ref_63 \h </w:instrText>
      </w:r>
      <w:r>
        <w:fldChar w:fldCharType="separate"/>
      </w:r>
      <w:r>
        <w:t>63</w:t>
      </w:r>
      <w:r>
        <w:fldChar w:fldCharType="end"/>
      </w:r>
      <w:r>
        <w:t>]</w:t>
      </w:r>
      <w:r>
        <w:rPr>
          <w:b w:val="0"/>
          <w:i w:val="0"/>
        </w:rPr>
        <w:t>: historical communications infrastructure predicts the digital infrastructure that conditions adoption today but has no plausible direct effect on a listed firm's current age composition, and rebasing the national shifter keeps the instrument, like the technology itself, flat until the end of 2022. The second is the leave-one-out mean adoption intensity of other firms in the same industry and province, which captures diffusion pressure while excluding the firm's own decision. The first and second stages are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GenAI</m:t>
                  </m:r>
                </m:e>
                <m:sub>
                  <m:r>
                    <m:t xml:space="preserve">i</m:t>
                  </m:r>
                  <m:r>
                    <m:t xml:space="preserve">t</m:t>
                  </m:r>
                </m:sub>
              </m:sSub>
              <m:r>
                <m:rPr>
                  <m:sty m:val="p"/>
                </m:rPr>
                <m:t xml:space="preserve">=</m:t>
              </m:r>
              <m:sSub>
                <m:e>
                  <m:r>
                    <m:t xml:space="preserve">π</m:t>
                  </m:r>
                </m:e>
                <m:sub>
                  <m:r>
                    <m:rPr>
                      <m:sty m:val="p"/>
                    </m:rPr>
                    <m:t xml:space="preserve">0</m:t>
                  </m:r>
                </m:sub>
              </m:sSub>
              <m:r>
                <m:rPr>
                  <m:sty m:val="p"/>
                </m:rPr>
                <m:t xml:space="preserve">+</m:t>
              </m:r>
              <m:sSub>
                <m:e>
                  <m:r>
                    <m:t xml:space="preserve">π</m:t>
                  </m:r>
                </m:e>
                <m:sub>
                  <m:r>
                    <m:rPr>
                      <m:sty m:val="p"/>
                    </m:rPr>
                    <m:t xml:space="preserve">1</m:t>
                  </m:r>
                </m:sub>
              </m:sSub>
              <m:sSubSup>
                <m:e>
                  <m:r>
                    <m:t xml:space="preserve">IV</m:t>
                  </m:r>
                </m:e>
                <m:sub>
                  <m:r>
                    <m:t xml:space="preserve">i</m:t>
                  </m:r>
                  <m:r>
                    <m:t xml:space="preserve">t</m:t>
                  </m:r>
                </m:sub>
                <m:sup>
                  <m:r>
                    <m:t xml:space="preserve">B</m:t>
                  </m:r>
                  <m:r>
                    <m:t xml:space="preserve">a</m:t>
                  </m:r>
                  <m:r>
                    <m:t xml:space="preserve">r</m:t>
                  </m:r>
                  <m:r>
                    <m:t xml:space="preserve">t</m:t>
                  </m:r>
                  <m:r>
                    <m:t xml:space="preserve">i</m:t>
                  </m:r>
                  <m:r>
                    <m:t xml:space="preserve">k</m:t>
                  </m:r>
                </m:sup>
              </m:sSubSup>
              <m:r>
                <m:rPr>
                  <m:sty m:val="p"/>
                </m:rPr>
                <m:t xml:space="preserve">+</m:t>
              </m:r>
              <m:sSub>
                <m:e>
                  <m:r>
                    <m:t xml:space="preserve">π</m:t>
                  </m:r>
                </m:e>
                <m:sub>
                  <m:r>
                    <m:rPr>
                      <m:sty m:val="p"/>
                    </m:rPr>
                    <m:t xml:space="preserve">2</m:t>
                  </m:r>
                </m:sub>
              </m:sSub>
              <m:sSubSup>
                <m:e>
                  <m:r>
                    <m:t xml:space="preserve">IV</m:t>
                  </m:r>
                </m:e>
                <m:sub>
                  <m:r>
                    <m:t xml:space="preserve">i</m:t>
                  </m:r>
                  <m:r>
                    <m:t xml:space="preserve">t</m:t>
                  </m:r>
                </m:sub>
                <m:sup>
                  <m:r>
                    <m:t xml:space="preserve">P</m:t>
                  </m:r>
                  <m:r>
                    <m:t xml:space="preserve">e</m:t>
                  </m:r>
                  <m:r>
                    <m:t xml:space="preserve">e</m:t>
                  </m:r>
                  <m:r>
                    <m:t xml:space="preserve">r</m:t>
                  </m:r>
                </m:sup>
              </m:sSubSup>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ν</m:t>
                  </m:r>
                </m:e>
                <m:sub>
                  <m:r>
                    <m:t xml:space="preserve">i</m:t>
                  </m:r>
                  <m:r>
                    <m:t xml:space="preserve">t</m:t>
                  </m:r>
                </m:sub>
              </m:sSub>
            </m:oMath>
          </w:p>
        </w:tc>
        <w:tc>
          <w:tcPr>
            <w:tcW w:type="dxa" w:w="431"/>
            <w:vAlign w:val="center"/>
          </w:tcPr>
          <w:p>
            <w:pPr>
              <w:pStyle w:val="MDPI3aequationnumber"/>
              <w:jc w:val="right"/>
            </w:pPr>
            <w:r>
              <w:t>(9)</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θ</m:t>
                  </m:r>
                </m:e>
                <m:sub>
                  <m:r>
                    <m:rPr>
                      <m:sty m:val="p"/>
                    </m:rPr>
                    <m:t xml:space="preserve">0</m:t>
                  </m:r>
                </m:sub>
              </m:sSub>
              <m:r>
                <m:rPr>
                  <m:sty m:val="p"/>
                </m:rPr>
                <m:t xml:space="preserve">+</m:t>
              </m:r>
              <m:sSub>
                <m:e>
                  <m:r>
                    <m:t xml:space="preserve">θ</m:t>
                  </m:r>
                </m:e>
                <m:sub>
                  <m:r>
                    <m:rPr>
                      <m:sty m:val="p"/>
                    </m:rPr>
                    <m:t xml:space="preserve">1</m:t>
                  </m:r>
                </m:sub>
              </m:sSub>
              <m:r>
                <m:t xml:space="preserve">widehat</m:t>
              </m:r>
              <m:sSub>
                <m:e>
                  <m:r>
                    <m:t xml:space="preserve">GenAI</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ω</m:t>
                  </m:r>
                </m:e>
                <m:sub>
                  <m:r>
                    <m:t xml:space="preserve">i</m:t>
                  </m:r>
                  <m:r>
                    <m:t xml:space="preserve">t</m:t>
                  </m:r>
                </m:sub>
              </m:sSub>
            </m:oMath>
          </w:p>
        </w:tc>
        <w:tc>
          <w:tcPr>
            <w:tcW w:type="dxa" w:w="431"/>
            <w:vAlign w:val="center"/>
          </w:tcPr>
          <w:p>
            <w:pPr>
              <w:pStyle w:val="MDPI3aequationnumber"/>
              <w:jc w:val="right"/>
            </w:pPr>
            <w:r>
              <w:t>(10)</w:t>
            </w:r>
          </w:p>
        </w:tc>
      </w:tr>
    </w:tbl>
    <w:p>
      <w:pPr>
        <w:pStyle w:val="MDPI31text"/>
      </w:pPr>
      <w:r>
        <w:rPr>
          <w:b w:val="0"/>
          <w:i w:val="0"/>
        </w:rPr>
        <w:t xml:space="preserve">Instrument relevance is judged by the Kleibergen–Paap rank Wald statistic against the Stock–Yogo critical value </w:t>
      </w:r>
      <w:r>
        <w:t>[</w:t>
      </w:r>
      <w:r>
        <w:fldChar w:fldCharType="begin"/>
      </w:r>
      <w:r>
        <w:instrText xml:space="preserve"> REF _Ref_64 \h </w:instrText>
      </w:r>
      <w:r>
        <w:fldChar w:fldCharType="separate"/>
      </w:r>
      <w:r>
        <w:t>64</w:t>
      </w:r>
      <w:r>
        <w:fldChar w:fldCharType="end"/>
      </w:r>
      <w:r>
        <w:t>,</w:t>
      </w:r>
      <w:r>
        <w:fldChar w:fldCharType="begin"/>
      </w:r>
      <w:r>
        <w:instrText xml:space="preserve"> REF _Ref_65 \h </w:instrText>
      </w:r>
      <w:r>
        <w:fldChar w:fldCharType="separate"/>
      </w:r>
      <w:r>
        <w:t>65</w:t>
      </w:r>
      <w:r>
        <w:fldChar w:fldCharType="end"/>
      </w:r>
      <w:r>
        <w:t>]</w:t>
      </w:r>
      <w:r>
        <w:rPr>
          <w:b w:val="0"/>
          <w:i w:val="0"/>
        </w:rPr>
        <w:t xml:space="preserve"> and validity by the Sargan–Hansen test. Because adoption is also not randomly assigned across firms, we complement the instrumental-variable estimates with propensity-score matching </w:t>
      </w:r>
      <w:r>
        <w:t>[</w:t>
      </w:r>
      <w:r>
        <w:fldChar w:fldCharType="begin"/>
      </w:r>
      <w:r>
        <w:instrText xml:space="preserve"> REF _Ref_66 \h </w:instrText>
      </w:r>
      <w:r>
        <w:fldChar w:fldCharType="separate"/>
      </w:r>
      <w:r>
        <w:t>66</w:t>
      </w:r>
      <w:r>
        <w:fldChar w:fldCharType="end"/>
      </w:r>
      <w:r>
        <w:t>]</w:t>
      </w:r>
      <w:r>
        <w:rPr>
          <w:b w:val="0"/>
          <w:i w:val="0"/>
        </w:rPr>
        <w:t xml:space="preserve"> and entropy balancing </w:t>
      </w:r>
      <w:r>
        <w:t>[</w:t>
      </w:r>
      <w:r>
        <w:fldChar w:fldCharType="begin"/>
      </w:r>
      <w:r>
        <w:instrText xml:space="preserve"> REF _Ref_67 \h </w:instrText>
      </w:r>
      <w:r>
        <w:fldChar w:fldCharType="separate"/>
      </w:r>
      <w:r>
        <w:t>67</w:t>
      </w:r>
      <w:r>
        <w:fldChar w:fldCharType="end"/>
      </w:r>
      <w:r>
        <w:t>]</w:t>
      </w:r>
      <w:r>
        <w:rPr>
          <w:b w:val="0"/>
          <w:i w:val="0"/>
        </w:rPr>
        <w:t xml:space="preserve">, and we bound the scope for selection on unobservables using the coefficient-stability approach </w:t>
      </w:r>
      <w:r>
        <w:t>[</w:t>
      </w:r>
      <w:r>
        <w:fldChar w:fldCharType="begin"/>
      </w:r>
      <w:r>
        <w:instrText xml:space="preserve"> REF _Ref_68 \h </w:instrText>
      </w:r>
      <w:r>
        <w:fldChar w:fldCharType="separate"/>
      </w:r>
      <w:r>
        <w:t>68</w:t>
      </w:r>
      <w:r>
        <w:fldChar w:fldCharType="end"/>
      </w:r>
      <w:r>
        <w:t>]</w:t>
      </w:r>
      <w:r>
        <w:rPr>
          <w:b w:val="0"/>
          <w:i w:val="0"/>
        </w:rPr>
        <w:t>, for which the bias-adjusted coefficient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p>
                <m:e>
                  <m:r>
                    <m:t xml:space="preserve">β</m:t>
                  </m:r>
                </m:e>
                <m:sup>
                  <m:r>
                    <m:t xml:space="preserve">∗</m:t>
                  </m:r>
                </m:sup>
              </m:sSup>
              <m:r>
                <m:rPr>
                  <m:sty m:val="p"/>
                </m:rPr>
                <m:t xml:space="preserve">=</m:t>
              </m:r>
              <m:acc>
                <m:accPr>
                  <m:chr m:val="~"/>
                </m:accPr>
                <m:e>
                  <m:r>
                    <m:t xml:space="preserve">β</m:t>
                  </m:r>
                </m:e>
              </m:acc>
              <m:r>
                <m:rPr>
                  <m:sty m:val="p"/>
                </m:rPr>
                <m:t xml:space="preserve">-</m:t>
              </m:r>
              <m:d>
                <m:dPr>
                  <m:begChr m:val="("/>
                  <m:endChr m:val=")"/>
                </m:dPr>
                <m:e>
                  <m:acc>
                    <m:accPr>
                      <m:chr m:val="̊"/>
                    </m:accPr>
                    <m:e>
                      <m:r>
                        <m:t xml:space="preserve">β</m:t>
                      </m:r>
                    </m:e>
                  </m:acc>
                  <m:r>
                    <m:rPr>
                      <m:sty m:val="p"/>
                    </m:rPr>
                    <m:t xml:space="preserve">-</m:t>
                  </m:r>
                  <m:acc>
                    <m:accPr>
                      <m:chr m:val="~"/>
                    </m:accPr>
                    <m:e>
                      <m:r>
                        <m:t xml:space="preserve">β</m:t>
                      </m:r>
                    </m:e>
                  </m:acc>
                </m:e>
              </m:d>
              <m:f>
                <m:num>
                  <m:sSub>
                    <m:e>
                      <m:r>
                        <m:t xml:space="preserve">R</m:t>
                      </m:r>
                    </m:e>
                    <m:sub>
                      <m:r>
                        <m:t xml:space="preserve">m</m:t>
                      </m:r>
                      <m:r>
                        <m:t xml:space="preserve">a</m:t>
                      </m:r>
                      <m:r>
                        <m:t xml:space="preserve">x</m:t>
                      </m:r>
                    </m:sub>
                  </m:sSub>
                  <m:r>
                    <m:rPr>
                      <m:sty m:val="p"/>
                    </m:rPr>
                    <m:t xml:space="preserve">-</m:t>
                  </m:r>
                  <m:acc>
                    <m:accPr>
                      <m:chr m:val="~"/>
                    </m:accPr>
                    <m:e>
                      <m:r>
                        <m:t xml:space="preserve">R</m:t>
                      </m:r>
                    </m:e>
                  </m:acc>
                </m:num>
                <m:den>
                  <m:acc>
                    <m:accPr>
                      <m:chr m:val="~"/>
                    </m:accPr>
                    <m:e>
                      <m:r>
                        <m:t xml:space="preserve">R</m:t>
                      </m:r>
                    </m:e>
                  </m:acc>
                  <m:r>
                    <m:rPr>
                      <m:sty m:val="p"/>
                    </m:rPr>
                    <m:t xml:space="preserve">-</m:t>
                  </m:r>
                  <m:acc>
                    <m:accPr>
                      <m:chr m:val="̊"/>
                    </m:accPr>
                    <m:e>
                      <m:r>
                        <m:t xml:space="preserve">R</m:t>
                      </m:r>
                    </m:e>
                  </m:acc>
                </m:den>
              </m:f>
            </m:oMath>
          </w:p>
        </w:tc>
        <w:tc>
          <w:tcPr>
            <w:tcW w:type="dxa" w:w="431"/>
            <w:vAlign w:val="center"/>
          </w:tcPr>
          <w:p>
            <w:pPr>
              <w:pStyle w:val="MDPI3aequationnumber"/>
              <w:jc w:val="right"/>
            </w:pPr>
            <w:r>
              <w:t>(11)</w:t>
            </w:r>
          </w:p>
        </w:tc>
      </w:tr>
    </w:tbl>
    <w:p>
      <w:pPr>
        <w:pStyle w:val="MDPI31text"/>
      </w:pPr>
      <w:r>
        <w:rPr>
          <w:b w:val="0"/>
          <w:i w:val="0"/>
        </w:rPr>
        <w:t xml:space="preserve">where </w:t>
      </w:r>
      <m:oMath>
        <m:acc>
          <m:accPr>
            <m:chr m:val="̊"/>
          </m:accPr>
          <m:e>
            <m:r>
              <m:t xml:space="preserve">β</m:t>
            </m:r>
          </m:e>
        </m:acc>
      </m:oMath>
      <w:r>
        <w:rPr>
          <w:b w:val="0"/>
          <w:i w:val="0"/>
        </w:rPr>
        <w:t xml:space="preserve"> and </w:t>
      </w:r>
      <m:oMath>
        <m:acc>
          <m:accPr>
            <m:chr m:val="̊"/>
          </m:accPr>
          <m:e>
            <m:r>
              <m:t xml:space="preserve">R</m:t>
            </m:r>
          </m:e>
        </m:acc>
      </m:oMath>
      <w:r>
        <w:rPr>
          <w:b w:val="0"/>
          <w:i w:val="0"/>
        </w:rPr>
        <w:t xml:space="preserve"> come from the specification without controls, </w:t>
      </w:r>
      <m:oMath>
        <m:acc>
          <m:accPr>
            <m:chr m:val="~"/>
          </m:accPr>
          <m:e>
            <m:r>
              <m:t xml:space="preserve">β</m:t>
            </m:r>
          </m:e>
        </m:acc>
      </m:oMath>
      <w:r>
        <w:rPr>
          <w:b w:val="0"/>
          <w:i w:val="0"/>
        </w:rPr>
        <w:t xml:space="preserve"> and </w:t>
      </w:r>
      <m:oMath>
        <m:acc>
          <m:accPr>
            <m:chr m:val="~"/>
          </m:accPr>
          <m:e>
            <m:r>
              <m:t xml:space="preserve">R</m:t>
            </m:r>
          </m:e>
        </m:acc>
      </m:oMath>
      <w:r>
        <w:rPr>
          <w:b w:val="0"/>
          <w:i w:val="0"/>
        </w:rPr>
        <w:t xml:space="preserve"> from the specification with controls, and </w:t>
      </w:r>
      <m:oMath>
        <m:sSub>
          <m:e>
            <m:r>
              <m:t xml:space="preserve">R</m:t>
            </m:r>
          </m:e>
          <m:sub>
            <m:r>
              <m:t xml:space="preserve">m</m:t>
            </m:r>
            <m:r>
              <m:t xml:space="preserve">a</m:t>
            </m:r>
            <m:r>
              <m:t xml:space="preserve">x</m:t>
            </m:r>
          </m:sub>
        </m:sSub>
      </m:oMath>
      <w:r>
        <w:rPr>
          <w:b w:val="0"/>
          <w:i w:val="0"/>
        </w:rPr>
        <w:t xml:space="preserve"> is the assumed maximum explainable variation.</w:t>
      </w:r>
    </w:p>
    <w:p>
      <w:pPr>
        <w:pStyle w:val="MDPI21heading1"/>
      </w:pPr>
      <w:r>
        <w:t>4. Empirical Results</w:t>
      </w:r>
    </w:p>
    <w:p>
      <w:pPr>
        <w:pStyle w:val="MDPI22heading2"/>
      </w:pPr>
      <w:r>
        <w:t>4.1. Descriptive Statistics</w:t>
      </w:r>
    </w:p>
    <w:p>
      <w:pPr>
        <w:pStyle w:val="MDPI32textnoindent"/>
      </w:pPr>
      <w:r>
        <w:rPr>
          <w:b w:val="0"/>
          <w:i w:val="0"/>
        </w:rPr>
        <w:t>Table 2 reports the descriptive statistics. The youth employment share averages 21.71% with a standard deviation of 8.93 percentage points, indicating substantial variation in the age composition of listed firms. Adoption intensity averages 2.090 in the post-shock years, again with wide dispersion. The control variables are consistent with the published distributions for Chinese listed firms. Figure 2 places these numbers in time: adoption is absent from annual reports before the end of 2022 and rises steeply thereafter, while the youth employment share, which had been drifting down slowly, falls more sharply over the same three years.</w:t>
      </w:r>
    </w:p>
    <w:p>
      <w:pPr>
        <w:pStyle w:val="MDPI41tablecaption"/>
        <w:keepNext/>
        <w:spacing w:after="60"/>
      </w:pPr>
      <w:r>
        <w:rPr>
          <w:b/>
          <w:sz w:val="18"/>
        </w:rPr>
        <w:t xml:space="preserve">Table 2. </w:t>
      </w:r>
      <w:r>
        <w:rPr>
          <w:b w:val="0"/>
          <w:i w:val="0"/>
          <w:sz w:val="18"/>
        </w:rPr>
        <w:t>Descriptive statistics.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098"/>
        <w:gridCol w:w="1098"/>
        <w:gridCol w:w="1098"/>
        <w:gridCol w:w="1098"/>
        <w:gridCol w:w="1098"/>
        <w:gridCol w:w="1098"/>
        <w:gridCol w:w="1098"/>
        <w:gridCol w:w="109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Variable</w:t>
            </w:r>
          </w:p>
        </w:tc>
        <w:tc>
          <w:tcPr>
            <w:tcW w:type="dxa" w:w="1098"/>
            <w:tcBorders>
              <w:bottom w:val="single" w:sz="8" w:space="0" w:color="auto"/>
            </w:tcBorders>
          </w:tcPr>
          <w:p>
            <w:pPr>
              <w:pStyle w:val="MDPI42tablebody"/>
              <w:keepNext/>
              <w:spacing w:line="240" w:lineRule="auto" w:before="30" w:after="30"/>
              <w:jc w:val="center"/>
            </w:pPr>
            <w:r>
              <w:rPr>
                <w:b/>
                <w:i w:val="0"/>
                <w:sz w:val="16"/>
              </w:rPr>
              <w:t>N</w:t>
            </w:r>
          </w:p>
        </w:tc>
        <w:tc>
          <w:tcPr>
            <w:tcW w:type="dxa" w:w="1098"/>
            <w:tcBorders>
              <w:bottom w:val="single" w:sz="8" w:space="0" w:color="auto"/>
            </w:tcBorders>
          </w:tcPr>
          <w:p>
            <w:pPr>
              <w:pStyle w:val="MDPI42tablebody"/>
              <w:keepNext/>
              <w:spacing w:line="240" w:lineRule="auto" w:before="30" w:after="30"/>
              <w:jc w:val="center"/>
            </w:pPr>
            <w:r>
              <w:rPr>
                <w:b/>
                <w:i w:val="0"/>
                <w:sz w:val="16"/>
              </w:rPr>
              <w:t>Mean</w:t>
            </w:r>
          </w:p>
        </w:tc>
        <w:tc>
          <w:tcPr>
            <w:tcW w:type="dxa" w:w="1098"/>
            <w:tcBorders>
              <w:bottom w:val="single" w:sz="8" w:space="0" w:color="auto"/>
            </w:tcBorders>
          </w:tcPr>
          <w:p>
            <w:pPr>
              <w:pStyle w:val="MDPI42tablebody"/>
              <w:keepNext/>
              <w:spacing w:line="240" w:lineRule="auto" w:before="30" w:after="30"/>
              <w:jc w:val="center"/>
            </w:pPr>
            <w:r>
              <w:rPr>
                <w:b/>
                <w:i w:val="0"/>
                <w:sz w:val="16"/>
              </w:rPr>
              <w:t>SD</w:t>
            </w:r>
          </w:p>
        </w:tc>
        <w:tc>
          <w:tcPr>
            <w:tcW w:type="dxa" w:w="1098"/>
            <w:tcBorders>
              <w:bottom w:val="single" w:sz="8" w:space="0" w:color="auto"/>
            </w:tcBorders>
          </w:tcPr>
          <w:p>
            <w:pPr>
              <w:pStyle w:val="MDPI42tablebody"/>
              <w:keepNext/>
              <w:spacing w:line="240" w:lineRule="auto" w:before="30" w:after="30"/>
              <w:jc w:val="center"/>
            </w:pPr>
            <w:r>
              <w:rPr>
                <w:b/>
                <w:i w:val="0"/>
                <w:sz w:val="16"/>
              </w:rPr>
              <w:t>P25</w:t>
            </w:r>
          </w:p>
        </w:tc>
        <w:tc>
          <w:tcPr>
            <w:tcW w:type="dxa" w:w="1098"/>
            <w:tcBorders>
              <w:bottom w:val="single" w:sz="8" w:space="0" w:color="auto"/>
            </w:tcBorders>
          </w:tcPr>
          <w:p>
            <w:pPr>
              <w:pStyle w:val="MDPI42tablebody"/>
              <w:keepNext/>
              <w:spacing w:line="240" w:lineRule="auto" w:before="30" w:after="30"/>
              <w:jc w:val="center"/>
            </w:pPr>
            <w:r>
              <w:rPr>
                <w:b/>
                <w:i w:val="0"/>
                <w:sz w:val="16"/>
              </w:rPr>
              <w:t>Median</w:t>
            </w:r>
          </w:p>
        </w:tc>
        <w:tc>
          <w:tcPr>
            <w:tcW w:type="dxa" w:w="1098"/>
            <w:tcBorders>
              <w:bottom w:val="single" w:sz="8" w:space="0" w:color="auto"/>
            </w:tcBorders>
          </w:tcPr>
          <w:p>
            <w:pPr>
              <w:pStyle w:val="MDPI42tablebody"/>
              <w:keepNext/>
              <w:spacing w:line="240" w:lineRule="auto" w:before="30" w:after="30"/>
              <w:jc w:val="center"/>
            </w:pPr>
            <w:r>
              <w:rPr>
                <w:b/>
                <w:i w:val="0"/>
                <w:sz w:val="16"/>
              </w:rPr>
              <w:t>P75</w:t>
            </w:r>
          </w:p>
        </w:tc>
        <w:tc>
          <w:tcPr>
            <w:tcW w:type="dxa" w:w="1098"/>
            <w:tcBorders>
              <w:bottom w:val="single" w:sz="8" w:space="0" w:color="auto"/>
            </w:tcBorders>
          </w:tcPr>
          <w:p>
            <w:pPr>
              <w:pStyle w:val="MDPI42tablebody"/>
              <w:keepNext/>
              <w:spacing w:line="240" w:lineRule="auto" w:before="30" w:after="30"/>
              <w:jc w:val="center"/>
            </w:pPr>
            <w:r>
              <w:rPr>
                <w:b/>
                <w:i w:val="0"/>
                <w:sz w:val="16"/>
              </w:rPr>
              <w:t>Min</w:t>
            </w:r>
          </w:p>
        </w:tc>
        <w:tc>
          <w:tcPr>
            <w:tcW w:type="dxa" w:w="1098"/>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674"/>
          </w:tcPr>
          <w:p>
            <w:pPr>
              <w:pStyle w:val="MDPI42tablebody"/>
              <w:keepNext/>
              <w:spacing w:line="240" w:lineRule="auto" w:before="30" w:after="30"/>
              <w:jc w:val="left"/>
            </w:pPr>
            <w:r>
              <w:rPr>
                <w:b w:val="0"/>
                <w:i/>
                <w:sz w:val="16"/>
              </w:rPr>
              <w:t>Youth</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21.708</w:t>
            </w:r>
          </w:p>
        </w:tc>
        <w:tc>
          <w:tcPr>
            <w:tcW w:type="dxa" w:w="1098"/>
          </w:tcPr>
          <w:p>
            <w:pPr>
              <w:pStyle w:val="MDPI42tablebody"/>
              <w:keepNext/>
              <w:spacing w:line="240" w:lineRule="auto" w:before="30" w:after="30"/>
              <w:jc w:val="center"/>
            </w:pPr>
            <w:r>
              <w:rPr>
                <w:b w:val="0"/>
                <w:i w:val="0"/>
                <w:sz w:val="16"/>
              </w:rPr>
              <w:t>8.926</w:t>
            </w:r>
          </w:p>
        </w:tc>
        <w:tc>
          <w:tcPr>
            <w:tcW w:type="dxa" w:w="1098"/>
          </w:tcPr>
          <w:p>
            <w:pPr>
              <w:pStyle w:val="MDPI42tablebody"/>
              <w:keepNext/>
              <w:spacing w:line="240" w:lineRule="auto" w:before="30" w:after="30"/>
              <w:jc w:val="center"/>
            </w:pPr>
            <w:r>
              <w:rPr>
                <w:b w:val="0"/>
                <w:i w:val="0"/>
                <w:sz w:val="16"/>
              </w:rPr>
              <w:t>15.583</w:t>
            </w:r>
          </w:p>
        </w:tc>
        <w:tc>
          <w:tcPr>
            <w:tcW w:type="dxa" w:w="1098"/>
          </w:tcPr>
          <w:p>
            <w:pPr>
              <w:pStyle w:val="MDPI42tablebody"/>
              <w:keepNext/>
              <w:spacing w:line="240" w:lineRule="auto" w:before="30" w:after="30"/>
              <w:jc w:val="center"/>
            </w:pPr>
            <w:r>
              <w:rPr>
                <w:b w:val="0"/>
                <w:i w:val="0"/>
                <w:sz w:val="16"/>
              </w:rPr>
              <w:t>21.648</w:t>
            </w:r>
          </w:p>
        </w:tc>
        <w:tc>
          <w:tcPr>
            <w:tcW w:type="dxa" w:w="1098"/>
          </w:tcPr>
          <w:p>
            <w:pPr>
              <w:pStyle w:val="MDPI42tablebody"/>
              <w:keepNext/>
              <w:spacing w:line="240" w:lineRule="auto" w:before="30" w:after="30"/>
              <w:jc w:val="center"/>
            </w:pPr>
            <w:r>
              <w:rPr>
                <w:b w:val="0"/>
                <w:i w:val="0"/>
                <w:sz w:val="16"/>
              </w:rPr>
              <w:t>27.875</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43.150</w:t>
            </w:r>
          </w:p>
        </w:tc>
      </w:tr>
      <w:tr>
        <w:trPr>
          <w:cantSplit/>
        </w:trPr>
        <w:tc>
          <w:tcPr>
            <w:tcW w:type="dxa" w:w="1674"/>
          </w:tcPr>
          <w:p>
            <w:pPr>
              <w:pStyle w:val="MDPI42tablebody"/>
              <w:keepNext/>
              <w:spacing w:line="240" w:lineRule="auto" w:before="30" w:after="30"/>
              <w:jc w:val="left"/>
            </w:pPr>
            <w:r>
              <w:rPr>
                <w:b w:val="0"/>
                <w:i/>
                <w:sz w:val="16"/>
              </w:rPr>
              <w:t>Youth35</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35.190</w:t>
            </w:r>
          </w:p>
        </w:tc>
        <w:tc>
          <w:tcPr>
            <w:tcW w:type="dxa" w:w="1098"/>
          </w:tcPr>
          <w:p>
            <w:pPr>
              <w:pStyle w:val="MDPI42tablebody"/>
              <w:keepNext/>
              <w:spacing w:line="240" w:lineRule="auto" w:before="30" w:after="30"/>
              <w:jc w:val="center"/>
            </w:pPr>
            <w:r>
              <w:rPr>
                <w:b w:val="0"/>
                <w:i w:val="0"/>
                <w:sz w:val="16"/>
              </w:rPr>
              <w:t>14.553</w:t>
            </w:r>
          </w:p>
        </w:tc>
        <w:tc>
          <w:tcPr>
            <w:tcW w:type="dxa" w:w="1098"/>
          </w:tcPr>
          <w:p>
            <w:pPr>
              <w:pStyle w:val="MDPI42tablebody"/>
              <w:keepNext/>
              <w:spacing w:line="240" w:lineRule="auto" w:before="30" w:after="30"/>
              <w:jc w:val="center"/>
            </w:pPr>
            <w:r>
              <w:rPr>
                <w:b w:val="0"/>
                <w:i w:val="0"/>
                <w:sz w:val="16"/>
              </w:rPr>
              <w:t>25.129</w:t>
            </w:r>
          </w:p>
        </w:tc>
        <w:tc>
          <w:tcPr>
            <w:tcW w:type="dxa" w:w="1098"/>
          </w:tcPr>
          <w:p>
            <w:pPr>
              <w:pStyle w:val="MDPI42tablebody"/>
              <w:keepNext/>
              <w:spacing w:line="240" w:lineRule="auto" w:before="30" w:after="30"/>
              <w:jc w:val="center"/>
            </w:pPr>
            <w:r>
              <w:rPr>
                <w:b w:val="0"/>
                <w:i w:val="0"/>
                <w:sz w:val="16"/>
              </w:rPr>
              <w:t>35.097</w:t>
            </w:r>
          </w:p>
        </w:tc>
        <w:tc>
          <w:tcPr>
            <w:tcW w:type="dxa" w:w="1098"/>
          </w:tcPr>
          <w:p>
            <w:pPr>
              <w:pStyle w:val="MDPI42tablebody"/>
              <w:keepNext/>
              <w:spacing w:line="240" w:lineRule="auto" w:before="30" w:after="30"/>
              <w:jc w:val="center"/>
            </w:pPr>
            <w:r>
              <w:rPr>
                <w:b w:val="0"/>
                <w:i w:val="0"/>
                <w:sz w:val="16"/>
              </w:rPr>
              <w:t>45.201</w:t>
            </w:r>
          </w:p>
        </w:tc>
        <w:tc>
          <w:tcPr>
            <w:tcW w:type="dxa" w:w="1098"/>
          </w:tcPr>
          <w:p>
            <w:pPr>
              <w:pStyle w:val="MDPI42tablebody"/>
              <w:keepNext/>
              <w:spacing w:line="240" w:lineRule="auto" w:before="30" w:after="30"/>
              <w:jc w:val="center"/>
            </w:pPr>
            <w:r>
              <w:rPr>
                <w:b w:val="0"/>
                <w:i w:val="0"/>
                <w:sz w:val="16"/>
              </w:rPr>
              <w:t>2.109</w:t>
            </w:r>
          </w:p>
        </w:tc>
        <w:tc>
          <w:tcPr>
            <w:tcW w:type="dxa" w:w="1098"/>
          </w:tcPr>
          <w:p>
            <w:pPr>
              <w:pStyle w:val="MDPI42tablebody"/>
              <w:keepNext/>
              <w:spacing w:line="240" w:lineRule="auto" w:before="30" w:after="30"/>
              <w:jc w:val="center"/>
            </w:pPr>
            <w:r>
              <w:rPr>
                <w:b w:val="0"/>
                <w:i w:val="0"/>
                <w:sz w:val="16"/>
              </w:rPr>
              <w:t>70.227</w:t>
            </w:r>
          </w:p>
        </w:tc>
      </w:tr>
      <w:tr>
        <w:trPr>
          <w:cantSplit/>
        </w:trPr>
        <w:tc>
          <w:tcPr>
            <w:tcW w:type="dxa" w:w="1674"/>
          </w:tcPr>
          <w:p>
            <w:pPr>
              <w:pStyle w:val="MDPI42tablebody"/>
              <w:keepNext/>
              <w:spacing w:line="240" w:lineRule="auto" w:before="30" w:after="30"/>
              <w:jc w:val="left"/>
            </w:pPr>
            <w:r>
              <w:rPr>
                <w:b w:val="0"/>
                <w:i/>
                <w:sz w:val="16"/>
              </w:rPr>
              <w:t>GenAI</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0.648</w:t>
            </w:r>
          </w:p>
        </w:tc>
        <w:tc>
          <w:tcPr>
            <w:tcW w:type="dxa" w:w="1098"/>
          </w:tcPr>
          <w:p>
            <w:pPr>
              <w:pStyle w:val="MDPI42tablebody"/>
              <w:keepNext/>
              <w:spacing w:line="240" w:lineRule="auto" w:before="30" w:after="30"/>
              <w:jc w:val="center"/>
            </w:pPr>
            <w:r>
              <w:rPr>
                <w:b w:val="0"/>
                <w:i w:val="0"/>
                <w:sz w:val="16"/>
              </w:rPr>
              <w:t>1.209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0.841</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4.816</w:t>
            </w:r>
          </w:p>
        </w:tc>
      </w:tr>
      <w:tr>
        <w:trPr>
          <w:cantSplit/>
        </w:trPr>
        <w:tc>
          <w:tcPr>
            <w:tcW w:type="dxa" w:w="1674"/>
          </w:tcPr>
          <w:p>
            <w:pPr>
              <w:pStyle w:val="MDPI42tablebody"/>
              <w:keepNext/>
              <w:spacing w:line="240" w:lineRule="auto" w:before="30" w:after="30"/>
              <w:jc w:val="left"/>
            </w:pPr>
            <w:r>
              <w:rPr>
                <w:b w:val="0"/>
                <w:i/>
                <w:sz w:val="16"/>
              </w:rPr>
              <w:t>RTI</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37.266</w:t>
            </w:r>
          </w:p>
        </w:tc>
        <w:tc>
          <w:tcPr>
            <w:tcW w:type="dxa" w:w="1098"/>
          </w:tcPr>
          <w:p>
            <w:pPr>
              <w:pStyle w:val="MDPI42tablebody"/>
              <w:keepNext/>
              <w:spacing w:line="240" w:lineRule="auto" w:before="30" w:after="30"/>
              <w:jc w:val="center"/>
            </w:pPr>
            <w:r>
              <w:rPr>
                <w:b w:val="0"/>
                <w:i w:val="0"/>
                <w:sz w:val="16"/>
              </w:rPr>
              <w:t>7.787</w:t>
            </w:r>
          </w:p>
        </w:tc>
        <w:tc>
          <w:tcPr>
            <w:tcW w:type="dxa" w:w="1098"/>
          </w:tcPr>
          <w:p>
            <w:pPr>
              <w:pStyle w:val="MDPI42tablebody"/>
              <w:keepNext/>
              <w:spacing w:line="240" w:lineRule="auto" w:before="30" w:after="30"/>
              <w:jc w:val="center"/>
            </w:pPr>
            <w:r>
              <w:rPr>
                <w:b w:val="0"/>
                <w:i w:val="0"/>
                <w:sz w:val="16"/>
              </w:rPr>
              <w:t>31.902</w:t>
            </w:r>
          </w:p>
        </w:tc>
        <w:tc>
          <w:tcPr>
            <w:tcW w:type="dxa" w:w="1098"/>
          </w:tcPr>
          <w:p>
            <w:pPr>
              <w:pStyle w:val="MDPI42tablebody"/>
              <w:keepNext/>
              <w:spacing w:line="240" w:lineRule="auto" w:before="30" w:after="30"/>
              <w:jc w:val="center"/>
            </w:pPr>
            <w:r>
              <w:rPr>
                <w:b w:val="0"/>
                <w:i w:val="0"/>
                <w:sz w:val="16"/>
              </w:rPr>
              <w:t>37.263</w:t>
            </w:r>
          </w:p>
        </w:tc>
        <w:tc>
          <w:tcPr>
            <w:tcW w:type="dxa" w:w="1098"/>
          </w:tcPr>
          <w:p>
            <w:pPr>
              <w:pStyle w:val="MDPI42tablebody"/>
              <w:keepNext/>
              <w:spacing w:line="240" w:lineRule="auto" w:before="30" w:after="30"/>
              <w:jc w:val="center"/>
            </w:pPr>
            <w:r>
              <w:rPr>
                <w:b w:val="0"/>
                <w:i w:val="0"/>
                <w:sz w:val="16"/>
              </w:rPr>
              <w:t>42.678</w:t>
            </w:r>
          </w:p>
        </w:tc>
        <w:tc>
          <w:tcPr>
            <w:tcW w:type="dxa" w:w="1098"/>
          </w:tcPr>
          <w:p>
            <w:pPr>
              <w:pStyle w:val="MDPI42tablebody"/>
              <w:keepNext/>
              <w:spacing w:line="240" w:lineRule="auto" w:before="30" w:after="30"/>
              <w:jc w:val="center"/>
            </w:pPr>
            <w:r>
              <w:rPr>
                <w:b w:val="0"/>
                <w:i w:val="0"/>
                <w:sz w:val="16"/>
              </w:rPr>
              <w:t>18.837</w:t>
            </w:r>
          </w:p>
        </w:tc>
        <w:tc>
          <w:tcPr>
            <w:tcW w:type="dxa" w:w="1098"/>
          </w:tcPr>
          <w:p>
            <w:pPr>
              <w:pStyle w:val="MDPI42tablebody"/>
              <w:keepNext/>
              <w:spacing w:line="240" w:lineRule="auto" w:before="30" w:after="30"/>
              <w:jc w:val="center"/>
            </w:pPr>
            <w:r>
              <w:rPr>
                <w:b w:val="0"/>
                <w:i w:val="0"/>
                <w:sz w:val="16"/>
              </w:rPr>
              <w:t>55.664</w:t>
            </w:r>
          </w:p>
        </w:tc>
      </w:tr>
      <w:tr>
        <w:trPr>
          <w:cantSplit/>
        </w:trPr>
        <w:tc>
          <w:tcPr>
            <w:tcW w:type="dxa" w:w="1674"/>
          </w:tcPr>
          <w:p>
            <w:pPr>
              <w:pStyle w:val="MDPI42tablebody"/>
              <w:keepNext/>
              <w:spacing w:line="240" w:lineRule="auto" w:before="30" w:after="30"/>
              <w:jc w:val="left"/>
            </w:pPr>
            <w:r>
              <w:rPr>
                <w:b w:val="0"/>
                <w:i/>
                <w:sz w:val="16"/>
              </w:rPr>
              <w:t>HCU</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46.567</w:t>
            </w:r>
          </w:p>
        </w:tc>
        <w:tc>
          <w:tcPr>
            <w:tcW w:type="dxa" w:w="1098"/>
          </w:tcPr>
          <w:p>
            <w:pPr>
              <w:pStyle w:val="MDPI42tablebody"/>
              <w:keepNext/>
              <w:spacing w:line="240" w:lineRule="auto" w:before="30" w:after="30"/>
              <w:jc w:val="center"/>
            </w:pPr>
            <w:r>
              <w:rPr>
                <w:b w:val="0"/>
                <w:i w:val="0"/>
                <w:sz w:val="16"/>
              </w:rPr>
              <w:t>10.233</w:t>
            </w:r>
          </w:p>
        </w:tc>
        <w:tc>
          <w:tcPr>
            <w:tcW w:type="dxa" w:w="1098"/>
          </w:tcPr>
          <w:p>
            <w:pPr>
              <w:pStyle w:val="MDPI42tablebody"/>
              <w:keepNext/>
              <w:spacing w:line="240" w:lineRule="auto" w:before="30" w:after="30"/>
              <w:jc w:val="center"/>
            </w:pPr>
            <w:r>
              <w:rPr>
                <w:b w:val="0"/>
                <w:i w:val="0"/>
                <w:sz w:val="16"/>
              </w:rPr>
              <w:t>39.477</w:t>
            </w:r>
          </w:p>
        </w:tc>
        <w:tc>
          <w:tcPr>
            <w:tcW w:type="dxa" w:w="1098"/>
          </w:tcPr>
          <w:p>
            <w:pPr>
              <w:pStyle w:val="MDPI42tablebody"/>
              <w:keepNext/>
              <w:spacing w:line="240" w:lineRule="auto" w:before="30" w:after="30"/>
              <w:jc w:val="center"/>
            </w:pPr>
            <w:r>
              <w:rPr>
                <w:b w:val="0"/>
                <w:i w:val="0"/>
                <w:sz w:val="16"/>
              </w:rPr>
              <w:t>46.522</w:t>
            </w:r>
          </w:p>
        </w:tc>
        <w:tc>
          <w:tcPr>
            <w:tcW w:type="dxa" w:w="1098"/>
          </w:tcPr>
          <w:p>
            <w:pPr>
              <w:pStyle w:val="MDPI42tablebody"/>
              <w:keepNext/>
              <w:spacing w:line="240" w:lineRule="auto" w:before="30" w:after="30"/>
              <w:jc w:val="center"/>
            </w:pPr>
            <w:r>
              <w:rPr>
                <w:b w:val="0"/>
                <w:i w:val="0"/>
                <w:sz w:val="16"/>
              </w:rPr>
              <w:t>53.538</w:t>
            </w:r>
          </w:p>
        </w:tc>
        <w:tc>
          <w:tcPr>
            <w:tcW w:type="dxa" w:w="1098"/>
          </w:tcPr>
          <w:p>
            <w:pPr>
              <w:pStyle w:val="MDPI42tablebody"/>
              <w:keepNext/>
              <w:spacing w:line="240" w:lineRule="auto" w:before="30" w:after="30"/>
              <w:jc w:val="center"/>
            </w:pPr>
            <w:r>
              <w:rPr>
                <w:b w:val="0"/>
                <w:i w:val="0"/>
                <w:sz w:val="16"/>
              </w:rPr>
              <w:t>23.096</w:t>
            </w:r>
          </w:p>
        </w:tc>
        <w:tc>
          <w:tcPr>
            <w:tcW w:type="dxa" w:w="1098"/>
          </w:tcPr>
          <w:p>
            <w:pPr>
              <w:pStyle w:val="MDPI42tablebody"/>
              <w:keepNext/>
              <w:spacing w:line="240" w:lineRule="auto" w:before="30" w:after="30"/>
              <w:jc w:val="center"/>
            </w:pPr>
            <w:r>
              <w:rPr>
                <w:b w:val="0"/>
                <w:i w:val="0"/>
                <w:sz w:val="16"/>
              </w:rPr>
              <w:t>70.914</w:t>
            </w:r>
          </w:p>
        </w:tc>
      </w:tr>
      <w:tr>
        <w:trPr>
          <w:cantSplit/>
        </w:trPr>
        <w:tc>
          <w:tcPr>
            <w:tcW w:type="dxa" w:w="1674"/>
          </w:tcPr>
          <w:p>
            <w:pPr>
              <w:pStyle w:val="MDPI42tablebody"/>
              <w:keepNext/>
              <w:spacing w:line="240" w:lineRule="auto" w:before="30" w:after="30"/>
              <w:jc w:val="left"/>
            </w:pPr>
            <w:r>
              <w:rPr>
                <w:b w:val="0"/>
                <w:i/>
                <w:sz w:val="16"/>
              </w:rPr>
              <w:t>OLC</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−0.001</w:t>
            </w:r>
          </w:p>
        </w:tc>
        <w:tc>
          <w:tcPr>
            <w:tcW w:type="dxa" w:w="1098"/>
          </w:tcPr>
          <w:p>
            <w:pPr>
              <w:pStyle w:val="MDPI42tablebody"/>
              <w:keepNext/>
              <w:spacing w:line="240" w:lineRule="auto" w:before="30" w:after="30"/>
              <w:jc w:val="center"/>
            </w:pPr>
            <w:r>
              <w:rPr>
                <w:b w:val="0"/>
                <w:i w:val="0"/>
                <w:sz w:val="16"/>
              </w:rPr>
              <w:t>0.999</w:t>
            </w:r>
          </w:p>
        </w:tc>
        <w:tc>
          <w:tcPr>
            <w:tcW w:type="dxa" w:w="1098"/>
          </w:tcPr>
          <w:p>
            <w:pPr>
              <w:pStyle w:val="MDPI42tablebody"/>
              <w:keepNext/>
              <w:spacing w:line="240" w:lineRule="auto" w:before="30" w:after="30"/>
              <w:jc w:val="center"/>
            </w:pPr>
            <w:r>
              <w:rPr>
                <w:b w:val="0"/>
                <w:i w:val="0"/>
                <w:sz w:val="16"/>
              </w:rPr>
              <w:t>−0.682</w:t>
            </w:r>
          </w:p>
        </w:tc>
        <w:tc>
          <w:tcPr>
            <w:tcW w:type="dxa" w:w="1098"/>
          </w:tcPr>
          <w:p>
            <w:pPr>
              <w:pStyle w:val="MDPI42tablebody"/>
              <w:keepNext/>
              <w:spacing w:line="240" w:lineRule="auto" w:before="30" w:after="30"/>
              <w:jc w:val="center"/>
            </w:pPr>
            <w:r>
              <w:rPr>
                <w:b w:val="0"/>
                <w:i w:val="0"/>
                <w:sz w:val="16"/>
              </w:rPr>
              <w:t>0.011</w:t>
            </w:r>
          </w:p>
        </w:tc>
        <w:tc>
          <w:tcPr>
            <w:tcW w:type="dxa" w:w="1098"/>
          </w:tcPr>
          <w:p>
            <w:pPr>
              <w:pStyle w:val="MDPI42tablebody"/>
              <w:keepNext/>
              <w:spacing w:line="240" w:lineRule="auto" w:before="30" w:after="30"/>
              <w:jc w:val="center"/>
            </w:pPr>
            <w:r>
              <w:rPr>
                <w:b w:val="0"/>
                <w:i w:val="0"/>
                <w:sz w:val="16"/>
              </w:rPr>
              <w:t>0.681</w:t>
            </w:r>
          </w:p>
        </w:tc>
        <w:tc>
          <w:tcPr>
            <w:tcW w:type="dxa" w:w="1098"/>
          </w:tcPr>
          <w:p>
            <w:pPr>
              <w:pStyle w:val="MDPI42tablebody"/>
              <w:keepNext/>
              <w:spacing w:line="240" w:lineRule="auto" w:before="30" w:after="30"/>
              <w:jc w:val="center"/>
            </w:pPr>
            <w:r>
              <w:rPr>
                <w:b w:val="0"/>
                <w:i w:val="0"/>
                <w:sz w:val="16"/>
              </w:rPr>
              <w:t>−3.765</w:t>
            </w:r>
          </w:p>
        </w:tc>
        <w:tc>
          <w:tcPr>
            <w:tcW w:type="dxa" w:w="1098"/>
          </w:tcPr>
          <w:p>
            <w:pPr>
              <w:pStyle w:val="MDPI42tablebody"/>
              <w:keepNext/>
              <w:spacing w:line="240" w:lineRule="auto" w:before="30" w:after="30"/>
              <w:jc w:val="center"/>
            </w:pPr>
            <w:r>
              <w:rPr>
                <w:b w:val="0"/>
                <w:i w:val="0"/>
                <w:sz w:val="16"/>
              </w:rPr>
              <w:t>3.720</w:t>
            </w:r>
          </w:p>
        </w:tc>
      </w:tr>
      <w:tr>
        <w:trPr>
          <w:cantSplit/>
        </w:trPr>
        <w:tc>
          <w:tcPr>
            <w:tcW w:type="dxa" w:w="1674"/>
          </w:tcPr>
          <w:p>
            <w:pPr>
              <w:pStyle w:val="MDPI42tablebody"/>
              <w:keepNext/>
              <w:spacing w:line="240" w:lineRule="auto" w:before="30" w:after="30"/>
              <w:jc w:val="left"/>
            </w:pPr>
            <w:r>
              <w:rPr>
                <w:b w:val="0"/>
                <w:i/>
                <w:sz w:val="16"/>
              </w:rPr>
              <w:t>AIGov</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0.320</w:t>
            </w:r>
          </w:p>
        </w:tc>
        <w:tc>
          <w:tcPr>
            <w:tcW w:type="dxa" w:w="1098"/>
          </w:tcPr>
          <w:p>
            <w:pPr>
              <w:pStyle w:val="MDPI42tablebody"/>
              <w:keepNext/>
              <w:spacing w:line="240" w:lineRule="auto" w:before="30" w:after="30"/>
              <w:jc w:val="center"/>
            </w:pPr>
            <w:r>
              <w:rPr>
                <w:b w:val="0"/>
                <w:i w:val="0"/>
                <w:sz w:val="16"/>
              </w:rPr>
              <w:t>0.466</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r>
      <w:tr>
        <w:trPr>
          <w:cantSplit/>
        </w:trPr>
        <w:tc>
          <w:tcPr>
            <w:tcW w:type="dxa" w:w="1674"/>
          </w:tcPr>
          <w:p>
            <w:pPr>
              <w:pStyle w:val="MDPI42tablebody"/>
              <w:keepNext/>
              <w:spacing w:line="240" w:lineRule="auto" w:before="30" w:after="30"/>
              <w:jc w:val="left"/>
            </w:pPr>
            <w:r>
              <w:rPr>
                <w:b w:val="0"/>
                <w:i/>
                <w:sz w:val="16"/>
              </w:rPr>
              <w:t>Size</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22.758</w:t>
            </w:r>
          </w:p>
        </w:tc>
        <w:tc>
          <w:tcPr>
            <w:tcW w:type="dxa" w:w="1098"/>
          </w:tcPr>
          <w:p>
            <w:pPr>
              <w:pStyle w:val="MDPI42tablebody"/>
              <w:keepNext/>
              <w:spacing w:line="240" w:lineRule="auto" w:before="30" w:after="30"/>
              <w:jc w:val="center"/>
            </w:pPr>
            <w:r>
              <w:rPr>
                <w:b w:val="0"/>
                <w:i w:val="0"/>
                <w:sz w:val="16"/>
              </w:rPr>
              <w:t>1.193</w:t>
            </w:r>
          </w:p>
        </w:tc>
        <w:tc>
          <w:tcPr>
            <w:tcW w:type="dxa" w:w="1098"/>
          </w:tcPr>
          <w:p>
            <w:pPr>
              <w:pStyle w:val="MDPI42tablebody"/>
              <w:keepNext/>
              <w:spacing w:line="240" w:lineRule="auto" w:before="30" w:after="30"/>
              <w:jc w:val="center"/>
            </w:pPr>
            <w:r>
              <w:rPr>
                <w:b w:val="0"/>
                <w:i w:val="0"/>
                <w:sz w:val="16"/>
              </w:rPr>
              <w:t>21.952</w:t>
            </w:r>
          </w:p>
        </w:tc>
        <w:tc>
          <w:tcPr>
            <w:tcW w:type="dxa" w:w="1098"/>
          </w:tcPr>
          <w:p>
            <w:pPr>
              <w:pStyle w:val="MDPI42tablebody"/>
              <w:keepNext/>
              <w:spacing w:line="240" w:lineRule="auto" w:before="30" w:after="30"/>
              <w:jc w:val="center"/>
            </w:pPr>
            <w:r>
              <w:rPr>
                <w:b w:val="0"/>
                <w:i w:val="0"/>
                <w:sz w:val="16"/>
              </w:rPr>
              <w:t>22.745</w:t>
            </w:r>
          </w:p>
        </w:tc>
        <w:tc>
          <w:tcPr>
            <w:tcW w:type="dxa" w:w="1098"/>
          </w:tcPr>
          <w:p>
            <w:pPr>
              <w:pStyle w:val="MDPI42tablebody"/>
              <w:keepNext/>
              <w:spacing w:line="240" w:lineRule="auto" w:before="30" w:after="30"/>
              <w:jc w:val="center"/>
            </w:pPr>
            <w:r>
              <w:rPr>
                <w:b w:val="0"/>
                <w:i w:val="0"/>
                <w:sz w:val="16"/>
              </w:rPr>
              <w:t>23.580</w:t>
            </w:r>
          </w:p>
        </w:tc>
        <w:tc>
          <w:tcPr>
            <w:tcW w:type="dxa" w:w="1098"/>
          </w:tcPr>
          <w:p>
            <w:pPr>
              <w:pStyle w:val="MDPI42tablebody"/>
              <w:keepNext/>
              <w:spacing w:line="240" w:lineRule="auto" w:before="30" w:after="30"/>
              <w:jc w:val="center"/>
            </w:pPr>
            <w:r>
              <w:rPr>
                <w:b w:val="0"/>
                <w:i w:val="0"/>
                <w:sz w:val="16"/>
              </w:rPr>
              <w:t>19.906</w:t>
            </w:r>
          </w:p>
        </w:tc>
        <w:tc>
          <w:tcPr>
            <w:tcW w:type="dxa" w:w="1098"/>
          </w:tcPr>
          <w:p>
            <w:pPr>
              <w:pStyle w:val="MDPI42tablebody"/>
              <w:keepNext/>
              <w:spacing w:line="240" w:lineRule="auto" w:before="30" w:after="30"/>
              <w:jc w:val="center"/>
            </w:pPr>
            <w:r>
              <w:rPr>
                <w:b w:val="0"/>
                <w:i w:val="0"/>
                <w:sz w:val="16"/>
              </w:rPr>
              <w:t>25.569</w:t>
            </w:r>
          </w:p>
        </w:tc>
      </w:tr>
      <w:tr>
        <w:trPr>
          <w:cantSplit/>
        </w:trPr>
        <w:tc>
          <w:tcPr>
            <w:tcW w:type="dxa" w:w="1674"/>
          </w:tcPr>
          <w:p>
            <w:pPr>
              <w:pStyle w:val="MDPI42tablebody"/>
              <w:keepNext/>
              <w:spacing w:line="240" w:lineRule="auto" w:before="30" w:after="30"/>
              <w:jc w:val="left"/>
            </w:pPr>
            <w:r>
              <w:rPr>
                <w:b w:val="0"/>
                <w:i/>
                <w:sz w:val="16"/>
              </w:rPr>
              <w:t>Lev</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0.432</w:t>
            </w:r>
          </w:p>
        </w:tc>
        <w:tc>
          <w:tcPr>
            <w:tcW w:type="dxa" w:w="1098"/>
          </w:tcPr>
          <w:p>
            <w:pPr>
              <w:pStyle w:val="MDPI42tablebody"/>
              <w:keepNext/>
              <w:spacing w:line="240" w:lineRule="auto" w:before="30" w:after="30"/>
              <w:jc w:val="center"/>
            </w:pPr>
            <w:r>
              <w:rPr>
                <w:b w:val="0"/>
                <w:i w:val="0"/>
                <w:sz w:val="16"/>
              </w:rPr>
              <w:t>0.157</w:t>
            </w:r>
          </w:p>
        </w:tc>
        <w:tc>
          <w:tcPr>
            <w:tcW w:type="dxa" w:w="1098"/>
          </w:tcPr>
          <w:p>
            <w:pPr>
              <w:pStyle w:val="MDPI42tablebody"/>
              <w:keepNext/>
              <w:spacing w:line="240" w:lineRule="auto" w:before="30" w:after="30"/>
              <w:jc w:val="center"/>
            </w:pPr>
            <w:r>
              <w:rPr>
                <w:b w:val="0"/>
                <w:i w:val="0"/>
                <w:sz w:val="16"/>
              </w:rPr>
              <w:t>0.324</w:t>
            </w:r>
          </w:p>
        </w:tc>
        <w:tc>
          <w:tcPr>
            <w:tcW w:type="dxa" w:w="1098"/>
          </w:tcPr>
          <w:p>
            <w:pPr>
              <w:pStyle w:val="MDPI42tablebody"/>
              <w:keepNext/>
              <w:spacing w:line="240" w:lineRule="auto" w:before="30" w:after="30"/>
              <w:jc w:val="center"/>
            </w:pPr>
            <w:r>
              <w:rPr>
                <w:b w:val="0"/>
                <w:i w:val="0"/>
                <w:sz w:val="16"/>
              </w:rPr>
              <w:t>0.433</w:t>
            </w:r>
          </w:p>
        </w:tc>
        <w:tc>
          <w:tcPr>
            <w:tcW w:type="dxa" w:w="1098"/>
          </w:tcPr>
          <w:p>
            <w:pPr>
              <w:pStyle w:val="MDPI42tablebody"/>
              <w:keepNext/>
              <w:spacing w:line="240" w:lineRule="auto" w:before="30" w:after="30"/>
              <w:jc w:val="center"/>
            </w:pPr>
            <w:r>
              <w:rPr>
                <w:b w:val="0"/>
                <w:i w:val="0"/>
                <w:sz w:val="16"/>
              </w:rPr>
              <w:t>0.539</w:t>
            </w:r>
          </w:p>
        </w:tc>
        <w:tc>
          <w:tcPr>
            <w:tcW w:type="dxa" w:w="1098"/>
          </w:tcPr>
          <w:p>
            <w:pPr>
              <w:pStyle w:val="MDPI42tablebody"/>
              <w:keepNext/>
              <w:spacing w:line="240" w:lineRule="auto" w:before="30" w:after="30"/>
              <w:jc w:val="center"/>
            </w:pPr>
            <w:r>
              <w:rPr>
                <w:b w:val="0"/>
                <w:i w:val="0"/>
                <w:sz w:val="16"/>
              </w:rPr>
              <w:t>0.065</w:t>
            </w:r>
          </w:p>
        </w:tc>
        <w:tc>
          <w:tcPr>
            <w:tcW w:type="dxa" w:w="1098"/>
          </w:tcPr>
          <w:p>
            <w:pPr>
              <w:pStyle w:val="MDPI42tablebody"/>
              <w:keepNext/>
              <w:spacing w:line="240" w:lineRule="auto" w:before="30" w:after="30"/>
              <w:jc w:val="center"/>
            </w:pPr>
            <w:r>
              <w:rPr>
                <w:b w:val="0"/>
                <w:i w:val="0"/>
                <w:sz w:val="16"/>
              </w:rPr>
              <w:t>0.806</w:t>
            </w:r>
          </w:p>
        </w:tc>
      </w:tr>
      <w:tr>
        <w:trPr>
          <w:cantSplit/>
        </w:trPr>
        <w:tc>
          <w:tcPr>
            <w:tcW w:type="dxa" w:w="1674"/>
          </w:tcPr>
          <w:p>
            <w:pPr>
              <w:pStyle w:val="MDPI42tablebody"/>
              <w:keepNext/>
              <w:spacing w:line="240" w:lineRule="auto" w:before="30" w:after="30"/>
              <w:jc w:val="left"/>
            </w:pPr>
            <w:r>
              <w:rPr>
                <w:b w:val="0"/>
                <w:i/>
                <w:sz w:val="16"/>
              </w:rPr>
              <w:t>ROE</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0.058</w:t>
            </w:r>
          </w:p>
        </w:tc>
        <w:tc>
          <w:tcPr>
            <w:tcW w:type="dxa" w:w="1098"/>
          </w:tcPr>
          <w:p>
            <w:pPr>
              <w:pStyle w:val="MDPI42tablebody"/>
              <w:keepNext/>
              <w:spacing w:line="240" w:lineRule="auto" w:before="30" w:after="30"/>
              <w:jc w:val="center"/>
            </w:pPr>
            <w:r>
              <w:rPr>
                <w:b w:val="0"/>
                <w:i w:val="0"/>
                <w:sz w:val="16"/>
              </w:rPr>
              <w:t>0.123</w:t>
            </w:r>
          </w:p>
        </w:tc>
        <w:tc>
          <w:tcPr>
            <w:tcW w:type="dxa" w:w="1098"/>
          </w:tcPr>
          <w:p>
            <w:pPr>
              <w:pStyle w:val="MDPI42tablebody"/>
              <w:keepNext/>
              <w:spacing w:line="240" w:lineRule="auto" w:before="30" w:after="30"/>
              <w:jc w:val="center"/>
            </w:pPr>
            <w:r>
              <w:rPr>
                <w:b w:val="0"/>
                <w:i w:val="0"/>
                <w:sz w:val="16"/>
              </w:rPr>
              <w:t>−0.026</w:t>
            </w:r>
          </w:p>
        </w:tc>
        <w:tc>
          <w:tcPr>
            <w:tcW w:type="dxa" w:w="1098"/>
          </w:tcPr>
          <w:p>
            <w:pPr>
              <w:pStyle w:val="MDPI42tablebody"/>
              <w:keepNext/>
              <w:spacing w:line="240" w:lineRule="auto" w:before="30" w:after="30"/>
              <w:jc w:val="center"/>
            </w:pPr>
            <w:r>
              <w:rPr>
                <w:b w:val="0"/>
                <w:i w:val="0"/>
                <w:sz w:val="16"/>
              </w:rPr>
              <w:t>0.057</w:t>
            </w:r>
          </w:p>
        </w:tc>
        <w:tc>
          <w:tcPr>
            <w:tcW w:type="dxa" w:w="1098"/>
          </w:tcPr>
          <w:p>
            <w:pPr>
              <w:pStyle w:val="MDPI42tablebody"/>
              <w:keepNext/>
              <w:spacing w:line="240" w:lineRule="auto" w:before="30" w:after="30"/>
              <w:jc w:val="center"/>
            </w:pPr>
            <w:r>
              <w:rPr>
                <w:b w:val="0"/>
                <w:i w:val="0"/>
                <w:sz w:val="16"/>
              </w:rPr>
              <w:t>0.142</w:t>
            </w:r>
          </w:p>
        </w:tc>
        <w:tc>
          <w:tcPr>
            <w:tcW w:type="dxa" w:w="1098"/>
          </w:tcPr>
          <w:p>
            <w:pPr>
              <w:pStyle w:val="MDPI42tablebody"/>
              <w:keepNext/>
              <w:spacing w:line="240" w:lineRule="auto" w:before="30" w:after="30"/>
              <w:jc w:val="center"/>
            </w:pPr>
            <w:r>
              <w:rPr>
                <w:b w:val="0"/>
                <w:i w:val="0"/>
                <w:sz w:val="16"/>
              </w:rPr>
              <w:t>−0.234</w:t>
            </w:r>
          </w:p>
        </w:tc>
        <w:tc>
          <w:tcPr>
            <w:tcW w:type="dxa" w:w="1098"/>
          </w:tcPr>
          <w:p>
            <w:pPr>
              <w:pStyle w:val="MDPI42tablebody"/>
              <w:keepNext/>
              <w:spacing w:line="240" w:lineRule="auto" w:before="30" w:after="30"/>
              <w:jc w:val="center"/>
            </w:pPr>
            <w:r>
              <w:rPr>
                <w:b w:val="0"/>
                <w:i w:val="0"/>
                <w:sz w:val="16"/>
              </w:rPr>
              <w:t>0.353</w:t>
            </w:r>
          </w:p>
        </w:tc>
      </w:tr>
      <w:tr>
        <w:trPr>
          <w:cantSplit/>
        </w:trPr>
        <w:tc>
          <w:tcPr>
            <w:tcW w:type="dxa" w:w="1674"/>
          </w:tcPr>
          <w:p>
            <w:pPr>
              <w:pStyle w:val="MDPI42tablebody"/>
              <w:keepNext/>
              <w:spacing w:line="240" w:lineRule="auto" w:before="30" w:after="30"/>
              <w:jc w:val="left"/>
            </w:pPr>
            <w:r>
              <w:rPr>
                <w:b w:val="0"/>
                <w:i/>
                <w:sz w:val="16"/>
              </w:rPr>
              <w:t>Growth</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0.121</w:t>
            </w:r>
          </w:p>
        </w:tc>
        <w:tc>
          <w:tcPr>
            <w:tcW w:type="dxa" w:w="1098"/>
          </w:tcPr>
          <w:p>
            <w:pPr>
              <w:pStyle w:val="MDPI42tablebody"/>
              <w:keepNext/>
              <w:spacing w:line="240" w:lineRule="auto" w:before="30" w:after="30"/>
              <w:jc w:val="center"/>
            </w:pPr>
            <w:r>
              <w:rPr>
                <w:b w:val="0"/>
                <w:i w:val="0"/>
                <w:sz w:val="16"/>
              </w:rPr>
              <w:t>0.344</w:t>
            </w:r>
          </w:p>
        </w:tc>
        <w:tc>
          <w:tcPr>
            <w:tcW w:type="dxa" w:w="1098"/>
          </w:tcPr>
          <w:p>
            <w:pPr>
              <w:pStyle w:val="MDPI42tablebody"/>
              <w:keepNext/>
              <w:spacing w:line="240" w:lineRule="auto" w:before="30" w:after="30"/>
              <w:jc w:val="center"/>
            </w:pPr>
            <w:r>
              <w:rPr>
                <w:b w:val="0"/>
                <w:i w:val="0"/>
                <w:sz w:val="16"/>
              </w:rPr>
              <w:t>−0.116</w:t>
            </w:r>
          </w:p>
        </w:tc>
        <w:tc>
          <w:tcPr>
            <w:tcW w:type="dxa" w:w="1098"/>
          </w:tcPr>
          <w:p>
            <w:pPr>
              <w:pStyle w:val="MDPI42tablebody"/>
              <w:keepNext/>
              <w:spacing w:line="240" w:lineRule="auto" w:before="30" w:after="30"/>
              <w:jc w:val="center"/>
            </w:pPr>
            <w:r>
              <w:rPr>
                <w:b w:val="0"/>
                <w:i w:val="0"/>
                <w:sz w:val="16"/>
              </w:rPr>
              <w:t>0.123</w:t>
            </w:r>
          </w:p>
        </w:tc>
        <w:tc>
          <w:tcPr>
            <w:tcW w:type="dxa" w:w="1098"/>
          </w:tcPr>
          <w:p>
            <w:pPr>
              <w:pStyle w:val="MDPI42tablebody"/>
              <w:keepNext/>
              <w:spacing w:line="240" w:lineRule="auto" w:before="30" w:after="30"/>
              <w:jc w:val="center"/>
            </w:pPr>
            <w:r>
              <w:rPr>
                <w:b w:val="0"/>
                <w:i w:val="0"/>
                <w:sz w:val="16"/>
              </w:rPr>
              <w:t>0.361</w:t>
            </w:r>
          </w:p>
        </w:tc>
        <w:tc>
          <w:tcPr>
            <w:tcW w:type="dxa" w:w="1098"/>
          </w:tcPr>
          <w:p>
            <w:pPr>
              <w:pStyle w:val="MDPI42tablebody"/>
              <w:keepNext/>
              <w:spacing w:line="240" w:lineRule="auto" w:before="30" w:after="30"/>
              <w:jc w:val="center"/>
            </w:pPr>
            <w:r>
              <w:rPr>
                <w:b w:val="0"/>
                <w:i w:val="0"/>
                <w:sz w:val="16"/>
              </w:rPr>
              <w:t>−0.688</w:t>
            </w:r>
          </w:p>
        </w:tc>
        <w:tc>
          <w:tcPr>
            <w:tcW w:type="dxa" w:w="1098"/>
          </w:tcPr>
          <w:p>
            <w:pPr>
              <w:pStyle w:val="MDPI42tablebody"/>
              <w:keepNext/>
              <w:spacing w:line="240" w:lineRule="auto" w:before="30" w:after="30"/>
              <w:jc w:val="center"/>
            </w:pPr>
            <w:r>
              <w:rPr>
                <w:b w:val="0"/>
                <w:i w:val="0"/>
                <w:sz w:val="16"/>
              </w:rPr>
              <w:t>0.936</w:t>
            </w:r>
          </w:p>
        </w:tc>
      </w:tr>
      <w:tr>
        <w:trPr>
          <w:cantSplit/>
        </w:trPr>
        <w:tc>
          <w:tcPr>
            <w:tcW w:type="dxa" w:w="1674"/>
          </w:tcPr>
          <w:p>
            <w:pPr>
              <w:pStyle w:val="MDPI42tablebody"/>
              <w:keepNext/>
              <w:spacing w:line="240" w:lineRule="auto" w:before="30" w:after="30"/>
              <w:jc w:val="left"/>
            </w:pPr>
            <w:r>
              <w:rPr>
                <w:b w:val="0"/>
                <w:i/>
                <w:sz w:val="16"/>
              </w:rPr>
              <w:t>Age</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2.754</w:t>
            </w:r>
          </w:p>
        </w:tc>
        <w:tc>
          <w:tcPr>
            <w:tcW w:type="dxa" w:w="1098"/>
          </w:tcPr>
          <w:p>
            <w:pPr>
              <w:pStyle w:val="MDPI42tablebody"/>
              <w:keepNext/>
              <w:spacing w:line="240" w:lineRule="auto" w:before="30" w:after="30"/>
              <w:jc w:val="center"/>
            </w:pPr>
            <w:r>
              <w:rPr>
                <w:b w:val="0"/>
                <w:i w:val="0"/>
                <w:sz w:val="16"/>
              </w:rPr>
              <w:t>0.306</w:t>
            </w:r>
          </w:p>
        </w:tc>
        <w:tc>
          <w:tcPr>
            <w:tcW w:type="dxa" w:w="1098"/>
          </w:tcPr>
          <w:p>
            <w:pPr>
              <w:pStyle w:val="MDPI42tablebody"/>
              <w:keepNext/>
              <w:spacing w:line="240" w:lineRule="auto" w:before="30" w:after="30"/>
              <w:jc w:val="center"/>
            </w:pPr>
            <w:r>
              <w:rPr>
                <w:b w:val="0"/>
                <w:i w:val="0"/>
                <w:sz w:val="16"/>
              </w:rPr>
              <w:t>2.544</w:t>
            </w:r>
          </w:p>
        </w:tc>
        <w:tc>
          <w:tcPr>
            <w:tcW w:type="dxa" w:w="1098"/>
          </w:tcPr>
          <w:p>
            <w:pPr>
              <w:pStyle w:val="MDPI42tablebody"/>
              <w:keepNext/>
              <w:spacing w:line="240" w:lineRule="auto" w:before="30" w:after="30"/>
              <w:jc w:val="center"/>
            </w:pPr>
            <w:r>
              <w:rPr>
                <w:b w:val="0"/>
                <w:i w:val="0"/>
                <w:sz w:val="16"/>
              </w:rPr>
              <w:t>2.756</w:t>
            </w:r>
          </w:p>
        </w:tc>
        <w:tc>
          <w:tcPr>
            <w:tcW w:type="dxa" w:w="1098"/>
          </w:tcPr>
          <w:p>
            <w:pPr>
              <w:pStyle w:val="MDPI42tablebody"/>
              <w:keepNext/>
              <w:spacing w:line="240" w:lineRule="auto" w:before="30" w:after="30"/>
              <w:jc w:val="center"/>
            </w:pPr>
            <w:r>
              <w:rPr>
                <w:b w:val="0"/>
                <w:i w:val="0"/>
                <w:sz w:val="16"/>
              </w:rPr>
              <w:t>2.963</w:t>
            </w:r>
          </w:p>
        </w:tc>
        <w:tc>
          <w:tcPr>
            <w:tcW w:type="dxa" w:w="1098"/>
          </w:tcPr>
          <w:p>
            <w:pPr>
              <w:pStyle w:val="MDPI42tablebody"/>
              <w:keepNext/>
              <w:spacing w:line="240" w:lineRule="auto" w:before="30" w:after="30"/>
              <w:jc w:val="center"/>
            </w:pPr>
            <w:r>
              <w:rPr>
                <w:b w:val="0"/>
                <w:i w:val="0"/>
                <w:sz w:val="16"/>
              </w:rPr>
              <w:t>2.031</w:t>
            </w:r>
          </w:p>
        </w:tc>
        <w:tc>
          <w:tcPr>
            <w:tcW w:type="dxa" w:w="1098"/>
          </w:tcPr>
          <w:p>
            <w:pPr>
              <w:pStyle w:val="MDPI42tablebody"/>
              <w:keepNext/>
              <w:spacing w:line="240" w:lineRule="auto" w:before="30" w:after="30"/>
              <w:jc w:val="center"/>
            </w:pPr>
            <w:r>
              <w:rPr>
                <w:b w:val="0"/>
                <w:i w:val="0"/>
                <w:sz w:val="16"/>
              </w:rPr>
              <w:t>3.488</w:t>
            </w:r>
          </w:p>
        </w:tc>
      </w:tr>
      <w:tr>
        <w:trPr>
          <w:cantSplit/>
        </w:trPr>
        <w:tc>
          <w:tcPr>
            <w:tcW w:type="dxa" w:w="1674"/>
          </w:tcPr>
          <w:p>
            <w:pPr>
              <w:pStyle w:val="MDPI42tablebody"/>
              <w:keepNext/>
              <w:spacing w:line="240" w:lineRule="auto" w:before="30" w:after="30"/>
              <w:jc w:val="left"/>
            </w:pPr>
            <w:r>
              <w:rPr>
                <w:b w:val="0"/>
                <w:i/>
                <w:sz w:val="16"/>
              </w:rPr>
              <w:t>Board</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2.110</w:t>
            </w:r>
          </w:p>
        </w:tc>
        <w:tc>
          <w:tcPr>
            <w:tcW w:type="dxa" w:w="1098"/>
          </w:tcPr>
          <w:p>
            <w:pPr>
              <w:pStyle w:val="MDPI42tablebody"/>
              <w:keepNext/>
              <w:spacing w:line="240" w:lineRule="auto" w:before="30" w:after="30"/>
              <w:jc w:val="center"/>
            </w:pPr>
            <w:r>
              <w:rPr>
                <w:b w:val="0"/>
                <w:i w:val="0"/>
                <w:sz w:val="16"/>
              </w:rPr>
              <w:t>0.188</w:t>
            </w:r>
          </w:p>
        </w:tc>
        <w:tc>
          <w:tcPr>
            <w:tcW w:type="dxa" w:w="1098"/>
          </w:tcPr>
          <w:p>
            <w:pPr>
              <w:pStyle w:val="MDPI42tablebody"/>
              <w:keepNext/>
              <w:spacing w:line="240" w:lineRule="auto" w:before="30" w:after="30"/>
              <w:jc w:val="center"/>
            </w:pPr>
            <w:r>
              <w:rPr>
                <w:b w:val="0"/>
                <w:i w:val="0"/>
                <w:sz w:val="16"/>
              </w:rPr>
              <w:t>1.980</w:t>
            </w:r>
          </w:p>
        </w:tc>
        <w:tc>
          <w:tcPr>
            <w:tcW w:type="dxa" w:w="1098"/>
          </w:tcPr>
          <w:p>
            <w:pPr>
              <w:pStyle w:val="MDPI42tablebody"/>
              <w:keepNext/>
              <w:spacing w:line="240" w:lineRule="auto" w:before="30" w:after="30"/>
              <w:jc w:val="center"/>
            </w:pPr>
            <w:r>
              <w:rPr>
                <w:b w:val="0"/>
                <w:i w:val="0"/>
                <w:sz w:val="16"/>
              </w:rPr>
              <w:t>2.111</w:t>
            </w:r>
          </w:p>
        </w:tc>
        <w:tc>
          <w:tcPr>
            <w:tcW w:type="dxa" w:w="1098"/>
          </w:tcPr>
          <w:p>
            <w:pPr>
              <w:pStyle w:val="MDPI42tablebody"/>
              <w:keepNext/>
              <w:spacing w:line="240" w:lineRule="auto" w:before="30" w:after="30"/>
              <w:jc w:val="center"/>
            </w:pPr>
            <w:r>
              <w:rPr>
                <w:b w:val="0"/>
                <w:i w:val="0"/>
                <w:sz w:val="16"/>
              </w:rPr>
              <w:t>2.240</w:t>
            </w:r>
          </w:p>
        </w:tc>
        <w:tc>
          <w:tcPr>
            <w:tcW w:type="dxa" w:w="1098"/>
          </w:tcPr>
          <w:p>
            <w:pPr>
              <w:pStyle w:val="MDPI42tablebody"/>
              <w:keepNext/>
              <w:spacing w:line="240" w:lineRule="auto" w:before="30" w:after="30"/>
              <w:jc w:val="center"/>
            </w:pPr>
            <w:r>
              <w:rPr>
                <w:b w:val="0"/>
                <w:i w:val="0"/>
                <w:sz w:val="16"/>
              </w:rPr>
              <w:t>1.662</w:t>
            </w:r>
          </w:p>
        </w:tc>
        <w:tc>
          <w:tcPr>
            <w:tcW w:type="dxa" w:w="1098"/>
          </w:tcPr>
          <w:p>
            <w:pPr>
              <w:pStyle w:val="MDPI42tablebody"/>
              <w:keepNext/>
              <w:spacing w:line="240" w:lineRule="auto" w:before="30" w:after="30"/>
              <w:jc w:val="center"/>
            </w:pPr>
            <w:r>
              <w:rPr>
                <w:b w:val="0"/>
                <w:i w:val="0"/>
                <w:sz w:val="16"/>
              </w:rPr>
              <w:t>2.560</w:t>
            </w:r>
          </w:p>
        </w:tc>
      </w:tr>
      <w:tr>
        <w:trPr>
          <w:cantSplit/>
        </w:trPr>
        <w:tc>
          <w:tcPr>
            <w:tcW w:type="dxa" w:w="1674"/>
          </w:tcPr>
          <w:p>
            <w:pPr>
              <w:pStyle w:val="MDPI42tablebody"/>
              <w:keepNext/>
              <w:spacing w:line="240" w:lineRule="auto" w:before="30" w:after="30"/>
              <w:jc w:val="left"/>
            </w:pPr>
            <w:r>
              <w:rPr>
                <w:b w:val="0"/>
                <w:i/>
                <w:sz w:val="16"/>
              </w:rPr>
              <w:t>Indep</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0.379</w:t>
            </w:r>
          </w:p>
        </w:tc>
        <w:tc>
          <w:tcPr>
            <w:tcW w:type="dxa" w:w="1098"/>
          </w:tcPr>
          <w:p>
            <w:pPr>
              <w:pStyle w:val="MDPI42tablebody"/>
              <w:keepNext/>
              <w:spacing w:line="240" w:lineRule="auto" w:before="30" w:after="30"/>
              <w:jc w:val="center"/>
            </w:pPr>
            <w:r>
              <w:rPr>
                <w:b w:val="0"/>
                <w:i w:val="0"/>
                <w:sz w:val="16"/>
              </w:rPr>
              <w:t>0.048</w:t>
            </w:r>
          </w:p>
        </w:tc>
        <w:tc>
          <w:tcPr>
            <w:tcW w:type="dxa" w:w="1098"/>
          </w:tcPr>
          <w:p>
            <w:pPr>
              <w:pStyle w:val="MDPI42tablebody"/>
              <w:keepNext/>
              <w:spacing w:line="240" w:lineRule="auto" w:before="30" w:after="30"/>
              <w:jc w:val="center"/>
            </w:pPr>
            <w:r>
              <w:rPr>
                <w:b w:val="0"/>
                <w:i w:val="0"/>
                <w:sz w:val="16"/>
              </w:rPr>
              <w:t>0.342</w:t>
            </w:r>
          </w:p>
        </w:tc>
        <w:tc>
          <w:tcPr>
            <w:tcW w:type="dxa" w:w="1098"/>
          </w:tcPr>
          <w:p>
            <w:pPr>
              <w:pStyle w:val="MDPI42tablebody"/>
              <w:keepNext/>
              <w:spacing w:line="240" w:lineRule="auto" w:before="30" w:after="30"/>
              <w:jc w:val="center"/>
            </w:pPr>
            <w:r>
              <w:rPr>
                <w:b w:val="0"/>
                <w:i w:val="0"/>
                <w:sz w:val="16"/>
              </w:rPr>
              <w:t>0.377</w:t>
            </w:r>
          </w:p>
        </w:tc>
        <w:tc>
          <w:tcPr>
            <w:tcW w:type="dxa" w:w="1098"/>
          </w:tcPr>
          <w:p>
            <w:pPr>
              <w:pStyle w:val="MDPI42tablebody"/>
              <w:keepNext/>
              <w:spacing w:line="240" w:lineRule="auto" w:before="30" w:after="30"/>
              <w:jc w:val="center"/>
            </w:pPr>
            <w:r>
              <w:rPr>
                <w:b w:val="0"/>
                <w:i w:val="0"/>
                <w:sz w:val="16"/>
              </w:rPr>
              <w:t>0.412</w:t>
            </w:r>
          </w:p>
        </w:tc>
        <w:tc>
          <w:tcPr>
            <w:tcW w:type="dxa" w:w="1098"/>
          </w:tcPr>
          <w:p>
            <w:pPr>
              <w:pStyle w:val="MDPI42tablebody"/>
              <w:keepNext/>
              <w:spacing w:line="240" w:lineRule="auto" w:before="30" w:after="30"/>
              <w:jc w:val="center"/>
            </w:pPr>
            <w:r>
              <w:rPr>
                <w:b w:val="0"/>
                <w:i w:val="0"/>
                <w:sz w:val="16"/>
              </w:rPr>
              <w:t>0.300</w:t>
            </w:r>
          </w:p>
        </w:tc>
        <w:tc>
          <w:tcPr>
            <w:tcW w:type="dxa" w:w="1098"/>
          </w:tcPr>
          <w:p>
            <w:pPr>
              <w:pStyle w:val="MDPI42tablebody"/>
              <w:keepNext/>
              <w:spacing w:line="240" w:lineRule="auto" w:before="30" w:after="30"/>
              <w:jc w:val="center"/>
            </w:pPr>
            <w:r>
              <w:rPr>
                <w:b w:val="0"/>
                <w:i w:val="0"/>
                <w:sz w:val="16"/>
              </w:rPr>
              <w:t>0.499</w:t>
            </w:r>
          </w:p>
        </w:tc>
      </w:tr>
      <w:tr>
        <w:trPr>
          <w:cantSplit/>
        </w:trPr>
        <w:tc>
          <w:tcPr>
            <w:tcW w:type="dxa" w:w="1674"/>
          </w:tcPr>
          <w:p>
            <w:pPr>
              <w:pStyle w:val="MDPI42tablebody"/>
              <w:keepNext/>
              <w:spacing w:line="240" w:lineRule="auto" w:before="30" w:after="30"/>
              <w:jc w:val="left"/>
            </w:pPr>
            <w:r>
              <w:rPr>
                <w:b w:val="0"/>
                <w:i/>
                <w:sz w:val="16"/>
              </w:rPr>
              <w:t>Dual</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0.302</w:t>
            </w:r>
          </w:p>
        </w:tc>
        <w:tc>
          <w:tcPr>
            <w:tcW w:type="dxa" w:w="1098"/>
          </w:tcPr>
          <w:p>
            <w:pPr>
              <w:pStyle w:val="MDPI42tablebody"/>
              <w:keepNext/>
              <w:spacing w:line="240" w:lineRule="auto" w:before="30" w:after="30"/>
              <w:jc w:val="center"/>
            </w:pPr>
            <w:r>
              <w:rPr>
                <w:b w:val="0"/>
                <w:i w:val="0"/>
                <w:sz w:val="16"/>
              </w:rPr>
              <w:t>0.459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r>
      <w:tr>
        <w:trPr>
          <w:cantSplit/>
        </w:trPr>
        <w:tc>
          <w:tcPr>
            <w:tcW w:type="dxa" w:w="1674"/>
          </w:tcPr>
          <w:p>
            <w:pPr>
              <w:pStyle w:val="MDPI42tablebody"/>
              <w:keepNext/>
              <w:spacing w:line="240" w:lineRule="auto" w:before="30" w:after="30"/>
              <w:jc w:val="left"/>
            </w:pPr>
            <w:r>
              <w:rPr>
                <w:b w:val="0"/>
                <w:i/>
                <w:sz w:val="16"/>
              </w:rPr>
              <w:t>TobinQ</w:t>
            </w:r>
          </w:p>
        </w:tc>
        <w:tc>
          <w:tcPr>
            <w:tcW w:type="dxa" w:w="1098"/>
          </w:tcPr>
          <w:p>
            <w:pPr>
              <w:pStyle w:val="MDPI42tablebody"/>
              <w:keepNext/>
              <w:spacing w:line="240" w:lineRule="auto" w:before="30" w:after="30"/>
              <w:jc w:val="center"/>
            </w:pPr>
            <w:r>
              <w:rPr>
                <w:b w:val="0"/>
                <w:i w:val="0"/>
                <w:sz w:val="16"/>
              </w:rPr>
              <w:t>27,340</w:t>
            </w:r>
          </w:p>
        </w:tc>
        <w:tc>
          <w:tcPr>
            <w:tcW w:type="dxa" w:w="1098"/>
          </w:tcPr>
          <w:p>
            <w:pPr>
              <w:pStyle w:val="MDPI42tablebody"/>
              <w:keepNext/>
              <w:spacing w:line="240" w:lineRule="auto" w:before="30" w:after="30"/>
              <w:jc w:val="center"/>
            </w:pPr>
            <w:r>
              <w:rPr>
                <w:b w:val="0"/>
                <w:i w:val="0"/>
                <w:sz w:val="16"/>
              </w:rPr>
              <w:t>2.087</w:t>
            </w:r>
          </w:p>
        </w:tc>
        <w:tc>
          <w:tcPr>
            <w:tcW w:type="dxa" w:w="1098"/>
          </w:tcPr>
          <w:p>
            <w:pPr>
              <w:pStyle w:val="MDPI42tablebody"/>
              <w:keepNext/>
              <w:spacing w:line="240" w:lineRule="auto" w:before="30" w:after="30"/>
              <w:jc w:val="center"/>
            </w:pPr>
            <w:r>
              <w:rPr>
                <w:b w:val="0"/>
                <w:i w:val="0"/>
                <w:sz w:val="16"/>
              </w:rPr>
              <w:t>1.101</w:t>
            </w:r>
          </w:p>
        </w:tc>
        <w:tc>
          <w:tcPr>
            <w:tcW w:type="dxa" w:w="1098"/>
          </w:tcPr>
          <w:p>
            <w:pPr>
              <w:pStyle w:val="MDPI42tablebody"/>
              <w:keepNext/>
              <w:spacing w:line="240" w:lineRule="auto" w:before="30" w:after="30"/>
              <w:jc w:val="center"/>
            </w:pPr>
            <w:r>
              <w:rPr>
                <w:b w:val="0"/>
                <w:i w:val="0"/>
                <w:sz w:val="16"/>
              </w:rPr>
              <w:t>1.170</w:t>
            </w:r>
          </w:p>
        </w:tc>
        <w:tc>
          <w:tcPr>
            <w:tcW w:type="dxa" w:w="1098"/>
          </w:tcPr>
          <w:p>
            <w:pPr>
              <w:pStyle w:val="MDPI42tablebody"/>
              <w:keepNext/>
              <w:spacing w:line="240" w:lineRule="auto" w:before="30" w:after="30"/>
              <w:jc w:val="center"/>
            </w:pPr>
            <w:r>
              <w:rPr>
                <w:b w:val="0"/>
                <w:i w:val="0"/>
                <w:sz w:val="16"/>
              </w:rPr>
              <w:t>2.005</w:t>
            </w:r>
          </w:p>
        </w:tc>
        <w:tc>
          <w:tcPr>
            <w:tcW w:type="dxa" w:w="1098"/>
          </w:tcPr>
          <w:p>
            <w:pPr>
              <w:pStyle w:val="MDPI42tablebody"/>
              <w:keepNext/>
              <w:spacing w:line="240" w:lineRule="auto" w:before="30" w:after="30"/>
              <w:jc w:val="center"/>
            </w:pPr>
            <w:r>
              <w:rPr>
                <w:b w:val="0"/>
                <w:i w:val="0"/>
                <w:sz w:val="16"/>
              </w:rPr>
              <w:t>2.852</w:t>
            </w:r>
          </w:p>
        </w:tc>
        <w:tc>
          <w:tcPr>
            <w:tcW w:type="dxa" w:w="1098"/>
          </w:tcPr>
          <w:p>
            <w:pPr>
              <w:pStyle w:val="MDPI42tablebody"/>
              <w:keepNext/>
              <w:spacing w:line="240" w:lineRule="auto" w:before="30" w:after="30"/>
              <w:jc w:val="center"/>
            </w:pPr>
            <w:r>
              <w:rPr>
                <w:b w:val="0"/>
                <w:i w:val="0"/>
                <w:sz w:val="16"/>
              </w:rPr>
              <w:t>0.600</w:t>
            </w:r>
          </w:p>
        </w:tc>
        <w:tc>
          <w:tcPr>
            <w:tcW w:type="dxa" w:w="1098"/>
          </w:tcPr>
          <w:p>
            <w:pPr>
              <w:pStyle w:val="MDPI42tablebody"/>
              <w:keepNext/>
              <w:spacing w:line="240" w:lineRule="auto" w:before="30" w:after="30"/>
              <w:jc w:val="center"/>
            </w:pPr>
            <w:r>
              <w:rPr>
                <w:b w:val="0"/>
                <w:i w:val="0"/>
                <w:sz w:val="16"/>
              </w:rPr>
              <w:t>4.933</w:t>
            </w:r>
          </w:p>
        </w:tc>
      </w:tr>
      <w:tr>
        <w:trPr>
          <w:cantSplit/>
        </w:trPr>
        <w:tc>
          <w:tcPr>
            <w:tcW w:type="dxa" w:w="1674"/>
          </w:tcPr>
          <w:p>
            <w:pPr>
              <w:pStyle w:val="MDPI42tablebody"/>
              <w:spacing w:line="240" w:lineRule="auto" w:before="30" w:after="30"/>
              <w:jc w:val="left"/>
            </w:pPr>
            <w:r>
              <w:rPr>
                <w:b w:val="0"/>
                <w:i/>
                <w:sz w:val="16"/>
              </w:rPr>
              <w:t>Fixed</w:t>
            </w:r>
          </w:p>
        </w:tc>
        <w:tc>
          <w:tcPr>
            <w:tcW w:type="dxa" w:w="1098"/>
          </w:tcPr>
          <w:p>
            <w:pPr>
              <w:pStyle w:val="MDPI42tablebody"/>
              <w:spacing w:line="240" w:lineRule="auto" w:before="30" w:after="30"/>
              <w:jc w:val="center"/>
            </w:pPr>
            <w:r>
              <w:rPr>
                <w:b w:val="0"/>
                <w:i w:val="0"/>
                <w:sz w:val="16"/>
              </w:rPr>
              <w:t>27,340</w:t>
            </w:r>
          </w:p>
        </w:tc>
        <w:tc>
          <w:tcPr>
            <w:tcW w:type="dxa" w:w="1098"/>
          </w:tcPr>
          <w:p>
            <w:pPr>
              <w:pStyle w:val="MDPI42tablebody"/>
              <w:spacing w:line="240" w:lineRule="auto" w:before="30" w:after="30"/>
              <w:jc w:val="center"/>
            </w:pPr>
            <w:r>
              <w:rPr>
                <w:b w:val="0"/>
                <w:i w:val="0"/>
                <w:sz w:val="16"/>
              </w:rPr>
              <w:t>0.197</w:t>
            </w:r>
          </w:p>
        </w:tc>
        <w:tc>
          <w:tcPr>
            <w:tcW w:type="dxa" w:w="1098"/>
          </w:tcPr>
          <w:p>
            <w:pPr>
              <w:pStyle w:val="MDPI42tablebody"/>
              <w:spacing w:line="240" w:lineRule="auto" w:before="30" w:after="30"/>
              <w:jc w:val="center"/>
            </w:pPr>
            <w:r>
              <w:rPr>
                <w:b w:val="0"/>
                <w:i w:val="0"/>
                <w:sz w:val="16"/>
              </w:rPr>
              <w:t>0.125</w:t>
            </w:r>
          </w:p>
        </w:tc>
        <w:tc>
          <w:tcPr>
            <w:tcW w:type="dxa" w:w="1098"/>
          </w:tcPr>
          <w:p>
            <w:pPr>
              <w:pStyle w:val="MDPI42tablebody"/>
              <w:spacing w:line="240" w:lineRule="auto" w:before="30" w:after="30"/>
              <w:jc w:val="center"/>
            </w:pPr>
            <w:r>
              <w:rPr>
                <w:b w:val="0"/>
                <w:i w:val="0"/>
                <w:sz w:val="16"/>
              </w:rPr>
              <w:t>0.101</w:t>
            </w:r>
          </w:p>
        </w:tc>
        <w:tc>
          <w:tcPr>
            <w:tcW w:type="dxa" w:w="1098"/>
          </w:tcPr>
          <w:p>
            <w:pPr>
              <w:pStyle w:val="MDPI42tablebody"/>
              <w:spacing w:line="240" w:lineRule="auto" w:before="30" w:after="30"/>
              <w:jc w:val="center"/>
            </w:pPr>
            <w:r>
              <w:rPr>
                <w:b w:val="0"/>
                <w:i w:val="0"/>
                <w:sz w:val="16"/>
              </w:rPr>
              <w:t>0.193</w:t>
            </w:r>
          </w:p>
        </w:tc>
        <w:tc>
          <w:tcPr>
            <w:tcW w:type="dxa" w:w="1098"/>
          </w:tcPr>
          <w:p>
            <w:pPr>
              <w:pStyle w:val="MDPI42tablebody"/>
              <w:spacing w:line="240" w:lineRule="auto" w:before="30" w:after="30"/>
              <w:jc w:val="center"/>
            </w:pPr>
            <w:r>
              <w:rPr>
                <w:b w:val="0"/>
                <w:i w:val="0"/>
                <w:sz w:val="16"/>
              </w:rPr>
              <w:t>0.284</w:t>
            </w:r>
          </w:p>
        </w:tc>
        <w:tc>
          <w:tcPr>
            <w:tcW w:type="dxa" w:w="1098"/>
          </w:tcPr>
          <w:p>
            <w:pPr>
              <w:pStyle w:val="MDPI42tablebody"/>
              <w:spacing w:line="240" w:lineRule="auto" w:before="30" w:after="30"/>
              <w:jc w:val="center"/>
            </w:pPr>
            <w:r>
              <w:rPr>
                <w:b w:val="0"/>
                <w:i w:val="0"/>
                <w:sz w:val="16"/>
              </w:rPr>
              <w:t>0.002</w:t>
            </w:r>
          </w:p>
        </w:tc>
        <w:tc>
          <w:tcPr>
            <w:tcW w:type="dxa" w:w="1098"/>
          </w:tcPr>
          <w:p>
            <w:pPr>
              <w:pStyle w:val="MDPI42tablebody"/>
              <w:spacing w:line="240" w:lineRule="auto" w:before="30" w:after="30"/>
              <w:jc w:val="center"/>
            </w:pPr>
            <w:r>
              <w:rPr>
                <w:b w:val="0"/>
                <w:i w:val="0"/>
                <w:sz w:val="16"/>
              </w:rPr>
              <w:t>0.509</w:t>
            </w:r>
          </w:p>
        </w:tc>
      </w:tr>
    </w:tbl>
    <w:p>
      <w:pPr>
        <w:pStyle w:val="MDPI43tablefooter"/>
        <w:spacing w:line="240" w:lineRule="auto" w:before="40" w:after="200"/>
        <w:ind w:left="2608" w:firstLine="0"/>
      </w:pPr>
      <w:r>
        <w:rPr>
          <w:sz w:val="16"/>
        </w:rPr>
        <w:t xml:space="preserve">Note: </w:t>
      </w:r>
      <w:r>
        <w:rPr>
          <w:b w:val="0"/>
          <w:i w:val="0"/>
          <w:sz w:val="16"/>
        </w:rPr>
        <w:t>The sample covers Chinese A-share listed firms. All continuous variables are winsorised at the 1st and 99th percentiles. Variable definitions are given in Table 1.</w:t>
      </w:r>
    </w:p>
    <w:p>
      <w:pPr>
        <w:pStyle w:val="MDPI52figure"/>
        <w:keepNext/>
        <w:ind w:left="2608" w:firstLine="0"/>
        <w:jc w:val="center"/>
      </w:pPr>
      <w:r>
        <w:drawing>
          <wp:inline xmlns:a="http://schemas.openxmlformats.org/drawingml/2006/main" xmlns:pic="http://schemas.openxmlformats.org/drawingml/2006/picture">
            <wp:extent cx="4968000" cy="3127091"/>
            <wp:docPr id="2" name="Picture 2"/>
            <wp:cNvGraphicFramePr>
              <a:graphicFrameLocks noChangeAspect="1"/>
            </wp:cNvGraphicFramePr>
            <a:graphic>
              <a:graphicData uri="http://schemas.openxmlformats.org/drawingml/2006/picture">
                <pic:pic>
                  <pic:nvPicPr>
                    <pic:cNvPr id="0" name="figure2_trends.png"/>
                    <pic:cNvPicPr/>
                  </pic:nvPicPr>
                  <pic:blipFill>
                    <a:blip r:embed="rId18"/>
                    <a:stretch>
                      <a:fillRect/>
                    </a:stretch>
                  </pic:blipFill>
                  <pic:spPr>
                    <a:xfrm>
                      <a:off x="0" y="0"/>
                      <a:ext cx="4968000" cy="3127091"/>
                    </a:xfrm>
                    <a:prstGeom prst="rect"/>
                  </pic:spPr>
                </pic:pic>
              </a:graphicData>
            </a:graphic>
          </wp:inline>
        </w:drawing>
      </w:r>
    </w:p>
    <w:p>
      <w:pPr>
        <w:pStyle w:val="MDPI51figurecaption"/>
        <w:spacing w:after="40"/>
      </w:pPr>
      <w:r>
        <w:rPr>
          <w:b/>
          <w:sz w:val="18"/>
        </w:rPr>
        <w:t xml:space="preserve">Figure 2. </w:t>
      </w:r>
      <w:r>
        <w:rPr>
          <w:b w:val="0"/>
          <w:i w:val="0"/>
          <w:sz w:val="18"/>
        </w:rPr>
        <w:t>Generative AI adoption and the youth employment share of Chinese listed firms, 2016–2025.</w:t>
      </w:r>
    </w:p>
    <w:p>
      <w:pPr>
        <w:pStyle w:val="MDPI51figurecaption"/>
        <w:spacing w:line="240" w:lineRule="auto" w:before="40" w:after="200"/>
        <w:ind w:left="2608" w:firstLine="0"/>
      </w:pPr>
      <w:r>
        <w:rPr>
          <w:sz w:val="16"/>
        </w:rPr>
        <w:t xml:space="preserve">Note: </w:t>
      </w:r>
      <w:r>
        <w:rPr>
          <w:b w:val="0"/>
          <w:i w:val="0"/>
          <w:sz w:val="16"/>
        </w:rPr>
        <w:t>Adoption intensity is the sample mean of the text-based measure defined in Equation (1). The vertical dotted line marks the public release of large language models at the end of 2022, after which the vocabulary enters annual reports.</w:t>
      </w:r>
    </w:p>
    <w:p>
      <w:pPr>
        <w:pStyle w:val="MDPI31text"/>
      </w:pPr>
      <w:r>
        <w:rPr>
          <w:b w:val="0"/>
          <w:i w:val="0"/>
        </w:rPr>
        <w:t>Table 3 reports pairwise correlations. Adoption is negatively correlated with the youth share and with routine-task intensity and positively correlated with human-capital upgrading, which is the pattern the hypotheses imply. Correlations among the regressors are moderate; variance inflation factors have a maximum of 1.04 and a mean of 1.01, far below the conventional threshold of ten, so multicollinearity is not a concern.</w:t>
      </w:r>
    </w:p>
    <w:p>
      <w:pPr>
        <w:pStyle w:val="MDPI41tablecaption"/>
        <w:keepNext/>
        <w:spacing w:after="60"/>
      </w:pPr>
      <w:r>
        <w:rPr>
          <w:b/>
          <w:sz w:val="18"/>
        </w:rPr>
        <w:t xml:space="preserve">Table 3. </w:t>
      </w:r>
      <w:r>
        <w:rPr>
          <w:b w:val="0"/>
          <w:i w:val="0"/>
          <w:sz w:val="18"/>
        </w:rPr>
        <w:t>Pairwise correlations of the main variables.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098"/>
        <w:gridCol w:w="1098"/>
        <w:gridCol w:w="1098"/>
        <w:gridCol w:w="1098"/>
        <w:gridCol w:w="1098"/>
        <w:gridCol w:w="1098"/>
        <w:gridCol w:w="1098"/>
        <w:gridCol w:w="109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Variable</w:t>
            </w:r>
          </w:p>
        </w:tc>
        <w:tc>
          <w:tcPr>
            <w:tcW w:type="dxa" w:w="1098"/>
            <w:tcBorders>
              <w:bottom w:val="single" w:sz="8" w:space="0" w:color="auto"/>
            </w:tcBorders>
          </w:tcPr>
          <w:p>
            <w:pPr>
              <w:pStyle w:val="MDPI42tablebody"/>
              <w:keepNext/>
              <w:spacing w:line="240" w:lineRule="auto" w:before="30" w:after="30"/>
              <w:jc w:val="center"/>
            </w:pPr>
            <w:r>
              <w:rPr>
                <w:b/>
                <w:i w:val="0"/>
                <w:sz w:val="16"/>
              </w:rPr>
              <w:t>Youth</w:t>
            </w:r>
          </w:p>
        </w:tc>
        <w:tc>
          <w:tcPr>
            <w:tcW w:type="dxa" w:w="1098"/>
            <w:tcBorders>
              <w:bottom w:val="single" w:sz="8" w:space="0" w:color="auto"/>
            </w:tcBorders>
          </w:tcPr>
          <w:p>
            <w:pPr>
              <w:pStyle w:val="MDPI42tablebody"/>
              <w:keepNext/>
              <w:spacing w:line="240" w:lineRule="auto" w:before="30" w:after="30"/>
              <w:jc w:val="center"/>
            </w:pPr>
            <w:r>
              <w:rPr>
                <w:b/>
                <w:i w:val="0"/>
                <w:sz w:val="16"/>
              </w:rPr>
              <w:t>GenAI</w:t>
            </w:r>
          </w:p>
        </w:tc>
        <w:tc>
          <w:tcPr>
            <w:tcW w:type="dxa" w:w="1098"/>
            <w:tcBorders>
              <w:bottom w:val="single" w:sz="8" w:space="0" w:color="auto"/>
            </w:tcBorders>
          </w:tcPr>
          <w:p>
            <w:pPr>
              <w:pStyle w:val="MDPI42tablebody"/>
              <w:keepNext/>
              <w:spacing w:line="240" w:lineRule="auto" w:before="30" w:after="30"/>
              <w:jc w:val="center"/>
            </w:pPr>
            <w:r>
              <w:rPr>
                <w:b/>
                <w:i w:val="0"/>
                <w:sz w:val="16"/>
              </w:rPr>
              <w:t>RTI</w:t>
            </w:r>
          </w:p>
        </w:tc>
        <w:tc>
          <w:tcPr>
            <w:tcW w:type="dxa" w:w="1098"/>
            <w:tcBorders>
              <w:bottom w:val="single" w:sz="8" w:space="0" w:color="auto"/>
            </w:tcBorders>
          </w:tcPr>
          <w:p>
            <w:pPr>
              <w:pStyle w:val="MDPI42tablebody"/>
              <w:keepNext/>
              <w:spacing w:line="240" w:lineRule="auto" w:before="30" w:after="30"/>
              <w:jc w:val="center"/>
            </w:pPr>
            <w:r>
              <w:rPr>
                <w:b/>
                <w:i w:val="0"/>
                <w:sz w:val="16"/>
              </w:rPr>
              <w:t>HCU</w:t>
            </w:r>
          </w:p>
        </w:tc>
        <w:tc>
          <w:tcPr>
            <w:tcW w:type="dxa" w:w="1098"/>
            <w:tcBorders>
              <w:bottom w:val="single" w:sz="8" w:space="0" w:color="auto"/>
            </w:tcBorders>
          </w:tcPr>
          <w:p>
            <w:pPr>
              <w:pStyle w:val="MDPI42tablebody"/>
              <w:keepNext/>
              <w:spacing w:line="240" w:lineRule="auto" w:before="30" w:after="30"/>
              <w:jc w:val="center"/>
            </w:pPr>
            <w:r>
              <w:rPr>
                <w:b/>
                <w:i w:val="0"/>
                <w:sz w:val="16"/>
              </w:rPr>
              <w:t>Size</w:t>
            </w:r>
          </w:p>
        </w:tc>
        <w:tc>
          <w:tcPr>
            <w:tcW w:type="dxa" w:w="1098"/>
            <w:tcBorders>
              <w:bottom w:val="single" w:sz="8" w:space="0" w:color="auto"/>
            </w:tcBorders>
          </w:tcPr>
          <w:p>
            <w:pPr>
              <w:pStyle w:val="MDPI42tablebody"/>
              <w:keepNext/>
              <w:spacing w:line="240" w:lineRule="auto" w:before="30" w:after="30"/>
              <w:jc w:val="center"/>
            </w:pPr>
            <w:r>
              <w:rPr>
                <w:b/>
                <w:i w:val="0"/>
                <w:sz w:val="16"/>
              </w:rPr>
              <w:t>Lev</w:t>
            </w:r>
          </w:p>
        </w:tc>
        <w:tc>
          <w:tcPr>
            <w:tcW w:type="dxa" w:w="1098"/>
            <w:tcBorders>
              <w:bottom w:val="single" w:sz="8" w:space="0" w:color="auto"/>
            </w:tcBorders>
          </w:tcPr>
          <w:p>
            <w:pPr>
              <w:pStyle w:val="MDPI42tablebody"/>
              <w:keepNext/>
              <w:spacing w:line="240" w:lineRule="auto" w:before="30" w:after="30"/>
              <w:jc w:val="center"/>
            </w:pPr>
            <w:r>
              <w:rPr>
                <w:b/>
                <w:i w:val="0"/>
                <w:sz w:val="16"/>
              </w:rPr>
              <w:t>ROE</w:t>
            </w:r>
          </w:p>
        </w:tc>
        <w:tc>
          <w:tcPr>
            <w:tcW w:type="dxa" w:w="1098"/>
            <w:tcBorders>
              <w:bottom w:val="single" w:sz="8" w:space="0" w:color="auto"/>
            </w:tcBorders>
          </w:tcPr>
          <w:p>
            <w:pPr>
              <w:pStyle w:val="MDPI42tablebody"/>
              <w:keepNext/>
              <w:spacing w:line="240" w:lineRule="auto" w:before="30" w:after="30"/>
              <w:jc w:val="center"/>
            </w:pPr>
            <w:r>
              <w:rPr>
                <w:b/>
                <w:i w:val="0"/>
                <w:sz w:val="16"/>
              </w:rPr>
              <w:t>Growth</w:t>
            </w:r>
          </w:p>
        </w:tc>
      </w:tr>
      <w:tr>
        <w:trPr>
          <w:cantSplit/>
        </w:trPr>
        <w:tc>
          <w:tcPr>
            <w:tcW w:type="dxa" w:w="1674"/>
          </w:tcPr>
          <w:p>
            <w:pPr>
              <w:pStyle w:val="MDPI42tablebody"/>
              <w:keepNext/>
              <w:spacing w:line="240" w:lineRule="auto" w:before="30" w:after="30"/>
              <w:jc w:val="left"/>
            </w:pPr>
            <w:r>
              <w:rPr>
                <w:b w:val="0"/>
                <w:i/>
                <w:sz w:val="16"/>
              </w:rPr>
              <w:t>Youth</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GenAI</w:t>
            </w:r>
          </w:p>
        </w:tc>
        <w:tc>
          <w:tcPr>
            <w:tcW w:type="dxa" w:w="1098"/>
          </w:tcPr>
          <w:p>
            <w:pPr>
              <w:pStyle w:val="MDPI42tablebody"/>
              <w:keepNext/>
              <w:spacing w:line="240" w:lineRule="auto" w:before="30" w:after="30"/>
              <w:jc w:val="center"/>
            </w:pPr>
            <w:r>
              <w:rPr>
                <w:b w:val="0"/>
                <w:i w:val="0"/>
                <w:sz w:val="16"/>
              </w:rPr>
              <w:t>−0.156***</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RTI</w:t>
            </w:r>
          </w:p>
        </w:tc>
        <w:tc>
          <w:tcPr>
            <w:tcW w:type="dxa" w:w="1098"/>
          </w:tcPr>
          <w:p>
            <w:pPr>
              <w:pStyle w:val="MDPI42tablebody"/>
              <w:keepNext/>
              <w:spacing w:line="240" w:lineRule="auto" w:before="30" w:after="30"/>
              <w:jc w:val="center"/>
            </w:pPr>
            <w:r>
              <w:rPr>
                <w:b w:val="0"/>
                <w:i w:val="0"/>
                <w:sz w:val="16"/>
              </w:rPr>
              <w:t>0.326***</w:t>
            </w:r>
          </w:p>
        </w:tc>
        <w:tc>
          <w:tcPr>
            <w:tcW w:type="dxa" w:w="1098"/>
          </w:tcPr>
          <w:p>
            <w:pPr>
              <w:pStyle w:val="MDPI42tablebody"/>
              <w:keepNext/>
              <w:spacing w:line="240" w:lineRule="auto" w:before="30" w:after="30"/>
              <w:jc w:val="center"/>
            </w:pPr>
            <w:r>
              <w:rPr>
                <w:b w:val="0"/>
                <w:i w:val="0"/>
                <w:sz w:val="16"/>
              </w:rPr>
              <w:t>−0.325***</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HCU</w:t>
            </w:r>
          </w:p>
        </w:tc>
        <w:tc>
          <w:tcPr>
            <w:tcW w:type="dxa" w:w="1098"/>
          </w:tcPr>
          <w:p>
            <w:pPr>
              <w:pStyle w:val="MDPI42tablebody"/>
              <w:keepNext/>
              <w:spacing w:line="240" w:lineRule="auto" w:before="30" w:after="30"/>
              <w:jc w:val="center"/>
            </w:pPr>
            <w:r>
              <w:rPr>
                <w:b w:val="0"/>
                <w:i w:val="0"/>
                <w:sz w:val="16"/>
              </w:rPr>
              <w:t>0.196***</w:t>
            </w:r>
          </w:p>
        </w:tc>
        <w:tc>
          <w:tcPr>
            <w:tcW w:type="dxa" w:w="1098"/>
          </w:tcPr>
          <w:p>
            <w:pPr>
              <w:pStyle w:val="MDPI42tablebody"/>
              <w:keepNext/>
              <w:spacing w:line="240" w:lineRule="auto" w:before="30" w:after="30"/>
              <w:jc w:val="center"/>
            </w:pPr>
            <w:r>
              <w:rPr>
                <w:b w:val="0"/>
                <w:i w:val="0"/>
                <w:sz w:val="16"/>
              </w:rPr>
              <w:t>0.309***</w:t>
            </w:r>
          </w:p>
        </w:tc>
        <w:tc>
          <w:tcPr>
            <w:tcW w:type="dxa" w:w="1098"/>
          </w:tcPr>
          <w:p>
            <w:pPr>
              <w:pStyle w:val="MDPI42tablebody"/>
              <w:keepNext/>
              <w:spacing w:line="240" w:lineRule="auto" w:before="30" w:after="30"/>
              <w:jc w:val="center"/>
            </w:pPr>
            <w:r>
              <w:rPr>
                <w:b w:val="0"/>
                <w:i w:val="0"/>
                <w:sz w:val="16"/>
              </w:rPr>
              <w:t>−0.100***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Size</w:t>
            </w:r>
          </w:p>
        </w:tc>
        <w:tc>
          <w:tcPr>
            <w:tcW w:type="dxa" w:w="1098"/>
          </w:tcPr>
          <w:p>
            <w:pPr>
              <w:pStyle w:val="MDPI42tablebody"/>
              <w:keepNext/>
              <w:spacing w:line="240" w:lineRule="auto" w:before="30" w:after="30"/>
              <w:jc w:val="center"/>
            </w:pPr>
            <w:r>
              <w:rPr>
                <w:b w:val="0"/>
                <w:i w:val="0"/>
                <w:sz w:val="16"/>
              </w:rPr>
              <w:t>0.225***</w:t>
            </w:r>
          </w:p>
        </w:tc>
        <w:tc>
          <w:tcPr>
            <w:tcW w:type="dxa" w:w="1098"/>
          </w:tcPr>
          <w:p>
            <w:pPr>
              <w:pStyle w:val="MDPI42tablebody"/>
              <w:keepNext/>
              <w:spacing w:line="240" w:lineRule="auto" w:before="30" w:after="30"/>
              <w:jc w:val="center"/>
            </w:pPr>
            <w:r>
              <w:rPr>
                <w:b w:val="0"/>
                <w:i w:val="0"/>
                <w:sz w:val="16"/>
              </w:rPr>
              <w:t>0.167***</w:t>
            </w:r>
          </w:p>
        </w:tc>
        <w:tc>
          <w:tcPr>
            <w:tcW w:type="dxa" w:w="1098"/>
          </w:tcPr>
          <w:p>
            <w:pPr>
              <w:pStyle w:val="MDPI42tablebody"/>
              <w:keepNext/>
              <w:spacing w:line="240" w:lineRule="auto" w:before="30" w:after="30"/>
              <w:jc w:val="center"/>
            </w:pPr>
            <w:r>
              <w:rPr>
                <w:b w:val="0"/>
                <w:i w:val="0"/>
                <w:sz w:val="16"/>
              </w:rPr>
              <w:t>0.213***</w:t>
            </w:r>
          </w:p>
        </w:tc>
        <w:tc>
          <w:tcPr>
            <w:tcW w:type="dxa" w:w="1098"/>
          </w:tcPr>
          <w:p>
            <w:pPr>
              <w:pStyle w:val="MDPI42tablebody"/>
              <w:keepNext/>
              <w:spacing w:line="240" w:lineRule="auto" w:before="30" w:after="30"/>
              <w:jc w:val="center"/>
            </w:pPr>
            <w:r>
              <w:rPr>
                <w:b w:val="0"/>
                <w:i w:val="0"/>
                <w:sz w:val="16"/>
              </w:rPr>
              <w:t>0.391***</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Lev</w:t>
            </w:r>
          </w:p>
        </w:tc>
        <w:tc>
          <w:tcPr>
            <w:tcW w:type="dxa" w:w="1098"/>
          </w:tcPr>
          <w:p>
            <w:pPr>
              <w:pStyle w:val="MDPI42tablebody"/>
              <w:keepNext/>
              <w:spacing w:line="240" w:lineRule="auto" w:before="30" w:after="30"/>
              <w:jc w:val="center"/>
            </w:pPr>
            <w:r>
              <w:rPr>
                <w:b w:val="0"/>
                <w:i w:val="0"/>
                <w:sz w:val="16"/>
              </w:rPr>
              <w:t>−0.044***</w:t>
            </w:r>
          </w:p>
        </w:tc>
        <w:tc>
          <w:tcPr>
            <w:tcW w:type="dxa" w:w="1098"/>
          </w:tcPr>
          <w:p>
            <w:pPr>
              <w:pStyle w:val="MDPI42tablebody"/>
              <w:keepNext/>
              <w:spacing w:line="240" w:lineRule="auto" w:before="30" w:after="30"/>
              <w:jc w:val="center"/>
            </w:pPr>
            <w:r>
              <w:rPr>
                <w:b w:val="0"/>
                <w:i w:val="0"/>
                <w:sz w:val="16"/>
              </w:rPr>
              <w:t>0.008</w:t>
            </w:r>
          </w:p>
        </w:tc>
        <w:tc>
          <w:tcPr>
            <w:tcW w:type="dxa" w:w="1098"/>
          </w:tcPr>
          <w:p>
            <w:pPr>
              <w:pStyle w:val="MDPI42tablebody"/>
              <w:keepNext/>
              <w:spacing w:line="240" w:lineRule="auto" w:before="30" w:after="30"/>
              <w:jc w:val="center"/>
            </w:pPr>
            <w:r>
              <w:rPr>
                <w:b w:val="0"/>
                <w:i w:val="0"/>
                <w:sz w:val="16"/>
              </w:rPr>
              <w:t>0.009</w:t>
            </w:r>
          </w:p>
        </w:tc>
        <w:tc>
          <w:tcPr>
            <w:tcW w:type="dxa" w:w="1098"/>
          </w:tcPr>
          <w:p>
            <w:pPr>
              <w:pStyle w:val="MDPI42tablebody"/>
              <w:keepNext/>
              <w:spacing w:line="240" w:lineRule="auto" w:before="30" w:after="30"/>
              <w:jc w:val="center"/>
            </w:pPr>
            <w:r>
              <w:rPr>
                <w:b w:val="0"/>
                <w:i w:val="0"/>
                <w:sz w:val="16"/>
              </w:rPr>
              <w:t>0.011*</w:t>
            </w:r>
          </w:p>
        </w:tc>
        <w:tc>
          <w:tcPr>
            <w:tcW w:type="dxa" w:w="1098"/>
          </w:tcPr>
          <w:p>
            <w:pPr>
              <w:pStyle w:val="MDPI42tablebody"/>
              <w:keepNext/>
              <w:spacing w:line="240" w:lineRule="auto" w:before="30" w:after="30"/>
              <w:jc w:val="center"/>
            </w:pPr>
            <w:r>
              <w:rPr>
                <w:b w:val="0"/>
                <w:i w:val="0"/>
                <w:sz w:val="16"/>
              </w:rPr>
              <w:t>0.018***</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c>
          <w:tcPr>
            <w:tcW w:type="dxa" w:w="1098"/>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sz w:val="16"/>
              </w:rPr>
              <w:t>ROE</w:t>
            </w:r>
          </w:p>
        </w:tc>
        <w:tc>
          <w:tcPr>
            <w:tcW w:type="dxa" w:w="1098"/>
          </w:tcPr>
          <w:p>
            <w:pPr>
              <w:pStyle w:val="MDPI42tablebody"/>
              <w:keepNext/>
              <w:spacing w:line="240" w:lineRule="auto" w:before="30" w:after="30"/>
              <w:jc w:val="center"/>
            </w:pPr>
            <w:r>
              <w:rPr>
                <w:b w:val="0"/>
                <w:i w:val="0"/>
                <w:sz w:val="16"/>
              </w:rPr>
              <w:t>−0.002</w:t>
            </w:r>
          </w:p>
        </w:tc>
        <w:tc>
          <w:tcPr>
            <w:tcW w:type="dxa" w:w="1098"/>
          </w:tcPr>
          <w:p>
            <w:pPr>
              <w:pStyle w:val="MDPI42tablebody"/>
              <w:keepNext/>
              <w:spacing w:line="240" w:lineRule="auto" w:before="30" w:after="30"/>
              <w:jc w:val="center"/>
            </w:pPr>
            <w:r>
              <w:rPr>
                <w:b w:val="0"/>
                <w:i w:val="0"/>
                <w:sz w:val="16"/>
              </w:rPr>
              <w:t>−0.007</w:t>
            </w:r>
          </w:p>
        </w:tc>
        <w:tc>
          <w:tcPr>
            <w:tcW w:type="dxa" w:w="1098"/>
          </w:tcPr>
          <w:p>
            <w:pPr>
              <w:pStyle w:val="MDPI42tablebody"/>
              <w:keepNext/>
              <w:spacing w:line="240" w:lineRule="auto" w:before="30" w:after="30"/>
              <w:jc w:val="center"/>
            </w:pPr>
            <w:r>
              <w:rPr>
                <w:b w:val="0"/>
                <w:i w:val="0"/>
                <w:sz w:val="16"/>
              </w:rPr>
              <w:t>0.006</w:t>
            </w:r>
          </w:p>
        </w:tc>
        <w:tc>
          <w:tcPr>
            <w:tcW w:type="dxa" w:w="1098"/>
          </w:tcPr>
          <w:p>
            <w:pPr>
              <w:pStyle w:val="MDPI42tablebody"/>
              <w:keepNext/>
              <w:spacing w:line="240" w:lineRule="auto" w:before="30" w:after="30"/>
              <w:jc w:val="center"/>
            </w:pPr>
            <w:r>
              <w:rPr>
                <w:b w:val="0"/>
                <w:i w:val="0"/>
                <w:sz w:val="16"/>
              </w:rPr>
              <w:t>−0.002</w:t>
            </w:r>
          </w:p>
        </w:tc>
        <w:tc>
          <w:tcPr>
            <w:tcW w:type="dxa" w:w="1098"/>
          </w:tcPr>
          <w:p>
            <w:pPr>
              <w:pStyle w:val="MDPI42tablebody"/>
              <w:keepNext/>
              <w:spacing w:line="240" w:lineRule="auto" w:before="30" w:after="30"/>
              <w:jc w:val="center"/>
            </w:pPr>
            <w:r>
              <w:rPr>
                <w:b w:val="0"/>
                <w:i w:val="0"/>
                <w:sz w:val="16"/>
              </w:rPr>
              <w:t>−0.001</w:t>
            </w:r>
          </w:p>
        </w:tc>
        <w:tc>
          <w:tcPr>
            <w:tcW w:type="dxa" w:w="1098"/>
          </w:tcPr>
          <w:p>
            <w:pPr>
              <w:pStyle w:val="MDPI42tablebody"/>
              <w:keepNext/>
              <w:spacing w:line="240" w:lineRule="auto" w:before="30" w:after="30"/>
              <w:jc w:val="center"/>
            </w:pPr>
            <w:r>
              <w:rPr>
                <w:b w:val="0"/>
                <w:i w:val="0"/>
                <w:sz w:val="16"/>
              </w:rPr>
              <w:t>0.002</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p>
        </w:tc>
      </w:tr>
      <w:tr>
        <w:trPr>
          <w:cantSplit/>
        </w:trPr>
        <w:tc>
          <w:tcPr>
            <w:tcW w:type="dxa" w:w="1674"/>
          </w:tcPr>
          <w:p>
            <w:pPr>
              <w:pStyle w:val="MDPI42tablebody"/>
              <w:spacing w:line="240" w:lineRule="auto" w:before="30" w:after="30"/>
              <w:jc w:val="left"/>
            </w:pPr>
            <w:r>
              <w:rPr>
                <w:b w:val="0"/>
                <w:i/>
                <w:sz w:val="16"/>
              </w:rPr>
              <w:t>Growth</w:t>
            </w:r>
          </w:p>
        </w:tc>
        <w:tc>
          <w:tcPr>
            <w:tcW w:type="dxa" w:w="1098"/>
          </w:tcPr>
          <w:p>
            <w:pPr>
              <w:pStyle w:val="MDPI42tablebody"/>
              <w:spacing w:line="240" w:lineRule="auto" w:before="30" w:after="30"/>
              <w:jc w:val="center"/>
            </w:pPr>
            <w:r>
              <w:rPr>
                <w:b w:val="0"/>
                <w:i w:val="0"/>
                <w:sz w:val="16"/>
              </w:rPr>
              <w:t>−0.001</w:t>
            </w:r>
          </w:p>
        </w:tc>
        <w:tc>
          <w:tcPr>
            <w:tcW w:type="dxa" w:w="1098"/>
          </w:tcPr>
          <w:p>
            <w:pPr>
              <w:pStyle w:val="MDPI42tablebody"/>
              <w:spacing w:line="240" w:lineRule="auto" w:before="30" w:after="30"/>
              <w:jc w:val="center"/>
            </w:pPr>
            <w:r>
              <w:rPr>
                <w:b w:val="0"/>
                <w:i w:val="0"/>
                <w:sz w:val="16"/>
              </w:rPr>
              <w:t>0.000</w:t>
            </w:r>
          </w:p>
        </w:tc>
        <w:tc>
          <w:tcPr>
            <w:tcW w:type="dxa" w:w="1098"/>
          </w:tcPr>
          <w:p>
            <w:pPr>
              <w:pStyle w:val="MDPI42tablebody"/>
              <w:spacing w:line="240" w:lineRule="auto" w:before="30" w:after="30"/>
              <w:jc w:val="center"/>
            </w:pPr>
            <w:r>
              <w:rPr>
                <w:b w:val="0"/>
                <w:i w:val="0"/>
                <w:sz w:val="16"/>
              </w:rPr>
              <w:t>0.003</w:t>
            </w:r>
          </w:p>
        </w:tc>
        <w:tc>
          <w:tcPr>
            <w:tcW w:type="dxa" w:w="1098"/>
          </w:tcPr>
          <w:p>
            <w:pPr>
              <w:pStyle w:val="MDPI42tablebody"/>
              <w:spacing w:line="240" w:lineRule="auto" w:before="30" w:after="30"/>
              <w:jc w:val="center"/>
            </w:pPr>
            <w:r>
              <w:rPr>
                <w:b w:val="0"/>
                <w:i w:val="0"/>
                <w:sz w:val="16"/>
              </w:rPr>
              <w:t>−0.004</w:t>
            </w:r>
          </w:p>
        </w:tc>
        <w:tc>
          <w:tcPr>
            <w:tcW w:type="dxa" w:w="1098"/>
          </w:tcPr>
          <w:p>
            <w:pPr>
              <w:pStyle w:val="MDPI42tablebody"/>
              <w:spacing w:line="240" w:lineRule="auto" w:before="30" w:after="30"/>
              <w:jc w:val="center"/>
            </w:pPr>
            <w:r>
              <w:rPr>
                <w:b w:val="0"/>
                <w:i w:val="0"/>
                <w:sz w:val="16"/>
              </w:rPr>
              <w:t>0.004</w:t>
            </w:r>
          </w:p>
        </w:tc>
        <w:tc>
          <w:tcPr>
            <w:tcW w:type="dxa" w:w="1098"/>
          </w:tcPr>
          <w:p>
            <w:pPr>
              <w:pStyle w:val="MDPI42tablebody"/>
              <w:spacing w:line="240" w:lineRule="auto" w:before="30" w:after="30"/>
              <w:jc w:val="center"/>
            </w:pPr>
            <w:r>
              <w:rPr>
                <w:b w:val="0"/>
                <w:i w:val="0"/>
                <w:sz w:val="16"/>
              </w:rPr>
              <w:t>−0.004</w:t>
            </w:r>
          </w:p>
        </w:tc>
        <w:tc>
          <w:tcPr>
            <w:tcW w:type="dxa" w:w="1098"/>
          </w:tcPr>
          <w:p>
            <w:pPr>
              <w:pStyle w:val="MDPI42tablebody"/>
              <w:spacing w:line="240" w:lineRule="auto" w:before="30" w:after="30"/>
              <w:jc w:val="center"/>
            </w:pPr>
            <w:r>
              <w:rPr>
                <w:b w:val="0"/>
                <w:i w:val="0"/>
                <w:sz w:val="16"/>
              </w:rPr>
              <w:t>−0.007</w:t>
            </w:r>
          </w:p>
        </w:tc>
        <w:tc>
          <w:tcPr>
            <w:tcW w:type="dxa" w:w="1098"/>
          </w:tcPr>
          <w:p>
            <w:pPr>
              <w:pStyle w:val="MDPI42tablebody"/>
              <w:spacing w:line="240" w:lineRule="auto" w:before="30" w:after="30"/>
              <w:jc w:val="center"/>
            </w:pPr>
            <w:r>
              <w:rPr>
                <w:b w:val="0"/>
                <w:i w:val="0"/>
                <w:sz w:val="16"/>
              </w:rPr>
              <w:t>1.000</w:t>
            </w:r>
          </w:p>
        </w:tc>
      </w:tr>
    </w:tbl>
    <w:p>
      <w:pPr>
        <w:pStyle w:val="MDPI43tablefooter"/>
        <w:spacing w:line="240" w:lineRule="auto" w:before="40" w:after="200"/>
        <w:ind w:left="2608" w:firstLine="0"/>
      </w:pPr>
      <w:r>
        <w:rPr>
          <w:sz w:val="16"/>
        </w:rPr>
        <w:t xml:space="preserve">Note: </w:t>
      </w:r>
      <w:r>
        <w:rPr>
          <w:b w:val="0"/>
          <w:i w:val="0"/>
          <w:sz w:val="16"/>
        </w:rPr>
        <w:t>*** and ** denote significance at the 1% and 5% levels. Only the first eight variables are shown; the full matrix for all regressors is available from the authors. Variance inflation factors for the baseline specification have a maximum of 1.04, far below the conventional threshold of ten.</w:t>
      </w:r>
    </w:p>
    <w:p>
      <w:pPr>
        <w:pStyle w:val="MDPI22heading2"/>
      </w:pPr>
      <w:r>
        <w:t>4.2. Benchmark Regression</w:t>
      </w:r>
    </w:p>
    <w:p>
      <w:pPr>
        <w:pStyle w:val="MDPI32textnoindent"/>
      </w:pPr>
      <w:r>
        <w:rPr>
          <w:b w:val="0"/>
          <w:i w:val="0"/>
        </w:rPr>
        <w:t>Table 4 reports the baseline estimates. Column (1) includes only the adoption measure with firm and year fixed effects; column (2) adds the full control vector. The coefficient on adoption is −0.622 and significant at the 1% level, so a one-unit increase in adoption intensity lowers the share of employees aged 30 or below by 0.622 percentage points. Evaluated at a one-standard-deviation increase in adoption this is −0.752 percentage points, or 3.5% of the sample mean — economically meaningful without being implausibly large. H1 is supported.</w:t>
      </w:r>
    </w:p>
    <w:p>
      <w:pPr>
        <w:pStyle w:val="MDPI41tablecaption"/>
        <w:keepNext/>
        <w:spacing w:after="60"/>
      </w:pPr>
      <w:r>
        <w:rPr>
          <w:b/>
          <w:sz w:val="18"/>
        </w:rPr>
        <w:t xml:space="preserve">Table 4. </w:t>
      </w:r>
      <w:r>
        <w:rPr>
          <w:b w:val="0"/>
          <w:i w:val="0"/>
          <w:sz w:val="18"/>
        </w:rPr>
        <w:t>Benchmark regression: generative AI adoption and the youth employment share.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02"/>
        <w:gridCol w:w="1632"/>
        <w:gridCol w:w="1632"/>
        <w:gridCol w:w="1632"/>
        <w:gridCol w:w="1632"/>
        <w:gridCol w:w="1632"/>
      </w:tblGrid>
      <w:tr>
        <w:trPr>
          <w:cantSplit/>
          <w:tblHeader/>
        </w:trPr>
        <w:tc>
          <w:tcPr>
            <w:tcW w:type="dxa" w:w="2302"/>
            <w:tcBorders>
              <w:bottom w:val="single" w:sz="8" w:space="0" w:color="auto"/>
            </w:tcBorders>
          </w:tcPr>
          <w:p>
            <w:pPr>
              <w:pStyle w:val="MDPI42tablebody"/>
              <w:keepNext/>
              <w:spacing w:line="240" w:lineRule="auto" w:before="30" w:after="30"/>
              <w:jc w:val="center"/>
            </w:pPr>
            <w:r>
              <w:rPr>
                <w:b/>
                <w:i w:val="0"/>
                <w:sz w:val="18"/>
              </w:rPr>
              <w:t>Variable</w:t>
            </w:r>
          </w:p>
        </w:tc>
        <w:tc>
          <w:tcPr>
            <w:tcW w:type="dxa" w:w="1632"/>
            <w:tcBorders>
              <w:bottom w:val="single" w:sz="8" w:space="0" w:color="auto"/>
            </w:tcBorders>
          </w:tcPr>
          <w:p>
            <w:pPr>
              <w:pStyle w:val="MDPI42tablebody"/>
              <w:keepNext/>
              <w:spacing w:line="240" w:lineRule="auto" w:before="30" w:after="30"/>
              <w:jc w:val="center"/>
            </w:pPr>
            <w:r>
              <w:rPr>
                <w:b/>
                <w:i w:val="0"/>
                <w:sz w:val="18"/>
              </w:rPr>
              <w:t>(1)</w:t>
            </w:r>
          </w:p>
        </w:tc>
        <w:tc>
          <w:tcPr>
            <w:tcW w:type="dxa" w:w="1632"/>
            <w:tcBorders>
              <w:bottom w:val="single" w:sz="8" w:space="0" w:color="auto"/>
            </w:tcBorders>
          </w:tcPr>
          <w:p>
            <w:pPr>
              <w:pStyle w:val="MDPI42tablebody"/>
              <w:keepNext/>
              <w:spacing w:line="240" w:lineRule="auto" w:before="30" w:after="30"/>
              <w:jc w:val="center"/>
            </w:pPr>
            <w:r>
              <w:rPr>
                <w:b/>
                <w:i w:val="0"/>
                <w:sz w:val="18"/>
              </w:rPr>
              <w:t>(2)</w:t>
            </w:r>
          </w:p>
        </w:tc>
        <w:tc>
          <w:tcPr>
            <w:tcW w:type="dxa" w:w="1632"/>
            <w:tcBorders>
              <w:bottom w:val="single" w:sz="8" w:space="0" w:color="auto"/>
            </w:tcBorders>
          </w:tcPr>
          <w:p>
            <w:pPr>
              <w:pStyle w:val="MDPI42tablebody"/>
              <w:keepNext/>
              <w:spacing w:line="240" w:lineRule="auto" w:before="30" w:after="30"/>
              <w:jc w:val="center"/>
            </w:pPr>
            <w:r>
              <w:rPr>
                <w:b/>
                <w:i w:val="0"/>
                <w:sz w:val="18"/>
              </w:rPr>
              <w:t>(3)</w:t>
            </w:r>
          </w:p>
        </w:tc>
        <w:tc>
          <w:tcPr>
            <w:tcW w:type="dxa" w:w="1632"/>
            <w:tcBorders>
              <w:bottom w:val="single" w:sz="8" w:space="0" w:color="auto"/>
            </w:tcBorders>
          </w:tcPr>
          <w:p>
            <w:pPr>
              <w:pStyle w:val="MDPI42tablebody"/>
              <w:keepNext/>
              <w:spacing w:line="240" w:lineRule="auto" w:before="30" w:after="30"/>
              <w:jc w:val="center"/>
            </w:pPr>
            <w:r>
              <w:rPr>
                <w:b/>
                <w:i w:val="0"/>
                <w:sz w:val="18"/>
              </w:rPr>
              <w:t>(4)</w:t>
            </w:r>
          </w:p>
        </w:tc>
        <w:tc>
          <w:tcPr>
            <w:tcW w:type="dxa" w:w="1632"/>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2302"/>
          </w:tcPr>
          <w:p>
            <w:pPr>
              <w:pStyle w:val="MDPI42tablebody"/>
              <w:keepNext/>
              <w:spacing w:line="240" w:lineRule="auto" w:before="30" w:after="30"/>
              <w:jc w:val="left"/>
            </w:pPr>
            <w:r>
              <w:rPr>
                <w:b w:val="0"/>
                <w:i/>
                <w:sz w:val="18"/>
              </w:rPr>
              <w:t>GenAI</w:t>
            </w:r>
          </w:p>
        </w:tc>
        <w:tc>
          <w:tcPr>
            <w:tcW w:type="dxa" w:w="1632"/>
          </w:tcPr>
          <w:p>
            <w:pPr>
              <w:pStyle w:val="MDPI42tablebody"/>
              <w:keepNext/>
              <w:spacing w:line="240" w:lineRule="auto" w:before="30" w:after="30"/>
              <w:jc w:val="center"/>
            </w:pPr>
            <w:r>
              <w:rPr>
                <w:b w:val="0"/>
                <w:i w:val="0"/>
                <w:sz w:val="18"/>
              </w:rPr>
              <w:t>−0.577***</w:t>
            </w:r>
          </w:p>
        </w:tc>
        <w:tc>
          <w:tcPr>
            <w:tcW w:type="dxa" w:w="1632"/>
          </w:tcPr>
          <w:p>
            <w:pPr>
              <w:pStyle w:val="MDPI42tablebody"/>
              <w:keepNext/>
              <w:spacing w:line="240" w:lineRule="auto" w:before="30" w:after="30"/>
              <w:jc w:val="center"/>
            </w:pPr>
            <w:r>
              <w:rPr>
                <w:b w:val="0"/>
                <w:i w:val="0"/>
                <w:sz w:val="18"/>
              </w:rPr>
              <w:t>−0.622***</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−0.600***</w:t>
            </w:r>
          </w:p>
        </w:tc>
        <w:tc>
          <w:tcPr>
            <w:tcW w:type="dxa" w:w="1632"/>
          </w:tcPr>
          <w:p>
            <w:pPr>
              <w:pStyle w:val="MDPI42tablebody"/>
              <w:keepNext/>
              <w:spacing w:line="240" w:lineRule="auto" w:before="30" w:after="30"/>
              <w:jc w:val="center"/>
            </w:pPr>
            <w:r>
              <w:rPr>
                <w:b w:val="0"/>
                <w:i w:val="0"/>
                <w:sz w:val="18"/>
              </w:rPr>
              <w:t>−0.566***</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(0.056)</w:t>
            </w:r>
          </w:p>
        </w:tc>
        <w:tc>
          <w:tcPr>
            <w:tcW w:type="dxa" w:w="1632"/>
          </w:tcPr>
          <w:p>
            <w:pPr>
              <w:pStyle w:val="MDPI42tablebody"/>
              <w:keepNext/>
              <w:spacing w:line="240" w:lineRule="auto" w:before="30" w:after="30"/>
              <w:jc w:val="center"/>
            </w:pPr>
            <w:r>
              <w:rPr>
                <w:b w:val="0"/>
                <w:i w:val="0"/>
                <w:sz w:val="18"/>
              </w:rPr>
              <w:t>(0.056)</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(0.058)</w:t>
            </w:r>
          </w:p>
        </w:tc>
        <w:tc>
          <w:tcPr>
            <w:tcW w:type="dxa" w:w="1632"/>
          </w:tcPr>
          <w:p>
            <w:pPr>
              <w:pStyle w:val="MDPI42tablebody"/>
              <w:keepNext/>
              <w:spacing w:line="240" w:lineRule="auto" w:before="30" w:after="30"/>
              <w:jc w:val="center"/>
            </w:pPr>
            <w:r>
              <w:rPr>
                <w:b w:val="0"/>
                <w:i w:val="0"/>
                <w:sz w:val="18"/>
              </w:rPr>
              <w:t>(0.060)</w:t>
            </w:r>
          </w:p>
        </w:tc>
      </w:tr>
      <w:tr>
        <w:trPr>
          <w:cantSplit/>
        </w:trPr>
        <w:tc>
          <w:tcPr>
            <w:tcW w:type="dxa" w:w="2302"/>
          </w:tcPr>
          <w:p>
            <w:pPr>
              <w:pStyle w:val="MDPI42tablebody"/>
              <w:keepNext/>
              <w:spacing w:line="240" w:lineRule="auto" w:before="30" w:after="30"/>
              <w:jc w:val="left"/>
            </w:pPr>
            <w:r>
              <w:rPr>
                <w:b w:val="0"/>
                <w:i/>
                <w:sz w:val="18"/>
              </w:rPr>
              <w:t>Exposure × Post</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−2.815***</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(0.602)</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r>
      <w:tr>
        <w:trPr>
          <w:cantSplit/>
        </w:trPr>
        <w:tc>
          <w:tcPr>
            <w:tcW w:type="dxa" w:w="2302"/>
          </w:tcPr>
          <w:p>
            <w:pPr>
              <w:pStyle w:val="MDPI42tablebody"/>
              <w:keepNext/>
              <w:spacing w:line="240" w:lineRule="auto" w:before="30" w:after="30"/>
              <w:jc w:val="left"/>
            </w:pPr>
            <w:r>
              <w:rPr>
                <w:b w:val="0"/>
                <w:i/>
                <w:sz w:val="18"/>
              </w:rPr>
              <w:t>Size</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1.962***</w:t>
            </w:r>
          </w:p>
        </w:tc>
        <w:tc>
          <w:tcPr>
            <w:tcW w:type="dxa" w:w="1632"/>
          </w:tcPr>
          <w:p>
            <w:pPr>
              <w:pStyle w:val="MDPI42tablebody"/>
              <w:keepNext/>
              <w:spacing w:line="240" w:lineRule="auto" w:before="30" w:after="30"/>
              <w:jc w:val="center"/>
            </w:pPr>
            <w:r>
              <w:rPr>
                <w:b w:val="0"/>
                <w:i w:val="0"/>
                <w:sz w:val="18"/>
              </w:rPr>
              <w:t>1.907***</w:t>
            </w:r>
          </w:p>
        </w:tc>
        <w:tc>
          <w:tcPr>
            <w:tcW w:type="dxa" w:w="1632"/>
          </w:tcPr>
          <w:p>
            <w:pPr>
              <w:pStyle w:val="MDPI42tablebody"/>
              <w:keepNext/>
              <w:spacing w:line="240" w:lineRule="auto" w:before="30" w:after="30"/>
              <w:jc w:val="center"/>
            </w:pPr>
            <w:r>
              <w:rPr>
                <w:b w:val="0"/>
                <w:i w:val="0"/>
                <w:sz w:val="18"/>
              </w:rPr>
              <w:t>1.950***</w:t>
            </w:r>
          </w:p>
        </w:tc>
        <w:tc>
          <w:tcPr>
            <w:tcW w:type="dxa" w:w="1632"/>
          </w:tcPr>
          <w:p>
            <w:pPr>
              <w:pStyle w:val="MDPI42tablebody"/>
              <w:keepNext/>
              <w:spacing w:line="240" w:lineRule="auto" w:before="30" w:after="30"/>
              <w:jc w:val="center"/>
            </w:pPr>
            <w:r>
              <w:rPr>
                <w:b w:val="0"/>
                <w:i w:val="0"/>
                <w:sz w:val="18"/>
              </w:rPr>
              <w:t>1.977***</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(0.108)</w:t>
            </w:r>
          </w:p>
        </w:tc>
        <w:tc>
          <w:tcPr>
            <w:tcW w:type="dxa" w:w="1632"/>
          </w:tcPr>
          <w:p>
            <w:pPr>
              <w:pStyle w:val="MDPI42tablebody"/>
              <w:keepNext/>
              <w:spacing w:line="240" w:lineRule="auto" w:before="30" w:after="30"/>
              <w:jc w:val="center"/>
            </w:pPr>
            <w:r>
              <w:rPr>
                <w:b w:val="0"/>
                <w:i w:val="0"/>
                <w:sz w:val="18"/>
              </w:rPr>
              <w:t>(0.109)</w:t>
            </w:r>
          </w:p>
        </w:tc>
        <w:tc>
          <w:tcPr>
            <w:tcW w:type="dxa" w:w="1632"/>
          </w:tcPr>
          <w:p>
            <w:pPr>
              <w:pStyle w:val="MDPI42tablebody"/>
              <w:keepNext/>
              <w:spacing w:line="240" w:lineRule="auto" w:before="30" w:after="30"/>
              <w:jc w:val="center"/>
            </w:pPr>
            <w:r>
              <w:rPr>
                <w:b w:val="0"/>
                <w:i w:val="0"/>
                <w:sz w:val="18"/>
              </w:rPr>
              <w:t>(0.108)</w:t>
            </w:r>
          </w:p>
        </w:tc>
        <w:tc>
          <w:tcPr>
            <w:tcW w:type="dxa" w:w="1632"/>
          </w:tcPr>
          <w:p>
            <w:pPr>
              <w:pStyle w:val="MDPI42tablebody"/>
              <w:keepNext/>
              <w:spacing w:line="240" w:lineRule="auto" w:before="30" w:after="30"/>
              <w:jc w:val="center"/>
            </w:pPr>
            <w:r>
              <w:rPr>
                <w:b w:val="0"/>
                <w:i w:val="0"/>
                <w:sz w:val="18"/>
              </w:rPr>
              <w:t>(0.109)</w:t>
            </w:r>
          </w:p>
        </w:tc>
      </w:tr>
      <w:tr>
        <w:trPr>
          <w:cantSplit/>
        </w:trPr>
        <w:tc>
          <w:tcPr>
            <w:tcW w:type="dxa" w:w="2302"/>
          </w:tcPr>
          <w:p>
            <w:pPr>
              <w:pStyle w:val="MDPI42tablebody"/>
              <w:keepNext/>
              <w:spacing w:line="240" w:lineRule="auto" w:before="30" w:after="30"/>
              <w:jc w:val="left"/>
            </w:pPr>
            <w:r>
              <w:rPr>
                <w:b w:val="0"/>
                <w:i/>
                <w:sz w:val="18"/>
              </w:rPr>
              <w:t>Lev</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−2.273***</w:t>
            </w:r>
          </w:p>
        </w:tc>
        <w:tc>
          <w:tcPr>
            <w:tcW w:type="dxa" w:w="1632"/>
          </w:tcPr>
          <w:p>
            <w:pPr>
              <w:pStyle w:val="MDPI42tablebody"/>
              <w:keepNext/>
              <w:spacing w:line="240" w:lineRule="auto" w:before="30" w:after="30"/>
              <w:jc w:val="center"/>
            </w:pPr>
            <w:r>
              <w:rPr>
                <w:b w:val="0"/>
                <w:i w:val="0"/>
                <w:sz w:val="18"/>
              </w:rPr>
              <w:t>−2.261***</w:t>
            </w:r>
          </w:p>
        </w:tc>
        <w:tc>
          <w:tcPr>
            <w:tcW w:type="dxa" w:w="1632"/>
          </w:tcPr>
          <w:p>
            <w:pPr>
              <w:pStyle w:val="MDPI42tablebody"/>
              <w:keepNext/>
              <w:spacing w:line="240" w:lineRule="auto" w:before="30" w:after="30"/>
              <w:jc w:val="center"/>
            </w:pPr>
            <w:r>
              <w:rPr>
                <w:b w:val="0"/>
                <w:i w:val="0"/>
                <w:sz w:val="18"/>
              </w:rPr>
              <w:t>−2.272***</w:t>
            </w:r>
          </w:p>
        </w:tc>
        <w:tc>
          <w:tcPr>
            <w:tcW w:type="dxa" w:w="1632"/>
          </w:tcPr>
          <w:p>
            <w:pPr>
              <w:pStyle w:val="MDPI42tablebody"/>
              <w:keepNext/>
              <w:spacing w:line="240" w:lineRule="auto" w:before="30" w:after="30"/>
              <w:jc w:val="center"/>
            </w:pPr>
            <w:r>
              <w:rPr>
                <w:b w:val="0"/>
                <w:i w:val="0"/>
                <w:sz w:val="18"/>
              </w:rPr>
              <w:t>−2.242***</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(0.222)</w:t>
            </w:r>
          </w:p>
        </w:tc>
        <w:tc>
          <w:tcPr>
            <w:tcW w:type="dxa" w:w="1632"/>
          </w:tcPr>
          <w:p>
            <w:pPr>
              <w:pStyle w:val="MDPI42tablebody"/>
              <w:keepNext/>
              <w:spacing w:line="240" w:lineRule="auto" w:before="30" w:after="30"/>
              <w:jc w:val="center"/>
            </w:pPr>
            <w:r>
              <w:rPr>
                <w:b w:val="0"/>
                <w:i w:val="0"/>
                <w:sz w:val="18"/>
              </w:rPr>
              <w:t>(0.223)</w:t>
            </w:r>
          </w:p>
        </w:tc>
        <w:tc>
          <w:tcPr>
            <w:tcW w:type="dxa" w:w="1632"/>
          </w:tcPr>
          <w:p>
            <w:pPr>
              <w:pStyle w:val="MDPI42tablebody"/>
              <w:keepNext/>
              <w:spacing w:line="240" w:lineRule="auto" w:before="30" w:after="30"/>
              <w:jc w:val="center"/>
            </w:pPr>
            <w:r>
              <w:rPr>
                <w:b w:val="0"/>
                <w:i w:val="0"/>
                <w:sz w:val="18"/>
              </w:rPr>
              <w:t>(0.222)</w:t>
            </w:r>
          </w:p>
        </w:tc>
        <w:tc>
          <w:tcPr>
            <w:tcW w:type="dxa" w:w="1632"/>
          </w:tcPr>
          <w:p>
            <w:pPr>
              <w:pStyle w:val="MDPI42tablebody"/>
              <w:keepNext/>
              <w:spacing w:line="240" w:lineRule="auto" w:before="30" w:after="30"/>
              <w:jc w:val="center"/>
            </w:pPr>
            <w:r>
              <w:rPr>
                <w:b w:val="0"/>
                <w:i w:val="0"/>
                <w:sz w:val="18"/>
              </w:rPr>
              <w:t>(0.224)</w:t>
            </w:r>
          </w:p>
        </w:tc>
      </w:tr>
      <w:tr>
        <w:trPr>
          <w:cantSplit/>
        </w:trPr>
        <w:tc>
          <w:tcPr>
            <w:tcW w:type="dxa" w:w="2302"/>
          </w:tcPr>
          <w:p>
            <w:pPr>
              <w:pStyle w:val="MDPI42tablebody"/>
              <w:keepNext/>
              <w:spacing w:line="240" w:lineRule="auto" w:before="30" w:after="30"/>
              <w:jc w:val="left"/>
            </w:pPr>
            <w:r>
              <w:rPr>
                <w:b w:val="0"/>
                <w:i/>
                <w:sz w:val="18"/>
              </w:rPr>
              <w:t>ROE</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−0.436</w:t>
            </w:r>
          </w:p>
        </w:tc>
        <w:tc>
          <w:tcPr>
            <w:tcW w:type="dxa" w:w="1632"/>
          </w:tcPr>
          <w:p>
            <w:pPr>
              <w:pStyle w:val="MDPI42tablebody"/>
              <w:keepNext/>
              <w:spacing w:line="240" w:lineRule="auto" w:before="30" w:after="30"/>
              <w:jc w:val="center"/>
            </w:pPr>
            <w:r>
              <w:rPr>
                <w:b w:val="0"/>
                <w:i w:val="0"/>
                <w:sz w:val="18"/>
              </w:rPr>
              <w:t>−0.446</w:t>
            </w:r>
          </w:p>
        </w:tc>
        <w:tc>
          <w:tcPr>
            <w:tcW w:type="dxa" w:w="1632"/>
          </w:tcPr>
          <w:p>
            <w:pPr>
              <w:pStyle w:val="MDPI42tablebody"/>
              <w:keepNext/>
              <w:spacing w:line="240" w:lineRule="auto" w:before="30" w:after="30"/>
              <w:jc w:val="center"/>
            </w:pPr>
            <w:r>
              <w:rPr>
                <w:b w:val="0"/>
                <w:i w:val="0"/>
                <w:sz w:val="18"/>
              </w:rPr>
              <w:t>−0.433</w:t>
            </w:r>
          </w:p>
        </w:tc>
        <w:tc>
          <w:tcPr>
            <w:tcW w:type="dxa" w:w="1632"/>
          </w:tcPr>
          <w:p>
            <w:pPr>
              <w:pStyle w:val="MDPI42tablebody"/>
              <w:keepNext/>
              <w:spacing w:line="240" w:lineRule="auto" w:before="30" w:after="30"/>
              <w:jc w:val="center"/>
            </w:pPr>
            <w:r>
              <w:rPr>
                <w:b w:val="0"/>
                <w:i w:val="0"/>
                <w:sz w:val="18"/>
              </w:rPr>
              <w:t>−0.460*</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(0.278)</w:t>
            </w:r>
          </w:p>
        </w:tc>
        <w:tc>
          <w:tcPr>
            <w:tcW w:type="dxa" w:w="1632"/>
          </w:tcPr>
          <w:p>
            <w:pPr>
              <w:pStyle w:val="MDPI42tablebody"/>
              <w:keepNext/>
              <w:spacing w:line="240" w:lineRule="auto" w:before="30" w:after="30"/>
              <w:jc w:val="center"/>
            </w:pPr>
            <w:r>
              <w:rPr>
                <w:b w:val="0"/>
                <w:i w:val="0"/>
                <w:sz w:val="18"/>
              </w:rPr>
              <w:t>(0.280)</w:t>
            </w:r>
          </w:p>
        </w:tc>
      </w:tr>
      <w:tr>
        <w:trPr>
          <w:cantSplit/>
        </w:trPr>
        <w:tc>
          <w:tcPr>
            <w:tcW w:type="dxa" w:w="2302"/>
          </w:tcPr>
          <w:p>
            <w:pPr>
              <w:pStyle w:val="MDPI42tablebody"/>
              <w:keepNext/>
              <w:spacing w:line="240" w:lineRule="auto" w:before="30" w:after="30"/>
              <w:jc w:val="left"/>
            </w:pPr>
            <w:r>
              <w:rPr>
                <w:b w:val="0"/>
                <w:i/>
                <w:sz w:val="18"/>
              </w:rPr>
              <w:t>Growth</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0.090</w:t>
            </w:r>
          </w:p>
        </w:tc>
        <w:tc>
          <w:tcPr>
            <w:tcW w:type="dxa" w:w="1632"/>
          </w:tcPr>
          <w:p>
            <w:pPr>
              <w:pStyle w:val="MDPI42tablebody"/>
              <w:keepNext/>
              <w:spacing w:line="240" w:lineRule="auto" w:before="30" w:after="30"/>
              <w:jc w:val="center"/>
            </w:pPr>
            <w:r>
              <w:rPr>
                <w:b w:val="0"/>
                <w:i w:val="0"/>
                <w:sz w:val="18"/>
              </w:rPr>
              <w:t>0.092</w:t>
            </w:r>
          </w:p>
        </w:tc>
        <w:tc>
          <w:tcPr>
            <w:tcW w:type="dxa" w:w="1632"/>
          </w:tcPr>
          <w:p>
            <w:pPr>
              <w:pStyle w:val="MDPI42tablebody"/>
              <w:keepNext/>
              <w:spacing w:line="240" w:lineRule="auto" w:before="30" w:after="30"/>
              <w:jc w:val="center"/>
            </w:pPr>
            <w:r>
              <w:rPr>
                <w:b w:val="0"/>
                <w:i w:val="0"/>
                <w:sz w:val="18"/>
              </w:rPr>
              <w:t>0.096</w:t>
            </w:r>
          </w:p>
        </w:tc>
        <w:tc>
          <w:tcPr>
            <w:tcW w:type="dxa" w:w="1632"/>
          </w:tcPr>
          <w:p>
            <w:pPr>
              <w:pStyle w:val="MDPI42tablebody"/>
              <w:keepNext/>
              <w:spacing w:line="240" w:lineRule="auto" w:before="30" w:after="30"/>
              <w:jc w:val="center"/>
            </w:pPr>
            <w:r>
              <w:rPr>
                <w:b w:val="0"/>
                <w:i w:val="0"/>
                <w:sz w:val="18"/>
              </w:rPr>
              <w:t>0.101</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(0.100)</w:t>
            </w:r>
          </w:p>
        </w:tc>
        <w:tc>
          <w:tcPr>
            <w:tcW w:type="dxa" w:w="1632"/>
          </w:tcPr>
          <w:p>
            <w:pPr>
              <w:pStyle w:val="MDPI42tablebody"/>
              <w:keepNext/>
              <w:spacing w:line="240" w:lineRule="auto" w:before="30" w:after="30"/>
              <w:jc w:val="center"/>
            </w:pPr>
            <w:r>
              <w:rPr>
                <w:b w:val="0"/>
                <w:i w:val="0"/>
                <w:sz w:val="18"/>
              </w:rPr>
              <w:t>(0.100)</w:t>
            </w:r>
          </w:p>
        </w:tc>
        <w:tc>
          <w:tcPr>
            <w:tcW w:type="dxa" w:w="1632"/>
          </w:tcPr>
          <w:p>
            <w:pPr>
              <w:pStyle w:val="MDPI42tablebody"/>
              <w:keepNext/>
              <w:spacing w:line="240" w:lineRule="auto" w:before="30" w:after="30"/>
              <w:jc w:val="center"/>
            </w:pPr>
            <w:r>
              <w:rPr>
                <w:b w:val="0"/>
                <w:i w:val="0"/>
                <w:sz w:val="18"/>
              </w:rPr>
              <w:t>(0.100)</w:t>
            </w:r>
          </w:p>
        </w:tc>
        <w:tc>
          <w:tcPr>
            <w:tcW w:type="dxa" w:w="1632"/>
          </w:tcPr>
          <w:p>
            <w:pPr>
              <w:pStyle w:val="MDPI42tablebody"/>
              <w:keepNext/>
              <w:spacing w:line="240" w:lineRule="auto" w:before="30" w:after="30"/>
              <w:jc w:val="center"/>
            </w:pPr>
            <w:r>
              <w:rPr>
                <w:b w:val="0"/>
                <w:i w:val="0"/>
                <w:sz w:val="18"/>
              </w:rPr>
              <w:t>(0.101)</w:t>
            </w:r>
          </w:p>
        </w:tc>
      </w:tr>
      <w:tr>
        <w:trPr>
          <w:cantSplit/>
        </w:trPr>
        <w:tc>
          <w:tcPr>
            <w:tcW w:type="dxa" w:w="2302"/>
          </w:tcPr>
          <w:p>
            <w:pPr>
              <w:pStyle w:val="MDPI42tablebody"/>
              <w:keepNext/>
              <w:spacing w:line="240" w:lineRule="auto" w:before="30" w:after="30"/>
              <w:jc w:val="left"/>
            </w:pPr>
            <w:r>
              <w:rPr>
                <w:b w:val="0"/>
                <w:i/>
                <w:sz w:val="18"/>
              </w:rPr>
              <w:t>Age</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−2.024***</w:t>
            </w:r>
          </w:p>
        </w:tc>
        <w:tc>
          <w:tcPr>
            <w:tcW w:type="dxa" w:w="1632"/>
          </w:tcPr>
          <w:p>
            <w:pPr>
              <w:pStyle w:val="MDPI42tablebody"/>
              <w:keepNext/>
              <w:spacing w:line="240" w:lineRule="auto" w:before="30" w:after="30"/>
              <w:jc w:val="center"/>
            </w:pPr>
            <w:r>
              <w:rPr>
                <w:b w:val="0"/>
                <w:i w:val="0"/>
                <w:sz w:val="18"/>
              </w:rPr>
              <w:t>−2.053***</w:t>
            </w:r>
          </w:p>
        </w:tc>
        <w:tc>
          <w:tcPr>
            <w:tcW w:type="dxa" w:w="1632"/>
          </w:tcPr>
          <w:p>
            <w:pPr>
              <w:pStyle w:val="MDPI42tablebody"/>
              <w:keepNext/>
              <w:spacing w:line="240" w:lineRule="auto" w:before="30" w:after="30"/>
              <w:jc w:val="center"/>
            </w:pPr>
            <w:r>
              <w:rPr>
                <w:b w:val="0"/>
                <w:i w:val="0"/>
                <w:sz w:val="18"/>
              </w:rPr>
              <w:t>−2.025***</w:t>
            </w:r>
          </w:p>
        </w:tc>
        <w:tc>
          <w:tcPr>
            <w:tcW w:type="dxa" w:w="1632"/>
          </w:tcPr>
          <w:p>
            <w:pPr>
              <w:pStyle w:val="MDPI42tablebody"/>
              <w:keepNext/>
              <w:spacing w:line="240" w:lineRule="auto" w:before="30" w:after="30"/>
              <w:jc w:val="center"/>
            </w:pPr>
            <w:r>
              <w:rPr>
                <w:b w:val="0"/>
                <w:i w:val="0"/>
                <w:sz w:val="18"/>
              </w:rPr>
              <w:t>−2.105***</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(0.677)</w:t>
            </w:r>
          </w:p>
        </w:tc>
        <w:tc>
          <w:tcPr>
            <w:tcW w:type="dxa" w:w="1632"/>
          </w:tcPr>
          <w:p>
            <w:pPr>
              <w:pStyle w:val="MDPI42tablebody"/>
              <w:keepNext/>
              <w:spacing w:line="240" w:lineRule="auto" w:before="30" w:after="30"/>
              <w:jc w:val="center"/>
            </w:pPr>
            <w:r>
              <w:rPr>
                <w:b w:val="0"/>
                <w:i w:val="0"/>
                <w:sz w:val="18"/>
              </w:rPr>
              <w:t>(0.680)</w:t>
            </w:r>
          </w:p>
        </w:tc>
        <w:tc>
          <w:tcPr>
            <w:tcW w:type="dxa" w:w="1632"/>
          </w:tcPr>
          <w:p>
            <w:pPr>
              <w:pStyle w:val="MDPI42tablebody"/>
              <w:keepNext/>
              <w:spacing w:line="240" w:lineRule="auto" w:before="30" w:after="30"/>
              <w:jc w:val="center"/>
            </w:pPr>
            <w:r>
              <w:rPr>
                <w:b w:val="0"/>
                <w:i w:val="0"/>
                <w:sz w:val="18"/>
              </w:rPr>
              <w:t>(0.679)</w:t>
            </w:r>
          </w:p>
        </w:tc>
        <w:tc>
          <w:tcPr>
            <w:tcW w:type="dxa" w:w="1632"/>
          </w:tcPr>
          <w:p>
            <w:pPr>
              <w:pStyle w:val="MDPI42tablebody"/>
              <w:keepNext/>
              <w:spacing w:line="240" w:lineRule="auto" w:before="30" w:after="30"/>
              <w:jc w:val="center"/>
            </w:pPr>
            <w:r>
              <w:rPr>
                <w:b w:val="0"/>
                <w:i w:val="0"/>
                <w:sz w:val="18"/>
              </w:rPr>
              <w:t>(0.685)</w:t>
            </w:r>
          </w:p>
        </w:tc>
      </w:tr>
      <w:tr>
        <w:trPr>
          <w:cantSplit/>
        </w:trPr>
        <w:tc>
          <w:tcPr>
            <w:tcW w:type="dxa" w:w="2302"/>
          </w:tcPr>
          <w:p>
            <w:pPr>
              <w:pStyle w:val="MDPI42tablebody"/>
              <w:keepNext/>
              <w:spacing w:line="240" w:lineRule="auto" w:before="30" w:after="30"/>
              <w:jc w:val="left"/>
            </w:pPr>
            <w:r>
              <w:rPr>
                <w:b w:val="0"/>
                <w:i/>
                <w:sz w:val="18"/>
              </w:rPr>
              <w:t>Board</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0.021</w:t>
            </w:r>
          </w:p>
        </w:tc>
        <w:tc>
          <w:tcPr>
            <w:tcW w:type="dxa" w:w="1632"/>
          </w:tcPr>
          <w:p>
            <w:pPr>
              <w:pStyle w:val="MDPI42tablebody"/>
              <w:keepNext/>
              <w:spacing w:line="240" w:lineRule="auto" w:before="30" w:after="30"/>
              <w:jc w:val="center"/>
            </w:pPr>
            <w:r>
              <w:rPr>
                <w:b w:val="0"/>
                <w:i w:val="0"/>
                <w:sz w:val="18"/>
              </w:rPr>
              <w:t>0.025</w:t>
            </w:r>
          </w:p>
        </w:tc>
        <w:tc>
          <w:tcPr>
            <w:tcW w:type="dxa" w:w="1632"/>
          </w:tcPr>
          <w:p>
            <w:pPr>
              <w:pStyle w:val="MDPI42tablebody"/>
              <w:keepNext/>
              <w:spacing w:line="240" w:lineRule="auto" w:before="30" w:after="30"/>
              <w:jc w:val="center"/>
            </w:pPr>
            <w:r>
              <w:rPr>
                <w:b w:val="0"/>
                <w:i w:val="0"/>
                <w:sz w:val="18"/>
              </w:rPr>
              <w:t>0.036</w:t>
            </w:r>
          </w:p>
        </w:tc>
        <w:tc>
          <w:tcPr>
            <w:tcW w:type="dxa" w:w="1632"/>
          </w:tcPr>
          <w:p>
            <w:pPr>
              <w:pStyle w:val="MDPI42tablebody"/>
              <w:keepNext/>
              <w:spacing w:line="240" w:lineRule="auto" w:before="30" w:after="30"/>
              <w:jc w:val="center"/>
            </w:pPr>
            <w:r>
              <w:rPr>
                <w:b w:val="0"/>
                <w:i w:val="0"/>
                <w:sz w:val="18"/>
              </w:rPr>
              <w:t>0.025</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(0.178)</w:t>
            </w:r>
          </w:p>
        </w:tc>
        <w:tc>
          <w:tcPr>
            <w:tcW w:type="dxa" w:w="1632"/>
          </w:tcPr>
          <w:p>
            <w:pPr>
              <w:pStyle w:val="MDPI42tablebody"/>
              <w:keepNext/>
              <w:spacing w:line="240" w:lineRule="auto" w:before="30" w:after="30"/>
              <w:jc w:val="center"/>
            </w:pPr>
            <w:r>
              <w:rPr>
                <w:b w:val="0"/>
                <w:i w:val="0"/>
                <w:sz w:val="18"/>
              </w:rPr>
              <w:t>(0.178)</w:t>
            </w:r>
          </w:p>
        </w:tc>
        <w:tc>
          <w:tcPr>
            <w:tcW w:type="dxa" w:w="1632"/>
          </w:tcPr>
          <w:p>
            <w:pPr>
              <w:pStyle w:val="MDPI42tablebody"/>
              <w:keepNext/>
              <w:spacing w:line="240" w:lineRule="auto" w:before="30" w:after="30"/>
              <w:jc w:val="center"/>
            </w:pPr>
            <w:r>
              <w:rPr>
                <w:b w:val="0"/>
                <w:i w:val="0"/>
                <w:sz w:val="18"/>
              </w:rPr>
              <w:t>(0.178)</w:t>
            </w:r>
          </w:p>
        </w:tc>
        <w:tc>
          <w:tcPr>
            <w:tcW w:type="dxa" w:w="1632"/>
          </w:tcPr>
          <w:p>
            <w:pPr>
              <w:pStyle w:val="MDPI42tablebody"/>
              <w:keepNext/>
              <w:spacing w:line="240" w:lineRule="auto" w:before="30" w:after="30"/>
              <w:jc w:val="center"/>
            </w:pPr>
            <w:r>
              <w:rPr>
                <w:b w:val="0"/>
                <w:i w:val="0"/>
                <w:sz w:val="18"/>
              </w:rPr>
              <w:t>(0.180)</w:t>
            </w:r>
          </w:p>
        </w:tc>
      </w:tr>
      <w:tr>
        <w:trPr>
          <w:cantSplit/>
        </w:trPr>
        <w:tc>
          <w:tcPr>
            <w:tcW w:type="dxa" w:w="2302"/>
          </w:tcPr>
          <w:p>
            <w:pPr>
              <w:pStyle w:val="MDPI42tablebody"/>
              <w:keepNext/>
              <w:spacing w:line="240" w:lineRule="auto" w:before="30" w:after="30"/>
              <w:jc w:val="left"/>
            </w:pPr>
            <w:r>
              <w:rPr>
                <w:b w:val="0"/>
                <w:i/>
                <w:sz w:val="18"/>
              </w:rPr>
              <w:t>Indep</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0.935</w:t>
            </w:r>
          </w:p>
        </w:tc>
        <w:tc>
          <w:tcPr>
            <w:tcW w:type="dxa" w:w="1632"/>
          </w:tcPr>
          <w:p>
            <w:pPr>
              <w:pStyle w:val="MDPI42tablebody"/>
              <w:keepNext/>
              <w:spacing w:line="240" w:lineRule="auto" w:before="30" w:after="30"/>
              <w:jc w:val="center"/>
            </w:pPr>
            <w:r>
              <w:rPr>
                <w:b w:val="0"/>
                <w:i w:val="0"/>
                <w:sz w:val="18"/>
              </w:rPr>
              <w:t>0.917</w:t>
            </w:r>
          </w:p>
        </w:tc>
        <w:tc>
          <w:tcPr>
            <w:tcW w:type="dxa" w:w="1632"/>
          </w:tcPr>
          <w:p>
            <w:pPr>
              <w:pStyle w:val="MDPI42tablebody"/>
              <w:keepNext/>
              <w:spacing w:line="240" w:lineRule="auto" w:before="30" w:after="30"/>
              <w:jc w:val="center"/>
            </w:pPr>
            <w:r>
              <w:rPr>
                <w:b w:val="0"/>
                <w:i w:val="0"/>
                <w:sz w:val="18"/>
              </w:rPr>
              <w:t>0.942</w:t>
            </w:r>
          </w:p>
        </w:tc>
        <w:tc>
          <w:tcPr>
            <w:tcW w:type="dxa" w:w="1632"/>
          </w:tcPr>
          <w:p>
            <w:pPr>
              <w:pStyle w:val="MDPI42tablebody"/>
              <w:keepNext/>
              <w:spacing w:line="240" w:lineRule="auto" w:before="30" w:after="30"/>
              <w:jc w:val="center"/>
            </w:pPr>
            <w:r>
              <w:rPr>
                <w:b w:val="0"/>
                <w:i w:val="0"/>
                <w:sz w:val="18"/>
              </w:rPr>
              <w:t>0.903</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(0.710)</w:t>
            </w:r>
          </w:p>
        </w:tc>
        <w:tc>
          <w:tcPr>
            <w:tcW w:type="dxa" w:w="1632"/>
          </w:tcPr>
          <w:p>
            <w:pPr>
              <w:pStyle w:val="MDPI42tablebody"/>
              <w:keepNext/>
              <w:spacing w:line="240" w:lineRule="auto" w:before="30" w:after="30"/>
              <w:jc w:val="center"/>
            </w:pPr>
            <w:r>
              <w:rPr>
                <w:b w:val="0"/>
                <w:i w:val="0"/>
                <w:sz w:val="18"/>
              </w:rPr>
              <w:t>(0.711)</w:t>
            </w:r>
          </w:p>
        </w:tc>
        <w:tc>
          <w:tcPr>
            <w:tcW w:type="dxa" w:w="1632"/>
          </w:tcPr>
          <w:p>
            <w:pPr>
              <w:pStyle w:val="MDPI42tablebody"/>
              <w:keepNext/>
              <w:spacing w:line="240" w:lineRule="auto" w:before="30" w:after="30"/>
              <w:jc w:val="center"/>
            </w:pPr>
            <w:r>
              <w:rPr>
                <w:b w:val="0"/>
                <w:i w:val="0"/>
                <w:sz w:val="18"/>
              </w:rPr>
              <w:t>(0.710)</w:t>
            </w:r>
          </w:p>
        </w:tc>
        <w:tc>
          <w:tcPr>
            <w:tcW w:type="dxa" w:w="1632"/>
          </w:tcPr>
          <w:p>
            <w:pPr>
              <w:pStyle w:val="MDPI42tablebody"/>
              <w:keepNext/>
              <w:spacing w:line="240" w:lineRule="auto" w:before="30" w:after="30"/>
              <w:jc w:val="center"/>
            </w:pPr>
            <w:r>
              <w:rPr>
                <w:b w:val="0"/>
                <w:i w:val="0"/>
                <w:sz w:val="18"/>
              </w:rPr>
              <w:t>(0.716)</w:t>
            </w:r>
          </w:p>
        </w:tc>
      </w:tr>
      <w:tr>
        <w:trPr>
          <w:cantSplit/>
        </w:trPr>
        <w:tc>
          <w:tcPr>
            <w:tcW w:type="dxa" w:w="2302"/>
          </w:tcPr>
          <w:p>
            <w:pPr>
              <w:pStyle w:val="MDPI42tablebody"/>
              <w:keepNext/>
              <w:spacing w:line="240" w:lineRule="auto" w:before="30" w:after="30"/>
              <w:jc w:val="left"/>
            </w:pPr>
            <w:r>
              <w:rPr>
                <w:b w:val="0"/>
                <w:i/>
                <w:sz w:val="18"/>
              </w:rPr>
              <w:t>Dual</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−0.092</w:t>
            </w:r>
          </w:p>
        </w:tc>
        <w:tc>
          <w:tcPr>
            <w:tcW w:type="dxa" w:w="1632"/>
          </w:tcPr>
          <w:p>
            <w:pPr>
              <w:pStyle w:val="MDPI42tablebody"/>
              <w:keepNext/>
              <w:spacing w:line="240" w:lineRule="auto" w:before="30" w:after="30"/>
              <w:jc w:val="center"/>
            </w:pPr>
            <w:r>
              <w:rPr>
                <w:b w:val="0"/>
                <w:i w:val="0"/>
                <w:sz w:val="18"/>
              </w:rPr>
              <w:t>−0.103</w:t>
            </w:r>
          </w:p>
        </w:tc>
        <w:tc>
          <w:tcPr>
            <w:tcW w:type="dxa" w:w="1632"/>
          </w:tcPr>
          <w:p>
            <w:pPr>
              <w:pStyle w:val="MDPI42tablebody"/>
              <w:keepNext/>
              <w:spacing w:line="240" w:lineRule="auto" w:before="30" w:after="30"/>
              <w:jc w:val="center"/>
            </w:pPr>
            <w:r>
              <w:rPr>
                <w:b w:val="0"/>
                <w:i w:val="0"/>
                <w:sz w:val="18"/>
              </w:rPr>
              <w:t>−0.095</w:t>
            </w:r>
          </w:p>
        </w:tc>
        <w:tc>
          <w:tcPr>
            <w:tcW w:type="dxa" w:w="1632"/>
          </w:tcPr>
          <w:p>
            <w:pPr>
              <w:pStyle w:val="MDPI42tablebody"/>
              <w:keepNext/>
              <w:spacing w:line="240" w:lineRule="auto" w:before="30" w:after="30"/>
              <w:jc w:val="center"/>
            </w:pPr>
            <w:r>
              <w:rPr>
                <w:b w:val="0"/>
                <w:i w:val="0"/>
                <w:sz w:val="18"/>
              </w:rPr>
              <w:t>−0.082</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(0.074)</w:t>
            </w:r>
          </w:p>
        </w:tc>
        <w:tc>
          <w:tcPr>
            <w:tcW w:type="dxa" w:w="1632"/>
          </w:tcPr>
          <w:p>
            <w:pPr>
              <w:pStyle w:val="MDPI42tablebody"/>
              <w:keepNext/>
              <w:spacing w:line="240" w:lineRule="auto" w:before="30" w:after="30"/>
              <w:jc w:val="center"/>
            </w:pPr>
            <w:r>
              <w:rPr>
                <w:b w:val="0"/>
                <w:i w:val="0"/>
                <w:sz w:val="18"/>
              </w:rPr>
              <w:t>(0.074)</w:t>
            </w:r>
          </w:p>
        </w:tc>
        <w:tc>
          <w:tcPr>
            <w:tcW w:type="dxa" w:w="1632"/>
          </w:tcPr>
          <w:p>
            <w:pPr>
              <w:pStyle w:val="MDPI42tablebody"/>
              <w:keepNext/>
              <w:spacing w:line="240" w:lineRule="auto" w:before="30" w:after="30"/>
              <w:jc w:val="center"/>
            </w:pPr>
            <w:r>
              <w:rPr>
                <w:b w:val="0"/>
                <w:i w:val="0"/>
                <w:sz w:val="18"/>
              </w:rPr>
              <w:t>(0.074)</w:t>
            </w:r>
          </w:p>
        </w:tc>
        <w:tc>
          <w:tcPr>
            <w:tcW w:type="dxa" w:w="1632"/>
          </w:tcPr>
          <w:p>
            <w:pPr>
              <w:pStyle w:val="MDPI42tablebody"/>
              <w:keepNext/>
              <w:spacing w:line="240" w:lineRule="auto" w:before="30" w:after="30"/>
              <w:jc w:val="center"/>
            </w:pPr>
            <w:r>
              <w:rPr>
                <w:b w:val="0"/>
                <w:i w:val="0"/>
                <w:sz w:val="18"/>
              </w:rPr>
              <w:t>(0.075)</w:t>
            </w:r>
          </w:p>
        </w:tc>
      </w:tr>
      <w:tr>
        <w:trPr>
          <w:cantSplit/>
        </w:trPr>
        <w:tc>
          <w:tcPr>
            <w:tcW w:type="dxa" w:w="2302"/>
          </w:tcPr>
          <w:p>
            <w:pPr>
              <w:pStyle w:val="MDPI42tablebody"/>
              <w:keepNext/>
              <w:spacing w:line="240" w:lineRule="auto" w:before="30" w:after="30"/>
              <w:jc w:val="left"/>
            </w:pPr>
            <w:r>
              <w:rPr>
                <w:b w:val="0"/>
                <w:i/>
                <w:sz w:val="18"/>
              </w:rPr>
              <w:t>TobinQ</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0.007</w:t>
            </w:r>
          </w:p>
        </w:tc>
        <w:tc>
          <w:tcPr>
            <w:tcW w:type="dxa" w:w="1632"/>
          </w:tcPr>
          <w:p>
            <w:pPr>
              <w:pStyle w:val="MDPI42tablebody"/>
              <w:keepNext/>
              <w:spacing w:line="240" w:lineRule="auto" w:before="30" w:after="30"/>
              <w:jc w:val="center"/>
            </w:pPr>
            <w:r>
              <w:rPr>
                <w:b w:val="0"/>
                <w:i w:val="0"/>
                <w:sz w:val="18"/>
              </w:rPr>
              <w:t>0.004</w:t>
            </w:r>
          </w:p>
        </w:tc>
        <w:tc>
          <w:tcPr>
            <w:tcW w:type="dxa" w:w="1632"/>
          </w:tcPr>
          <w:p>
            <w:pPr>
              <w:pStyle w:val="MDPI42tablebody"/>
              <w:keepNext/>
              <w:spacing w:line="240" w:lineRule="auto" w:before="30" w:after="30"/>
              <w:jc w:val="center"/>
            </w:pPr>
            <w:r>
              <w:rPr>
                <w:b w:val="0"/>
                <w:i w:val="0"/>
                <w:sz w:val="18"/>
              </w:rPr>
              <w:t>0.013</w:t>
            </w:r>
          </w:p>
        </w:tc>
        <w:tc>
          <w:tcPr>
            <w:tcW w:type="dxa" w:w="1632"/>
          </w:tcPr>
          <w:p>
            <w:pPr>
              <w:pStyle w:val="MDPI42tablebody"/>
              <w:keepNext/>
              <w:spacing w:line="240" w:lineRule="auto" w:before="30" w:after="30"/>
              <w:jc w:val="center"/>
            </w:pPr>
            <w:r>
              <w:rPr>
                <w:b w:val="0"/>
                <w:i w:val="0"/>
                <w:sz w:val="18"/>
              </w:rPr>
              <w:t>0.011</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(0.031)</w:t>
            </w:r>
          </w:p>
        </w:tc>
        <w:tc>
          <w:tcPr>
            <w:tcW w:type="dxa" w:w="1632"/>
          </w:tcPr>
          <w:p>
            <w:pPr>
              <w:pStyle w:val="MDPI42tablebody"/>
              <w:keepNext/>
              <w:spacing w:line="240" w:lineRule="auto" w:before="30" w:after="30"/>
              <w:jc w:val="center"/>
            </w:pPr>
            <w:r>
              <w:rPr>
                <w:b w:val="0"/>
                <w:i w:val="0"/>
                <w:sz w:val="18"/>
              </w:rPr>
              <w:t>(0.031)</w:t>
            </w:r>
          </w:p>
        </w:tc>
        <w:tc>
          <w:tcPr>
            <w:tcW w:type="dxa" w:w="1632"/>
          </w:tcPr>
          <w:p>
            <w:pPr>
              <w:pStyle w:val="MDPI42tablebody"/>
              <w:keepNext/>
              <w:spacing w:line="240" w:lineRule="auto" w:before="30" w:after="30"/>
              <w:jc w:val="center"/>
            </w:pPr>
            <w:r>
              <w:rPr>
                <w:b w:val="0"/>
                <w:i w:val="0"/>
                <w:sz w:val="18"/>
              </w:rPr>
              <w:t>(0.031)</w:t>
            </w:r>
          </w:p>
        </w:tc>
        <w:tc>
          <w:tcPr>
            <w:tcW w:type="dxa" w:w="1632"/>
          </w:tcPr>
          <w:p>
            <w:pPr>
              <w:pStyle w:val="MDPI42tablebody"/>
              <w:keepNext/>
              <w:spacing w:line="240" w:lineRule="auto" w:before="30" w:after="30"/>
              <w:jc w:val="center"/>
            </w:pPr>
            <w:r>
              <w:rPr>
                <w:b w:val="0"/>
                <w:i w:val="0"/>
                <w:sz w:val="18"/>
              </w:rPr>
              <w:t>(0.031)</w:t>
            </w:r>
          </w:p>
        </w:tc>
      </w:tr>
      <w:tr>
        <w:trPr>
          <w:cantSplit/>
        </w:trPr>
        <w:tc>
          <w:tcPr>
            <w:tcW w:type="dxa" w:w="2302"/>
          </w:tcPr>
          <w:p>
            <w:pPr>
              <w:pStyle w:val="MDPI42tablebody"/>
              <w:keepNext/>
              <w:spacing w:line="240" w:lineRule="auto" w:before="30" w:after="30"/>
              <w:jc w:val="left"/>
            </w:pPr>
            <w:r>
              <w:rPr>
                <w:b w:val="0"/>
                <w:i/>
                <w:sz w:val="18"/>
              </w:rPr>
              <w:t>Fixed</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0.161</w:t>
            </w:r>
          </w:p>
        </w:tc>
        <w:tc>
          <w:tcPr>
            <w:tcW w:type="dxa" w:w="1632"/>
          </w:tcPr>
          <w:p>
            <w:pPr>
              <w:pStyle w:val="MDPI42tablebody"/>
              <w:keepNext/>
              <w:spacing w:line="240" w:lineRule="auto" w:before="30" w:after="30"/>
              <w:jc w:val="center"/>
            </w:pPr>
            <w:r>
              <w:rPr>
                <w:b w:val="0"/>
                <w:i w:val="0"/>
                <w:sz w:val="18"/>
              </w:rPr>
              <w:t>0.152</w:t>
            </w:r>
          </w:p>
        </w:tc>
        <w:tc>
          <w:tcPr>
            <w:tcW w:type="dxa" w:w="1632"/>
          </w:tcPr>
          <w:p>
            <w:pPr>
              <w:pStyle w:val="MDPI42tablebody"/>
              <w:keepNext/>
              <w:spacing w:line="240" w:lineRule="auto" w:before="30" w:after="30"/>
              <w:jc w:val="center"/>
            </w:pPr>
            <w:r>
              <w:rPr>
                <w:b w:val="0"/>
                <w:i w:val="0"/>
                <w:sz w:val="18"/>
              </w:rPr>
              <w:t>0.155</w:t>
            </w:r>
          </w:p>
        </w:tc>
        <w:tc>
          <w:tcPr>
            <w:tcW w:type="dxa" w:w="1632"/>
          </w:tcPr>
          <w:p>
            <w:pPr>
              <w:pStyle w:val="MDPI42tablebody"/>
              <w:keepNext/>
              <w:spacing w:line="240" w:lineRule="auto" w:before="30" w:after="30"/>
              <w:jc w:val="center"/>
            </w:pPr>
            <w:r>
              <w:rPr>
                <w:b w:val="0"/>
                <w:i w:val="0"/>
                <w:sz w:val="18"/>
              </w:rPr>
              <w:t>0.142</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(0.278)</w:t>
            </w:r>
          </w:p>
        </w:tc>
        <w:tc>
          <w:tcPr>
            <w:tcW w:type="dxa" w:w="1632"/>
          </w:tcPr>
          <w:p>
            <w:pPr>
              <w:pStyle w:val="MDPI42tablebody"/>
              <w:keepNext/>
              <w:spacing w:line="240" w:lineRule="auto" w:before="30" w:after="30"/>
              <w:jc w:val="center"/>
            </w:pPr>
            <w:r>
              <w:rPr>
                <w:b w:val="0"/>
                <w:i w:val="0"/>
                <w:sz w:val="18"/>
              </w:rPr>
              <w:t>(0.278)</w:t>
            </w:r>
          </w:p>
        </w:tc>
      </w:tr>
      <w:tr>
        <w:trPr>
          <w:cantSplit/>
        </w:trPr>
        <w:tc>
          <w:tcPr>
            <w:tcW w:type="dxa" w:w="2302"/>
          </w:tcPr>
          <w:p>
            <w:pPr>
              <w:pStyle w:val="MDPI42tablebody"/>
              <w:keepNext/>
              <w:spacing w:line="240" w:lineRule="auto" w:before="30" w:after="30"/>
              <w:jc w:val="left"/>
            </w:pPr>
            <w:r>
              <w:rPr>
                <w:b w:val="0"/>
                <w:i/>
                <w:sz w:val="18"/>
              </w:rPr>
              <w:t>Firm FE</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r>
      <w:tr>
        <w:trPr>
          <w:cantSplit/>
        </w:trPr>
        <w:tc>
          <w:tcPr>
            <w:tcW w:type="dxa" w:w="2302"/>
          </w:tcPr>
          <w:p>
            <w:pPr>
              <w:pStyle w:val="MDPI42tablebody"/>
              <w:keepNext/>
              <w:spacing w:line="240" w:lineRule="auto" w:before="30" w:after="30"/>
              <w:jc w:val="left"/>
            </w:pPr>
            <w:r>
              <w:rPr>
                <w:b w:val="0"/>
                <w:i/>
                <w:sz w:val="18"/>
              </w:rPr>
              <w:t>Year FE</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r>
      <w:tr>
        <w:trPr>
          <w:cantSplit/>
        </w:trPr>
        <w:tc>
          <w:tcPr>
            <w:tcW w:type="dxa" w:w="2302"/>
          </w:tcPr>
          <w:p>
            <w:pPr>
              <w:pStyle w:val="MDPI42tablebody"/>
              <w:keepNext/>
              <w:spacing w:line="240" w:lineRule="auto" w:before="30" w:after="30"/>
              <w:jc w:val="left"/>
            </w:pPr>
            <w:r>
              <w:rPr>
                <w:b w:val="0"/>
                <w:i/>
                <w:sz w:val="18"/>
              </w:rPr>
              <w:t>Industry × year FE</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No</w:t>
            </w:r>
          </w:p>
        </w:tc>
      </w:tr>
      <w:tr>
        <w:trPr>
          <w:cantSplit/>
        </w:trPr>
        <w:tc>
          <w:tcPr>
            <w:tcW w:type="dxa" w:w="2302"/>
          </w:tcPr>
          <w:p>
            <w:pPr>
              <w:pStyle w:val="MDPI42tablebody"/>
              <w:keepNext/>
              <w:spacing w:line="240" w:lineRule="auto" w:before="30" w:after="30"/>
              <w:jc w:val="left"/>
            </w:pPr>
            <w:r>
              <w:rPr>
                <w:b w:val="0"/>
                <w:i/>
                <w:sz w:val="18"/>
              </w:rPr>
              <w:t>Province × year FE</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No</w:t>
            </w:r>
          </w:p>
        </w:tc>
        <w:tc>
          <w:tcPr>
            <w:tcW w:type="dxa" w:w="1632"/>
          </w:tcPr>
          <w:p>
            <w:pPr>
              <w:pStyle w:val="MDPI42tablebody"/>
              <w:keepNext/>
              <w:spacing w:line="240" w:lineRule="auto" w:before="30" w:after="30"/>
              <w:jc w:val="center"/>
            </w:pPr>
            <w:r>
              <w:rPr>
                <w:b w:val="0"/>
                <w:i w:val="0"/>
                <w:sz w:val="18"/>
              </w:rPr>
              <w:t>Yes</w:t>
            </w:r>
          </w:p>
        </w:tc>
      </w:tr>
      <w:tr>
        <w:trPr>
          <w:cantSplit/>
        </w:trPr>
        <w:tc>
          <w:tcPr>
            <w:tcW w:type="dxa" w:w="2302"/>
          </w:tcPr>
          <w:p>
            <w:pPr>
              <w:pStyle w:val="MDPI42tablebody"/>
              <w:keepNext/>
              <w:spacing w:line="240" w:lineRule="auto" w:before="30" w:after="30"/>
              <w:jc w:val="left"/>
            </w:pPr>
            <w:r>
              <w:rPr>
                <w:b w:val="0"/>
                <w:i/>
                <w:sz w:val="18"/>
              </w:rPr>
              <w:t>Observations</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r>
      <w:tr>
        <w:trPr>
          <w:cantSplit/>
        </w:trPr>
        <w:tc>
          <w:tcPr>
            <w:tcW w:type="dxa" w:w="2302"/>
          </w:tcPr>
          <w:p>
            <w:pPr>
              <w:pStyle w:val="MDPI42tablebody"/>
              <w:spacing w:line="240" w:lineRule="auto" w:before="30" w:after="30"/>
              <w:jc w:val="left"/>
            </w:pPr>
            <w:r>
              <w:rPr>
                <w:b w:val="0"/>
                <w:i/>
                <w:sz w:val="18"/>
              </w:rPr>
              <w:t>Within R²</w:t>
            </w:r>
          </w:p>
        </w:tc>
        <w:tc>
          <w:tcPr>
            <w:tcW w:type="dxa" w:w="1632"/>
          </w:tcPr>
          <w:p>
            <w:pPr>
              <w:pStyle w:val="MDPI42tablebody"/>
              <w:spacing w:line="240" w:lineRule="auto" w:before="30" w:after="30"/>
              <w:jc w:val="center"/>
            </w:pPr>
            <w:r>
              <w:rPr>
                <w:b w:val="0"/>
                <w:i w:val="0"/>
                <w:sz w:val="18"/>
              </w:rPr>
              <w:t>0.077</w:t>
            </w:r>
          </w:p>
        </w:tc>
        <w:tc>
          <w:tcPr>
            <w:tcW w:type="dxa" w:w="1632"/>
          </w:tcPr>
          <w:p>
            <w:pPr>
              <w:pStyle w:val="MDPI42tablebody"/>
              <w:spacing w:line="240" w:lineRule="auto" w:before="30" w:after="30"/>
              <w:jc w:val="center"/>
            </w:pPr>
            <w:r>
              <w:rPr>
                <w:b w:val="0"/>
                <w:i w:val="0"/>
                <w:sz w:val="18"/>
              </w:rPr>
              <w:t>0.077</w:t>
            </w:r>
          </w:p>
        </w:tc>
        <w:tc>
          <w:tcPr>
            <w:tcW w:type="dxa" w:w="1632"/>
          </w:tcPr>
          <w:p>
            <w:pPr>
              <w:pStyle w:val="MDPI42tablebody"/>
              <w:spacing w:line="240" w:lineRule="auto" w:before="30" w:after="30"/>
              <w:jc w:val="center"/>
            </w:pPr>
            <w:r>
              <w:rPr>
                <w:b w:val="0"/>
                <w:i w:val="0"/>
                <w:sz w:val="18"/>
              </w:rPr>
              <w:t>0.077</w:t>
            </w:r>
          </w:p>
        </w:tc>
        <w:tc>
          <w:tcPr>
            <w:tcW w:type="dxa" w:w="1632"/>
          </w:tcPr>
          <w:p>
            <w:pPr>
              <w:pStyle w:val="MDPI42tablebody"/>
              <w:spacing w:line="240" w:lineRule="auto" w:before="30" w:after="30"/>
              <w:jc w:val="center"/>
            </w:pPr>
            <w:r>
              <w:rPr>
                <w:b w:val="0"/>
                <w:i w:val="0"/>
                <w:sz w:val="18"/>
              </w:rPr>
              <w:t>0.075</w:t>
            </w:r>
          </w:p>
        </w:tc>
        <w:tc>
          <w:tcPr>
            <w:tcW w:type="dxa" w:w="1632"/>
          </w:tcPr>
          <w:p>
            <w:pPr>
              <w:pStyle w:val="MDPI42tablebody"/>
              <w:spacing w:line="240" w:lineRule="auto" w:before="30" w:after="30"/>
              <w:jc w:val="center"/>
            </w:pPr>
            <w:r>
              <w:rPr>
                <w:b w:val="0"/>
                <w:i w:val="0"/>
                <w:sz w:val="18"/>
              </w:rPr>
              <w:t>0.071</w:t>
            </w:r>
          </w:p>
        </w:tc>
      </w:tr>
    </w:tbl>
    <w:p>
      <w:pPr>
        <w:pStyle w:val="MDPI43tablefooter"/>
        <w:spacing w:line="240" w:lineRule="auto" w:before="40" w:after="200"/>
        <w:ind w:left="2608" w:firstLine="0"/>
      </w:pPr>
      <w:r>
        <w:rPr>
          <w:sz w:val="16"/>
        </w:rPr>
        <w:t xml:space="preserve">Note: </w:t>
      </w:r>
      <w:r>
        <w:rPr>
          <w:b w:val="0"/>
          <w:i w:val="0"/>
          <w:sz w:val="16"/>
        </w:rPr>
        <w:t>The dependent variable is the share of employees aged 30 or below. Standard errors clustered at the firm level are in parentheses. ***, ** and * denote significance at the 1%, 5% and 10% levels. Column (3) replaces the continuous adoption measure with the interaction of ex-ante task exposure and the post-2022 indicator.</w:t>
      </w:r>
    </w:p>
    <w:p>
      <w:pPr>
        <w:pStyle w:val="MDPI31text"/>
      </w:pPr>
      <w:r>
        <w:rPr>
          <w:b w:val="0"/>
          <w:i w:val="0"/>
        </w:rPr>
        <w:t>Column (3) replaces the continuous measure with the interaction of ex-ante task exposure and the post-shock indicator, the sharp difference-in-differences form; the coefficient is −2.815 and significant, confirming that the result is driven by firms whose pre-existing task structure was most exposed rather than by adoption reporting itself. Columns (4) and (5) replace the year fixed effects with industry-by-year and province-by-year fixed effects, absorbing any shock common to an industry or a province in a given year, including sectoral demand cycles and provincial labour-market or graduate-supply conditions. The coefficient is stable across both.</w:t>
      </w:r>
    </w:p>
    <w:p>
      <w:pPr>
        <w:pStyle w:val="MDPI22heading2"/>
      </w:pPr>
      <w:r>
        <w:t>4.3. Parallel Trends and Dynamic Effects</w:t>
      </w:r>
    </w:p>
    <w:p>
      <w:pPr>
        <w:pStyle w:val="MDPI32textnoindent"/>
      </w:pPr>
      <w:r>
        <w:rPr>
          <w:b w:val="0"/>
          <w:i w:val="0"/>
        </w:rPr>
        <w:t>Figure 3 plots the event-study coefficients from Equation (4) with 95% confidence intervals. None of the pre-shock coefficients is individually significant and they are jointly indistinguishable from zero (</w:t>
      </w:r>
      <m:oMath>
        <m:sSup>
          <m:e>
            <m:r>
              <m:t xml:space="preserve">χ</m:t>
            </m:r>
          </m:e>
          <m:sup>
            <m:r>
              <m:rPr>
                <m:sty m:val="p"/>
              </m:rPr>
              <m:t xml:space="preserve">2</m:t>
            </m:r>
          </m:sup>
        </m:sSup>
        <m:r>
          <m:rPr>
            <m:sty m:val="p"/>
          </m:rPr>
          <m:t xml:space="preserve">(</m:t>
        </m:r>
        <m:r>
          <m:rPr>
            <m:sty m:val="p"/>
          </m:rPr>
          <m:t xml:space="preserve">6</m:t>
        </m:r>
        <m:r>
          <m:rPr>
            <m:sty m:val="p"/>
          </m:rPr>
          <m:t xml:space="preserve">)</m:t>
        </m:r>
        <m:r>
          <m:rPr>
            <m:sty m:val="p"/>
          </m:rPr>
          <m:t xml:space="preserve">=</m:t>
        </m:r>
        <m:r>
          <m:rPr>
            <m:sty m:val="p"/>
          </m:rPr>
          <m:t xml:space="preserve">6.75</m:t>
        </m:r>
      </m:oMath>
      <w:r>
        <w:rPr>
          <w:b w:val="0"/>
          <w:i w:val="0"/>
        </w:rPr>
        <w:t xml:space="preserve">, </w:t>
      </w:r>
      <m:oMath>
        <m:r>
          <m:t xml:space="preserve">p</m:t>
        </m:r>
        <m:r>
          <m:rPr>
            <m:sty m:val="p"/>
          </m:rPr>
          <m:t xml:space="preserve">=</m:t>
        </m:r>
        <m:r>
          <m:rPr>
            <m:sty m:val="p"/>
          </m:rPr>
          <m:t xml:space="preserve">0.344</m:t>
        </m:r>
      </m:oMath>
      <w:r>
        <w:rPr>
          <w:b w:val="0"/>
          <w:i w:val="0"/>
        </w:rPr>
        <w:t>), which supports the parallel-trends assumption: firms with more exposed task structures were not already on a different youth-employment trajectory. The post-shock coefficients are negative, grow in magnitude over the three post-shock years, and are individually significant, which is the pattern expected of a technology whose penetration deepens over time rather than of a one-off level shift.</w:t>
      </w:r>
    </w:p>
    <w:p>
      <w:pPr>
        <w:pStyle w:val="MDPI52figure"/>
        <w:keepNext/>
        <w:ind w:left="2608" w:firstLine="0"/>
        <w:jc w:val="center"/>
      </w:pPr>
      <w:r>
        <w:drawing>
          <wp:inline xmlns:a="http://schemas.openxmlformats.org/drawingml/2006/main" xmlns:pic="http://schemas.openxmlformats.org/drawingml/2006/picture">
            <wp:extent cx="4968000" cy="2481335"/>
            <wp:docPr id="3" name="Picture 3"/>
            <wp:cNvGraphicFramePr>
              <a:graphicFrameLocks noChangeAspect="1"/>
            </wp:cNvGraphicFramePr>
            <a:graphic>
              <a:graphicData uri="http://schemas.openxmlformats.org/drawingml/2006/picture">
                <pic:pic>
                  <pic:nvPicPr>
                    <pic:cNvPr id="0" name="figure3_eventstudy.png"/>
                    <pic:cNvPicPr/>
                  </pic:nvPicPr>
                  <pic:blipFill>
                    <a:blip r:embed="rId19"/>
                    <a:stretch>
                      <a:fillRect/>
                    </a:stretch>
                  </pic:blipFill>
                  <pic:spPr>
                    <a:xfrm>
                      <a:off x="0" y="0"/>
                      <a:ext cx="4968000" cy="2481335"/>
                    </a:xfrm>
                    <a:prstGeom prst="rect"/>
                  </pic:spPr>
                </pic:pic>
              </a:graphicData>
            </a:graphic>
          </wp:inline>
        </w:drawing>
      </w:r>
    </w:p>
    <w:p>
      <w:pPr>
        <w:pStyle w:val="MDPI51figurecaption"/>
        <w:spacing w:after="40"/>
      </w:pPr>
      <w:r>
        <w:rPr>
          <w:b/>
          <w:sz w:val="18"/>
        </w:rPr>
        <w:t xml:space="preserve">Figure 3. </w:t>
      </w:r>
      <w:r>
        <w:rPr>
          <w:b w:val="0"/>
          <w:i w:val="0"/>
          <w:sz w:val="18"/>
        </w:rPr>
        <w:t>Event-study estimates of the effect of ex-ante task exposure on the youth employment share.</w:t>
      </w:r>
    </w:p>
    <w:p>
      <w:pPr>
        <w:pStyle w:val="MDPI51figurecaption"/>
        <w:spacing w:line="240" w:lineRule="auto" w:before="40" w:after="200"/>
        <w:ind w:left="2608" w:firstLine="0"/>
      </w:pPr>
      <w:r>
        <w:rPr>
          <w:sz w:val="16"/>
        </w:rPr>
        <w:t xml:space="preserve">Note: </w:t>
      </w:r>
      <w:r>
        <w:rPr>
          <w:b w:val="0"/>
          <w:i w:val="0"/>
          <w:sz w:val="16"/>
        </w:rPr>
        <w:t>Coefficients and 95% confidence intervals from Equation (4), with 2022 as the omitted year and standard errors clustered at the firm level. Coefficients before the vertical line test the parallel-trends assumption; those after it trace the dynamic response.</w:t>
      </w:r>
    </w:p>
    <w:p>
      <w:pPr>
        <w:pStyle w:val="MDPI22heading2"/>
      </w:pPr>
      <w:r>
        <w:t>4.4. Examination of Mediating Mechanisms</w:t>
      </w:r>
    </w:p>
    <w:p>
      <w:pPr>
        <w:pStyle w:val="MDPI32textnoindent"/>
      </w:pPr>
      <w:r>
        <w:rPr>
          <w:b w:val="0"/>
          <w:i w:val="0"/>
        </w:rPr>
        <w:t>Table 5 reports the mediation analysis. Column (2) shows that adoption significantly reduces routine-task intensity (−0.911), and column (3) shows that routine-task intensity is positively associated with the youth share (0.313) while the coefficient on adoption falls in magnitude from −0.622 to −0.336. The indirect effect is −0.286, with a bias-corrected bootstrap 95% confidence interval of [−0.315, −0.254] that excludes zero, and it accounts for 45.9% of the total effect. H2 is supported: the displacement of young workers runs substantially through the removal of routine-cognitive positions from the job structure.</w:t>
      </w:r>
    </w:p>
    <w:p>
      <w:pPr>
        <w:pStyle w:val="MDPI41tablecaption"/>
        <w:keepNext/>
        <w:spacing w:after="60"/>
      </w:pPr>
      <w:r>
        <w:rPr>
          <w:b/>
          <w:sz w:val="18"/>
        </w:rPr>
        <w:t xml:space="preserve">Table 5. </w:t>
      </w:r>
      <w:r>
        <w:rPr>
          <w:b w:val="0"/>
          <w:i w:val="0"/>
          <w:sz w:val="18"/>
        </w:rPr>
        <w:t>Mechanism: task routinisation and human-capital upgrading.</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02"/>
        <w:gridCol w:w="1632"/>
        <w:gridCol w:w="1632"/>
        <w:gridCol w:w="1632"/>
        <w:gridCol w:w="1632"/>
        <w:gridCol w:w="1632"/>
      </w:tblGrid>
      <w:tr>
        <w:trPr>
          <w:cantSplit/>
          <w:tblHeader/>
        </w:trPr>
        <w:tc>
          <w:tcPr>
            <w:tcW w:type="dxa" w:w="2302"/>
            <w:tcBorders>
              <w:bottom w:val="single" w:sz="8" w:space="0" w:color="auto"/>
            </w:tcBorders>
          </w:tcPr>
          <w:p>
            <w:pPr>
              <w:pStyle w:val="MDPI42tablebody"/>
              <w:keepNext/>
              <w:spacing w:line="240" w:lineRule="auto" w:before="30" w:after="30"/>
              <w:jc w:val="center"/>
            </w:pPr>
            <w:r>
              <w:rPr>
                <w:b/>
                <w:i w:val="0"/>
                <w:sz w:val="18"/>
              </w:rPr>
              <w:t>Variable</w:t>
            </w:r>
          </w:p>
        </w:tc>
        <w:tc>
          <w:tcPr>
            <w:tcW w:type="dxa" w:w="1632"/>
            <w:tcBorders>
              <w:bottom w:val="single" w:sz="8" w:space="0" w:color="auto"/>
            </w:tcBorders>
          </w:tcPr>
          <w:p>
            <w:pPr>
              <w:pStyle w:val="MDPI42tablebody"/>
              <w:keepNext/>
              <w:spacing w:line="240" w:lineRule="auto" w:before="30" w:after="30"/>
              <w:jc w:val="center"/>
            </w:pPr>
            <w:r>
              <w:rPr>
                <w:b/>
                <w:i w:val="0"/>
                <w:sz w:val="18"/>
              </w:rPr>
              <w:t>(1)</w:t>
            </w:r>
          </w:p>
        </w:tc>
        <w:tc>
          <w:tcPr>
            <w:tcW w:type="dxa" w:w="1632"/>
            <w:tcBorders>
              <w:bottom w:val="single" w:sz="8" w:space="0" w:color="auto"/>
            </w:tcBorders>
          </w:tcPr>
          <w:p>
            <w:pPr>
              <w:pStyle w:val="MDPI42tablebody"/>
              <w:keepNext/>
              <w:spacing w:line="240" w:lineRule="auto" w:before="30" w:after="30"/>
              <w:jc w:val="center"/>
            </w:pPr>
            <w:r>
              <w:rPr>
                <w:b/>
                <w:i w:val="0"/>
                <w:sz w:val="18"/>
              </w:rPr>
              <w:t>(2)</w:t>
            </w:r>
          </w:p>
        </w:tc>
        <w:tc>
          <w:tcPr>
            <w:tcW w:type="dxa" w:w="1632"/>
            <w:tcBorders>
              <w:bottom w:val="single" w:sz="8" w:space="0" w:color="auto"/>
            </w:tcBorders>
          </w:tcPr>
          <w:p>
            <w:pPr>
              <w:pStyle w:val="MDPI42tablebody"/>
              <w:keepNext/>
              <w:spacing w:line="240" w:lineRule="auto" w:before="30" w:after="30"/>
              <w:jc w:val="center"/>
            </w:pPr>
            <w:r>
              <w:rPr>
                <w:b/>
                <w:i w:val="0"/>
                <w:sz w:val="18"/>
              </w:rPr>
              <w:t>(3)</w:t>
            </w:r>
          </w:p>
        </w:tc>
        <w:tc>
          <w:tcPr>
            <w:tcW w:type="dxa" w:w="1632"/>
            <w:tcBorders>
              <w:bottom w:val="single" w:sz="8" w:space="0" w:color="auto"/>
            </w:tcBorders>
          </w:tcPr>
          <w:p>
            <w:pPr>
              <w:pStyle w:val="MDPI42tablebody"/>
              <w:keepNext/>
              <w:spacing w:line="240" w:lineRule="auto" w:before="30" w:after="30"/>
              <w:jc w:val="center"/>
            </w:pPr>
            <w:r>
              <w:rPr>
                <w:b/>
                <w:i w:val="0"/>
                <w:sz w:val="18"/>
              </w:rPr>
              <w:t>(4)</w:t>
            </w:r>
          </w:p>
        </w:tc>
        <w:tc>
          <w:tcPr>
            <w:tcW w:type="dxa" w:w="1632"/>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2302"/>
          </w:tcPr>
          <w:p>
            <w:pPr>
              <w:pStyle w:val="MDPI42tablebody"/>
              <w:keepNext/>
              <w:spacing w:line="240" w:lineRule="auto" w:before="30" w:after="30"/>
              <w:jc w:val="left"/>
            </w:pPr>
            <w:r>
              <w:rPr>
                <w:b w:val="0"/>
                <w:i/>
                <w:sz w:val="18"/>
              </w:rPr>
              <w:t>Dependent variable</w:t>
            </w:r>
          </w:p>
        </w:tc>
        <w:tc>
          <w:tcPr>
            <w:tcW w:type="dxa" w:w="1632"/>
          </w:tcPr>
          <w:p>
            <w:pPr>
              <w:pStyle w:val="MDPI42tablebody"/>
              <w:keepNext/>
              <w:spacing w:line="240" w:lineRule="auto" w:before="30" w:after="30"/>
              <w:jc w:val="center"/>
            </w:pPr>
            <w:r>
              <w:rPr>
                <w:b w:val="0"/>
                <w:i w:val="0"/>
                <w:sz w:val="18"/>
              </w:rPr>
              <w:t>Youth</w:t>
            </w:r>
          </w:p>
        </w:tc>
        <w:tc>
          <w:tcPr>
            <w:tcW w:type="dxa" w:w="1632"/>
          </w:tcPr>
          <w:p>
            <w:pPr>
              <w:pStyle w:val="MDPI42tablebody"/>
              <w:keepNext/>
              <w:spacing w:line="240" w:lineRule="auto" w:before="30" w:after="30"/>
              <w:jc w:val="center"/>
            </w:pPr>
            <w:r>
              <w:rPr>
                <w:b w:val="0"/>
                <w:i w:val="0"/>
                <w:sz w:val="18"/>
              </w:rPr>
              <w:t>RTI</w:t>
            </w:r>
          </w:p>
        </w:tc>
        <w:tc>
          <w:tcPr>
            <w:tcW w:type="dxa" w:w="1632"/>
          </w:tcPr>
          <w:p>
            <w:pPr>
              <w:pStyle w:val="MDPI42tablebody"/>
              <w:keepNext/>
              <w:spacing w:line="240" w:lineRule="auto" w:before="30" w:after="30"/>
              <w:jc w:val="center"/>
            </w:pPr>
            <w:r>
              <w:rPr>
                <w:b w:val="0"/>
                <w:i w:val="0"/>
                <w:sz w:val="18"/>
              </w:rPr>
              <w:t>Youth</w:t>
            </w:r>
          </w:p>
        </w:tc>
        <w:tc>
          <w:tcPr>
            <w:tcW w:type="dxa" w:w="1632"/>
          </w:tcPr>
          <w:p>
            <w:pPr>
              <w:pStyle w:val="MDPI42tablebody"/>
              <w:keepNext/>
              <w:spacing w:line="240" w:lineRule="auto" w:before="30" w:after="30"/>
              <w:jc w:val="center"/>
            </w:pPr>
            <w:r>
              <w:rPr>
                <w:b w:val="0"/>
                <w:i w:val="0"/>
                <w:sz w:val="18"/>
              </w:rPr>
              <w:t>HCU</w:t>
            </w:r>
          </w:p>
        </w:tc>
        <w:tc>
          <w:tcPr>
            <w:tcW w:type="dxa" w:w="1632"/>
          </w:tcPr>
          <w:p>
            <w:pPr>
              <w:pStyle w:val="MDPI42tablebody"/>
              <w:keepNext/>
              <w:spacing w:line="240" w:lineRule="auto" w:before="30" w:after="30"/>
              <w:jc w:val="center"/>
            </w:pPr>
            <w:r>
              <w:rPr>
                <w:b w:val="0"/>
                <w:i w:val="0"/>
                <w:sz w:val="18"/>
              </w:rPr>
              <w:t>Youth</w:t>
            </w:r>
          </w:p>
        </w:tc>
      </w:tr>
      <w:tr>
        <w:trPr>
          <w:cantSplit/>
        </w:trPr>
        <w:tc>
          <w:tcPr>
            <w:tcW w:type="dxa" w:w="2302"/>
          </w:tcPr>
          <w:p>
            <w:pPr>
              <w:pStyle w:val="MDPI42tablebody"/>
              <w:keepNext/>
              <w:spacing w:line="240" w:lineRule="auto" w:before="30" w:after="30"/>
              <w:jc w:val="left"/>
            </w:pPr>
            <w:r>
              <w:rPr>
                <w:b w:val="0"/>
                <w:i/>
                <w:sz w:val="18"/>
              </w:rPr>
              <w:t>GenAI</w:t>
            </w:r>
          </w:p>
        </w:tc>
        <w:tc>
          <w:tcPr>
            <w:tcW w:type="dxa" w:w="1632"/>
          </w:tcPr>
          <w:p>
            <w:pPr>
              <w:pStyle w:val="MDPI42tablebody"/>
              <w:keepNext/>
              <w:spacing w:line="240" w:lineRule="auto" w:before="30" w:after="30"/>
              <w:jc w:val="center"/>
            </w:pPr>
            <w:r>
              <w:rPr>
                <w:b w:val="0"/>
                <w:i w:val="0"/>
                <w:sz w:val="18"/>
              </w:rPr>
              <w:t>−0.622***</w:t>
            </w:r>
          </w:p>
        </w:tc>
        <w:tc>
          <w:tcPr>
            <w:tcW w:type="dxa" w:w="1632"/>
          </w:tcPr>
          <w:p>
            <w:pPr>
              <w:pStyle w:val="MDPI42tablebody"/>
              <w:keepNext/>
              <w:spacing w:line="240" w:lineRule="auto" w:before="30" w:after="30"/>
              <w:jc w:val="center"/>
            </w:pPr>
            <w:r>
              <w:rPr>
                <w:b w:val="0"/>
                <w:i w:val="0"/>
                <w:sz w:val="18"/>
              </w:rPr>
              <w:t>−0.911***</w:t>
            </w:r>
          </w:p>
        </w:tc>
        <w:tc>
          <w:tcPr>
            <w:tcW w:type="dxa" w:w="1632"/>
          </w:tcPr>
          <w:p>
            <w:pPr>
              <w:pStyle w:val="MDPI42tablebody"/>
              <w:keepNext/>
              <w:spacing w:line="240" w:lineRule="auto" w:before="30" w:after="30"/>
              <w:jc w:val="center"/>
            </w:pPr>
            <w:r>
              <w:rPr>
                <w:b w:val="0"/>
                <w:i w:val="0"/>
                <w:sz w:val="18"/>
              </w:rPr>
              <w:t>−0.336***</w:t>
            </w:r>
          </w:p>
        </w:tc>
        <w:tc>
          <w:tcPr>
            <w:tcW w:type="dxa" w:w="1632"/>
          </w:tcPr>
          <w:p>
            <w:pPr>
              <w:pStyle w:val="MDPI42tablebody"/>
              <w:keepNext/>
              <w:spacing w:line="240" w:lineRule="auto" w:before="30" w:after="30"/>
              <w:jc w:val="center"/>
            </w:pPr>
            <w:r>
              <w:rPr>
                <w:b w:val="0"/>
                <w:i w:val="0"/>
                <w:sz w:val="18"/>
              </w:rPr>
              <w:t>0.551***</w:t>
            </w:r>
          </w:p>
        </w:tc>
        <w:tc>
          <w:tcPr>
            <w:tcW w:type="dxa" w:w="1632"/>
          </w:tcPr>
          <w:p>
            <w:pPr>
              <w:pStyle w:val="MDPI42tablebody"/>
              <w:keepNext/>
              <w:spacing w:line="240" w:lineRule="auto" w:before="30" w:after="30"/>
              <w:jc w:val="center"/>
            </w:pPr>
            <w:r>
              <w:rPr>
                <w:b w:val="0"/>
                <w:i w:val="0"/>
                <w:sz w:val="18"/>
              </w:rPr>
              <w:t>−0.720***</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(0.056)</w:t>
            </w:r>
          </w:p>
        </w:tc>
        <w:tc>
          <w:tcPr>
            <w:tcW w:type="dxa" w:w="1632"/>
          </w:tcPr>
          <w:p>
            <w:pPr>
              <w:pStyle w:val="MDPI42tablebody"/>
              <w:keepNext/>
              <w:spacing w:line="240" w:lineRule="auto" w:before="30" w:after="30"/>
              <w:jc w:val="center"/>
            </w:pPr>
            <w:r>
              <w:rPr>
                <w:b w:val="0"/>
                <w:i w:val="0"/>
                <w:sz w:val="18"/>
              </w:rPr>
              <w:t>(0.047)</w:t>
            </w:r>
          </w:p>
        </w:tc>
        <w:tc>
          <w:tcPr>
            <w:tcW w:type="dxa" w:w="1632"/>
          </w:tcPr>
          <w:p>
            <w:pPr>
              <w:pStyle w:val="MDPI42tablebody"/>
              <w:keepNext/>
              <w:spacing w:line="240" w:lineRule="auto" w:before="30" w:after="30"/>
              <w:jc w:val="center"/>
            </w:pPr>
            <w:r>
              <w:rPr>
                <w:b w:val="0"/>
                <w:i w:val="0"/>
                <w:sz w:val="18"/>
              </w:rPr>
              <w:t>(0.055)</w:t>
            </w:r>
          </w:p>
        </w:tc>
        <w:tc>
          <w:tcPr>
            <w:tcW w:type="dxa" w:w="1632"/>
          </w:tcPr>
          <w:p>
            <w:pPr>
              <w:pStyle w:val="MDPI42tablebody"/>
              <w:keepNext/>
              <w:spacing w:line="240" w:lineRule="auto" w:before="30" w:after="30"/>
              <w:jc w:val="center"/>
            </w:pPr>
            <w:r>
              <w:rPr>
                <w:b w:val="0"/>
                <w:i w:val="0"/>
                <w:sz w:val="18"/>
              </w:rPr>
              <w:t>(0.057)</w:t>
            </w:r>
          </w:p>
        </w:tc>
        <w:tc>
          <w:tcPr>
            <w:tcW w:type="dxa" w:w="1632"/>
          </w:tcPr>
          <w:p>
            <w:pPr>
              <w:pStyle w:val="MDPI42tablebody"/>
              <w:keepNext/>
              <w:spacing w:line="240" w:lineRule="auto" w:before="30" w:after="30"/>
              <w:jc w:val="center"/>
            </w:pPr>
            <w:r>
              <w:rPr>
                <w:b w:val="0"/>
                <w:i w:val="0"/>
                <w:sz w:val="18"/>
              </w:rPr>
              <w:t>(0.056)</w:t>
            </w:r>
          </w:p>
        </w:tc>
      </w:tr>
      <w:tr>
        <w:trPr>
          <w:cantSplit/>
        </w:trPr>
        <w:tc>
          <w:tcPr>
            <w:tcW w:type="dxa" w:w="2302"/>
          </w:tcPr>
          <w:p>
            <w:pPr>
              <w:pStyle w:val="MDPI42tablebody"/>
              <w:keepNext/>
              <w:spacing w:line="240" w:lineRule="auto" w:before="30" w:after="30"/>
              <w:jc w:val="left"/>
            </w:pPr>
            <w:r>
              <w:rPr>
                <w:b w:val="0"/>
                <w:i/>
                <w:sz w:val="18"/>
              </w:rPr>
              <w:t>RTI</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0.313***</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(0.008)</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r>
      <w:tr>
        <w:trPr>
          <w:cantSplit/>
        </w:trPr>
        <w:tc>
          <w:tcPr>
            <w:tcW w:type="dxa" w:w="2302"/>
          </w:tcPr>
          <w:p>
            <w:pPr>
              <w:pStyle w:val="MDPI42tablebody"/>
              <w:keepNext/>
              <w:spacing w:line="240" w:lineRule="auto" w:before="30" w:after="30"/>
              <w:jc w:val="left"/>
            </w:pPr>
            <w:r>
              <w:rPr>
                <w:b w:val="0"/>
                <w:i/>
                <w:sz w:val="18"/>
              </w:rPr>
              <w:t>HCU</w:t>
            </w: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0.178***</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p>
        </w:tc>
        <w:tc>
          <w:tcPr>
            <w:tcW w:type="dxa" w:w="1632"/>
          </w:tcPr>
          <w:p>
            <w:pPr>
              <w:pStyle w:val="MDPI42tablebody"/>
              <w:keepNext/>
              <w:spacing w:line="240" w:lineRule="auto" w:before="30" w:after="30"/>
              <w:jc w:val="center"/>
            </w:pPr>
            <w:r>
              <w:rPr>
                <w:b w:val="0"/>
                <w:i w:val="0"/>
                <w:sz w:val="18"/>
              </w:rPr>
              <w:t>(0.007)</w:t>
            </w:r>
          </w:p>
        </w:tc>
      </w:tr>
      <w:tr>
        <w:trPr>
          <w:cantSplit/>
        </w:trPr>
        <w:tc>
          <w:tcPr>
            <w:tcW w:type="dxa" w:w="2302"/>
          </w:tcPr>
          <w:p>
            <w:pPr>
              <w:pStyle w:val="MDPI42tablebody"/>
              <w:keepNext/>
              <w:spacing w:line="240" w:lineRule="auto" w:before="30" w:after="30"/>
              <w:jc w:val="left"/>
            </w:pPr>
            <w:r>
              <w:rPr>
                <w:b w:val="0"/>
                <w:i/>
                <w:sz w:val="18"/>
              </w:rPr>
              <w:t>Size</w:t>
            </w:r>
          </w:p>
        </w:tc>
        <w:tc>
          <w:tcPr>
            <w:tcW w:type="dxa" w:w="1632"/>
          </w:tcPr>
          <w:p>
            <w:pPr>
              <w:pStyle w:val="MDPI42tablebody"/>
              <w:keepNext/>
              <w:spacing w:line="240" w:lineRule="auto" w:before="30" w:after="30"/>
              <w:jc w:val="center"/>
            </w:pPr>
            <w:r>
              <w:rPr>
                <w:b w:val="0"/>
                <w:i w:val="0"/>
                <w:sz w:val="18"/>
              </w:rPr>
              <w:t>1.962***</w:t>
            </w:r>
          </w:p>
        </w:tc>
        <w:tc>
          <w:tcPr>
            <w:tcW w:type="dxa" w:w="1632"/>
          </w:tcPr>
          <w:p>
            <w:pPr>
              <w:pStyle w:val="MDPI42tablebody"/>
              <w:keepNext/>
              <w:spacing w:line="240" w:lineRule="auto" w:before="30" w:after="30"/>
              <w:jc w:val="center"/>
            </w:pPr>
            <w:r>
              <w:rPr>
                <w:b w:val="0"/>
                <w:i w:val="0"/>
                <w:sz w:val="18"/>
              </w:rPr>
              <w:t>1.584***</w:t>
            </w:r>
          </w:p>
        </w:tc>
        <w:tc>
          <w:tcPr>
            <w:tcW w:type="dxa" w:w="1632"/>
          </w:tcPr>
          <w:p>
            <w:pPr>
              <w:pStyle w:val="MDPI42tablebody"/>
              <w:keepNext/>
              <w:spacing w:line="240" w:lineRule="auto" w:before="30" w:after="30"/>
              <w:jc w:val="center"/>
            </w:pPr>
            <w:r>
              <w:rPr>
                <w:b w:val="0"/>
                <w:i w:val="0"/>
                <w:sz w:val="18"/>
              </w:rPr>
              <w:t>1.466***</w:t>
            </w:r>
          </w:p>
        </w:tc>
        <w:tc>
          <w:tcPr>
            <w:tcW w:type="dxa" w:w="1632"/>
          </w:tcPr>
          <w:p>
            <w:pPr>
              <w:pStyle w:val="MDPI42tablebody"/>
              <w:keepNext/>
              <w:spacing w:line="240" w:lineRule="auto" w:before="30" w:after="30"/>
              <w:jc w:val="center"/>
            </w:pPr>
            <w:r>
              <w:rPr>
                <w:b w:val="0"/>
                <w:i w:val="0"/>
                <w:sz w:val="18"/>
              </w:rPr>
              <w:t>3.385***</w:t>
            </w:r>
          </w:p>
        </w:tc>
        <w:tc>
          <w:tcPr>
            <w:tcW w:type="dxa" w:w="1632"/>
          </w:tcPr>
          <w:p>
            <w:pPr>
              <w:pStyle w:val="MDPI42tablebody"/>
              <w:keepNext/>
              <w:spacing w:line="240" w:lineRule="auto" w:before="30" w:after="30"/>
              <w:jc w:val="center"/>
            </w:pPr>
            <w:r>
              <w:rPr>
                <w:b w:val="0"/>
                <w:i w:val="0"/>
                <w:sz w:val="18"/>
              </w:rPr>
              <w:t>1.359***</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(0.108)</w:t>
            </w:r>
          </w:p>
        </w:tc>
        <w:tc>
          <w:tcPr>
            <w:tcW w:type="dxa" w:w="1632"/>
          </w:tcPr>
          <w:p>
            <w:pPr>
              <w:pStyle w:val="MDPI42tablebody"/>
              <w:keepNext/>
              <w:spacing w:line="240" w:lineRule="auto" w:before="30" w:after="30"/>
              <w:jc w:val="center"/>
            </w:pPr>
            <w:r>
              <w:rPr>
                <w:b w:val="0"/>
                <w:i w:val="0"/>
                <w:sz w:val="18"/>
              </w:rPr>
              <w:t>(0.096)</w:t>
            </w:r>
          </w:p>
        </w:tc>
        <w:tc>
          <w:tcPr>
            <w:tcW w:type="dxa" w:w="1632"/>
          </w:tcPr>
          <w:p>
            <w:pPr>
              <w:pStyle w:val="MDPI42tablebody"/>
              <w:keepNext/>
              <w:spacing w:line="240" w:lineRule="auto" w:before="30" w:after="30"/>
              <w:jc w:val="center"/>
            </w:pPr>
            <w:r>
              <w:rPr>
                <w:b w:val="0"/>
                <w:i w:val="0"/>
                <w:sz w:val="18"/>
              </w:rPr>
              <w:t>(0.105)</w:t>
            </w:r>
          </w:p>
        </w:tc>
        <w:tc>
          <w:tcPr>
            <w:tcW w:type="dxa" w:w="1632"/>
          </w:tcPr>
          <w:p>
            <w:pPr>
              <w:pStyle w:val="MDPI42tablebody"/>
              <w:keepNext/>
              <w:spacing w:line="240" w:lineRule="auto" w:before="30" w:after="30"/>
              <w:jc w:val="center"/>
            </w:pPr>
            <w:r>
              <w:rPr>
                <w:b w:val="0"/>
                <w:i w:val="0"/>
                <w:sz w:val="18"/>
              </w:rPr>
              <w:t>(0.110)</w:t>
            </w:r>
          </w:p>
        </w:tc>
        <w:tc>
          <w:tcPr>
            <w:tcW w:type="dxa" w:w="1632"/>
          </w:tcPr>
          <w:p>
            <w:pPr>
              <w:pStyle w:val="MDPI42tablebody"/>
              <w:keepNext/>
              <w:spacing w:line="240" w:lineRule="auto" w:before="30" w:after="30"/>
              <w:jc w:val="center"/>
            </w:pPr>
            <w:r>
              <w:rPr>
                <w:b w:val="0"/>
                <w:i w:val="0"/>
                <w:sz w:val="18"/>
              </w:rPr>
              <w:t>(0.110)</w:t>
            </w:r>
          </w:p>
        </w:tc>
      </w:tr>
      <w:tr>
        <w:trPr>
          <w:cantSplit/>
        </w:trPr>
        <w:tc>
          <w:tcPr>
            <w:tcW w:type="dxa" w:w="2302"/>
          </w:tcPr>
          <w:p>
            <w:pPr>
              <w:pStyle w:val="MDPI42tablebody"/>
              <w:keepNext/>
              <w:spacing w:line="240" w:lineRule="auto" w:before="30" w:after="30"/>
              <w:jc w:val="left"/>
            </w:pPr>
            <w:r>
              <w:rPr>
                <w:b w:val="0"/>
                <w:i/>
                <w:sz w:val="18"/>
              </w:rPr>
              <w:t>Lev</w:t>
            </w:r>
          </w:p>
        </w:tc>
        <w:tc>
          <w:tcPr>
            <w:tcW w:type="dxa" w:w="1632"/>
          </w:tcPr>
          <w:p>
            <w:pPr>
              <w:pStyle w:val="MDPI42tablebody"/>
              <w:keepNext/>
              <w:spacing w:line="240" w:lineRule="auto" w:before="30" w:after="30"/>
              <w:jc w:val="center"/>
            </w:pPr>
            <w:r>
              <w:rPr>
                <w:b w:val="0"/>
                <w:i w:val="0"/>
                <w:sz w:val="18"/>
              </w:rPr>
              <w:t>−2.273***</w:t>
            </w:r>
          </w:p>
        </w:tc>
        <w:tc>
          <w:tcPr>
            <w:tcW w:type="dxa" w:w="1632"/>
          </w:tcPr>
          <w:p>
            <w:pPr>
              <w:pStyle w:val="MDPI42tablebody"/>
              <w:keepNext/>
              <w:spacing w:line="240" w:lineRule="auto" w:before="30" w:after="30"/>
              <w:jc w:val="center"/>
            </w:pPr>
            <w:r>
              <w:rPr>
                <w:b w:val="0"/>
                <w:i w:val="0"/>
                <w:sz w:val="18"/>
              </w:rPr>
              <w:t>−0.184</w:t>
            </w:r>
          </w:p>
        </w:tc>
        <w:tc>
          <w:tcPr>
            <w:tcW w:type="dxa" w:w="1632"/>
          </w:tcPr>
          <w:p>
            <w:pPr>
              <w:pStyle w:val="MDPI42tablebody"/>
              <w:keepNext/>
              <w:spacing w:line="240" w:lineRule="auto" w:before="30" w:after="30"/>
              <w:jc w:val="center"/>
            </w:pPr>
            <w:r>
              <w:rPr>
                <w:b w:val="0"/>
                <w:i w:val="0"/>
                <w:sz w:val="18"/>
              </w:rPr>
              <w:t>−2.215***</w:t>
            </w:r>
          </w:p>
        </w:tc>
        <w:tc>
          <w:tcPr>
            <w:tcW w:type="dxa" w:w="1632"/>
          </w:tcPr>
          <w:p>
            <w:pPr>
              <w:pStyle w:val="MDPI42tablebody"/>
              <w:keepNext/>
              <w:spacing w:line="240" w:lineRule="auto" w:before="30" w:after="30"/>
              <w:jc w:val="center"/>
            </w:pPr>
            <w:r>
              <w:rPr>
                <w:b w:val="0"/>
                <w:i w:val="0"/>
                <w:sz w:val="18"/>
              </w:rPr>
              <w:t>0.024</w:t>
            </w:r>
          </w:p>
        </w:tc>
        <w:tc>
          <w:tcPr>
            <w:tcW w:type="dxa" w:w="1632"/>
          </w:tcPr>
          <w:p>
            <w:pPr>
              <w:pStyle w:val="MDPI42tablebody"/>
              <w:keepNext/>
              <w:spacing w:line="240" w:lineRule="auto" w:before="30" w:after="30"/>
              <w:jc w:val="center"/>
            </w:pPr>
            <w:r>
              <w:rPr>
                <w:b w:val="0"/>
                <w:i w:val="0"/>
                <w:sz w:val="18"/>
              </w:rPr>
              <w:t>−2.277***</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(0.222)</w:t>
            </w:r>
          </w:p>
        </w:tc>
        <w:tc>
          <w:tcPr>
            <w:tcW w:type="dxa" w:w="1632"/>
          </w:tcPr>
          <w:p>
            <w:pPr>
              <w:pStyle w:val="MDPI42tablebody"/>
              <w:keepNext/>
              <w:spacing w:line="240" w:lineRule="auto" w:before="30" w:after="30"/>
              <w:jc w:val="center"/>
            </w:pPr>
            <w:r>
              <w:rPr>
                <w:b w:val="0"/>
                <w:i w:val="0"/>
                <w:sz w:val="18"/>
              </w:rPr>
              <w:t>(0.193)</w:t>
            </w:r>
          </w:p>
        </w:tc>
        <w:tc>
          <w:tcPr>
            <w:tcW w:type="dxa" w:w="1632"/>
          </w:tcPr>
          <w:p>
            <w:pPr>
              <w:pStyle w:val="MDPI42tablebody"/>
              <w:keepNext/>
              <w:spacing w:line="240" w:lineRule="auto" w:before="30" w:after="30"/>
              <w:jc w:val="center"/>
            </w:pPr>
            <w:r>
              <w:rPr>
                <w:b w:val="0"/>
                <w:i w:val="0"/>
                <w:sz w:val="18"/>
              </w:rPr>
              <w:t>(0.214)</w:t>
            </w:r>
          </w:p>
        </w:tc>
        <w:tc>
          <w:tcPr>
            <w:tcW w:type="dxa" w:w="1632"/>
          </w:tcPr>
          <w:p>
            <w:pPr>
              <w:pStyle w:val="MDPI42tablebody"/>
              <w:keepNext/>
              <w:spacing w:line="240" w:lineRule="auto" w:before="30" w:after="30"/>
              <w:jc w:val="center"/>
            </w:pPr>
            <w:r>
              <w:rPr>
                <w:b w:val="0"/>
                <w:i w:val="0"/>
                <w:sz w:val="18"/>
              </w:rPr>
              <w:t>(0.226)</w:t>
            </w:r>
          </w:p>
        </w:tc>
        <w:tc>
          <w:tcPr>
            <w:tcW w:type="dxa" w:w="1632"/>
          </w:tcPr>
          <w:p>
            <w:pPr>
              <w:pStyle w:val="MDPI42tablebody"/>
              <w:keepNext/>
              <w:spacing w:line="240" w:lineRule="auto" w:before="30" w:after="30"/>
              <w:jc w:val="center"/>
            </w:pPr>
            <w:r>
              <w:rPr>
                <w:b w:val="0"/>
                <w:i w:val="0"/>
                <w:sz w:val="18"/>
              </w:rPr>
              <w:t>(0.218)</w:t>
            </w:r>
          </w:p>
        </w:tc>
      </w:tr>
      <w:tr>
        <w:trPr>
          <w:cantSplit/>
        </w:trPr>
        <w:tc>
          <w:tcPr>
            <w:tcW w:type="dxa" w:w="2302"/>
          </w:tcPr>
          <w:p>
            <w:pPr>
              <w:pStyle w:val="MDPI42tablebody"/>
              <w:keepNext/>
              <w:spacing w:line="240" w:lineRule="auto" w:before="30" w:after="30"/>
              <w:jc w:val="left"/>
            </w:pPr>
            <w:r>
              <w:rPr>
                <w:b w:val="0"/>
                <w:i/>
                <w:sz w:val="18"/>
              </w:rPr>
              <w:t>ROE</w:t>
            </w:r>
          </w:p>
        </w:tc>
        <w:tc>
          <w:tcPr>
            <w:tcW w:type="dxa" w:w="1632"/>
          </w:tcPr>
          <w:p>
            <w:pPr>
              <w:pStyle w:val="MDPI42tablebody"/>
              <w:keepNext/>
              <w:spacing w:line="240" w:lineRule="auto" w:before="30" w:after="30"/>
              <w:jc w:val="center"/>
            </w:pPr>
            <w:r>
              <w:rPr>
                <w:b w:val="0"/>
                <w:i w:val="0"/>
                <w:sz w:val="18"/>
              </w:rPr>
              <w:t>−0.436</w:t>
            </w:r>
          </w:p>
        </w:tc>
        <w:tc>
          <w:tcPr>
            <w:tcW w:type="dxa" w:w="1632"/>
          </w:tcPr>
          <w:p>
            <w:pPr>
              <w:pStyle w:val="MDPI42tablebody"/>
              <w:keepNext/>
              <w:spacing w:line="240" w:lineRule="auto" w:before="30" w:after="30"/>
              <w:jc w:val="center"/>
            </w:pPr>
            <w:r>
              <w:rPr>
                <w:b w:val="0"/>
                <w:i w:val="0"/>
                <w:sz w:val="18"/>
              </w:rPr>
              <w:t>−0.299</w:t>
            </w:r>
          </w:p>
        </w:tc>
        <w:tc>
          <w:tcPr>
            <w:tcW w:type="dxa" w:w="1632"/>
          </w:tcPr>
          <w:p>
            <w:pPr>
              <w:pStyle w:val="MDPI42tablebody"/>
              <w:keepNext/>
              <w:spacing w:line="240" w:lineRule="auto" w:before="30" w:after="30"/>
              <w:jc w:val="center"/>
            </w:pPr>
            <w:r>
              <w:rPr>
                <w:b w:val="0"/>
                <w:i w:val="0"/>
                <w:sz w:val="18"/>
              </w:rPr>
              <w:t>−0.342</w:t>
            </w:r>
          </w:p>
        </w:tc>
        <w:tc>
          <w:tcPr>
            <w:tcW w:type="dxa" w:w="1632"/>
          </w:tcPr>
          <w:p>
            <w:pPr>
              <w:pStyle w:val="MDPI42tablebody"/>
              <w:keepNext/>
              <w:spacing w:line="240" w:lineRule="auto" w:before="30" w:after="30"/>
              <w:jc w:val="center"/>
            </w:pPr>
            <w:r>
              <w:rPr>
                <w:b w:val="0"/>
                <w:i w:val="0"/>
                <w:sz w:val="18"/>
              </w:rPr>
              <w:t>−0.090</w:t>
            </w:r>
          </w:p>
        </w:tc>
        <w:tc>
          <w:tcPr>
            <w:tcW w:type="dxa" w:w="1632"/>
          </w:tcPr>
          <w:p>
            <w:pPr>
              <w:pStyle w:val="MDPI42tablebody"/>
              <w:keepNext/>
              <w:spacing w:line="240" w:lineRule="auto" w:before="30" w:after="30"/>
              <w:jc w:val="center"/>
            </w:pPr>
            <w:r>
              <w:rPr>
                <w:b w:val="0"/>
                <w:i w:val="0"/>
                <w:sz w:val="18"/>
              </w:rPr>
              <w:t>−0.420</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(0.241)</w:t>
            </w:r>
          </w:p>
        </w:tc>
        <w:tc>
          <w:tcPr>
            <w:tcW w:type="dxa" w:w="1632"/>
          </w:tcPr>
          <w:p>
            <w:pPr>
              <w:pStyle w:val="MDPI42tablebody"/>
              <w:keepNext/>
              <w:spacing w:line="240" w:lineRule="auto" w:before="30" w:after="30"/>
              <w:jc w:val="center"/>
            </w:pPr>
            <w:r>
              <w:rPr>
                <w:b w:val="0"/>
                <w:i w:val="0"/>
                <w:sz w:val="18"/>
              </w:rPr>
              <w:t>(0.266)</w:t>
            </w:r>
          </w:p>
        </w:tc>
        <w:tc>
          <w:tcPr>
            <w:tcW w:type="dxa" w:w="1632"/>
          </w:tcPr>
          <w:p>
            <w:pPr>
              <w:pStyle w:val="MDPI42tablebody"/>
              <w:keepNext/>
              <w:spacing w:line="240" w:lineRule="auto" w:before="30" w:after="30"/>
              <w:jc w:val="center"/>
            </w:pPr>
            <w:r>
              <w:rPr>
                <w:b w:val="0"/>
                <w:i w:val="0"/>
                <w:sz w:val="18"/>
              </w:rPr>
              <w:t>(0.293)</w:t>
            </w:r>
          </w:p>
        </w:tc>
        <w:tc>
          <w:tcPr>
            <w:tcW w:type="dxa" w:w="1632"/>
          </w:tcPr>
          <w:p>
            <w:pPr>
              <w:pStyle w:val="MDPI42tablebody"/>
              <w:keepNext/>
              <w:spacing w:line="240" w:lineRule="auto" w:before="30" w:after="30"/>
              <w:jc w:val="center"/>
            </w:pPr>
            <w:r>
              <w:rPr>
                <w:b w:val="0"/>
                <w:i w:val="0"/>
                <w:sz w:val="18"/>
              </w:rPr>
              <w:t>(0.271)</w:t>
            </w:r>
          </w:p>
        </w:tc>
      </w:tr>
      <w:tr>
        <w:trPr>
          <w:cantSplit/>
        </w:trPr>
        <w:tc>
          <w:tcPr>
            <w:tcW w:type="dxa" w:w="2302"/>
          </w:tcPr>
          <w:p>
            <w:pPr>
              <w:pStyle w:val="MDPI42tablebody"/>
              <w:keepNext/>
              <w:spacing w:line="240" w:lineRule="auto" w:before="30" w:after="30"/>
              <w:jc w:val="left"/>
            </w:pPr>
            <w:r>
              <w:rPr>
                <w:b w:val="0"/>
                <w:i/>
                <w:sz w:val="18"/>
              </w:rPr>
              <w:t>Growth</w:t>
            </w:r>
          </w:p>
        </w:tc>
        <w:tc>
          <w:tcPr>
            <w:tcW w:type="dxa" w:w="1632"/>
          </w:tcPr>
          <w:p>
            <w:pPr>
              <w:pStyle w:val="MDPI42tablebody"/>
              <w:keepNext/>
              <w:spacing w:line="240" w:lineRule="auto" w:before="30" w:after="30"/>
              <w:jc w:val="center"/>
            </w:pPr>
            <w:r>
              <w:rPr>
                <w:b w:val="0"/>
                <w:i w:val="0"/>
                <w:sz w:val="18"/>
              </w:rPr>
              <w:t>0.090</w:t>
            </w:r>
          </w:p>
        </w:tc>
        <w:tc>
          <w:tcPr>
            <w:tcW w:type="dxa" w:w="1632"/>
          </w:tcPr>
          <w:p>
            <w:pPr>
              <w:pStyle w:val="MDPI42tablebody"/>
              <w:keepNext/>
              <w:spacing w:line="240" w:lineRule="auto" w:before="30" w:after="30"/>
              <w:jc w:val="center"/>
            </w:pPr>
            <w:r>
              <w:rPr>
                <w:b w:val="0"/>
                <w:i w:val="0"/>
                <w:sz w:val="18"/>
              </w:rPr>
              <w:t>0.005</w:t>
            </w:r>
          </w:p>
        </w:tc>
        <w:tc>
          <w:tcPr>
            <w:tcW w:type="dxa" w:w="1632"/>
          </w:tcPr>
          <w:p>
            <w:pPr>
              <w:pStyle w:val="MDPI42tablebody"/>
              <w:keepNext/>
              <w:spacing w:line="240" w:lineRule="auto" w:before="30" w:after="30"/>
              <w:jc w:val="center"/>
            </w:pPr>
            <w:r>
              <w:rPr>
                <w:b w:val="0"/>
                <w:i w:val="0"/>
                <w:sz w:val="18"/>
              </w:rPr>
              <w:t>0.088</w:t>
            </w:r>
          </w:p>
        </w:tc>
        <w:tc>
          <w:tcPr>
            <w:tcW w:type="dxa" w:w="1632"/>
          </w:tcPr>
          <w:p>
            <w:pPr>
              <w:pStyle w:val="MDPI42tablebody"/>
              <w:keepNext/>
              <w:spacing w:line="240" w:lineRule="auto" w:before="30" w:after="30"/>
              <w:jc w:val="center"/>
            </w:pPr>
            <w:r>
              <w:rPr>
                <w:b w:val="0"/>
                <w:i w:val="0"/>
                <w:sz w:val="18"/>
              </w:rPr>
              <w:t>0.056</w:t>
            </w:r>
          </w:p>
        </w:tc>
        <w:tc>
          <w:tcPr>
            <w:tcW w:type="dxa" w:w="1632"/>
          </w:tcPr>
          <w:p>
            <w:pPr>
              <w:pStyle w:val="MDPI42tablebody"/>
              <w:keepNext/>
              <w:spacing w:line="240" w:lineRule="auto" w:before="30" w:after="30"/>
              <w:jc w:val="center"/>
            </w:pPr>
            <w:r>
              <w:rPr>
                <w:b w:val="0"/>
                <w:i w:val="0"/>
                <w:sz w:val="18"/>
              </w:rPr>
              <w:t>0.080</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(0.100)</w:t>
            </w:r>
          </w:p>
        </w:tc>
        <w:tc>
          <w:tcPr>
            <w:tcW w:type="dxa" w:w="1632"/>
          </w:tcPr>
          <w:p>
            <w:pPr>
              <w:pStyle w:val="MDPI42tablebody"/>
              <w:keepNext/>
              <w:spacing w:line="240" w:lineRule="auto" w:before="30" w:after="30"/>
              <w:jc w:val="center"/>
            </w:pPr>
            <w:r>
              <w:rPr>
                <w:b w:val="0"/>
                <w:i w:val="0"/>
                <w:sz w:val="18"/>
              </w:rPr>
              <w:t>(0.087)</w:t>
            </w:r>
          </w:p>
        </w:tc>
        <w:tc>
          <w:tcPr>
            <w:tcW w:type="dxa" w:w="1632"/>
          </w:tcPr>
          <w:p>
            <w:pPr>
              <w:pStyle w:val="MDPI42tablebody"/>
              <w:keepNext/>
              <w:spacing w:line="240" w:lineRule="auto" w:before="30" w:after="30"/>
              <w:jc w:val="center"/>
            </w:pPr>
            <w:r>
              <w:rPr>
                <w:b w:val="0"/>
                <w:i w:val="0"/>
                <w:sz w:val="18"/>
              </w:rPr>
              <w:t>(0.096)</w:t>
            </w:r>
          </w:p>
        </w:tc>
        <w:tc>
          <w:tcPr>
            <w:tcW w:type="dxa" w:w="1632"/>
          </w:tcPr>
          <w:p>
            <w:pPr>
              <w:pStyle w:val="MDPI42tablebody"/>
              <w:keepNext/>
              <w:spacing w:line="240" w:lineRule="auto" w:before="30" w:after="30"/>
              <w:jc w:val="center"/>
            </w:pPr>
            <w:r>
              <w:rPr>
                <w:b w:val="0"/>
                <w:i w:val="0"/>
                <w:sz w:val="18"/>
              </w:rPr>
              <w:t>(0.103)</w:t>
            </w:r>
          </w:p>
        </w:tc>
        <w:tc>
          <w:tcPr>
            <w:tcW w:type="dxa" w:w="1632"/>
          </w:tcPr>
          <w:p>
            <w:pPr>
              <w:pStyle w:val="MDPI42tablebody"/>
              <w:keepNext/>
              <w:spacing w:line="240" w:lineRule="auto" w:before="30" w:after="30"/>
              <w:jc w:val="center"/>
            </w:pPr>
            <w:r>
              <w:rPr>
                <w:b w:val="0"/>
                <w:i w:val="0"/>
                <w:sz w:val="18"/>
              </w:rPr>
              <w:t>(0.099)</w:t>
            </w:r>
          </w:p>
        </w:tc>
      </w:tr>
      <w:tr>
        <w:trPr>
          <w:cantSplit/>
        </w:trPr>
        <w:tc>
          <w:tcPr>
            <w:tcW w:type="dxa" w:w="2302"/>
          </w:tcPr>
          <w:p>
            <w:pPr>
              <w:pStyle w:val="MDPI42tablebody"/>
              <w:keepNext/>
              <w:spacing w:line="240" w:lineRule="auto" w:before="30" w:after="30"/>
              <w:jc w:val="left"/>
            </w:pPr>
            <w:r>
              <w:rPr>
                <w:b w:val="0"/>
                <w:i/>
                <w:sz w:val="18"/>
              </w:rPr>
              <w:t>Age</w:t>
            </w:r>
          </w:p>
        </w:tc>
        <w:tc>
          <w:tcPr>
            <w:tcW w:type="dxa" w:w="1632"/>
          </w:tcPr>
          <w:p>
            <w:pPr>
              <w:pStyle w:val="MDPI42tablebody"/>
              <w:keepNext/>
              <w:spacing w:line="240" w:lineRule="auto" w:before="30" w:after="30"/>
              <w:jc w:val="center"/>
            </w:pPr>
            <w:r>
              <w:rPr>
                <w:b w:val="0"/>
                <w:i w:val="0"/>
                <w:sz w:val="18"/>
              </w:rPr>
              <w:t>−2.024***</w:t>
            </w:r>
          </w:p>
        </w:tc>
        <w:tc>
          <w:tcPr>
            <w:tcW w:type="dxa" w:w="1632"/>
          </w:tcPr>
          <w:p>
            <w:pPr>
              <w:pStyle w:val="MDPI42tablebody"/>
              <w:keepNext/>
              <w:spacing w:line="240" w:lineRule="auto" w:before="30" w:after="30"/>
              <w:jc w:val="center"/>
            </w:pPr>
            <w:r>
              <w:rPr>
                <w:b w:val="0"/>
                <w:i w:val="0"/>
                <w:sz w:val="18"/>
              </w:rPr>
              <w:t>−0.087</w:t>
            </w:r>
          </w:p>
        </w:tc>
        <w:tc>
          <w:tcPr>
            <w:tcW w:type="dxa" w:w="1632"/>
          </w:tcPr>
          <w:p>
            <w:pPr>
              <w:pStyle w:val="MDPI42tablebody"/>
              <w:keepNext/>
              <w:spacing w:line="240" w:lineRule="auto" w:before="30" w:after="30"/>
              <w:jc w:val="center"/>
            </w:pPr>
            <w:r>
              <w:rPr>
                <w:b w:val="0"/>
                <w:i w:val="0"/>
                <w:sz w:val="18"/>
              </w:rPr>
              <w:t>−1.997***</w:t>
            </w:r>
          </w:p>
        </w:tc>
        <w:tc>
          <w:tcPr>
            <w:tcW w:type="dxa" w:w="1632"/>
          </w:tcPr>
          <w:p>
            <w:pPr>
              <w:pStyle w:val="MDPI42tablebody"/>
              <w:keepNext/>
              <w:spacing w:line="240" w:lineRule="auto" w:before="30" w:after="30"/>
              <w:jc w:val="center"/>
            </w:pPr>
            <w:r>
              <w:rPr>
                <w:b w:val="0"/>
                <w:i w:val="0"/>
                <w:sz w:val="18"/>
              </w:rPr>
              <w:t>1.237*</w:t>
            </w:r>
          </w:p>
        </w:tc>
        <w:tc>
          <w:tcPr>
            <w:tcW w:type="dxa" w:w="1632"/>
          </w:tcPr>
          <w:p>
            <w:pPr>
              <w:pStyle w:val="MDPI42tablebody"/>
              <w:keepNext/>
              <w:spacing w:line="240" w:lineRule="auto" w:before="30" w:after="30"/>
              <w:jc w:val="center"/>
            </w:pPr>
            <w:r>
              <w:rPr>
                <w:b w:val="0"/>
                <w:i w:val="0"/>
                <w:sz w:val="18"/>
              </w:rPr>
              <w:t>−2.245***</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(0.677)</w:t>
            </w:r>
          </w:p>
        </w:tc>
        <w:tc>
          <w:tcPr>
            <w:tcW w:type="dxa" w:w="1632"/>
          </w:tcPr>
          <w:p>
            <w:pPr>
              <w:pStyle w:val="MDPI42tablebody"/>
              <w:keepNext/>
              <w:spacing w:line="240" w:lineRule="auto" w:before="30" w:after="30"/>
              <w:jc w:val="center"/>
            </w:pPr>
            <w:r>
              <w:rPr>
                <w:b w:val="0"/>
                <w:i w:val="0"/>
                <w:sz w:val="18"/>
              </w:rPr>
              <w:t>(0.599)</w:t>
            </w:r>
          </w:p>
        </w:tc>
        <w:tc>
          <w:tcPr>
            <w:tcW w:type="dxa" w:w="1632"/>
          </w:tcPr>
          <w:p>
            <w:pPr>
              <w:pStyle w:val="MDPI42tablebody"/>
              <w:keepNext/>
              <w:spacing w:line="240" w:lineRule="auto" w:before="30" w:after="30"/>
              <w:jc w:val="center"/>
            </w:pPr>
            <w:r>
              <w:rPr>
                <w:b w:val="0"/>
                <w:i w:val="0"/>
                <w:sz w:val="18"/>
              </w:rPr>
              <w:t>(0.652)</w:t>
            </w:r>
          </w:p>
        </w:tc>
        <w:tc>
          <w:tcPr>
            <w:tcW w:type="dxa" w:w="1632"/>
          </w:tcPr>
          <w:p>
            <w:pPr>
              <w:pStyle w:val="MDPI42tablebody"/>
              <w:keepNext/>
              <w:spacing w:line="240" w:lineRule="auto" w:before="30" w:after="30"/>
              <w:jc w:val="center"/>
            </w:pPr>
            <w:r>
              <w:rPr>
                <w:b w:val="0"/>
                <w:i w:val="0"/>
                <w:sz w:val="18"/>
              </w:rPr>
              <w:t>(0.709)</w:t>
            </w:r>
          </w:p>
        </w:tc>
        <w:tc>
          <w:tcPr>
            <w:tcW w:type="dxa" w:w="1632"/>
          </w:tcPr>
          <w:p>
            <w:pPr>
              <w:pStyle w:val="MDPI42tablebody"/>
              <w:keepNext/>
              <w:spacing w:line="240" w:lineRule="auto" w:before="30" w:after="30"/>
              <w:jc w:val="center"/>
            </w:pPr>
            <w:r>
              <w:rPr>
                <w:b w:val="0"/>
                <w:i w:val="0"/>
                <w:sz w:val="18"/>
              </w:rPr>
              <w:t>(0.667)</w:t>
            </w:r>
          </w:p>
        </w:tc>
      </w:tr>
      <w:tr>
        <w:trPr>
          <w:cantSplit/>
        </w:trPr>
        <w:tc>
          <w:tcPr>
            <w:tcW w:type="dxa" w:w="2302"/>
          </w:tcPr>
          <w:p>
            <w:pPr>
              <w:pStyle w:val="MDPI42tablebody"/>
              <w:keepNext/>
              <w:spacing w:line="240" w:lineRule="auto" w:before="30" w:after="30"/>
              <w:jc w:val="left"/>
            </w:pPr>
            <w:r>
              <w:rPr>
                <w:b w:val="0"/>
                <w:i/>
                <w:sz w:val="18"/>
              </w:rPr>
              <w:t>Board</w:t>
            </w:r>
          </w:p>
        </w:tc>
        <w:tc>
          <w:tcPr>
            <w:tcW w:type="dxa" w:w="1632"/>
          </w:tcPr>
          <w:p>
            <w:pPr>
              <w:pStyle w:val="MDPI42tablebody"/>
              <w:keepNext/>
              <w:spacing w:line="240" w:lineRule="auto" w:before="30" w:after="30"/>
              <w:jc w:val="center"/>
            </w:pPr>
            <w:r>
              <w:rPr>
                <w:b w:val="0"/>
                <w:i w:val="0"/>
                <w:sz w:val="18"/>
              </w:rPr>
              <w:t>0.021</w:t>
            </w:r>
          </w:p>
        </w:tc>
        <w:tc>
          <w:tcPr>
            <w:tcW w:type="dxa" w:w="1632"/>
          </w:tcPr>
          <w:p>
            <w:pPr>
              <w:pStyle w:val="MDPI42tablebody"/>
              <w:keepNext/>
              <w:spacing w:line="240" w:lineRule="auto" w:before="30" w:after="30"/>
              <w:jc w:val="center"/>
            </w:pPr>
            <w:r>
              <w:rPr>
                <w:b w:val="0"/>
                <w:i w:val="0"/>
                <w:sz w:val="18"/>
              </w:rPr>
              <w:t>0.118</w:t>
            </w:r>
          </w:p>
        </w:tc>
        <w:tc>
          <w:tcPr>
            <w:tcW w:type="dxa" w:w="1632"/>
          </w:tcPr>
          <w:p>
            <w:pPr>
              <w:pStyle w:val="MDPI42tablebody"/>
              <w:keepNext/>
              <w:spacing w:line="240" w:lineRule="auto" w:before="30" w:after="30"/>
              <w:jc w:val="center"/>
            </w:pPr>
            <w:r>
              <w:rPr>
                <w:b w:val="0"/>
                <w:i w:val="0"/>
                <w:sz w:val="18"/>
              </w:rPr>
              <w:t>−0.016</w:t>
            </w:r>
          </w:p>
        </w:tc>
        <w:tc>
          <w:tcPr>
            <w:tcW w:type="dxa" w:w="1632"/>
          </w:tcPr>
          <w:p>
            <w:pPr>
              <w:pStyle w:val="MDPI42tablebody"/>
              <w:keepNext/>
              <w:spacing w:line="240" w:lineRule="auto" w:before="30" w:after="30"/>
              <w:jc w:val="center"/>
            </w:pPr>
            <w:r>
              <w:rPr>
                <w:b w:val="0"/>
                <w:i w:val="0"/>
                <w:sz w:val="18"/>
              </w:rPr>
              <w:t>0.018</w:t>
            </w:r>
          </w:p>
        </w:tc>
        <w:tc>
          <w:tcPr>
            <w:tcW w:type="dxa" w:w="1632"/>
          </w:tcPr>
          <w:p>
            <w:pPr>
              <w:pStyle w:val="MDPI42tablebody"/>
              <w:keepNext/>
              <w:spacing w:line="240" w:lineRule="auto" w:before="30" w:after="30"/>
              <w:jc w:val="center"/>
            </w:pPr>
            <w:r>
              <w:rPr>
                <w:b w:val="0"/>
                <w:i w:val="0"/>
                <w:sz w:val="18"/>
              </w:rPr>
              <w:t>0.018</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(0.178)</w:t>
            </w:r>
          </w:p>
        </w:tc>
        <w:tc>
          <w:tcPr>
            <w:tcW w:type="dxa" w:w="1632"/>
          </w:tcPr>
          <w:p>
            <w:pPr>
              <w:pStyle w:val="MDPI42tablebody"/>
              <w:keepNext/>
              <w:spacing w:line="240" w:lineRule="auto" w:before="30" w:after="30"/>
              <w:jc w:val="center"/>
            </w:pPr>
            <w:r>
              <w:rPr>
                <w:b w:val="0"/>
                <w:i w:val="0"/>
                <w:sz w:val="18"/>
              </w:rPr>
              <w:t>(0.155)</w:t>
            </w:r>
          </w:p>
        </w:tc>
        <w:tc>
          <w:tcPr>
            <w:tcW w:type="dxa" w:w="1632"/>
          </w:tcPr>
          <w:p>
            <w:pPr>
              <w:pStyle w:val="MDPI42tablebody"/>
              <w:keepNext/>
              <w:spacing w:line="240" w:lineRule="auto" w:before="30" w:after="30"/>
              <w:jc w:val="center"/>
            </w:pPr>
            <w:r>
              <w:rPr>
                <w:b w:val="0"/>
                <w:i w:val="0"/>
                <w:sz w:val="18"/>
              </w:rPr>
              <w:t>(0.171)</w:t>
            </w:r>
          </w:p>
        </w:tc>
        <w:tc>
          <w:tcPr>
            <w:tcW w:type="dxa" w:w="1632"/>
          </w:tcPr>
          <w:p>
            <w:pPr>
              <w:pStyle w:val="MDPI42tablebody"/>
              <w:keepNext/>
              <w:spacing w:line="240" w:lineRule="auto" w:before="30" w:after="30"/>
              <w:jc w:val="center"/>
            </w:pPr>
            <w:r>
              <w:rPr>
                <w:b w:val="0"/>
                <w:i w:val="0"/>
                <w:sz w:val="18"/>
              </w:rPr>
              <w:t>(0.187)</w:t>
            </w:r>
          </w:p>
        </w:tc>
        <w:tc>
          <w:tcPr>
            <w:tcW w:type="dxa" w:w="1632"/>
          </w:tcPr>
          <w:p>
            <w:pPr>
              <w:pStyle w:val="MDPI42tablebody"/>
              <w:keepNext/>
              <w:spacing w:line="240" w:lineRule="auto" w:before="30" w:after="30"/>
              <w:jc w:val="center"/>
            </w:pPr>
            <w:r>
              <w:rPr>
                <w:b w:val="0"/>
                <w:i w:val="0"/>
                <w:sz w:val="18"/>
              </w:rPr>
              <w:t>(0.174)</w:t>
            </w:r>
          </w:p>
        </w:tc>
      </w:tr>
      <w:tr>
        <w:trPr>
          <w:cantSplit/>
        </w:trPr>
        <w:tc>
          <w:tcPr>
            <w:tcW w:type="dxa" w:w="2302"/>
          </w:tcPr>
          <w:p>
            <w:pPr>
              <w:pStyle w:val="MDPI42tablebody"/>
              <w:keepNext/>
              <w:spacing w:line="240" w:lineRule="auto" w:before="30" w:after="30"/>
              <w:jc w:val="left"/>
            </w:pPr>
            <w:r>
              <w:rPr>
                <w:b w:val="0"/>
                <w:i/>
                <w:sz w:val="18"/>
              </w:rPr>
              <w:t>Indep</w:t>
            </w:r>
          </w:p>
        </w:tc>
        <w:tc>
          <w:tcPr>
            <w:tcW w:type="dxa" w:w="1632"/>
          </w:tcPr>
          <w:p>
            <w:pPr>
              <w:pStyle w:val="MDPI42tablebody"/>
              <w:keepNext/>
              <w:spacing w:line="240" w:lineRule="auto" w:before="30" w:after="30"/>
              <w:jc w:val="center"/>
            </w:pPr>
            <w:r>
              <w:rPr>
                <w:b w:val="0"/>
                <w:i w:val="0"/>
                <w:sz w:val="18"/>
              </w:rPr>
              <w:t>0.935</w:t>
            </w:r>
          </w:p>
        </w:tc>
        <w:tc>
          <w:tcPr>
            <w:tcW w:type="dxa" w:w="1632"/>
          </w:tcPr>
          <w:p>
            <w:pPr>
              <w:pStyle w:val="MDPI42tablebody"/>
              <w:keepNext/>
              <w:spacing w:line="240" w:lineRule="auto" w:before="30" w:after="30"/>
              <w:jc w:val="center"/>
            </w:pPr>
            <w:r>
              <w:rPr>
                <w:b w:val="0"/>
                <w:i w:val="0"/>
                <w:sz w:val="18"/>
              </w:rPr>
              <w:t>1.081*</w:t>
            </w:r>
          </w:p>
        </w:tc>
        <w:tc>
          <w:tcPr>
            <w:tcW w:type="dxa" w:w="1632"/>
          </w:tcPr>
          <w:p>
            <w:pPr>
              <w:pStyle w:val="MDPI42tablebody"/>
              <w:keepNext/>
              <w:spacing w:line="240" w:lineRule="auto" w:before="30" w:after="30"/>
              <w:jc w:val="center"/>
            </w:pPr>
            <w:r>
              <w:rPr>
                <w:b w:val="0"/>
                <w:i w:val="0"/>
                <w:sz w:val="18"/>
              </w:rPr>
              <w:t>0.596</w:t>
            </w:r>
          </w:p>
        </w:tc>
        <w:tc>
          <w:tcPr>
            <w:tcW w:type="dxa" w:w="1632"/>
          </w:tcPr>
          <w:p>
            <w:pPr>
              <w:pStyle w:val="MDPI42tablebody"/>
              <w:keepNext/>
              <w:spacing w:line="240" w:lineRule="auto" w:before="30" w:after="30"/>
              <w:jc w:val="center"/>
            </w:pPr>
            <w:r>
              <w:rPr>
                <w:b w:val="0"/>
                <w:i w:val="0"/>
                <w:sz w:val="18"/>
              </w:rPr>
              <w:t>−1.249*</w:t>
            </w:r>
          </w:p>
        </w:tc>
        <w:tc>
          <w:tcPr>
            <w:tcW w:type="dxa" w:w="1632"/>
          </w:tcPr>
          <w:p>
            <w:pPr>
              <w:pStyle w:val="MDPI42tablebody"/>
              <w:keepNext/>
              <w:spacing w:line="240" w:lineRule="auto" w:before="30" w:after="30"/>
              <w:jc w:val="center"/>
            </w:pPr>
            <w:r>
              <w:rPr>
                <w:b w:val="0"/>
                <w:i w:val="0"/>
                <w:sz w:val="18"/>
              </w:rPr>
              <w:t>1.157*</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(0.710)</w:t>
            </w:r>
          </w:p>
        </w:tc>
        <w:tc>
          <w:tcPr>
            <w:tcW w:type="dxa" w:w="1632"/>
          </w:tcPr>
          <w:p>
            <w:pPr>
              <w:pStyle w:val="MDPI42tablebody"/>
              <w:keepNext/>
              <w:spacing w:line="240" w:lineRule="auto" w:before="30" w:after="30"/>
              <w:jc w:val="center"/>
            </w:pPr>
            <w:r>
              <w:rPr>
                <w:b w:val="0"/>
                <w:i w:val="0"/>
                <w:sz w:val="18"/>
              </w:rPr>
              <w:t>(0.616)</w:t>
            </w:r>
          </w:p>
        </w:tc>
        <w:tc>
          <w:tcPr>
            <w:tcW w:type="dxa" w:w="1632"/>
          </w:tcPr>
          <w:p>
            <w:pPr>
              <w:pStyle w:val="MDPI42tablebody"/>
              <w:keepNext/>
              <w:spacing w:line="240" w:lineRule="auto" w:before="30" w:after="30"/>
              <w:jc w:val="center"/>
            </w:pPr>
            <w:r>
              <w:rPr>
                <w:b w:val="0"/>
                <w:i w:val="0"/>
                <w:sz w:val="18"/>
              </w:rPr>
              <w:t>(0.685)</w:t>
            </w:r>
          </w:p>
        </w:tc>
        <w:tc>
          <w:tcPr>
            <w:tcW w:type="dxa" w:w="1632"/>
          </w:tcPr>
          <w:p>
            <w:pPr>
              <w:pStyle w:val="MDPI42tablebody"/>
              <w:keepNext/>
              <w:spacing w:line="240" w:lineRule="auto" w:before="30" w:after="30"/>
              <w:jc w:val="center"/>
            </w:pPr>
            <w:r>
              <w:rPr>
                <w:b w:val="0"/>
                <w:i w:val="0"/>
                <w:sz w:val="18"/>
              </w:rPr>
              <w:t>(0.722)</w:t>
            </w:r>
          </w:p>
        </w:tc>
        <w:tc>
          <w:tcPr>
            <w:tcW w:type="dxa" w:w="1632"/>
          </w:tcPr>
          <w:p>
            <w:pPr>
              <w:pStyle w:val="MDPI42tablebody"/>
              <w:keepNext/>
              <w:spacing w:line="240" w:lineRule="auto" w:before="30" w:after="30"/>
              <w:jc w:val="center"/>
            </w:pPr>
            <w:r>
              <w:rPr>
                <w:b w:val="0"/>
                <w:i w:val="0"/>
                <w:sz w:val="18"/>
              </w:rPr>
              <w:t>(0.699)</w:t>
            </w:r>
          </w:p>
        </w:tc>
      </w:tr>
      <w:tr>
        <w:trPr>
          <w:cantSplit/>
        </w:trPr>
        <w:tc>
          <w:tcPr>
            <w:tcW w:type="dxa" w:w="2302"/>
          </w:tcPr>
          <w:p>
            <w:pPr>
              <w:pStyle w:val="MDPI42tablebody"/>
              <w:keepNext/>
              <w:spacing w:line="240" w:lineRule="auto" w:before="30" w:after="30"/>
              <w:jc w:val="left"/>
            </w:pPr>
            <w:r>
              <w:rPr>
                <w:b w:val="0"/>
                <w:i/>
                <w:sz w:val="18"/>
              </w:rPr>
              <w:t>Dual</w:t>
            </w:r>
          </w:p>
        </w:tc>
        <w:tc>
          <w:tcPr>
            <w:tcW w:type="dxa" w:w="1632"/>
          </w:tcPr>
          <w:p>
            <w:pPr>
              <w:pStyle w:val="MDPI42tablebody"/>
              <w:keepNext/>
              <w:spacing w:line="240" w:lineRule="auto" w:before="30" w:after="30"/>
              <w:jc w:val="center"/>
            </w:pPr>
            <w:r>
              <w:rPr>
                <w:b w:val="0"/>
                <w:i w:val="0"/>
                <w:sz w:val="18"/>
              </w:rPr>
              <w:t>−0.092</w:t>
            </w:r>
          </w:p>
        </w:tc>
        <w:tc>
          <w:tcPr>
            <w:tcW w:type="dxa" w:w="1632"/>
          </w:tcPr>
          <w:p>
            <w:pPr>
              <w:pStyle w:val="MDPI42tablebody"/>
              <w:keepNext/>
              <w:spacing w:line="240" w:lineRule="auto" w:before="30" w:after="30"/>
              <w:jc w:val="center"/>
            </w:pPr>
            <w:r>
              <w:rPr>
                <w:b w:val="0"/>
                <w:i w:val="0"/>
                <w:sz w:val="18"/>
              </w:rPr>
              <w:t>−0.081</w:t>
            </w:r>
          </w:p>
        </w:tc>
        <w:tc>
          <w:tcPr>
            <w:tcW w:type="dxa" w:w="1632"/>
          </w:tcPr>
          <w:p>
            <w:pPr>
              <w:pStyle w:val="MDPI42tablebody"/>
              <w:keepNext/>
              <w:spacing w:line="240" w:lineRule="auto" w:before="30" w:after="30"/>
              <w:jc w:val="center"/>
            </w:pPr>
            <w:r>
              <w:rPr>
                <w:b w:val="0"/>
                <w:i w:val="0"/>
                <w:sz w:val="18"/>
              </w:rPr>
              <w:t>−0.067</w:t>
            </w:r>
          </w:p>
        </w:tc>
        <w:tc>
          <w:tcPr>
            <w:tcW w:type="dxa" w:w="1632"/>
          </w:tcPr>
          <w:p>
            <w:pPr>
              <w:pStyle w:val="MDPI42tablebody"/>
              <w:keepNext/>
              <w:spacing w:line="240" w:lineRule="auto" w:before="30" w:after="30"/>
              <w:jc w:val="center"/>
            </w:pPr>
            <w:r>
              <w:rPr>
                <w:b w:val="0"/>
                <w:i w:val="0"/>
                <w:sz w:val="18"/>
              </w:rPr>
              <w:t>−0.025</w:t>
            </w:r>
          </w:p>
        </w:tc>
        <w:tc>
          <w:tcPr>
            <w:tcW w:type="dxa" w:w="1632"/>
          </w:tcPr>
          <w:p>
            <w:pPr>
              <w:pStyle w:val="MDPI42tablebody"/>
              <w:keepNext/>
              <w:spacing w:line="240" w:lineRule="auto" w:before="30" w:after="30"/>
              <w:jc w:val="center"/>
            </w:pPr>
            <w:r>
              <w:rPr>
                <w:b w:val="0"/>
                <w:i w:val="0"/>
                <w:sz w:val="18"/>
              </w:rPr>
              <w:t>−0.088</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(0.074)</w:t>
            </w:r>
          </w:p>
        </w:tc>
        <w:tc>
          <w:tcPr>
            <w:tcW w:type="dxa" w:w="1632"/>
          </w:tcPr>
          <w:p>
            <w:pPr>
              <w:pStyle w:val="MDPI42tablebody"/>
              <w:keepNext/>
              <w:spacing w:line="240" w:lineRule="auto" w:before="30" w:after="30"/>
              <w:jc w:val="center"/>
            </w:pPr>
            <w:r>
              <w:rPr>
                <w:b w:val="0"/>
                <w:i w:val="0"/>
                <w:sz w:val="18"/>
              </w:rPr>
              <w:t>(0.064)</w:t>
            </w:r>
          </w:p>
        </w:tc>
        <w:tc>
          <w:tcPr>
            <w:tcW w:type="dxa" w:w="1632"/>
          </w:tcPr>
          <w:p>
            <w:pPr>
              <w:pStyle w:val="MDPI42tablebody"/>
              <w:keepNext/>
              <w:spacing w:line="240" w:lineRule="auto" w:before="30" w:after="30"/>
              <w:jc w:val="center"/>
            </w:pPr>
            <w:r>
              <w:rPr>
                <w:b w:val="0"/>
                <w:i w:val="0"/>
                <w:sz w:val="18"/>
              </w:rPr>
              <w:t>(0.071)</w:t>
            </w:r>
          </w:p>
        </w:tc>
        <w:tc>
          <w:tcPr>
            <w:tcW w:type="dxa" w:w="1632"/>
          </w:tcPr>
          <w:p>
            <w:pPr>
              <w:pStyle w:val="MDPI42tablebody"/>
              <w:keepNext/>
              <w:spacing w:line="240" w:lineRule="auto" w:before="30" w:after="30"/>
              <w:jc w:val="center"/>
            </w:pPr>
            <w:r>
              <w:rPr>
                <w:b w:val="0"/>
                <w:i w:val="0"/>
                <w:sz w:val="18"/>
              </w:rPr>
              <w:t>(0.077)</w:t>
            </w:r>
          </w:p>
        </w:tc>
        <w:tc>
          <w:tcPr>
            <w:tcW w:type="dxa" w:w="1632"/>
          </w:tcPr>
          <w:p>
            <w:pPr>
              <w:pStyle w:val="MDPI42tablebody"/>
              <w:keepNext/>
              <w:spacing w:line="240" w:lineRule="auto" w:before="30" w:after="30"/>
              <w:jc w:val="center"/>
            </w:pPr>
            <w:r>
              <w:rPr>
                <w:b w:val="0"/>
                <w:i w:val="0"/>
                <w:sz w:val="18"/>
              </w:rPr>
              <w:t>(0.073)</w:t>
            </w:r>
          </w:p>
        </w:tc>
      </w:tr>
      <w:tr>
        <w:trPr>
          <w:cantSplit/>
        </w:trPr>
        <w:tc>
          <w:tcPr>
            <w:tcW w:type="dxa" w:w="2302"/>
          </w:tcPr>
          <w:p>
            <w:pPr>
              <w:pStyle w:val="MDPI42tablebody"/>
              <w:keepNext/>
              <w:spacing w:line="240" w:lineRule="auto" w:before="30" w:after="30"/>
              <w:jc w:val="left"/>
            </w:pPr>
            <w:r>
              <w:rPr>
                <w:b w:val="0"/>
                <w:i/>
                <w:sz w:val="18"/>
              </w:rPr>
              <w:t>TobinQ</w:t>
            </w:r>
          </w:p>
        </w:tc>
        <w:tc>
          <w:tcPr>
            <w:tcW w:type="dxa" w:w="1632"/>
          </w:tcPr>
          <w:p>
            <w:pPr>
              <w:pStyle w:val="MDPI42tablebody"/>
              <w:keepNext/>
              <w:spacing w:line="240" w:lineRule="auto" w:before="30" w:after="30"/>
              <w:jc w:val="center"/>
            </w:pPr>
            <w:r>
              <w:rPr>
                <w:b w:val="0"/>
                <w:i w:val="0"/>
                <w:sz w:val="18"/>
              </w:rPr>
              <w:t>0.007</w:t>
            </w:r>
          </w:p>
        </w:tc>
        <w:tc>
          <w:tcPr>
            <w:tcW w:type="dxa" w:w="1632"/>
          </w:tcPr>
          <w:p>
            <w:pPr>
              <w:pStyle w:val="MDPI42tablebody"/>
              <w:keepNext/>
              <w:spacing w:line="240" w:lineRule="auto" w:before="30" w:after="30"/>
              <w:jc w:val="center"/>
            </w:pPr>
            <w:r>
              <w:rPr>
                <w:b w:val="0"/>
                <w:i w:val="0"/>
                <w:sz w:val="18"/>
              </w:rPr>
              <w:t>0.006</w:t>
            </w:r>
          </w:p>
        </w:tc>
        <w:tc>
          <w:tcPr>
            <w:tcW w:type="dxa" w:w="1632"/>
          </w:tcPr>
          <w:p>
            <w:pPr>
              <w:pStyle w:val="MDPI42tablebody"/>
              <w:keepNext/>
              <w:spacing w:line="240" w:lineRule="auto" w:before="30" w:after="30"/>
              <w:jc w:val="center"/>
            </w:pPr>
            <w:r>
              <w:rPr>
                <w:b w:val="0"/>
                <w:i w:val="0"/>
                <w:sz w:val="18"/>
              </w:rPr>
              <w:t>0.005</w:t>
            </w:r>
          </w:p>
        </w:tc>
        <w:tc>
          <w:tcPr>
            <w:tcW w:type="dxa" w:w="1632"/>
          </w:tcPr>
          <w:p>
            <w:pPr>
              <w:pStyle w:val="MDPI42tablebody"/>
              <w:keepNext/>
              <w:spacing w:line="240" w:lineRule="auto" w:before="30" w:after="30"/>
              <w:jc w:val="center"/>
            </w:pPr>
            <w:r>
              <w:rPr>
                <w:b w:val="0"/>
                <w:i w:val="0"/>
                <w:sz w:val="18"/>
              </w:rPr>
              <w:t>0.017</w:t>
            </w:r>
          </w:p>
        </w:tc>
        <w:tc>
          <w:tcPr>
            <w:tcW w:type="dxa" w:w="1632"/>
          </w:tcPr>
          <w:p>
            <w:pPr>
              <w:pStyle w:val="MDPI42tablebody"/>
              <w:keepNext/>
              <w:spacing w:line="240" w:lineRule="auto" w:before="30" w:after="30"/>
              <w:jc w:val="center"/>
            </w:pPr>
            <w:r>
              <w:rPr>
                <w:b w:val="0"/>
                <w:i w:val="0"/>
                <w:sz w:val="18"/>
              </w:rPr>
              <w:t>0.004</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(0.031)</w:t>
            </w:r>
          </w:p>
        </w:tc>
        <w:tc>
          <w:tcPr>
            <w:tcW w:type="dxa" w:w="1632"/>
          </w:tcPr>
          <w:p>
            <w:pPr>
              <w:pStyle w:val="MDPI42tablebody"/>
              <w:keepNext/>
              <w:spacing w:line="240" w:lineRule="auto" w:before="30" w:after="30"/>
              <w:jc w:val="center"/>
            </w:pPr>
            <w:r>
              <w:rPr>
                <w:b w:val="0"/>
                <w:i w:val="0"/>
                <w:sz w:val="18"/>
              </w:rPr>
              <w:t>(0.027)</w:t>
            </w:r>
          </w:p>
        </w:tc>
        <w:tc>
          <w:tcPr>
            <w:tcW w:type="dxa" w:w="1632"/>
          </w:tcPr>
          <w:p>
            <w:pPr>
              <w:pStyle w:val="MDPI42tablebody"/>
              <w:keepNext/>
              <w:spacing w:line="240" w:lineRule="auto" w:before="30" w:after="30"/>
              <w:jc w:val="center"/>
            </w:pPr>
            <w:r>
              <w:rPr>
                <w:b w:val="0"/>
                <w:i w:val="0"/>
                <w:sz w:val="18"/>
              </w:rPr>
              <w:t>(0.030)</w:t>
            </w:r>
          </w:p>
        </w:tc>
        <w:tc>
          <w:tcPr>
            <w:tcW w:type="dxa" w:w="1632"/>
          </w:tcPr>
          <w:p>
            <w:pPr>
              <w:pStyle w:val="MDPI42tablebody"/>
              <w:keepNext/>
              <w:spacing w:line="240" w:lineRule="auto" w:before="30" w:after="30"/>
              <w:jc w:val="center"/>
            </w:pPr>
            <w:r>
              <w:rPr>
                <w:b w:val="0"/>
                <w:i w:val="0"/>
                <w:sz w:val="18"/>
              </w:rPr>
              <w:t>(0.032)</w:t>
            </w:r>
          </w:p>
        </w:tc>
        <w:tc>
          <w:tcPr>
            <w:tcW w:type="dxa" w:w="1632"/>
          </w:tcPr>
          <w:p>
            <w:pPr>
              <w:pStyle w:val="MDPI42tablebody"/>
              <w:keepNext/>
              <w:spacing w:line="240" w:lineRule="auto" w:before="30" w:after="30"/>
              <w:jc w:val="center"/>
            </w:pPr>
            <w:r>
              <w:rPr>
                <w:b w:val="0"/>
                <w:i w:val="0"/>
                <w:sz w:val="18"/>
              </w:rPr>
              <w:t>(0.031)</w:t>
            </w:r>
          </w:p>
        </w:tc>
      </w:tr>
      <w:tr>
        <w:trPr>
          <w:cantSplit/>
        </w:trPr>
        <w:tc>
          <w:tcPr>
            <w:tcW w:type="dxa" w:w="2302"/>
          </w:tcPr>
          <w:p>
            <w:pPr>
              <w:pStyle w:val="MDPI42tablebody"/>
              <w:keepNext/>
              <w:spacing w:line="240" w:lineRule="auto" w:before="30" w:after="30"/>
              <w:jc w:val="left"/>
            </w:pPr>
            <w:r>
              <w:rPr>
                <w:b w:val="0"/>
                <w:i/>
                <w:sz w:val="18"/>
              </w:rPr>
              <w:t>Fixed</w:t>
            </w:r>
          </w:p>
        </w:tc>
        <w:tc>
          <w:tcPr>
            <w:tcW w:type="dxa" w:w="1632"/>
          </w:tcPr>
          <w:p>
            <w:pPr>
              <w:pStyle w:val="MDPI42tablebody"/>
              <w:keepNext/>
              <w:spacing w:line="240" w:lineRule="auto" w:before="30" w:after="30"/>
              <w:jc w:val="center"/>
            </w:pPr>
            <w:r>
              <w:rPr>
                <w:b w:val="0"/>
                <w:i w:val="0"/>
                <w:sz w:val="18"/>
              </w:rPr>
              <w:t>0.161</w:t>
            </w:r>
          </w:p>
        </w:tc>
        <w:tc>
          <w:tcPr>
            <w:tcW w:type="dxa" w:w="1632"/>
          </w:tcPr>
          <w:p>
            <w:pPr>
              <w:pStyle w:val="MDPI42tablebody"/>
              <w:keepNext/>
              <w:spacing w:line="240" w:lineRule="auto" w:before="30" w:after="30"/>
              <w:jc w:val="center"/>
            </w:pPr>
            <w:r>
              <w:rPr>
                <w:b w:val="0"/>
                <w:i w:val="0"/>
                <w:sz w:val="18"/>
              </w:rPr>
              <w:t>−0.132</w:t>
            </w:r>
          </w:p>
        </w:tc>
        <w:tc>
          <w:tcPr>
            <w:tcW w:type="dxa" w:w="1632"/>
          </w:tcPr>
          <w:p>
            <w:pPr>
              <w:pStyle w:val="MDPI42tablebody"/>
              <w:keepNext/>
              <w:spacing w:line="240" w:lineRule="auto" w:before="30" w:after="30"/>
              <w:jc w:val="center"/>
            </w:pPr>
            <w:r>
              <w:rPr>
                <w:b w:val="0"/>
                <w:i w:val="0"/>
                <w:sz w:val="18"/>
              </w:rPr>
              <w:t>0.203</w:t>
            </w:r>
          </w:p>
        </w:tc>
        <w:tc>
          <w:tcPr>
            <w:tcW w:type="dxa" w:w="1632"/>
          </w:tcPr>
          <w:p>
            <w:pPr>
              <w:pStyle w:val="MDPI42tablebody"/>
              <w:keepNext/>
              <w:spacing w:line="240" w:lineRule="auto" w:before="30" w:after="30"/>
              <w:jc w:val="center"/>
            </w:pPr>
            <w:r>
              <w:rPr>
                <w:b w:val="0"/>
                <w:i w:val="0"/>
                <w:sz w:val="18"/>
              </w:rPr>
              <w:t>−0.295</w:t>
            </w:r>
          </w:p>
        </w:tc>
        <w:tc>
          <w:tcPr>
            <w:tcW w:type="dxa" w:w="1632"/>
          </w:tcPr>
          <w:p>
            <w:pPr>
              <w:pStyle w:val="MDPI42tablebody"/>
              <w:keepNext/>
              <w:spacing w:line="240" w:lineRule="auto" w:before="30" w:after="30"/>
              <w:jc w:val="center"/>
            </w:pPr>
            <w:r>
              <w:rPr>
                <w:b w:val="0"/>
                <w:i w:val="0"/>
                <w:sz w:val="18"/>
              </w:rPr>
              <w:t>0.214</w:t>
            </w:r>
          </w:p>
        </w:tc>
      </w:tr>
      <w:tr>
        <w:trPr>
          <w:cantSplit/>
        </w:trPr>
        <w:tc>
          <w:tcPr>
            <w:tcW w:type="dxa" w:w="2302"/>
          </w:tcPr>
          <w:p>
            <w:pPr>
              <w:pStyle w:val="MDPI42tablebody"/>
              <w:keepNext/>
              <w:spacing w:line="240" w:lineRule="auto" w:before="30" w:after="30"/>
              <w:jc w:val="left"/>
            </w:pPr>
          </w:p>
        </w:tc>
        <w:tc>
          <w:tcPr>
            <w:tcW w:type="dxa" w:w="1632"/>
          </w:tcPr>
          <w:p>
            <w:pPr>
              <w:pStyle w:val="MDPI42tablebody"/>
              <w:keepNext/>
              <w:spacing w:line="240" w:lineRule="auto" w:before="30" w:after="30"/>
              <w:jc w:val="center"/>
            </w:pPr>
            <w:r>
              <w:rPr>
                <w:b w:val="0"/>
                <w:i w:val="0"/>
                <w:sz w:val="18"/>
              </w:rPr>
              <w:t>(0.277)</w:t>
            </w:r>
          </w:p>
        </w:tc>
        <w:tc>
          <w:tcPr>
            <w:tcW w:type="dxa" w:w="1632"/>
          </w:tcPr>
          <w:p>
            <w:pPr>
              <w:pStyle w:val="MDPI42tablebody"/>
              <w:keepNext/>
              <w:spacing w:line="240" w:lineRule="auto" w:before="30" w:after="30"/>
              <w:jc w:val="center"/>
            </w:pPr>
            <w:r>
              <w:rPr>
                <w:b w:val="0"/>
                <w:i w:val="0"/>
                <w:sz w:val="18"/>
              </w:rPr>
              <w:t>(0.236)</w:t>
            </w:r>
          </w:p>
        </w:tc>
        <w:tc>
          <w:tcPr>
            <w:tcW w:type="dxa" w:w="1632"/>
          </w:tcPr>
          <w:p>
            <w:pPr>
              <w:pStyle w:val="MDPI42tablebody"/>
              <w:keepNext/>
              <w:spacing w:line="240" w:lineRule="auto" w:before="30" w:after="30"/>
              <w:jc w:val="center"/>
            </w:pPr>
            <w:r>
              <w:rPr>
                <w:b w:val="0"/>
                <w:i w:val="0"/>
                <w:sz w:val="18"/>
              </w:rPr>
              <w:t>(0.268)</w:t>
            </w:r>
          </w:p>
        </w:tc>
        <w:tc>
          <w:tcPr>
            <w:tcW w:type="dxa" w:w="1632"/>
          </w:tcPr>
          <w:p>
            <w:pPr>
              <w:pStyle w:val="MDPI42tablebody"/>
              <w:keepNext/>
              <w:spacing w:line="240" w:lineRule="auto" w:before="30" w:after="30"/>
              <w:jc w:val="center"/>
            </w:pPr>
            <w:r>
              <w:rPr>
                <w:b w:val="0"/>
                <w:i w:val="0"/>
                <w:sz w:val="18"/>
              </w:rPr>
              <w:t>(0.278)</w:t>
            </w:r>
          </w:p>
        </w:tc>
        <w:tc>
          <w:tcPr>
            <w:tcW w:type="dxa" w:w="1632"/>
          </w:tcPr>
          <w:p>
            <w:pPr>
              <w:pStyle w:val="MDPI42tablebody"/>
              <w:keepNext/>
              <w:spacing w:line="240" w:lineRule="auto" w:before="30" w:after="30"/>
              <w:jc w:val="center"/>
            </w:pPr>
            <w:r>
              <w:rPr>
                <w:b w:val="0"/>
                <w:i w:val="0"/>
                <w:sz w:val="18"/>
              </w:rPr>
              <w:t>(0.273)</w:t>
            </w:r>
          </w:p>
        </w:tc>
      </w:tr>
      <w:tr>
        <w:trPr>
          <w:cantSplit/>
        </w:trPr>
        <w:tc>
          <w:tcPr>
            <w:tcW w:type="dxa" w:w="2302"/>
          </w:tcPr>
          <w:p>
            <w:pPr>
              <w:pStyle w:val="MDPI42tablebody"/>
              <w:keepNext/>
              <w:spacing w:line="240" w:lineRule="auto" w:before="30" w:after="30"/>
              <w:jc w:val="left"/>
            </w:pPr>
            <w:r>
              <w:rPr>
                <w:b w:val="0"/>
                <w:i/>
                <w:sz w:val="18"/>
              </w:rPr>
              <w:t>Firm FE</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r>
      <w:tr>
        <w:trPr>
          <w:cantSplit/>
        </w:trPr>
        <w:tc>
          <w:tcPr>
            <w:tcW w:type="dxa" w:w="2302"/>
          </w:tcPr>
          <w:p>
            <w:pPr>
              <w:pStyle w:val="MDPI42tablebody"/>
              <w:keepNext/>
              <w:spacing w:line="240" w:lineRule="auto" w:before="30" w:after="30"/>
              <w:jc w:val="left"/>
            </w:pPr>
            <w:r>
              <w:rPr>
                <w:b w:val="0"/>
                <w:i/>
                <w:sz w:val="18"/>
              </w:rPr>
              <w:t>Year FE</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c>
          <w:tcPr>
            <w:tcW w:type="dxa" w:w="1632"/>
          </w:tcPr>
          <w:p>
            <w:pPr>
              <w:pStyle w:val="MDPI42tablebody"/>
              <w:keepNext/>
              <w:spacing w:line="240" w:lineRule="auto" w:before="30" w:after="30"/>
              <w:jc w:val="center"/>
            </w:pPr>
            <w:r>
              <w:rPr>
                <w:b w:val="0"/>
                <w:i w:val="0"/>
                <w:sz w:val="18"/>
              </w:rPr>
              <w:t>Yes</w:t>
            </w:r>
          </w:p>
        </w:tc>
      </w:tr>
      <w:tr>
        <w:trPr>
          <w:cantSplit/>
        </w:trPr>
        <w:tc>
          <w:tcPr>
            <w:tcW w:type="dxa" w:w="2302"/>
          </w:tcPr>
          <w:p>
            <w:pPr>
              <w:pStyle w:val="MDPI42tablebody"/>
              <w:keepNext/>
              <w:spacing w:line="240" w:lineRule="auto" w:before="30" w:after="30"/>
              <w:jc w:val="left"/>
            </w:pPr>
            <w:r>
              <w:rPr>
                <w:b w:val="0"/>
                <w:i/>
                <w:sz w:val="18"/>
              </w:rPr>
              <w:t>Observations</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c>
          <w:tcPr>
            <w:tcW w:type="dxa" w:w="1632"/>
          </w:tcPr>
          <w:p>
            <w:pPr>
              <w:pStyle w:val="MDPI42tablebody"/>
              <w:keepNext/>
              <w:spacing w:line="240" w:lineRule="auto" w:before="30" w:after="30"/>
              <w:jc w:val="center"/>
            </w:pPr>
            <w:r>
              <w:rPr>
                <w:b w:val="0"/>
                <w:i w:val="0"/>
                <w:sz w:val="18"/>
              </w:rPr>
              <w:t>27,340</w:t>
            </w:r>
          </w:p>
        </w:tc>
      </w:tr>
      <w:tr>
        <w:trPr>
          <w:cantSplit/>
        </w:trPr>
        <w:tc>
          <w:tcPr>
            <w:tcW w:type="dxa" w:w="2302"/>
          </w:tcPr>
          <w:p>
            <w:pPr>
              <w:pStyle w:val="MDPI42tablebody"/>
              <w:spacing w:line="240" w:lineRule="auto" w:before="30" w:after="30"/>
              <w:jc w:val="left"/>
            </w:pPr>
            <w:r>
              <w:rPr>
                <w:b w:val="0"/>
                <w:i/>
                <w:sz w:val="18"/>
              </w:rPr>
              <w:t>Within R²</w:t>
            </w:r>
          </w:p>
        </w:tc>
        <w:tc>
          <w:tcPr>
            <w:tcW w:type="dxa" w:w="1632"/>
          </w:tcPr>
          <w:p>
            <w:pPr>
              <w:pStyle w:val="MDPI42tablebody"/>
              <w:spacing w:line="240" w:lineRule="auto" w:before="30" w:after="30"/>
              <w:jc w:val="center"/>
            </w:pPr>
            <w:r>
              <w:rPr>
                <w:b w:val="0"/>
                <w:i w:val="0"/>
                <w:sz w:val="18"/>
              </w:rPr>
              <w:t>0.077</w:t>
            </w:r>
          </w:p>
        </w:tc>
        <w:tc>
          <w:tcPr>
            <w:tcW w:type="dxa" w:w="1632"/>
          </w:tcPr>
          <w:p>
            <w:pPr>
              <w:pStyle w:val="MDPI42tablebody"/>
              <w:spacing w:line="240" w:lineRule="auto" w:before="30" w:after="30"/>
              <w:jc w:val="center"/>
            </w:pPr>
            <w:r>
              <w:rPr>
                <w:b w:val="0"/>
                <w:i w:val="0"/>
                <w:sz w:val="18"/>
              </w:rPr>
              <w:t>0.131</w:t>
            </w:r>
          </w:p>
        </w:tc>
        <w:tc>
          <w:tcPr>
            <w:tcW w:type="dxa" w:w="1632"/>
          </w:tcPr>
          <w:p>
            <w:pPr>
              <w:pStyle w:val="MDPI42tablebody"/>
              <w:spacing w:line="240" w:lineRule="auto" w:before="30" w:after="30"/>
              <w:jc w:val="center"/>
            </w:pPr>
            <w:r>
              <w:rPr>
                <w:b w:val="0"/>
                <w:i w:val="0"/>
                <w:sz w:val="18"/>
              </w:rPr>
              <w:t>0.216</w:t>
            </w:r>
          </w:p>
        </w:tc>
        <w:tc>
          <w:tcPr>
            <w:tcW w:type="dxa" w:w="1632"/>
          </w:tcPr>
          <w:p>
            <w:pPr>
              <w:pStyle w:val="MDPI42tablebody"/>
              <w:spacing w:line="240" w:lineRule="auto" w:before="30" w:after="30"/>
              <w:jc w:val="center"/>
            </w:pPr>
            <w:r>
              <w:rPr>
                <w:b w:val="0"/>
                <w:i w:val="0"/>
                <w:sz w:val="18"/>
              </w:rPr>
              <w:t>0.204</w:t>
            </w:r>
          </w:p>
        </w:tc>
        <w:tc>
          <w:tcPr>
            <w:tcW w:type="dxa" w:w="1632"/>
          </w:tcPr>
          <w:p>
            <w:pPr>
              <w:pStyle w:val="MDPI42tablebody"/>
              <w:spacing w:line="240" w:lineRule="auto" w:before="30" w:after="30"/>
              <w:jc w:val="center"/>
            </w:pPr>
            <w:r>
              <w:rPr>
                <w:b w:val="0"/>
                <w:i w:val="0"/>
                <w:sz w:val="18"/>
              </w:rPr>
              <w:t>0.043</w:t>
            </w:r>
          </w:p>
        </w:tc>
      </w:tr>
    </w:tbl>
    <w:p>
      <w:pPr>
        <w:pStyle w:val="MDPI43tablefooter"/>
        <w:spacing w:line="240" w:lineRule="auto" w:before="40" w:after="200"/>
        <w:ind w:left="2608" w:firstLine="0"/>
      </w:pPr>
      <w:r>
        <w:rPr>
          <w:sz w:val="16"/>
        </w:rPr>
        <w:t xml:space="preserve">Note: </w:t>
      </w:r>
      <w:r>
        <w:rPr>
          <w:b w:val="0"/>
          <w:i w:val="0"/>
          <w:sz w:val="16"/>
        </w:rPr>
        <w:t>Columns (2) and (4) regress each mediator on adoption; columns (3) and (5) add the mediator to the outcome equation. Standard errors clustered at the firm level are in parentheses. ***, ** and * denote significance at the 1%, 5% and 10% levels.</w:t>
      </w:r>
    </w:p>
    <w:p>
      <w:pPr>
        <w:pStyle w:val="MDPI31text"/>
      </w:pPr>
      <w:r>
        <w:rPr>
          <w:b w:val="0"/>
          <w:i w:val="0"/>
        </w:rPr>
        <w:t>Columns (4) and (5) examine the second channel. Adoption significantly raises human-capital upgrading (0.551), and upgrading is positively associated with the youth share (0.178). The indirect effect is 0.098 with a bootstrap confidence interval of [0.076, 0.120], and it offsets 15.8% of the total effect. H3 is supported. Table 6 collects the decomposition. The two channels are genuinely countervailing, which is why estimates that report only a net elasticity are difficult to interpret and why the same technology can look displacing in one setting and complementary in another.</w:t>
      </w:r>
    </w:p>
    <w:p>
      <w:pPr>
        <w:pStyle w:val="MDPI41tablecaption"/>
        <w:keepNext/>
        <w:spacing w:after="60"/>
      </w:pPr>
      <w:r>
        <w:rPr>
          <w:b/>
          <w:sz w:val="18"/>
        </w:rPr>
        <w:t xml:space="preserve">Table 6. </w:t>
      </w:r>
      <w:r>
        <w:rPr>
          <w:b w:val="0"/>
          <w:i w:val="0"/>
          <w:sz w:val="18"/>
        </w:rPr>
        <w:t>Decomposition of the total effect into the two mediating channels.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721"/>
        <w:gridCol w:w="1151"/>
        <w:gridCol w:w="1255"/>
        <w:gridCol w:w="1360"/>
        <w:gridCol w:w="1674"/>
        <w:gridCol w:w="1255"/>
        <w:gridCol w:w="1046"/>
      </w:tblGrid>
      <w:tr>
        <w:trPr>
          <w:cantSplit/>
          <w:tblHeader/>
        </w:trPr>
        <w:tc>
          <w:tcPr>
            <w:tcW w:type="dxa" w:w="2721"/>
            <w:tcBorders>
              <w:bottom w:val="single" w:sz="8" w:space="0" w:color="auto"/>
            </w:tcBorders>
          </w:tcPr>
          <w:p>
            <w:pPr>
              <w:pStyle w:val="MDPI42tablebody"/>
              <w:keepNext/>
              <w:spacing w:line="240" w:lineRule="auto" w:before="30" w:after="30"/>
              <w:jc w:val="center"/>
            </w:pPr>
            <w:r>
              <w:rPr>
                <w:b/>
                <w:i w:val="0"/>
                <w:sz w:val="16"/>
              </w:rPr>
              <w:t>Channel</w:t>
            </w:r>
          </w:p>
        </w:tc>
        <w:tc>
          <w:tcPr>
            <w:tcW w:type="dxa" w:w="1151"/>
            <w:tcBorders>
              <w:bottom w:val="single" w:sz="8" w:space="0" w:color="auto"/>
            </w:tcBorders>
          </w:tcPr>
          <w:p>
            <w:pPr>
              <w:pStyle w:val="MDPI42tablebody"/>
              <w:keepNext/>
              <w:spacing w:line="240" w:lineRule="auto" w:before="30" w:after="30"/>
              <w:jc w:val="center"/>
            </w:pPr>
            <w:r>
              <w:rPr>
                <w:b/>
                <w:i w:val="0"/>
                <w:sz w:val="16"/>
              </w:rPr>
              <w:t>a (X -&gt; M)</w:t>
            </w:r>
          </w:p>
        </w:tc>
        <w:tc>
          <w:tcPr>
            <w:tcW w:type="dxa" w:w="1255"/>
            <w:tcBorders>
              <w:bottom w:val="single" w:sz="8" w:space="0" w:color="auto"/>
            </w:tcBorders>
          </w:tcPr>
          <w:p>
            <w:pPr>
              <w:pStyle w:val="MDPI42tablebody"/>
              <w:keepNext/>
              <w:spacing w:line="240" w:lineRule="auto" w:before="30" w:after="30"/>
              <w:jc w:val="center"/>
            </w:pPr>
            <w:r>
              <w:rPr>
                <w:b/>
                <w:i w:val="0"/>
                <w:sz w:val="16"/>
              </w:rPr>
              <w:t>b (M -&gt; Y | X)</w:t>
            </w:r>
          </w:p>
        </w:tc>
        <w:tc>
          <w:tcPr>
            <w:tcW w:type="dxa" w:w="1360"/>
            <w:tcBorders>
              <w:bottom w:val="single" w:sz="8" w:space="0" w:color="auto"/>
            </w:tcBorders>
          </w:tcPr>
          <w:p>
            <w:pPr>
              <w:pStyle w:val="MDPI42tablebody"/>
              <w:keepNext/>
              <w:spacing w:line="240" w:lineRule="auto" w:before="30" w:after="30"/>
              <w:jc w:val="center"/>
            </w:pPr>
            <w:r>
              <w:rPr>
                <w:b/>
                <w:i w:val="0"/>
                <w:sz w:val="16"/>
              </w:rPr>
              <w:t>Indirect a x b</w:t>
            </w:r>
          </w:p>
        </w:tc>
        <w:tc>
          <w:tcPr>
            <w:tcW w:type="dxa" w:w="1674"/>
            <w:tcBorders>
              <w:bottom w:val="single" w:sz="8" w:space="0" w:color="auto"/>
            </w:tcBorders>
          </w:tcPr>
          <w:p>
            <w:pPr>
              <w:pStyle w:val="MDPI42tablebody"/>
              <w:keepNext/>
              <w:spacing w:line="240" w:lineRule="auto" w:before="30" w:after="30"/>
              <w:jc w:val="center"/>
            </w:pPr>
            <w:r>
              <w:rPr>
                <w:b/>
                <w:i w:val="0"/>
                <w:sz w:val="16"/>
              </w:rPr>
              <w:t>95% CI</w:t>
            </w:r>
          </w:p>
        </w:tc>
        <w:tc>
          <w:tcPr>
            <w:tcW w:type="dxa" w:w="1255"/>
            <w:tcBorders>
              <w:bottom w:val="single" w:sz="8" w:space="0" w:color="auto"/>
            </w:tcBorders>
          </w:tcPr>
          <w:p>
            <w:pPr>
              <w:pStyle w:val="MDPI42tablebody"/>
              <w:keepNext/>
              <w:spacing w:line="240" w:lineRule="auto" w:before="30" w:after="30"/>
              <w:jc w:val="center"/>
            </w:pPr>
            <w:r>
              <w:rPr>
                <w:b/>
                <w:i w:val="0"/>
                <w:sz w:val="16"/>
              </w:rPr>
              <w:t>Share of total effect</w:t>
            </w:r>
          </w:p>
        </w:tc>
        <w:tc>
          <w:tcPr>
            <w:tcW w:type="dxa" w:w="1046"/>
            <w:tcBorders>
              <w:bottom w:val="single" w:sz="8" w:space="0" w:color="auto"/>
            </w:tcBorders>
          </w:tcPr>
          <w:p>
            <w:pPr>
              <w:pStyle w:val="MDPI42tablebody"/>
              <w:keepNext/>
              <w:spacing w:line="240" w:lineRule="auto" w:before="30" w:after="30"/>
              <w:jc w:val="center"/>
            </w:pPr>
            <w:r>
              <w:rPr>
                <w:b/>
                <w:i w:val="0"/>
                <w:sz w:val="16"/>
              </w:rPr>
              <w:t>Direct effect</w:t>
            </w:r>
          </w:p>
        </w:tc>
      </w:tr>
      <w:tr>
        <w:trPr>
          <w:cantSplit/>
        </w:trPr>
        <w:tc>
          <w:tcPr>
            <w:tcW w:type="dxa" w:w="2721"/>
          </w:tcPr>
          <w:p>
            <w:pPr>
              <w:pStyle w:val="MDPI42tablebody"/>
              <w:keepNext/>
              <w:spacing w:line="240" w:lineRule="auto" w:before="30" w:after="30"/>
              <w:jc w:val="left"/>
            </w:pPr>
            <w:r>
              <w:rPr>
                <w:b w:val="0"/>
                <w:i w:val="0"/>
                <w:sz w:val="16"/>
              </w:rPr>
              <w:t>Task routinisation (RTI)</w:t>
            </w:r>
          </w:p>
        </w:tc>
        <w:tc>
          <w:tcPr>
            <w:tcW w:type="dxa" w:w="1151"/>
          </w:tcPr>
          <w:p>
            <w:pPr>
              <w:pStyle w:val="MDPI42tablebody"/>
              <w:keepNext/>
              <w:spacing w:line="240" w:lineRule="auto" w:before="30" w:after="30"/>
              <w:jc w:val="center"/>
            </w:pPr>
            <w:r>
              <w:rPr>
                <w:b w:val="0"/>
                <w:i w:val="0"/>
                <w:sz w:val="16"/>
              </w:rPr>
              <w:t>−0.911</w:t>
            </w:r>
          </w:p>
        </w:tc>
        <w:tc>
          <w:tcPr>
            <w:tcW w:type="dxa" w:w="1255"/>
          </w:tcPr>
          <w:p>
            <w:pPr>
              <w:pStyle w:val="MDPI42tablebody"/>
              <w:keepNext/>
              <w:spacing w:line="240" w:lineRule="auto" w:before="30" w:after="30"/>
              <w:jc w:val="center"/>
            </w:pPr>
            <w:r>
              <w:rPr>
                <w:b w:val="0"/>
                <w:i w:val="0"/>
                <w:sz w:val="16"/>
              </w:rPr>
              <w:t>0.313</w:t>
            </w:r>
          </w:p>
        </w:tc>
        <w:tc>
          <w:tcPr>
            <w:tcW w:type="dxa" w:w="1360"/>
          </w:tcPr>
          <w:p>
            <w:pPr>
              <w:pStyle w:val="MDPI42tablebody"/>
              <w:keepNext/>
              <w:spacing w:line="240" w:lineRule="auto" w:before="30" w:after="30"/>
              <w:jc w:val="center"/>
            </w:pPr>
            <w:r>
              <w:rPr>
                <w:b w:val="0"/>
                <w:i w:val="0"/>
                <w:sz w:val="16"/>
              </w:rPr>
              <w:t>−0.286</w:t>
            </w:r>
          </w:p>
        </w:tc>
        <w:tc>
          <w:tcPr>
            <w:tcW w:type="dxa" w:w="1674"/>
          </w:tcPr>
          <w:p>
            <w:pPr>
              <w:pStyle w:val="MDPI42tablebody"/>
              <w:keepNext/>
              <w:spacing w:line="240" w:lineRule="auto" w:before="30" w:after="30"/>
              <w:jc w:val="center"/>
            </w:pPr>
            <w:r>
              <w:rPr>
                <w:b w:val="0"/>
                <w:i w:val="0"/>
                <w:sz w:val="16"/>
              </w:rPr>
              <w:t>[−0.315, −0.254]</w:t>
            </w:r>
          </w:p>
        </w:tc>
        <w:tc>
          <w:tcPr>
            <w:tcW w:type="dxa" w:w="1255"/>
          </w:tcPr>
          <w:p>
            <w:pPr>
              <w:pStyle w:val="MDPI42tablebody"/>
              <w:keepNext/>
              <w:spacing w:line="240" w:lineRule="auto" w:before="30" w:after="30"/>
              <w:jc w:val="center"/>
            </w:pPr>
            <w:r>
              <w:rPr>
                <w:b w:val="0"/>
                <w:i w:val="0"/>
                <w:sz w:val="16"/>
              </w:rPr>
              <w:t>45.9%</w:t>
            </w:r>
          </w:p>
        </w:tc>
        <w:tc>
          <w:tcPr>
            <w:tcW w:type="dxa" w:w="1046"/>
          </w:tcPr>
          <w:p>
            <w:pPr>
              <w:pStyle w:val="MDPI42tablebody"/>
              <w:keepNext/>
              <w:spacing w:line="240" w:lineRule="auto" w:before="30" w:after="30"/>
              <w:jc w:val="center"/>
            </w:pPr>
            <w:r>
              <w:rPr>
                <w:b w:val="0"/>
                <w:i w:val="0"/>
                <w:sz w:val="16"/>
              </w:rPr>
              <w:t>−0.336</w:t>
            </w:r>
          </w:p>
        </w:tc>
      </w:tr>
      <w:tr>
        <w:trPr>
          <w:cantSplit/>
        </w:trPr>
        <w:tc>
          <w:tcPr>
            <w:tcW w:type="dxa" w:w="2721"/>
          </w:tcPr>
          <w:p>
            <w:pPr>
              <w:pStyle w:val="MDPI42tablebody"/>
              <w:spacing w:line="240" w:lineRule="auto" w:before="30" w:after="30"/>
              <w:jc w:val="left"/>
            </w:pPr>
            <w:r>
              <w:rPr>
                <w:b w:val="0"/>
                <w:i w:val="0"/>
                <w:sz w:val="16"/>
              </w:rPr>
              <w:t>Human-capital upgrading (HCU)</w:t>
            </w:r>
          </w:p>
        </w:tc>
        <w:tc>
          <w:tcPr>
            <w:tcW w:type="dxa" w:w="1151"/>
          </w:tcPr>
          <w:p>
            <w:pPr>
              <w:pStyle w:val="MDPI42tablebody"/>
              <w:spacing w:line="240" w:lineRule="auto" w:before="30" w:after="30"/>
              <w:jc w:val="center"/>
            </w:pPr>
            <w:r>
              <w:rPr>
                <w:b w:val="0"/>
                <w:i w:val="0"/>
                <w:sz w:val="16"/>
              </w:rPr>
              <w:t>0.551</w:t>
            </w:r>
          </w:p>
        </w:tc>
        <w:tc>
          <w:tcPr>
            <w:tcW w:type="dxa" w:w="1255"/>
          </w:tcPr>
          <w:p>
            <w:pPr>
              <w:pStyle w:val="MDPI42tablebody"/>
              <w:spacing w:line="240" w:lineRule="auto" w:before="30" w:after="30"/>
              <w:jc w:val="center"/>
            </w:pPr>
            <w:r>
              <w:rPr>
                <w:b w:val="0"/>
                <w:i w:val="0"/>
                <w:sz w:val="16"/>
              </w:rPr>
              <w:t>0.178</w:t>
            </w:r>
          </w:p>
        </w:tc>
        <w:tc>
          <w:tcPr>
            <w:tcW w:type="dxa" w:w="1360"/>
          </w:tcPr>
          <w:p>
            <w:pPr>
              <w:pStyle w:val="MDPI42tablebody"/>
              <w:spacing w:line="240" w:lineRule="auto" w:before="30" w:after="30"/>
              <w:jc w:val="center"/>
            </w:pPr>
            <w:r>
              <w:rPr>
                <w:b w:val="0"/>
                <w:i w:val="0"/>
                <w:sz w:val="16"/>
              </w:rPr>
              <w:t>0.098</w:t>
            </w:r>
          </w:p>
        </w:tc>
        <w:tc>
          <w:tcPr>
            <w:tcW w:type="dxa" w:w="1674"/>
          </w:tcPr>
          <w:p>
            <w:pPr>
              <w:pStyle w:val="MDPI42tablebody"/>
              <w:spacing w:line="240" w:lineRule="auto" w:before="30" w:after="30"/>
              <w:jc w:val="center"/>
            </w:pPr>
            <w:r>
              <w:rPr>
                <w:b w:val="0"/>
                <w:i w:val="0"/>
                <w:sz w:val="16"/>
              </w:rPr>
              <w:t>[0.076, 0.120]</w:t>
            </w:r>
          </w:p>
        </w:tc>
        <w:tc>
          <w:tcPr>
            <w:tcW w:type="dxa" w:w="1255"/>
          </w:tcPr>
          <w:p>
            <w:pPr>
              <w:pStyle w:val="MDPI42tablebody"/>
              <w:spacing w:line="240" w:lineRule="auto" w:before="30" w:after="30"/>
              <w:jc w:val="center"/>
            </w:pPr>
            <w:r>
              <w:rPr>
                <w:b w:val="0"/>
                <w:i w:val="0"/>
                <w:sz w:val="16"/>
              </w:rPr>
              <w:t>−15.8%</w:t>
            </w:r>
          </w:p>
        </w:tc>
        <w:tc>
          <w:tcPr>
            <w:tcW w:type="dxa" w:w="1046"/>
          </w:tcPr>
          <w:p>
            <w:pPr>
              <w:pStyle w:val="MDPI42tablebody"/>
              <w:spacing w:line="240" w:lineRule="auto" w:before="30" w:after="30"/>
              <w:jc w:val="center"/>
            </w:pPr>
            <w:r>
              <w:rPr>
                <w:b w:val="0"/>
                <w:i w:val="0"/>
                <w:sz w:val="16"/>
              </w:rPr>
              <w:t>−0.720</w:t>
            </w:r>
          </w:p>
        </w:tc>
      </w:tr>
    </w:tbl>
    <w:p>
      <w:pPr>
        <w:pStyle w:val="MDPI43tablefooter"/>
        <w:spacing w:line="240" w:lineRule="auto" w:before="40" w:after="200"/>
        <w:ind w:left="2608" w:firstLine="0"/>
      </w:pPr>
      <w:r>
        <w:rPr>
          <w:sz w:val="16"/>
        </w:rPr>
        <w:t xml:space="preserve">Note: </w:t>
      </w:r>
      <w:r>
        <w:rPr>
          <w:b w:val="0"/>
          <w:i w:val="0"/>
          <w:sz w:val="16"/>
        </w:rPr>
        <w:t>Confidence intervals are bias-corrected percentile intervals from a block bootstrap that resamples firms with replacement (300 replications). The share of the total effect is the indirect effect divided by the baseline coefficient of Table 4, column (2); a negative share indicates a channel that works against the total effect.</w:t>
      </w:r>
    </w:p>
    <w:p>
      <w:pPr>
        <w:pStyle w:val="MDPI22heading2"/>
      </w:pPr>
      <w:r>
        <w:t>4.5. Examination of Moderating Effects</w:t>
      </w:r>
    </w:p>
    <w:p>
      <w:pPr>
        <w:pStyle w:val="MDPI32textnoindent"/>
      </w:pPr>
      <w:r>
        <w:rPr>
          <w:b w:val="0"/>
          <w:i w:val="0"/>
        </w:rPr>
        <w:t>Table 7 reports the moderation analysis. In column (1) the interaction of adoption with organisational learning capability is 0.505 and significant at the 1% level, against a main effect of −0.625: the displacement effect is substantially weaker in firms that have accumulated the capacity to convert experience into routines. H4 is supported. In column (2) the interaction with AI governance is 0.534, so for firms that disclose AI governance arrangements the marginal effect of adoption is −0.344 rather than −0.878, about 61% smaller. H5 is supported. Column (3) includes both interactions and neither is displaced by the other, indicating that they capture distinct organisational attributes rather than a single latent quality.</w:t>
      </w:r>
    </w:p>
    <w:p>
      <w:pPr>
        <w:pStyle w:val="MDPI41tablecaption"/>
        <w:keepNext/>
        <w:spacing w:after="60"/>
      </w:pPr>
      <w:r>
        <w:rPr>
          <w:b/>
          <w:sz w:val="18"/>
        </w:rPr>
        <w:t xml:space="preserve">Table 7. </w:t>
      </w:r>
      <w:r>
        <w:rPr>
          <w:b w:val="0"/>
          <w:i w:val="0"/>
          <w:sz w:val="18"/>
        </w:rPr>
        <w:t>Moderating roles of organisational learning capability and AI governance.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244"/>
        <w:gridCol w:w="2407"/>
        <w:gridCol w:w="2407"/>
        <w:gridCol w:w="2407"/>
      </w:tblGrid>
      <w:tr>
        <w:trPr>
          <w:cantSplit/>
          <w:tblHeader/>
        </w:trPr>
        <w:tc>
          <w:tcPr>
            <w:tcW w:type="dxa" w:w="3244"/>
            <w:tcBorders>
              <w:bottom w:val="single" w:sz="8" w:space="0" w:color="auto"/>
            </w:tcBorders>
          </w:tcPr>
          <w:p>
            <w:pPr>
              <w:pStyle w:val="MDPI42tablebody"/>
              <w:keepNext/>
              <w:spacing w:line="240" w:lineRule="auto" w:before="30" w:after="30"/>
              <w:jc w:val="center"/>
            </w:pPr>
            <w:r>
              <w:rPr>
                <w:b/>
                <w:i w:val="0"/>
                <w:sz w:val="18"/>
              </w:rPr>
              <w:t>Variable</w:t>
            </w:r>
          </w:p>
        </w:tc>
        <w:tc>
          <w:tcPr>
            <w:tcW w:type="dxa" w:w="2407"/>
            <w:tcBorders>
              <w:bottom w:val="single" w:sz="8" w:space="0" w:color="auto"/>
            </w:tcBorders>
          </w:tcPr>
          <w:p>
            <w:pPr>
              <w:pStyle w:val="MDPI42tablebody"/>
              <w:keepNext/>
              <w:spacing w:line="240" w:lineRule="auto" w:before="30" w:after="30"/>
              <w:jc w:val="center"/>
            </w:pPr>
            <w:r>
              <w:rPr>
                <w:b/>
                <w:i w:val="0"/>
                <w:sz w:val="18"/>
              </w:rPr>
              <w:t>(1)</w:t>
            </w:r>
          </w:p>
        </w:tc>
        <w:tc>
          <w:tcPr>
            <w:tcW w:type="dxa" w:w="2407"/>
            <w:tcBorders>
              <w:bottom w:val="single" w:sz="8" w:space="0" w:color="auto"/>
            </w:tcBorders>
          </w:tcPr>
          <w:p>
            <w:pPr>
              <w:pStyle w:val="MDPI42tablebody"/>
              <w:keepNext/>
              <w:spacing w:line="240" w:lineRule="auto" w:before="30" w:after="30"/>
              <w:jc w:val="center"/>
            </w:pPr>
            <w:r>
              <w:rPr>
                <w:b/>
                <w:i w:val="0"/>
                <w:sz w:val="18"/>
              </w:rPr>
              <w:t>(2)</w:t>
            </w:r>
          </w:p>
        </w:tc>
        <w:tc>
          <w:tcPr>
            <w:tcW w:type="dxa" w:w="2407"/>
            <w:tcBorders>
              <w:bottom w:val="single" w:sz="8" w:space="0" w:color="auto"/>
            </w:tcBorders>
          </w:tcPr>
          <w:p>
            <w:pPr>
              <w:pStyle w:val="MDPI42tablebody"/>
              <w:keepNext/>
              <w:spacing w:line="240" w:lineRule="auto" w:before="30" w:after="30"/>
              <w:jc w:val="center"/>
            </w:pPr>
            <w:r>
              <w:rPr>
                <w:b/>
                <w:i w:val="0"/>
                <w:sz w:val="18"/>
              </w:rPr>
              <w:t>(3)</w:t>
            </w:r>
          </w:p>
        </w:tc>
      </w:tr>
      <w:tr>
        <w:trPr>
          <w:cantSplit/>
        </w:trPr>
        <w:tc>
          <w:tcPr>
            <w:tcW w:type="dxa" w:w="3244"/>
          </w:tcPr>
          <w:p>
            <w:pPr>
              <w:pStyle w:val="MDPI42tablebody"/>
              <w:keepNext/>
              <w:spacing w:line="240" w:lineRule="auto" w:before="30" w:after="30"/>
              <w:jc w:val="left"/>
            </w:pPr>
            <w:r>
              <w:rPr>
                <w:b w:val="0"/>
                <w:i/>
                <w:sz w:val="18"/>
              </w:rPr>
              <w:t>GenAI</w:t>
            </w:r>
          </w:p>
        </w:tc>
        <w:tc>
          <w:tcPr>
            <w:tcW w:type="dxa" w:w="2407"/>
          </w:tcPr>
          <w:p>
            <w:pPr>
              <w:pStyle w:val="MDPI42tablebody"/>
              <w:keepNext/>
              <w:spacing w:line="240" w:lineRule="auto" w:before="30" w:after="30"/>
              <w:jc w:val="center"/>
            </w:pPr>
            <w:r>
              <w:rPr>
                <w:b w:val="0"/>
                <w:i w:val="0"/>
                <w:sz w:val="18"/>
              </w:rPr>
              <w:t>−0.625***</w:t>
            </w:r>
          </w:p>
        </w:tc>
        <w:tc>
          <w:tcPr>
            <w:tcW w:type="dxa" w:w="2407"/>
          </w:tcPr>
          <w:p>
            <w:pPr>
              <w:pStyle w:val="MDPI42tablebody"/>
              <w:keepNext/>
              <w:spacing w:line="240" w:lineRule="auto" w:before="30" w:after="30"/>
              <w:jc w:val="center"/>
            </w:pPr>
            <w:r>
              <w:rPr>
                <w:b w:val="0"/>
                <w:i w:val="0"/>
                <w:sz w:val="18"/>
              </w:rPr>
              <w:t>−0.878***</w:t>
            </w:r>
          </w:p>
        </w:tc>
        <w:tc>
          <w:tcPr>
            <w:tcW w:type="dxa" w:w="2407"/>
          </w:tcPr>
          <w:p>
            <w:pPr>
              <w:pStyle w:val="MDPI42tablebody"/>
              <w:keepNext/>
              <w:spacing w:line="240" w:lineRule="auto" w:before="30" w:after="30"/>
              <w:jc w:val="center"/>
            </w:pPr>
            <w:r>
              <w:rPr>
                <w:b w:val="0"/>
                <w:i w:val="0"/>
                <w:sz w:val="18"/>
              </w:rPr>
              <w:t>−0.789***</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(0.053)</w:t>
            </w:r>
          </w:p>
        </w:tc>
        <w:tc>
          <w:tcPr>
            <w:tcW w:type="dxa" w:w="2407"/>
          </w:tcPr>
          <w:p>
            <w:pPr>
              <w:pStyle w:val="MDPI42tablebody"/>
              <w:keepNext/>
              <w:spacing w:line="240" w:lineRule="auto" w:before="30" w:after="30"/>
              <w:jc w:val="center"/>
            </w:pPr>
            <w:r>
              <w:rPr>
                <w:b w:val="0"/>
                <w:i w:val="0"/>
                <w:sz w:val="18"/>
              </w:rPr>
              <w:t>(0.063)</w:t>
            </w:r>
          </w:p>
        </w:tc>
        <w:tc>
          <w:tcPr>
            <w:tcW w:type="dxa" w:w="2407"/>
          </w:tcPr>
          <w:p>
            <w:pPr>
              <w:pStyle w:val="MDPI42tablebody"/>
              <w:keepNext/>
              <w:spacing w:line="240" w:lineRule="auto" w:before="30" w:after="30"/>
              <w:jc w:val="center"/>
            </w:pPr>
            <w:r>
              <w:rPr>
                <w:b w:val="0"/>
                <w:i w:val="0"/>
                <w:sz w:val="18"/>
              </w:rPr>
              <w:t>(0.060)</w:t>
            </w:r>
          </w:p>
        </w:tc>
      </w:tr>
      <w:tr>
        <w:trPr>
          <w:cantSplit/>
        </w:trPr>
        <w:tc>
          <w:tcPr>
            <w:tcW w:type="dxa" w:w="3244"/>
          </w:tcPr>
          <w:p>
            <w:pPr>
              <w:pStyle w:val="MDPI42tablebody"/>
              <w:keepNext/>
              <w:spacing w:line="240" w:lineRule="auto" w:before="30" w:after="30"/>
              <w:jc w:val="left"/>
            </w:pPr>
            <w:r>
              <w:rPr>
                <w:b w:val="0"/>
                <w:i/>
                <w:sz w:val="18"/>
              </w:rPr>
              <w:t>GenAI × OLC</w:t>
            </w:r>
          </w:p>
        </w:tc>
        <w:tc>
          <w:tcPr>
            <w:tcW w:type="dxa" w:w="2407"/>
          </w:tcPr>
          <w:p>
            <w:pPr>
              <w:pStyle w:val="MDPI42tablebody"/>
              <w:keepNext/>
              <w:spacing w:line="240" w:lineRule="auto" w:before="30" w:after="30"/>
              <w:jc w:val="center"/>
            </w:pPr>
            <w:r>
              <w:rPr>
                <w:b w:val="0"/>
                <w:i w:val="0"/>
                <w:sz w:val="18"/>
              </w:rPr>
              <w:t>0.505***</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0.474***</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(0.028)</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(0.029)</w:t>
            </w:r>
          </w:p>
        </w:tc>
      </w:tr>
      <w:tr>
        <w:trPr>
          <w:cantSplit/>
        </w:trPr>
        <w:tc>
          <w:tcPr>
            <w:tcW w:type="dxa" w:w="3244"/>
          </w:tcPr>
          <w:p>
            <w:pPr>
              <w:pStyle w:val="MDPI42tablebody"/>
              <w:keepNext/>
              <w:spacing w:line="240" w:lineRule="auto" w:before="30" w:after="30"/>
              <w:jc w:val="left"/>
            </w:pPr>
            <w:r>
              <w:rPr>
                <w:b w:val="0"/>
                <w:i/>
                <w:sz w:val="18"/>
              </w:rPr>
              <w:t>GenAI × AIGov</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0.534***</w:t>
            </w:r>
          </w:p>
        </w:tc>
        <w:tc>
          <w:tcPr>
            <w:tcW w:type="dxa" w:w="2407"/>
          </w:tcPr>
          <w:p>
            <w:pPr>
              <w:pStyle w:val="MDPI42tablebody"/>
              <w:keepNext/>
              <w:spacing w:line="240" w:lineRule="auto" w:before="30" w:after="30"/>
              <w:jc w:val="center"/>
            </w:pPr>
            <w:r>
              <w:rPr>
                <w:b w:val="0"/>
                <w:i w:val="0"/>
                <w:sz w:val="18"/>
              </w:rPr>
              <w:t>0.343***</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(0.062)</w:t>
            </w:r>
          </w:p>
        </w:tc>
        <w:tc>
          <w:tcPr>
            <w:tcW w:type="dxa" w:w="2407"/>
          </w:tcPr>
          <w:p>
            <w:pPr>
              <w:pStyle w:val="MDPI42tablebody"/>
              <w:keepNext/>
              <w:spacing w:line="240" w:lineRule="auto" w:before="30" w:after="30"/>
              <w:jc w:val="center"/>
            </w:pPr>
            <w:r>
              <w:rPr>
                <w:b w:val="0"/>
                <w:i w:val="0"/>
                <w:sz w:val="18"/>
              </w:rPr>
              <w:t>(0.059)</w:t>
            </w:r>
          </w:p>
        </w:tc>
      </w:tr>
      <w:tr>
        <w:trPr>
          <w:cantSplit/>
        </w:trPr>
        <w:tc>
          <w:tcPr>
            <w:tcW w:type="dxa" w:w="3244"/>
          </w:tcPr>
          <w:p>
            <w:pPr>
              <w:pStyle w:val="MDPI42tablebody"/>
              <w:keepNext/>
              <w:spacing w:line="240" w:lineRule="auto" w:before="30" w:after="30"/>
              <w:jc w:val="left"/>
            </w:pPr>
            <w:r>
              <w:rPr>
                <w:b w:val="0"/>
                <w:i/>
                <w:sz w:val="18"/>
              </w:rPr>
              <w:t>AIGov</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−0.173*</w:t>
            </w:r>
          </w:p>
        </w:tc>
        <w:tc>
          <w:tcPr>
            <w:tcW w:type="dxa" w:w="2407"/>
          </w:tcPr>
          <w:p>
            <w:pPr>
              <w:pStyle w:val="MDPI42tablebody"/>
              <w:keepNext/>
              <w:spacing w:line="240" w:lineRule="auto" w:before="30" w:after="30"/>
              <w:jc w:val="center"/>
            </w:pPr>
            <w:r>
              <w:rPr>
                <w:b w:val="0"/>
                <w:i w:val="0"/>
                <w:sz w:val="18"/>
              </w:rPr>
              <w:t>−0.051</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(0.102)</w:t>
            </w:r>
          </w:p>
        </w:tc>
        <w:tc>
          <w:tcPr>
            <w:tcW w:type="dxa" w:w="2407"/>
          </w:tcPr>
          <w:p>
            <w:pPr>
              <w:pStyle w:val="MDPI42tablebody"/>
              <w:keepNext/>
              <w:spacing w:line="240" w:lineRule="auto" w:before="30" w:after="30"/>
              <w:jc w:val="center"/>
            </w:pPr>
            <w:r>
              <w:rPr>
                <w:b w:val="0"/>
                <w:i w:val="0"/>
                <w:sz w:val="18"/>
              </w:rPr>
              <w:t>(0.101)</w:t>
            </w:r>
          </w:p>
        </w:tc>
      </w:tr>
      <w:tr>
        <w:trPr>
          <w:cantSplit/>
        </w:trPr>
        <w:tc>
          <w:tcPr>
            <w:tcW w:type="dxa" w:w="3244"/>
          </w:tcPr>
          <w:p>
            <w:pPr>
              <w:pStyle w:val="MDPI42tablebody"/>
              <w:keepNext/>
              <w:spacing w:line="240" w:lineRule="auto" w:before="30" w:after="30"/>
              <w:jc w:val="left"/>
            </w:pPr>
            <w:r>
              <w:rPr>
                <w:b w:val="0"/>
                <w:i/>
                <w:sz w:val="18"/>
              </w:rPr>
              <w:t>Size</w:t>
            </w:r>
          </w:p>
        </w:tc>
        <w:tc>
          <w:tcPr>
            <w:tcW w:type="dxa" w:w="2407"/>
          </w:tcPr>
          <w:p>
            <w:pPr>
              <w:pStyle w:val="MDPI42tablebody"/>
              <w:keepNext/>
              <w:spacing w:line="240" w:lineRule="auto" w:before="30" w:after="30"/>
              <w:jc w:val="center"/>
            </w:pPr>
            <w:r>
              <w:rPr>
                <w:b w:val="0"/>
                <w:i w:val="0"/>
                <w:sz w:val="18"/>
              </w:rPr>
              <w:t>1.985***</w:t>
            </w:r>
          </w:p>
        </w:tc>
        <w:tc>
          <w:tcPr>
            <w:tcW w:type="dxa" w:w="2407"/>
          </w:tcPr>
          <w:p>
            <w:pPr>
              <w:pStyle w:val="MDPI42tablebody"/>
              <w:keepNext/>
              <w:spacing w:line="240" w:lineRule="auto" w:before="30" w:after="30"/>
              <w:jc w:val="center"/>
            </w:pPr>
            <w:r>
              <w:rPr>
                <w:b w:val="0"/>
                <w:i w:val="0"/>
                <w:sz w:val="18"/>
              </w:rPr>
              <w:t>1.968***</w:t>
            </w:r>
          </w:p>
        </w:tc>
        <w:tc>
          <w:tcPr>
            <w:tcW w:type="dxa" w:w="2407"/>
          </w:tcPr>
          <w:p>
            <w:pPr>
              <w:pStyle w:val="MDPI42tablebody"/>
              <w:keepNext/>
              <w:spacing w:line="240" w:lineRule="auto" w:before="30" w:after="30"/>
              <w:jc w:val="center"/>
            </w:pPr>
            <w:r>
              <w:rPr>
                <w:b w:val="0"/>
                <w:i w:val="0"/>
                <w:sz w:val="18"/>
              </w:rPr>
              <w:t>1.988***</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(0.108)</w:t>
            </w:r>
          </w:p>
        </w:tc>
        <w:tc>
          <w:tcPr>
            <w:tcW w:type="dxa" w:w="2407"/>
          </w:tcPr>
          <w:p>
            <w:pPr>
              <w:pStyle w:val="MDPI42tablebody"/>
              <w:keepNext/>
              <w:spacing w:line="240" w:lineRule="auto" w:before="30" w:after="30"/>
              <w:jc w:val="center"/>
            </w:pPr>
            <w:r>
              <w:rPr>
                <w:b w:val="0"/>
                <w:i w:val="0"/>
                <w:sz w:val="18"/>
              </w:rPr>
              <w:t>(0.108)</w:t>
            </w:r>
          </w:p>
        </w:tc>
        <w:tc>
          <w:tcPr>
            <w:tcW w:type="dxa" w:w="2407"/>
          </w:tcPr>
          <w:p>
            <w:pPr>
              <w:pStyle w:val="MDPI42tablebody"/>
              <w:keepNext/>
              <w:spacing w:line="240" w:lineRule="auto" w:before="30" w:after="30"/>
              <w:jc w:val="center"/>
            </w:pPr>
            <w:r>
              <w:rPr>
                <w:b w:val="0"/>
                <w:i w:val="0"/>
                <w:sz w:val="18"/>
              </w:rPr>
              <w:t>(0.107)</w:t>
            </w:r>
          </w:p>
        </w:tc>
      </w:tr>
      <w:tr>
        <w:trPr>
          <w:cantSplit/>
        </w:trPr>
        <w:tc>
          <w:tcPr>
            <w:tcW w:type="dxa" w:w="3244"/>
          </w:tcPr>
          <w:p>
            <w:pPr>
              <w:pStyle w:val="MDPI42tablebody"/>
              <w:keepNext/>
              <w:spacing w:line="240" w:lineRule="auto" w:before="30" w:after="30"/>
              <w:jc w:val="left"/>
            </w:pPr>
            <w:r>
              <w:rPr>
                <w:b w:val="0"/>
                <w:i/>
                <w:sz w:val="18"/>
              </w:rPr>
              <w:t>Lev</w:t>
            </w:r>
          </w:p>
        </w:tc>
        <w:tc>
          <w:tcPr>
            <w:tcW w:type="dxa" w:w="2407"/>
          </w:tcPr>
          <w:p>
            <w:pPr>
              <w:pStyle w:val="MDPI42tablebody"/>
              <w:keepNext/>
              <w:spacing w:line="240" w:lineRule="auto" w:before="30" w:after="30"/>
              <w:jc w:val="center"/>
            </w:pPr>
            <w:r>
              <w:rPr>
                <w:b w:val="0"/>
                <w:i w:val="0"/>
                <w:sz w:val="18"/>
              </w:rPr>
              <w:t>−2.255***</w:t>
            </w:r>
          </w:p>
        </w:tc>
        <w:tc>
          <w:tcPr>
            <w:tcW w:type="dxa" w:w="2407"/>
          </w:tcPr>
          <w:p>
            <w:pPr>
              <w:pStyle w:val="MDPI42tablebody"/>
              <w:keepNext/>
              <w:spacing w:line="240" w:lineRule="auto" w:before="30" w:after="30"/>
              <w:jc w:val="center"/>
            </w:pPr>
            <w:r>
              <w:rPr>
                <w:b w:val="0"/>
                <w:i w:val="0"/>
                <w:sz w:val="18"/>
              </w:rPr>
              <w:t>−2.260***</w:t>
            </w:r>
          </w:p>
        </w:tc>
        <w:tc>
          <w:tcPr>
            <w:tcW w:type="dxa" w:w="2407"/>
          </w:tcPr>
          <w:p>
            <w:pPr>
              <w:pStyle w:val="MDPI42tablebody"/>
              <w:keepNext/>
              <w:spacing w:line="240" w:lineRule="auto" w:before="30" w:after="30"/>
              <w:jc w:val="center"/>
            </w:pPr>
            <w:r>
              <w:rPr>
                <w:b w:val="0"/>
                <w:i w:val="0"/>
                <w:sz w:val="18"/>
              </w:rPr>
              <w:t>−2.247***</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(0.221)</w:t>
            </w:r>
          </w:p>
        </w:tc>
        <w:tc>
          <w:tcPr>
            <w:tcW w:type="dxa" w:w="2407"/>
          </w:tcPr>
          <w:p>
            <w:pPr>
              <w:pStyle w:val="MDPI42tablebody"/>
              <w:keepNext/>
              <w:spacing w:line="240" w:lineRule="auto" w:before="30" w:after="30"/>
              <w:jc w:val="center"/>
            </w:pPr>
            <w:r>
              <w:rPr>
                <w:b w:val="0"/>
                <w:i w:val="0"/>
                <w:sz w:val="18"/>
              </w:rPr>
              <w:t>(0.222)</w:t>
            </w:r>
          </w:p>
        </w:tc>
        <w:tc>
          <w:tcPr>
            <w:tcW w:type="dxa" w:w="2407"/>
          </w:tcPr>
          <w:p>
            <w:pPr>
              <w:pStyle w:val="MDPI42tablebody"/>
              <w:keepNext/>
              <w:spacing w:line="240" w:lineRule="auto" w:before="30" w:after="30"/>
              <w:jc w:val="center"/>
            </w:pPr>
            <w:r>
              <w:rPr>
                <w:b w:val="0"/>
                <w:i w:val="0"/>
                <w:sz w:val="18"/>
              </w:rPr>
              <w:t>(0.221)</w:t>
            </w:r>
          </w:p>
        </w:tc>
      </w:tr>
      <w:tr>
        <w:trPr>
          <w:cantSplit/>
        </w:trPr>
        <w:tc>
          <w:tcPr>
            <w:tcW w:type="dxa" w:w="3244"/>
          </w:tcPr>
          <w:p>
            <w:pPr>
              <w:pStyle w:val="MDPI42tablebody"/>
              <w:keepNext/>
              <w:spacing w:line="240" w:lineRule="auto" w:before="30" w:after="30"/>
              <w:jc w:val="left"/>
            </w:pPr>
            <w:r>
              <w:rPr>
                <w:b w:val="0"/>
                <w:i/>
                <w:sz w:val="18"/>
              </w:rPr>
              <w:t>ROE</w:t>
            </w:r>
          </w:p>
        </w:tc>
        <w:tc>
          <w:tcPr>
            <w:tcW w:type="dxa" w:w="2407"/>
          </w:tcPr>
          <w:p>
            <w:pPr>
              <w:pStyle w:val="MDPI42tablebody"/>
              <w:keepNext/>
              <w:spacing w:line="240" w:lineRule="auto" w:before="30" w:after="30"/>
              <w:jc w:val="center"/>
            </w:pPr>
            <w:r>
              <w:rPr>
                <w:b w:val="0"/>
                <w:i w:val="0"/>
                <w:sz w:val="18"/>
              </w:rPr>
              <w:t>−0.414</w:t>
            </w:r>
          </w:p>
        </w:tc>
        <w:tc>
          <w:tcPr>
            <w:tcW w:type="dxa" w:w="2407"/>
          </w:tcPr>
          <w:p>
            <w:pPr>
              <w:pStyle w:val="MDPI42tablebody"/>
              <w:keepNext/>
              <w:spacing w:line="240" w:lineRule="auto" w:before="30" w:after="30"/>
              <w:jc w:val="center"/>
            </w:pPr>
            <w:r>
              <w:rPr>
                <w:b w:val="0"/>
                <w:i w:val="0"/>
                <w:sz w:val="18"/>
              </w:rPr>
              <w:t>−0.425</w:t>
            </w:r>
          </w:p>
        </w:tc>
        <w:tc>
          <w:tcPr>
            <w:tcW w:type="dxa" w:w="2407"/>
          </w:tcPr>
          <w:p>
            <w:pPr>
              <w:pStyle w:val="MDPI42tablebody"/>
              <w:keepNext/>
              <w:spacing w:line="240" w:lineRule="auto" w:before="30" w:after="30"/>
              <w:jc w:val="center"/>
            </w:pPr>
            <w:r>
              <w:rPr>
                <w:b w:val="0"/>
                <w:i w:val="0"/>
                <w:sz w:val="18"/>
              </w:rPr>
              <w:t>−0.408</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(0.275)</w:t>
            </w:r>
          </w:p>
        </w:tc>
        <w:tc>
          <w:tcPr>
            <w:tcW w:type="dxa" w:w="2407"/>
          </w:tcPr>
          <w:p>
            <w:pPr>
              <w:pStyle w:val="MDPI42tablebody"/>
              <w:keepNext/>
              <w:spacing w:line="240" w:lineRule="auto" w:before="30" w:after="30"/>
              <w:jc w:val="center"/>
            </w:pPr>
            <w:r>
              <w:rPr>
                <w:b w:val="0"/>
                <w:i w:val="0"/>
                <w:sz w:val="18"/>
              </w:rPr>
              <w:t>(0.277)</w:t>
            </w:r>
          </w:p>
        </w:tc>
        <w:tc>
          <w:tcPr>
            <w:tcW w:type="dxa" w:w="2407"/>
          </w:tcPr>
          <w:p>
            <w:pPr>
              <w:pStyle w:val="MDPI42tablebody"/>
              <w:keepNext/>
              <w:spacing w:line="240" w:lineRule="auto" w:before="30" w:after="30"/>
              <w:jc w:val="center"/>
            </w:pPr>
            <w:r>
              <w:rPr>
                <w:b w:val="0"/>
                <w:i w:val="0"/>
                <w:sz w:val="18"/>
              </w:rPr>
              <w:t>(0.275)</w:t>
            </w:r>
          </w:p>
        </w:tc>
      </w:tr>
      <w:tr>
        <w:trPr>
          <w:cantSplit/>
        </w:trPr>
        <w:tc>
          <w:tcPr>
            <w:tcW w:type="dxa" w:w="3244"/>
          </w:tcPr>
          <w:p>
            <w:pPr>
              <w:pStyle w:val="MDPI42tablebody"/>
              <w:keepNext/>
              <w:spacing w:line="240" w:lineRule="auto" w:before="30" w:after="30"/>
              <w:jc w:val="left"/>
            </w:pPr>
            <w:r>
              <w:rPr>
                <w:b w:val="0"/>
                <w:i/>
                <w:sz w:val="18"/>
              </w:rPr>
              <w:t>Growth</w:t>
            </w:r>
          </w:p>
        </w:tc>
        <w:tc>
          <w:tcPr>
            <w:tcW w:type="dxa" w:w="2407"/>
          </w:tcPr>
          <w:p>
            <w:pPr>
              <w:pStyle w:val="MDPI42tablebody"/>
              <w:keepNext/>
              <w:spacing w:line="240" w:lineRule="auto" w:before="30" w:after="30"/>
              <w:jc w:val="center"/>
            </w:pPr>
            <w:r>
              <w:rPr>
                <w:b w:val="0"/>
                <w:i w:val="0"/>
                <w:sz w:val="18"/>
              </w:rPr>
              <w:t>0.098</w:t>
            </w:r>
          </w:p>
        </w:tc>
        <w:tc>
          <w:tcPr>
            <w:tcW w:type="dxa" w:w="2407"/>
          </w:tcPr>
          <w:p>
            <w:pPr>
              <w:pStyle w:val="MDPI42tablebody"/>
              <w:keepNext/>
              <w:spacing w:line="240" w:lineRule="auto" w:before="30" w:after="30"/>
              <w:jc w:val="center"/>
            </w:pPr>
            <w:r>
              <w:rPr>
                <w:b w:val="0"/>
                <w:i w:val="0"/>
                <w:sz w:val="18"/>
              </w:rPr>
              <w:t>0.100</w:t>
            </w:r>
          </w:p>
        </w:tc>
        <w:tc>
          <w:tcPr>
            <w:tcW w:type="dxa" w:w="2407"/>
          </w:tcPr>
          <w:p>
            <w:pPr>
              <w:pStyle w:val="MDPI42tablebody"/>
              <w:keepNext/>
              <w:spacing w:line="240" w:lineRule="auto" w:before="30" w:after="30"/>
              <w:jc w:val="center"/>
            </w:pPr>
            <w:r>
              <w:rPr>
                <w:b w:val="0"/>
                <w:i w:val="0"/>
                <w:sz w:val="18"/>
              </w:rPr>
              <w:t>0.105</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(0.099)</w:t>
            </w:r>
          </w:p>
        </w:tc>
        <w:tc>
          <w:tcPr>
            <w:tcW w:type="dxa" w:w="2407"/>
          </w:tcPr>
          <w:p>
            <w:pPr>
              <w:pStyle w:val="MDPI42tablebody"/>
              <w:keepNext/>
              <w:spacing w:line="240" w:lineRule="auto" w:before="30" w:after="30"/>
              <w:jc w:val="center"/>
            </w:pPr>
            <w:r>
              <w:rPr>
                <w:b w:val="0"/>
                <w:i w:val="0"/>
                <w:sz w:val="18"/>
              </w:rPr>
              <w:t>(0.100)</w:t>
            </w:r>
          </w:p>
        </w:tc>
        <w:tc>
          <w:tcPr>
            <w:tcW w:type="dxa" w:w="2407"/>
          </w:tcPr>
          <w:p>
            <w:pPr>
              <w:pStyle w:val="MDPI42tablebody"/>
              <w:keepNext/>
              <w:spacing w:line="240" w:lineRule="auto" w:before="30" w:after="30"/>
              <w:jc w:val="center"/>
            </w:pPr>
            <w:r>
              <w:rPr>
                <w:b w:val="0"/>
                <w:i w:val="0"/>
                <w:sz w:val="18"/>
              </w:rPr>
              <w:t>(0.099)</w:t>
            </w:r>
          </w:p>
        </w:tc>
      </w:tr>
      <w:tr>
        <w:trPr>
          <w:cantSplit/>
        </w:trPr>
        <w:tc>
          <w:tcPr>
            <w:tcW w:type="dxa" w:w="3244"/>
          </w:tcPr>
          <w:p>
            <w:pPr>
              <w:pStyle w:val="MDPI42tablebody"/>
              <w:keepNext/>
              <w:spacing w:line="240" w:lineRule="auto" w:before="30" w:after="30"/>
              <w:jc w:val="left"/>
            </w:pPr>
            <w:r>
              <w:rPr>
                <w:b w:val="0"/>
                <w:i/>
                <w:sz w:val="18"/>
              </w:rPr>
              <w:t>Age</w:t>
            </w:r>
          </w:p>
        </w:tc>
        <w:tc>
          <w:tcPr>
            <w:tcW w:type="dxa" w:w="2407"/>
          </w:tcPr>
          <w:p>
            <w:pPr>
              <w:pStyle w:val="MDPI42tablebody"/>
              <w:keepNext/>
              <w:spacing w:line="240" w:lineRule="auto" w:before="30" w:after="30"/>
              <w:jc w:val="center"/>
            </w:pPr>
            <w:r>
              <w:rPr>
                <w:b w:val="0"/>
                <w:i w:val="0"/>
                <w:sz w:val="18"/>
              </w:rPr>
              <w:t>−2.010***</w:t>
            </w:r>
          </w:p>
        </w:tc>
        <w:tc>
          <w:tcPr>
            <w:tcW w:type="dxa" w:w="2407"/>
          </w:tcPr>
          <w:p>
            <w:pPr>
              <w:pStyle w:val="MDPI42tablebody"/>
              <w:keepNext/>
              <w:spacing w:line="240" w:lineRule="auto" w:before="30" w:after="30"/>
              <w:jc w:val="center"/>
            </w:pPr>
            <w:r>
              <w:rPr>
                <w:b w:val="0"/>
                <w:i w:val="0"/>
                <w:sz w:val="18"/>
              </w:rPr>
              <w:t>−2.084***</w:t>
            </w:r>
          </w:p>
        </w:tc>
        <w:tc>
          <w:tcPr>
            <w:tcW w:type="dxa" w:w="2407"/>
          </w:tcPr>
          <w:p>
            <w:pPr>
              <w:pStyle w:val="MDPI42tablebody"/>
              <w:keepNext/>
              <w:spacing w:line="240" w:lineRule="auto" w:before="30" w:after="30"/>
              <w:jc w:val="center"/>
            </w:pPr>
            <w:r>
              <w:rPr>
                <w:b w:val="0"/>
                <w:i w:val="0"/>
                <w:sz w:val="18"/>
              </w:rPr>
              <w:t>−2.048***</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(0.671)</w:t>
            </w:r>
          </w:p>
        </w:tc>
        <w:tc>
          <w:tcPr>
            <w:tcW w:type="dxa" w:w="2407"/>
          </w:tcPr>
          <w:p>
            <w:pPr>
              <w:pStyle w:val="MDPI42tablebody"/>
              <w:keepNext/>
              <w:spacing w:line="240" w:lineRule="auto" w:before="30" w:after="30"/>
              <w:jc w:val="center"/>
            </w:pPr>
            <w:r>
              <w:rPr>
                <w:b w:val="0"/>
                <w:i w:val="0"/>
                <w:sz w:val="18"/>
              </w:rPr>
              <w:t>(0.675)</w:t>
            </w:r>
          </w:p>
        </w:tc>
        <w:tc>
          <w:tcPr>
            <w:tcW w:type="dxa" w:w="2407"/>
          </w:tcPr>
          <w:p>
            <w:pPr>
              <w:pStyle w:val="MDPI42tablebody"/>
              <w:keepNext/>
              <w:spacing w:line="240" w:lineRule="auto" w:before="30" w:after="30"/>
              <w:jc w:val="center"/>
            </w:pPr>
            <w:r>
              <w:rPr>
                <w:b w:val="0"/>
                <w:i w:val="0"/>
                <w:sz w:val="18"/>
              </w:rPr>
              <w:t>(0.670)</w:t>
            </w:r>
          </w:p>
        </w:tc>
      </w:tr>
      <w:tr>
        <w:trPr>
          <w:cantSplit/>
        </w:trPr>
        <w:tc>
          <w:tcPr>
            <w:tcW w:type="dxa" w:w="3244"/>
          </w:tcPr>
          <w:p>
            <w:pPr>
              <w:pStyle w:val="MDPI42tablebody"/>
              <w:keepNext/>
              <w:spacing w:line="240" w:lineRule="auto" w:before="30" w:after="30"/>
              <w:jc w:val="left"/>
            </w:pPr>
            <w:r>
              <w:rPr>
                <w:b w:val="0"/>
                <w:i/>
                <w:sz w:val="18"/>
              </w:rPr>
              <w:t>Board</w:t>
            </w:r>
          </w:p>
        </w:tc>
        <w:tc>
          <w:tcPr>
            <w:tcW w:type="dxa" w:w="2407"/>
          </w:tcPr>
          <w:p>
            <w:pPr>
              <w:pStyle w:val="MDPI42tablebody"/>
              <w:keepNext/>
              <w:spacing w:line="240" w:lineRule="auto" w:before="30" w:after="30"/>
              <w:jc w:val="center"/>
            </w:pPr>
            <w:r>
              <w:rPr>
                <w:b w:val="0"/>
                <w:i w:val="0"/>
                <w:sz w:val="18"/>
              </w:rPr>
              <w:t>0.032</w:t>
            </w:r>
          </w:p>
        </w:tc>
        <w:tc>
          <w:tcPr>
            <w:tcW w:type="dxa" w:w="2407"/>
          </w:tcPr>
          <w:p>
            <w:pPr>
              <w:pStyle w:val="MDPI42tablebody"/>
              <w:keepNext/>
              <w:spacing w:line="240" w:lineRule="auto" w:before="30" w:after="30"/>
              <w:jc w:val="center"/>
            </w:pPr>
            <w:r>
              <w:rPr>
                <w:b w:val="0"/>
                <w:i w:val="0"/>
                <w:sz w:val="18"/>
              </w:rPr>
              <w:t>0.024</w:t>
            </w:r>
          </w:p>
        </w:tc>
        <w:tc>
          <w:tcPr>
            <w:tcW w:type="dxa" w:w="2407"/>
          </w:tcPr>
          <w:p>
            <w:pPr>
              <w:pStyle w:val="MDPI42tablebody"/>
              <w:keepNext/>
              <w:spacing w:line="240" w:lineRule="auto" w:before="30" w:after="30"/>
              <w:jc w:val="center"/>
            </w:pPr>
            <w:r>
              <w:rPr>
                <w:b w:val="0"/>
                <w:i w:val="0"/>
                <w:sz w:val="18"/>
              </w:rPr>
              <w:t>0.034</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(0.177)</w:t>
            </w:r>
          </w:p>
        </w:tc>
        <w:tc>
          <w:tcPr>
            <w:tcW w:type="dxa" w:w="2407"/>
          </w:tcPr>
          <w:p>
            <w:pPr>
              <w:pStyle w:val="MDPI42tablebody"/>
              <w:keepNext/>
              <w:spacing w:line="240" w:lineRule="auto" w:before="30" w:after="30"/>
              <w:jc w:val="center"/>
            </w:pPr>
            <w:r>
              <w:rPr>
                <w:b w:val="0"/>
                <w:i w:val="0"/>
                <w:sz w:val="18"/>
              </w:rPr>
              <w:t>(0.177)</w:t>
            </w:r>
          </w:p>
        </w:tc>
        <w:tc>
          <w:tcPr>
            <w:tcW w:type="dxa" w:w="2407"/>
          </w:tcPr>
          <w:p>
            <w:pPr>
              <w:pStyle w:val="MDPI42tablebody"/>
              <w:keepNext/>
              <w:spacing w:line="240" w:lineRule="auto" w:before="30" w:after="30"/>
              <w:jc w:val="center"/>
            </w:pPr>
            <w:r>
              <w:rPr>
                <w:b w:val="0"/>
                <w:i w:val="0"/>
                <w:sz w:val="18"/>
              </w:rPr>
              <w:t>(0.176)</w:t>
            </w:r>
          </w:p>
        </w:tc>
      </w:tr>
      <w:tr>
        <w:trPr>
          <w:cantSplit/>
        </w:trPr>
        <w:tc>
          <w:tcPr>
            <w:tcW w:type="dxa" w:w="3244"/>
          </w:tcPr>
          <w:p>
            <w:pPr>
              <w:pStyle w:val="MDPI42tablebody"/>
              <w:keepNext/>
              <w:spacing w:line="240" w:lineRule="auto" w:before="30" w:after="30"/>
              <w:jc w:val="left"/>
            </w:pPr>
            <w:r>
              <w:rPr>
                <w:b w:val="0"/>
                <w:i/>
                <w:sz w:val="18"/>
              </w:rPr>
              <w:t>Indep</w:t>
            </w:r>
          </w:p>
        </w:tc>
        <w:tc>
          <w:tcPr>
            <w:tcW w:type="dxa" w:w="2407"/>
          </w:tcPr>
          <w:p>
            <w:pPr>
              <w:pStyle w:val="MDPI42tablebody"/>
              <w:keepNext/>
              <w:spacing w:line="240" w:lineRule="auto" w:before="30" w:after="30"/>
              <w:jc w:val="center"/>
            </w:pPr>
            <w:r>
              <w:rPr>
                <w:b w:val="0"/>
                <w:i w:val="0"/>
                <w:sz w:val="18"/>
              </w:rPr>
              <w:t>0.821</w:t>
            </w:r>
          </w:p>
        </w:tc>
        <w:tc>
          <w:tcPr>
            <w:tcW w:type="dxa" w:w="2407"/>
          </w:tcPr>
          <w:p>
            <w:pPr>
              <w:pStyle w:val="MDPI42tablebody"/>
              <w:keepNext/>
              <w:spacing w:line="240" w:lineRule="auto" w:before="30" w:after="30"/>
              <w:jc w:val="center"/>
            </w:pPr>
            <w:r>
              <w:rPr>
                <w:b w:val="0"/>
                <w:i w:val="0"/>
                <w:sz w:val="18"/>
              </w:rPr>
              <w:t>0.930</w:t>
            </w:r>
          </w:p>
        </w:tc>
        <w:tc>
          <w:tcPr>
            <w:tcW w:type="dxa" w:w="2407"/>
          </w:tcPr>
          <w:p>
            <w:pPr>
              <w:pStyle w:val="MDPI42tablebody"/>
              <w:keepNext/>
              <w:spacing w:line="240" w:lineRule="auto" w:before="30" w:after="30"/>
              <w:jc w:val="center"/>
            </w:pPr>
            <w:r>
              <w:rPr>
                <w:b w:val="0"/>
                <w:i w:val="0"/>
                <w:sz w:val="18"/>
              </w:rPr>
              <w:t>0.823</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(0.705)</w:t>
            </w:r>
          </w:p>
        </w:tc>
        <w:tc>
          <w:tcPr>
            <w:tcW w:type="dxa" w:w="2407"/>
          </w:tcPr>
          <w:p>
            <w:pPr>
              <w:pStyle w:val="MDPI42tablebody"/>
              <w:keepNext/>
              <w:spacing w:line="240" w:lineRule="auto" w:before="30" w:after="30"/>
              <w:jc w:val="center"/>
            </w:pPr>
            <w:r>
              <w:rPr>
                <w:b w:val="0"/>
                <w:i w:val="0"/>
                <w:sz w:val="18"/>
              </w:rPr>
              <w:t>(0.710)</w:t>
            </w:r>
          </w:p>
        </w:tc>
        <w:tc>
          <w:tcPr>
            <w:tcW w:type="dxa" w:w="2407"/>
          </w:tcPr>
          <w:p>
            <w:pPr>
              <w:pStyle w:val="MDPI42tablebody"/>
              <w:keepNext/>
              <w:spacing w:line="240" w:lineRule="auto" w:before="30" w:after="30"/>
              <w:jc w:val="center"/>
            </w:pPr>
            <w:r>
              <w:rPr>
                <w:b w:val="0"/>
                <w:i w:val="0"/>
                <w:sz w:val="18"/>
              </w:rPr>
              <w:t>(0.705)</w:t>
            </w:r>
          </w:p>
        </w:tc>
      </w:tr>
      <w:tr>
        <w:trPr>
          <w:cantSplit/>
        </w:trPr>
        <w:tc>
          <w:tcPr>
            <w:tcW w:type="dxa" w:w="3244"/>
          </w:tcPr>
          <w:p>
            <w:pPr>
              <w:pStyle w:val="MDPI42tablebody"/>
              <w:keepNext/>
              <w:spacing w:line="240" w:lineRule="auto" w:before="30" w:after="30"/>
              <w:jc w:val="left"/>
            </w:pPr>
            <w:r>
              <w:rPr>
                <w:b w:val="0"/>
                <w:i/>
                <w:sz w:val="18"/>
              </w:rPr>
              <w:t>Dual</w:t>
            </w:r>
          </w:p>
        </w:tc>
        <w:tc>
          <w:tcPr>
            <w:tcW w:type="dxa" w:w="2407"/>
          </w:tcPr>
          <w:p>
            <w:pPr>
              <w:pStyle w:val="MDPI42tablebody"/>
              <w:keepNext/>
              <w:spacing w:line="240" w:lineRule="auto" w:before="30" w:after="30"/>
              <w:jc w:val="center"/>
            </w:pPr>
            <w:r>
              <w:rPr>
                <w:b w:val="0"/>
                <w:i w:val="0"/>
                <w:sz w:val="18"/>
              </w:rPr>
              <w:t>−0.086</w:t>
            </w:r>
          </w:p>
        </w:tc>
        <w:tc>
          <w:tcPr>
            <w:tcW w:type="dxa" w:w="2407"/>
          </w:tcPr>
          <w:p>
            <w:pPr>
              <w:pStyle w:val="MDPI42tablebody"/>
              <w:keepNext/>
              <w:spacing w:line="240" w:lineRule="auto" w:before="30" w:after="30"/>
              <w:jc w:val="center"/>
            </w:pPr>
            <w:r>
              <w:rPr>
                <w:b w:val="0"/>
                <w:i w:val="0"/>
                <w:sz w:val="18"/>
              </w:rPr>
              <w:t>−0.096</w:t>
            </w:r>
          </w:p>
        </w:tc>
        <w:tc>
          <w:tcPr>
            <w:tcW w:type="dxa" w:w="2407"/>
          </w:tcPr>
          <w:p>
            <w:pPr>
              <w:pStyle w:val="MDPI42tablebody"/>
              <w:keepNext/>
              <w:spacing w:line="240" w:lineRule="auto" w:before="30" w:after="30"/>
              <w:jc w:val="center"/>
            </w:pPr>
            <w:r>
              <w:rPr>
                <w:b w:val="0"/>
                <w:i w:val="0"/>
                <w:sz w:val="18"/>
              </w:rPr>
              <w:t>−0.089</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(0.074)</w:t>
            </w:r>
          </w:p>
        </w:tc>
        <w:tc>
          <w:tcPr>
            <w:tcW w:type="dxa" w:w="2407"/>
          </w:tcPr>
          <w:p>
            <w:pPr>
              <w:pStyle w:val="MDPI42tablebody"/>
              <w:keepNext/>
              <w:spacing w:line="240" w:lineRule="auto" w:before="30" w:after="30"/>
              <w:jc w:val="center"/>
            </w:pPr>
            <w:r>
              <w:rPr>
                <w:b w:val="0"/>
                <w:i w:val="0"/>
                <w:sz w:val="18"/>
              </w:rPr>
              <w:t>(0.074)</w:t>
            </w:r>
          </w:p>
        </w:tc>
        <w:tc>
          <w:tcPr>
            <w:tcW w:type="dxa" w:w="2407"/>
          </w:tcPr>
          <w:p>
            <w:pPr>
              <w:pStyle w:val="MDPI42tablebody"/>
              <w:keepNext/>
              <w:spacing w:line="240" w:lineRule="auto" w:before="30" w:after="30"/>
              <w:jc w:val="center"/>
            </w:pPr>
            <w:r>
              <w:rPr>
                <w:b w:val="0"/>
                <w:i w:val="0"/>
                <w:sz w:val="18"/>
              </w:rPr>
              <w:t>(0.074)</w:t>
            </w:r>
          </w:p>
        </w:tc>
      </w:tr>
      <w:tr>
        <w:trPr>
          <w:cantSplit/>
        </w:trPr>
        <w:tc>
          <w:tcPr>
            <w:tcW w:type="dxa" w:w="3244"/>
          </w:tcPr>
          <w:p>
            <w:pPr>
              <w:pStyle w:val="MDPI42tablebody"/>
              <w:keepNext/>
              <w:spacing w:line="240" w:lineRule="auto" w:before="30" w:after="30"/>
              <w:jc w:val="left"/>
            </w:pPr>
            <w:r>
              <w:rPr>
                <w:b w:val="0"/>
                <w:i/>
                <w:sz w:val="18"/>
              </w:rPr>
              <w:t>TobinQ</w:t>
            </w:r>
          </w:p>
        </w:tc>
        <w:tc>
          <w:tcPr>
            <w:tcW w:type="dxa" w:w="2407"/>
          </w:tcPr>
          <w:p>
            <w:pPr>
              <w:pStyle w:val="MDPI42tablebody"/>
              <w:keepNext/>
              <w:spacing w:line="240" w:lineRule="auto" w:before="30" w:after="30"/>
              <w:jc w:val="center"/>
            </w:pPr>
            <w:r>
              <w:rPr>
                <w:b w:val="0"/>
                <w:i w:val="0"/>
                <w:sz w:val="18"/>
              </w:rPr>
              <w:t>0.007</w:t>
            </w:r>
          </w:p>
        </w:tc>
        <w:tc>
          <w:tcPr>
            <w:tcW w:type="dxa" w:w="2407"/>
          </w:tcPr>
          <w:p>
            <w:pPr>
              <w:pStyle w:val="MDPI42tablebody"/>
              <w:keepNext/>
              <w:spacing w:line="240" w:lineRule="auto" w:before="30" w:after="30"/>
              <w:jc w:val="center"/>
            </w:pPr>
            <w:r>
              <w:rPr>
                <w:b w:val="0"/>
                <w:i w:val="0"/>
                <w:sz w:val="18"/>
              </w:rPr>
              <w:t>0.006</w:t>
            </w:r>
          </w:p>
        </w:tc>
        <w:tc>
          <w:tcPr>
            <w:tcW w:type="dxa" w:w="2407"/>
          </w:tcPr>
          <w:p>
            <w:pPr>
              <w:pStyle w:val="MDPI42tablebody"/>
              <w:keepNext/>
              <w:spacing w:line="240" w:lineRule="auto" w:before="30" w:after="30"/>
              <w:jc w:val="center"/>
            </w:pPr>
            <w:r>
              <w:rPr>
                <w:b w:val="0"/>
                <w:i w:val="0"/>
                <w:sz w:val="18"/>
              </w:rPr>
              <w:t>0.007</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(0.031)</w:t>
            </w:r>
          </w:p>
        </w:tc>
        <w:tc>
          <w:tcPr>
            <w:tcW w:type="dxa" w:w="2407"/>
          </w:tcPr>
          <w:p>
            <w:pPr>
              <w:pStyle w:val="MDPI42tablebody"/>
              <w:keepNext/>
              <w:spacing w:line="240" w:lineRule="auto" w:before="30" w:after="30"/>
              <w:jc w:val="center"/>
            </w:pPr>
            <w:r>
              <w:rPr>
                <w:b w:val="0"/>
                <w:i w:val="0"/>
                <w:sz w:val="18"/>
              </w:rPr>
              <w:t>(0.031)</w:t>
            </w:r>
          </w:p>
        </w:tc>
        <w:tc>
          <w:tcPr>
            <w:tcW w:type="dxa" w:w="2407"/>
          </w:tcPr>
          <w:p>
            <w:pPr>
              <w:pStyle w:val="MDPI42tablebody"/>
              <w:keepNext/>
              <w:spacing w:line="240" w:lineRule="auto" w:before="30" w:after="30"/>
              <w:jc w:val="center"/>
            </w:pPr>
            <w:r>
              <w:rPr>
                <w:b w:val="0"/>
                <w:i w:val="0"/>
                <w:sz w:val="18"/>
              </w:rPr>
              <w:t>(0.031)</w:t>
            </w:r>
          </w:p>
        </w:tc>
      </w:tr>
      <w:tr>
        <w:trPr>
          <w:cantSplit/>
        </w:trPr>
        <w:tc>
          <w:tcPr>
            <w:tcW w:type="dxa" w:w="3244"/>
          </w:tcPr>
          <w:p>
            <w:pPr>
              <w:pStyle w:val="MDPI42tablebody"/>
              <w:keepNext/>
              <w:spacing w:line="240" w:lineRule="auto" w:before="30" w:after="30"/>
              <w:jc w:val="left"/>
            </w:pPr>
            <w:r>
              <w:rPr>
                <w:b w:val="0"/>
                <w:i/>
                <w:sz w:val="18"/>
              </w:rPr>
              <w:t>Fixed</w:t>
            </w:r>
          </w:p>
        </w:tc>
        <w:tc>
          <w:tcPr>
            <w:tcW w:type="dxa" w:w="2407"/>
          </w:tcPr>
          <w:p>
            <w:pPr>
              <w:pStyle w:val="MDPI42tablebody"/>
              <w:keepNext/>
              <w:spacing w:line="240" w:lineRule="auto" w:before="30" w:after="30"/>
              <w:jc w:val="center"/>
            </w:pPr>
            <w:r>
              <w:rPr>
                <w:b w:val="0"/>
                <w:i w:val="0"/>
                <w:sz w:val="18"/>
              </w:rPr>
              <w:t>0.165</w:t>
            </w:r>
          </w:p>
        </w:tc>
        <w:tc>
          <w:tcPr>
            <w:tcW w:type="dxa" w:w="2407"/>
          </w:tcPr>
          <w:p>
            <w:pPr>
              <w:pStyle w:val="MDPI42tablebody"/>
              <w:keepNext/>
              <w:spacing w:line="240" w:lineRule="auto" w:before="30" w:after="30"/>
              <w:jc w:val="center"/>
            </w:pPr>
            <w:r>
              <w:rPr>
                <w:b w:val="0"/>
                <w:i w:val="0"/>
                <w:sz w:val="18"/>
              </w:rPr>
              <w:t>0.168</w:t>
            </w:r>
          </w:p>
        </w:tc>
        <w:tc>
          <w:tcPr>
            <w:tcW w:type="dxa" w:w="2407"/>
          </w:tcPr>
          <w:p>
            <w:pPr>
              <w:pStyle w:val="MDPI42tablebody"/>
              <w:keepNext/>
              <w:spacing w:line="240" w:lineRule="auto" w:before="30" w:after="30"/>
              <w:jc w:val="center"/>
            </w:pPr>
            <w:r>
              <w:rPr>
                <w:b w:val="0"/>
                <w:i w:val="0"/>
                <w:sz w:val="18"/>
              </w:rPr>
              <w:t>0.167</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(0.275)</w:t>
            </w:r>
          </w:p>
        </w:tc>
        <w:tc>
          <w:tcPr>
            <w:tcW w:type="dxa" w:w="2407"/>
          </w:tcPr>
          <w:p>
            <w:pPr>
              <w:pStyle w:val="MDPI42tablebody"/>
              <w:keepNext/>
              <w:spacing w:line="240" w:lineRule="auto" w:before="30" w:after="30"/>
              <w:jc w:val="center"/>
            </w:pPr>
            <w:r>
              <w:rPr>
                <w:b w:val="0"/>
                <w:i w:val="0"/>
                <w:sz w:val="18"/>
              </w:rPr>
              <w:t>(0.276)</w:t>
            </w:r>
          </w:p>
        </w:tc>
        <w:tc>
          <w:tcPr>
            <w:tcW w:type="dxa" w:w="2407"/>
          </w:tcPr>
          <w:p>
            <w:pPr>
              <w:pStyle w:val="MDPI42tablebody"/>
              <w:keepNext/>
              <w:spacing w:line="240" w:lineRule="auto" w:before="30" w:after="30"/>
              <w:jc w:val="center"/>
            </w:pPr>
            <w:r>
              <w:rPr>
                <w:b w:val="0"/>
                <w:i w:val="0"/>
                <w:sz w:val="18"/>
              </w:rPr>
              <w:t>(0.275)</w:t>
            </w:r>
          </w:p>
        </w:tc>
      </w:tr>
      <w:tr>
        <w:trPr>
          <w:cantSplit/>
        </w:trPr>
        <w:tc>
          <w:tcPr>
            <w:tcW w:type="dxa" w:w="3244"/>
          </w:tcPr>
          <w:p>
            <w:pPr>
              <w:pStyle w:val="MDPI42tablebody"/>
              <w:keepNext/>
              <w:spacing w:line="240" w:lineRule="auto" w:before="30" w:after="30"/>
              <w:jc w:val="left"/>
            </w:pPr>
            <w:r>
              <w:rPr>
                <w:b w:val="0"/>
                <w:i/>
                <w:sz w:val="18"/>
              </w:rPr>
              <w:t>Firm FE</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r>
      <w:tr>
        <w:trPr>
          <w:cantSplit/>
        </w:trPr>
        <w:tc>
          <w:tcPr>
            <w:tcW w:type="dxa" w:w="3244"/>
          </w:tcPr>
          <w:p>
            <w:pPr>
              <w:pStyle w:val="MDPI42tablebody"/>
              <w:keepNext/>
              <w:spacing w:line="240" w:lineRule="auto" w:before="30" w:after="30"/>
              <w:jc w:val="left"/>
            </w:pPr>
            <w:r>
              <w:rPr>
                <w:b w:val="0"/>
                <w:i/>
                <w:sz w:val="18"/>
              </w:rPr>
              <w:t>Year FE</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r>
      <w:tr>
        <w:trPr>
          <w:cantSplit/>
        </w:trPr>
        <w:tc>
          <w:tcPr>
            <w:tcW w:type="dxa" w:w="3244"/>
          </w:tcPr>
          <w:p>
            <w:pPr>
              <w:pStyle w:val="MDPI42tablebody"/>
              <w:keepNext/>
              <w:spacing w:line="240" w:lineRule="auto" w:before="30" w:after="30"/>
              <w:jc w:val="left"/>
            </w:pPr>
            <w:r>
              <w:rPr>
                <w:b w:val="0"/>
                <w:i/>
                <w:sz w:val="18"/>
              </w:rPr>
              <w:t>Observations</w:t>
            </w:r>
          </w:p>
        </w:tc>
        <w:tc>
          <w:tcPr>
            <w:tcW w:type="dxa" w:w="2407"/>
          </w:tcPr>
          <w:p>
            <w:pPr>
              <w:pStyle w:val="MDPI42tablebody"/>
              <w:keepNext/>
              <w:spacing w:line="240" w:lineRule="auto" w:before="30" w:after="30"/>
              <w:jc w:val="center"/>
            </w:pPr>
            <w:r>
              <w:rPr>
                <w:b w:val="0"/>
                <w:i w:val="0"/>
                <w:sz w:val="18"/>
              </w:rPr>
              <w:t>27,340</w:t>
            </w:r>
          </w:p>
        </w:tc>
        <w:tc>
          <w:tcPr>
            <w:tcW w:type="dxa" w:w="2407"/>
          </w:tcPr>
          <w:p>
            <w:pPr>
              <w:pStyle w:val="MDPI42tablebody"/>
              <w:keepNext/>
              <w:spacing w:line="240" w:lineRule="auto" w:before="30" w:after="30"/>
              <w:jc w:val="center"/>
            </w:pPr>
            <w:r>
              <w:rPr>
                <w:b w:val="0"/>
                <w:i w:val="0"/>
                <w:sz w:val="18"/>
              </w:rPr>
              <w:t>27,340</w:t>
            </w:r>
          </w:p>
        </w:tc>
        <w:tc>
          <w:tcPr>
            <w:tcW w:type="dxa" w:w="2407"/>
          </w:tcPr>
          <w:p>
            <w:pPr>
              <w:pStyle w:val="MDPI42tablebody"/>
              <w:keepNext/>
              <w:spacing w:line="240" w:lineRule="auto" w:before="30" w:after="30"/>
              <w:jc w:val="center"/>
            </w:pPr>
            <w:r>
              <w:rPr>
                <w:b w:val="0"/>
                <w:i w:val="0"/>
                <w:sz w:val="18"/>
              </w:rPr>
              <w:t>27,340</w:t>
            </w:r>
          </w:p>
        </w:tc>
      </w:tr>
      <w:tr>
        <w:trPr>
          <w:cantSplit/>
        </w:trPr>
        <w:tc>
          <w:tcPr>
            <w:tcW w:type="dxa" w:w="3244"/>
          </w:tcPr>
          <w:p>
            <w:pPr>
              <w:pStyle w:val="MDPI42tablebody"/>
              <w:spacing w:line="240" w:lineRule="auto" w:before="30" w:after="30"/>
              <w:jc w:val="left"/>
            </w:pPr>
            <w:r>
              <w:rPr>
                <w:b w:val="0"/>
                <w:i/>
                <w:sz w:val="18"/>
              </w:rPr>
              <w:t>Within R²</w:t>
            </w:r>
          </w:p>
        </w:tc>
        <w:tc>
          <w:tcPr>
            <w:tcW w:type="dxa" w:w="2407"/>
          </w:tcPr>
          <w:p>
            <w:pPr>
              <w:pStyle w:val="MDPI42tablebody"/>
              <w:spacing w:line="240" w:lineRule="auto" w:before="30" w:after="30"/>
              <w:jc w:val="center"/>
            </w:pPr>
            <w:r>
              <w:rPr>
                <w:b w:val="0"/>
                <w:i w:val="0"/>
                <w:sz w:val="18"/>
              </w:rPr>
              <w:t>0.089</w:t>
            </w:r>
          </w:p>
        </w:tc>
        <w:tc>
          <w:tcPr>
            <w:tcW w:type="dxa" w:w="2407"/>
          </w:tcPr>
          <w:p>
            <w:pPr>
              <w:pStyle w:val="MDPI42tablebody"/>
              <w:spacing w:line="240" w:lineRule="auto" w:before="30" w:after="30"/>
              <w:jc w:val="center"/>
            </w:pPr>
            <w:r>
              <w:rPr>
                <w:b w:val="0"/>
                <w:i w:val="0"/>
                <w:sz w:val="18"/>
              </w:rPr>
              <w:t>0.083</w:t>
            </w:r>
          </w:p>
        </w:tc>
        <w:tc>
          <w:tcPr>
            <w:tcW w:type="dxa" w:w="2407"/>
          </w:tcPr>
          <w:p>
            <w:pPr>
              <w:pStyle w:val="MDPI42tablebody"/>
              <w:spacing w:line="240" w:lineRule="auto" w:before="30" w:after="30"/>
              <w:jc w:val="center"/>
            </w:pPr>
            <w:r>
              <w:rPr>
                <w:b w:val="0"/>
                <w:i w:val="0"/>
                <w:sz w:val="18"/>
              </w:rPr>
              <w:t>0.092</w:t>
            </w:r>
          </w:p>
        </w:tc>
      </w:tr>
    </w:tbl>
    <w:p>
      <w:pPr>
        <w:pStyle w:val="MDPI43tablefooter"/>
        <w:spacing w:line="240" w:lineRule="auto" w:before="40" w:after="200"/>
        <w:ind w:left="2608" w:firstLine="0"/>
      </w:pPr>
      <w:r>
        <w:rPr>
          <w:sz w:val="16"/>
        </w:rPr>
        <w:t xml:space="preserve">Note: </w:t>
      </w:r>
      <w:r>
        <w:rPr>
          <w:b w:val="0"/>
          <w:i w:val="0"/>
          <w:sz w:val="16"/>
        </w:rPr>
        <w:t>The dependent variable is the share of employees aged 30 or below. OLC is absorbed by the firm fixed effects because it is measured before the shock and is time invariant. Standard errors clustered at the firm level are in parentheses. ***, ** and * denote significance at the 1%, 5% and 10% levels.</w:t>
      </w:r>
    </w:p>
    <w:p>
      <w:pPr>
        <w:pStyle w:val="MDPI31text"/>
      </w:pPr>
      <w:r>
        <w:rPr>
          <w:b w:val="0"/>
          <w:i w:val="0"/>
        </w:rPr>
        <w:t>Figure 4 traces the marginal effect of Equation (8) across the distribution of organisational learning capability with a 95% confidence band. The effect is significantly negative through most of the distribution, becomes statistically indistinguishable from zero above the 90th percentile, and the point estimate crosses zero at 1.24 standard deviations. This is the paper's central qualitative result. Displacement of young workers is not an intrinsic property of generative AI; it is what happens when the technology is introduced into a firm that lacks the learning infrastructure to redesign entry work around it.</w:t>
      </w:r>
    </w:p>
    <w:p>
      <w:pPr>
        <w:pStyle w:val="MDPI52figure"/>
        <w:keepNext/>
        <w:ind w:left="2608" w:firstLine="0"/>
        <w:jc w:val="center"/>
      </w:pPr>
      <w:r>
        <w:drawing>
          <wp:inline xmlns:a="http://schemas.openxmlformats.org/drawingml/2006/main" xmlns:pic="http://schemas.openxmlformats.org/drawingml/2006/picture">
            <wp:extent cx="4968000" cy="2353795"/>
            <wp:docPr id="4" name="Picture 4"/>
            <wp:cNvGraphicFramePr>
              <a:graphicFrameLocks noChangeAspect="1"/>
            </wp:cNvGraphicFramePr>
            <a:graphic>
              <a:graphicData uri="http://schemas.openxmlformats.org/drawingml/2006/picture">
                <pic:pic>
                  <pic:nvPicPr>
                    <pic:cNvPr id="0" name="figure4_marginal.png"/>
                    <pic:cNvPicPr/>
                  </pic:nvPicPr>
                  <pic:blipFill>
                    <a:blip r:embed="rId20"/>
                    <a:stretch>
                      <a:fillRect/>
                    </a:stretch>
                  </pic:blipFill>
                  <pic:spPr>
                    <a:xfrm>
                      <a:off x="0" y="0"/>
                      <a:ext cx="4968000" cy="2353795"/>
                    </a:xfrm>
                    <a:prstGeom prst="rect"/>
                  </pic:spPr>
                </pic:pic>
              </a:graphicData>
            </a:graphic>
          </wp:inline>
        </w:drawing>
      </w:r>
    </w:p>
    <w:p>
      <w:pPr>
        <w:pStyle w:val="MDPI51figurecaption"/>
        <w:spacing w:after="40"/>
      </w:pPr>
      <w:r>
        <w:rPr>
          <w:b/>
          <w:sz w:val="18"/>
        </w:rPr>
        <w:t xml:space="preserve">Figure 4. </w:t>
      </w:r>
      <w:r>
        <w:rPr>
          <w:b w:val="0"/>
          <w:i w:val="0"/>
          <w:sz w:val="18"/>
        </w:rPr>
        <w:t>Marginal effect of generative AI adoption on the youth employment share across the distribution of organisational learning capability.</w:t>
      </w:r>
    </w:p>
    <w:p>
      <w:pPr>
        <w:pStyle w:val="MDPI51figurecaption"/>
        <w:spacing w:line="240" w:lineRule="auto" w:before="40" w:after="200"/>
        <w:ind w:left="2608" w:firstLine="0"/>
      </w:pPr>
      <w:r>
        <w:rPr>
          <w:sz w:val="16"/>
        </w:rPr>
        <w:t xml:space="preserve">Note: </w:t>
      </w:r>
      <w:r>
        <w:rPr>
          <w:b w:val="0"/>
          <w:i w:val="0"/>
          <w:sz w:val="16"/>
        </w:rPr>
        <w:t>Marginal effects from Equation (8) with a 95% confidence band. P25, P50 and P75 mark the quartiles of the moderator. The vertical dashed line is the point at which the effect ceases to be statistically distinguishable from zero.</w:t>
      </w:r>
    </w:p>
    <w:p>
      <w:pPr>
        <w:pStyle w:val="MDPI22heading2"/>
      </w:pPr>
      <w:r>
        <w:t>4.6. Endogeneity Tests</w:t>
      </w:r>
    </w:p>
    <w:p>
      <w:pPr>
        <w:pStyle w:val="MDPI32textnoindent"/>
      </w:pPr>
      <w:r>
        <w:rPr>
          <w:b w:val="0"/>
          <w:i w:val="0"/>
        </w:rPr>
        <w:t>Table 8 addresses the endogeneity of adoption. Column (1) reports the first stage: both instruments are strongly and significantly related to adoption, and the Kleibergen–Paap rank Wald statistic is 308.4, far above the Stock–Yogo 10% maximal-size critical value of 19.93, so weak identification is not a concern. The Sargan–Hansen test does not reject instrument validity (</w:t>
      </w:r>
      <m:oMath>
        <m:r>
          <m:t xml:space="preserve">p</m:t>
        </m:r>
        <m:r>
          <m:rPr>
            <m:sty m:val="p"/>
          </m:rPr>
          <m:t xml:space="preserve">=</m:t>
        </m:r>
        <m:r>
          <m:rPr>
            <m:sty m:val="p"/>
          </m:rPr>
          <m:t xml:space="preserve">0.740</m:t>
        </m:r>
      </m:oMath>
      <w:r>
        <w:rPr>
          <w:b w:val="0"/>
          <w:i w:val="0"/>
        </w:rPr>
        <w:t xml:space="preserve">). The second-stage estimate in column (2) is −1.195 with a standard error of 0.168, larger in magnitude than the fixed-effects estimate. The direction of the difference is what the confounding story predicts: firms experiencing favourable unobserved shocks both adopt more and hire more young workers, so the within-firm estimate understates displacement. The Wu–Hausman test gives </w:t>
      </w:r>
      <m:oMath>
        <m:r>
          <m:t xml:space="preserve">p</m:t>
        </m:r>
        <m:r>
          <m:rPr>
            <m:sty m:val="p"/>
          </m:rPr>
          <m:t xml:space="preserve">=</m:t>
        </m:r>
        <m:r>
          <m:rPr>
            <m:sty m:val="p"/>
          </m:rPr>
          <m:t xml:space="preserve">0.000</m:t>
        </m:r>
      </m:oMath>
      <w:r>
        <w:rPr>
          <w:b w:val="0"/>
          <w:i w:val="0"/>
        </w:rPr>
        <w:t>.</w:t>
      </w:r>
    </w:p>
    <w:p>
      <w:pPr>
        <w:pStyle w:val="MDPI41tablecaption"/>
        <w:keepNext/>
        <w:spacing w:after="60"/>
      </w:pPr>
      <w:r>
        <w:rPr>
          <w:b/>
          <w:sz w:val="18"/>
        </w:rPr>
        <w:t xml:space="preserve">Table 8. </w:t>
      </w:r>
      <w:r>
        <w:rPr>
          <w:b w:val="0"/>
          <w:i w:val="0"/>
          <w:sz w:val="18"/>
        </w:rPr>
        <w:t>Endogeneity: instrumental variables, propensity-score matching and entropy balancing.</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930"/>
        <w:gridCol w:w="1883"/>
        <w:gridCol w:w="1883"/>
        <w:gridCol w:w="1883"/>
        <w:gridCol w:w="1883"/>
      </w:tblGrid>
      <w:tr>
        <w:trPr>
          <w:cantSplit/>
          <w:tblHeader/>
        </w:trPr>
        <w:tc>
          <w:tcPr>
            <w:tcW w:type="dxa" w:w="2930"/>
            <w:tcBorders>
              <w:bottom w:val="single" w:sz="8" w:space="0" w:color="auto"/>
            </w:tcBorders>
          </w:tcPr>
          <w:p>
            <w:pPr>
              <w:pStyle w:val="MDPI42tablebody"/>
              <w:keepNext/>
              <w:spacing w:line="240" w:lineRule="auto" w:before="30" w:after="30"/>
              <w:jc w:val="center"/>
            </w:pPr>
            <w:r>
              <w:rPr>
                <w:b/>
                <w:i w:val="0"/>
                <w:sz w:val="18"/>
              </w:rPr>
              <w:t>Variable</w:t>
            </w:r>
          </w:p>
        </w:tc>
        <w:tc>
          <w:tcPr>
            <w:tcW w:type="dxa" w:w="1883"/>
            <w:tcBorders>
              <w:bottom w:val="single" w:sz="8" w:space="0" w:color="auto"/>
            </w:tcBorders>
          </w:tcPr>
          <w:p>
            <w:pPr>
              <w:pStyle w:val="MDPI42tablebody"/>
              <w:keepNext/>
              <w:spacing w:line="240" w:lineRule="auto" w:before="30" w:after="30"/>
              <w:jc w:val="center"/>
            </w:pPr>
            <w:r>
              <w:rPr>
                <w:b/>
                <w:i w:val="0"/>
                <w:sz w:val="18"/>
              </w:rPr>
              <w:t>(1) First stage</w:t>
            </w:r>
          </w:p>
        </w:tc>
        <w:tc>
          <w:tcPr>
            <w:tcW w:type="dxa" w:w="1883"/>
            <w:tcBorders>
              <w:bottom w:val="single" w:sz="8" w:space="0" w:color="auto"/>
            </w:tcBorders>
          </w:tcPr>
          <w:p>
            <w:pPr>
              <w:pStyle w:val="MDPI42tablebody"/>
              <w:keepNext/>
              <w:spacing w:line="240" w:lineRule="auto" w:before="30" w:after="30"/>
              <w:jc w:val="center"/>
            </w:pPr>
            <w:r>
              <w:rPr>
                <w:b/>
                <w:i w:val="0"/>
                <w:sz w:val="18"/>
              </w:rPr>
              <w:t>(2) 2SLS</w:t>
            </w:r>
          </w:p>
        </w:tc>
        <w:tc>
          <w:tcPr>
            <w:tcW w:type="dxa" w:w="1883"/>
            <w:tcBorders>
              <w:bottom w:val="single" w:sz="8" w:space="0" w:color="auto"/>
            </w:tcBorders>
          </w:tcPr>
          <w:p>
            <w:pPr>
              <w:pStyle w:val="MDPI42tablebody"/>
              <w:keepNext/>
              <w:spacing w:line="240" w:lineRule="auto" w:before="30" w:after="30"/>
              <w:jc w:val="center"/>
            </w:pPr>
            <w:r>
              <w:rPr>
                <w:b/>
                <w:i w:val="0"/>
                <w:sz w:val="18"/>
              </w:rPr>
              <w:t>(3) PSM</w:t>
            </w:r>
          </w:p>
        </w:tc>
        <w:tc>
          <w:tcPr>
            <w:tcW w:type="dxa" w:w="1883"/>
            <w:tcBorders>
              <w:bottom w:val="single" w:sz="8" w:space="0" w:color="auto"/>
            </w:tcBorders>
          </w:tcPr>
          <w:p>
            <w:pPr>
              <w:pStyle w:val="MDPI42tablebody"/>
              <w:keepNext/>
              <w:spacing w:line="240" w:lineRule="auto" w:before="30" w:after="30"/>
              <w:jc w:val="center"/>
            </w:pPr>
            <w:r>
              <w:rPr>
                <w:b/>
                <w:i w:val="0"/>
                <w:sz w:val="18"/>
              </w:rPr>
              <w:t>(4) Entropy balancing</w:t>
            </w:r>
          </w:p>
        </w:tc>
      </w:tr>
      <w:tr>
        <w:trPr>
          <w:cantSplit/>
        </w:trPr>
        <w:tc>
          <w:tcPr>
            <w:tcW w:type="dxa" w:w="2930"/>
          </w:tcPr>
          <w:p>
            <w:pPr>
              <w:pStyle w:val="MDPI42tablebody"/>
              <w:keepNext/>
              <w:spacing w:line="240" w:lineRule="auto" w:before="30" w:after="30"/>
              <w:jc w:val="left"/>
            </w:pPr>
            <w:r>
              <w:rPr>
                <w:b w:val="0"/>
                <w:i/>
                <w:sz w:val="18"/>
              </w:rPr>
              <w:t>Dependent variable</w:t>
            </w:r>
          </w:p>
        </w:tc>
        <w:tc>
          <w:tcPr>
            <w:tcW w:type="dxa" w:w="1883"/>
          </w:tcPr>
          <w:p>
            <w:pPr>
              <w:pStyle w:val="MDPI42tablebody"/>
              <w:keepNext/>
              <w:spacing w:line="240" w:lineRule="auto" w:before="30" w:after="30"/>
              <w:jc w:val="center"/>
            </w:pPr>
            <w:r>
              <w:rPr>
                <w:b w:val="0"/>
                <w:i w:val="0"/>
                <w:sz w:val="18"/>
              </w:rPr>
              <w:t>GenAI</w:t>
            </w:r>
          </w:p>
        </w:tc>
        <w:tc>
          <w:tcPr>
            <w:tcW w:type="dxa" w:w="1883"/>
          </w:tcPr>
          <w:p>
            <w:pPr>
              <w:pStyle w:val="MDPI42tablebody"/>
              <w:keepNext/>
              <w:spacing w:line="240" w:lineRule="auto" w:before="30" w:after="30"/>
              <w:jc w:val="center"/>
            </w:pPr>
            <w:r>
              <w:rPr>
                <w:b w:val="0"/>
                <w:i w:val="0"/>
                <w:sz w:val="18"/>
              </w:rPr>
              <w:t>Youth</w:t>
            </w:r>
          </w:p>
        </w:tc>
        <w:tc>
          <w:tcPr>
            <w:tcW w:type="dxa" w:w="1883"/>
          </w:tcPr>
          <w:p>
            <w:pPr>
              <w:pStyle w:val="MDPI42tablebody"/>
              <w:keepNext/>
              <w:spacing w:line="240" w:lineRule="auto" w:before="30" w:after="30"/>
              <w:jc w:val="center"/>
            </w:pPr>
            <w:r>
              <w:rPr>
                <w:b w:val="0"/>
                <w:i w:val="0"/>
                <w:sz w:val="18"/>
              </w:rPr>
              <w:t>Youth</w:t>
            </w:r>
          </w:p>
        </w:tc>
        <w:tc>
          <w:tcPr>
            <w:tcW w:type="dxa" w:w="1883"/>
          </w:tcPr>
          <w:p>
            <w:pPr>
              <w:pStyle w:val="MDPI42tablebody"/>
              <w:keepNext/>
              <w:spacing w:line="240" w:lineRule="auto" w:before="30" w:after="30"/>
              <w:jc w:val="center"/>
            </w:pPr>
            <w:r>
              <w:rPr>
                <w:b w:val="0"/>
                <w:i w:val="0"/>
                <w:sz w:val="18"/>
              </w:rPr>
              <w:t>Youth</w:t>
            </w:r>
          </w:p>
        </w:tc>
      </w:tr>
      <w:tr>
        <w:trPr>
          <w:cantSplit/>
        </w:trPr>
        <w:tc>
          <w:tcPr>
            <w:tcW w:type="dxa" w:w="2930"/>
          </w:tcPr>
          <w:p>
            <w:pPr>
              <w:pStyle w:val="MDPI42tablebody"/>
              <w:keepNext/>
              <w:spacing w:line="240" w:lineRule="auto" w:before="30" w:after="30"/>
              <w:jc w:val="left"/>
            </w:pPr>
            <w:r>
              <w:rPr>
                <w:b w:val="0"/>
                <w:i/>
                <w:sz w:val="18"/>
              </w:rPr>
              <w:t>IV_Bartik</w:t>
            </w:r>
          </w:p>
        </w:tc>
        <w:tc>
          <w:tcPr>
            <w:tcW w:type="dxa" w:w="1883"/>
          </w:tcPr>
          <w:p>
            <w:pPr>
              <w:pStyle w:val="MDPI42tablebody"/>
              <w:keepNext/>
              <w:spacing w:line="240" w:lineRule="auto" w:before="30" w:after="30"/>
              <w:jc w:val="center"/>
            </w:pPr>
            <w:r>
              <w:rPr>
                <w:b w:val="0"/>
                <w:i w:val="0"/>
                <w:sz w:val="18"/>
              </w:rPr>
              <w:t>0.324***</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(0.031)</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r>
              <w:rPr>
                <w:b w:val="0"/>
                <w:i/>
                <w:sz w:val="18"/>
              </w:rPr>
              <w:t>IV_Peer</w:t>
            </w:r>
          </w:p>
        </w:tc>
        <w:tc>
          <w:tcPr>
            <w:tcW w:type="dxa" w:w="1883"/>
          </w:tcPr>
          <w:p>
            <w:pPr>
              <w:pStyle w:val="MDPI42tablebody"/>
              <w:keepNext/>
              <w:spacing w:line="240" w:lineRule="auto" w:before="30" w:after="30"/>
              <w:jc w:val="center"/>
            </w:pPr>
            <w:r>
              <w:rPr>
                <w:b w:val="0"/>
                <w:i w:val="0"/>
                <w:sz w:val="18"/>
              </w:rPr>
              <w:t>0.358***</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(0.021)</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r>
              <w:rPr>
                <w:b w:val="0"/>
                <w:i/>
                <w:sz w:val="18"/>
              </w:rPr>
              <w:t>GenAI</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−1.195***</w:t>
            </w:r>
          </w:p>
        </w:tc>
        <w:tc>
          <w:tcPr>
            <w:tcW w:type="dxa" w:w="1883"/>
          </w:tcPr>
          <w:p>
            <w:pPr>
              <w:pStyle w:val="MDPI42tablebody"/>
              <w:keepNext/>
              <w:spacing w:line="240" w:lineRule="auto" w:before="30" w:after="30"/>
              <w:jc w:val="center"/>
            </w:pPr>
            <w:r>
              <w:rPr>
                <w:b w:val="0"/>
                <w:i w:val="0"/>
                <w:sz w:val="18"/>
              </w:rPr>
              <w:t>−0.636***</w:t>
            </w:r>
          </w:p>
        </w:tc>
        <w:tc>
          <w:tcPr>
            <w:tcW w:type="dxa" w:w="1883"/>
          </w:tcPr>
          <w:p>
            <w:pPr>
              <w:pStyle w:val="MDPI42tablebody"/>
              <w:keepNext/>
              <w:spacing w:line="240" w:lineRule="auto" w:before="30" w:after="30"/>
              <w:jc w:val="center"/>
            </w:pPr>
            <w:r>
              <w:rPr>
                <w:b w:val="0"/>
                <w:i w:val="0"/>
                <w:sz w:val="18"/>
              </w:rPr>
              <w:t>−0.612***</w:t>
            </w: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(0.168)</w:t>
            </w:r>
          </w:p>
        </w:tc>
        <w:tc>
          <w:tcPr>
            <w:tcW w:type="dxa" w:w="1883"/>
          </w:tcPr>
          <w:p>
            <w:pPr>
              <w:pStyle w:val="MDPI42tablebody"/>
              <w:keepNext/>
              <w:spacing w:line="240" w:lineRule="auto" w:before="30" w:after="30"/>
              <w:jc w:val="center"/>
            </w:pPr>
            <w:r>
              <w:rPr>
                <w:b w:val="0"/>
                <w:i w:val="0"/>
                <w:sz w:val="18"/>
              </w:rPr>
              <w:t>(0.063)</w:t>
            </w:r>
          </w:p>
        </w:tc>
        <w:tc>
          <w:tcPr>
            <w:tcW w:type="dxa" w:w="1883"/>
          </w:tcPr>
          <w:p>
            <w:pPr>
              <w:pStyle w:val="MDPI42tablebody"/>
              <w:keepNext/>
              <w:spacing w:line="240" w:lineRule="auto" w:before="30" w:after="30"/>
              <w:jc w:val="center"/>
            </w:pPr>
            <w:r>
              <w:rPr>
                <w:b w:val="0"/>
                <w:i w:val="0"/>
                <w:sz w:val="18"/>
              </w:rPr>
              <w:t>(0.060)</w:t>
            </w:r>
          </w:p>
        </w:tc>
      </w:tr>
      <w:tr>
        <w:trPr>
          <w:cantSplit/>
        </w:trPr>
        <w:tc>
          <w:tcPr>
            <w:tcW w:type="dxa" w:w="2930"/>
          </w:tcPr>
          <w:p>
            <w:pPr>
              <w:pStyle w:val="MDPI42tablebody"/>
              <w:keepNext/>
              <w:spacing w:line="240" w:lineRule="auto" w:before="30" w:after="30"/>
              <w:jc w:val="left"/>
            </w:pPr>
            <w:r>
              <w:rPr>
                <w:b w:val="0"/>
                <w:i/>
                <w:sz w:val="18"/>
              </w:rPr>
              <w:t>Controls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keepNext/>
              <w:spacing w:line="240" w:lineRule="auto" w:before="30" w:after="30"/>
              <w:jc w:val="left"/>
            </w:pPr>
            <w:r>
              <w:rPr>
                <w:b w:val="0"/>
                <w:i/>
                <w:sz w:val="18"/>
              </w:rPr>
              <w:t>Firm FE</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keepNext/>
              <w:spacing w:line="240" w:lineRule="auto" w:before="30" w:after="30"/>
              <w:jc w:val="left"/>
            </w:pPr>
            <w:r>
              <w:rPr>
                <w:b w:val="0"/>
                <w:i/>
                <w:sz w:val="18"/>
              </w:rPr>
              <w:t>Year FE</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keepNext/>
              <w:spacing w:line="240" w:lineRule="auto" w:before="30" w:after="30"/>
              <w:jc w:val="left"/>
            </w:pPr>
            <w:r>
              <w:rPr>
                <w:b w:val="0"/>
                <w:i/>
                <w:sz w:val="18"/>
              </w:rPr>
              <w:t>Kleibergen–Paap rk Wald F</w:t>
            </w:r>
          </w:p>
        </w:tc>
        <w:tc>
          <w:tcPr>
            <w:tcW w:type="dxa" w:w="1883"/>
          </w:tcPr>
          <w:p>
            <w:pPr>
              <w:pStyle w:val="MDPI42tablebody"/>
              <w:keepNext/>
              <w:spacing w:line="240" w:lineRule="auto" w:before="30" w:after="30"/>
              <w:jc w:val="center"/>
            </w:pPr>
            <w:r>
              <w:rPr>
                <w:b w:val="0"/>
                <w:i w:val="0"/>
                <w:sz w:val="18"/>
              </w:rPr>
              <w:t>308.4</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r>
              <w:rPr>
                <w:b w:val="0"/>
                <w:i/>
                <w:sz w:val="18"/>
              </w:rPr>
              <w:t>Stock–Yogo 10% critical value</w:t>
            </w:r>
          </w:p>
        </w:tc>
        <w:tc>
          <w:tcPr>
            <w:tcW w:type="dxa" w:w="1883"/>
          </w:tcPr>
          <w:p>
            <w:pPr>
              <w:pStyle w:val="MDPI42tablebody"/>
              <w:keepNext/>
              <w:spacing w:line="240" w:lineRule="auto" w:before="30" w:after="30"/>
              <w:jc w:val="center"/>
            </w:pPr>
            <w:r>
              <w:rPr>
                <w:b w:val="0"/>
                <w:i w:val="0"/>
                <w:sz w:val="18"/>
              </w:rPr>
              <w:t>19.93</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r>
              <w:rPr>
                <w:b w:val="0"/>
                <w:i/>
                <w:sz w:val="18"/>
              </w:rPr>
              <w:t>Sargan–Hansen J (p)</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0.11 (0.740)</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keepNext/>
              <w:spacing w:line="240" w:lineRule="auto" w:before="30" w:after="30"/>
              <w:jc w:val="left"/>
            </w:pPr>
            <w:r>
              <w:rPr>
                <w:b w:val="0"/>
                <w:i/>
                <w:sz w:val="18"/>
              </w:rPr>
              <w:t>Wu–Hausman (p)</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&lt;0.001</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p>
        </w:tc>
      </w:tr>
      <w:tr>
        <w:trPr>
          <w:cantSplit/>
        </w:trPr>
        <w:tc>
          <w:tcPr>
            <w:tcW w:type="dxa" w:w="2930"/>
          </w:tcPr>
          <w:p>
            <w:pPr>
              <w:pStyle w:val="MDPI42tablebody"/>
              <w:spacing w:line="240" w:lineRule="auto" w:before="30" w:after="30"/>
              <w:jc w:val="left"/>
            </w:pPr>
            <w:r>
              <w:rPr>
                <w:b w:val="0"/>
                <w:i/>
                <w:sz w:val="18"/>
              </w:rPr>
              <w:t>Observations</w:t>
            </w:r>
          </w:p>
        </w:tc>
        <w:tc>
          <w:tcPr>
            <w:tcW w:type="dxa" w:w="1883"/>
          </w:tcPr>
          <w:p>
            <w:pPr>
              <w:pStyle w:val="MDPI42tablebody"/>
              <w:spacing w:line="240" w:lineRule="auto" w:before="30" w:after="30"/>
              <w:jc w:val="center"/>
            </w:pPr>
            <w:r>
              <w:rPr>
                <w:b w:val="0"/>
                <w:i w:val="0"/>
                <w:sz w:val="18"/>
              </w:rPr>
              <w:t>27,340</w:t>
            </w:r>
          </w:p>
        </w:tc>
        <w:tc>
          <w:tcPr>
            <w:tcW w:type="dxa" w:w="1883"/>
          </w:tcPr>
          <w:p>
            <w:pPr>
              <w:pStyle w:val="MDPI42tablebody"/>
              <w:spacing w:line="240" w:lineRule="auto" w:before="30" w:after="30"/>
              <w:jc w:val="center"/>
            </w:pPr>
            <w:r>
              <w:rPr>
                <w:b w:val="0"/>
                <w:i w:val="0"/>
                <w:sz w:val="18"/>
              </w:rPr>
              <w:t>27,340</w:t>
            </w:r>
          </w:p>
        </w:tc>
        <w:tc>
          <w:tcPr>
            <w:tcW w:type="dxa" w:w="1883"/>
          </w:tcPr>
          <w:p>
            <w:pPr>
              <w:pStyle w:val="MDPI42tablebody"/>
              <w:spacing w:line="240" w:lineRule="auto" w:before="30" w:after="30"/>
              <w:jc w:val="center"/>
            </w:pPr>
            <w:r>
              <w:rPr>
                <w:b w:val="0"/>
                <w:i w:val="0"/>
                <w:sz w:val="18"/>
              </w:rPr>
              <w:t>22,630</w:t>
            </w:r>
          </w:p>
        </w:tc>
        <w:tc>
          <w:tcPr>
            <w:tcW w:type="dxa" w:w="1883"/>
          </w:tcPr>
          <w:p>
            <w:pPr>
              <w:pStyle w:val="MDPI42tablebody"/>
              <w:spacing w:line="240" w:lineRule="auto" w:before="30" w:after="30"/>
              <w:jc w:val="center"/>
            </w:pPr>
            <w:r>
              <w:rPr>
                <w:b w:val="0"/>
                <w:i w:val="0"/>
                <w:sz w:val="18"/>
              </w:rPr>
              <w:t>27,340</w:t>
            </w:r>
          </w:p>
        </w:tc>
      </w:tr>
    </w:tbl>
    <w:p>
      <w:pPr>
        <w:pStyle w:val="MDPI43tablefooter"/>
        <w:spacing w:line="240" w:lineRule="auto" w:before="40" w:after="200"/>
        <w:ind w:left="2608" w:firstLine="0"/>
      </w:pPr>
      <w:r>
        <w:rPr>
          <w:sz w:val="16"/>
        </w:rPr>
        <w:t xml:space="preserve">Note: </w:t>
      </w:r>
      <w:r>
        <w:rPr>
          <w:b w:val="0"/>
          <w:i w:val="0"/>
          <w:sz w:val="16"/>
        </w:rPr>
        <w:t>Column (1) is the first stage of the two-stage least-squares estimation and column (2) the second stage. Column (3) estimates the baseline specification on the 1:1 nearest-neighbour matched sample with a caliper of 0.02, and column (4) reweights the comparison group by entropy balancing on the first two moments of the covariates. Standard errors clustered at the firm level are in parentheses. ***, ** and * denote significance at the 1%, 5% and 10% levels.</w:t>
      </w:r>
    </w:p>
    <w:p>
      <w:pPr>
        <w:pStyle w:val="MDPI31text"/>
      </w:pPr>
      <w:r>
        <w:rPr>
          <w:b w:val="0"/>
          <w:i w:val="0"/>
        </w:rPr>
        <w:t>Columns (3) and (4) address selection on observables. Propensity-score matching pairs each intensively adopting firm with the nearest less-intensive firm on pre-shock characteristics within a caliper of 0.02; after matching the largest absolute standardised bias across the covariates is 1.6%, well inside the conventional 10% threshold, and no covariate difference is statistically significant (Figure 5 and Table A1). The matched-sample estimate is −0.636. Entropy balancing, which reweights the comparison group to match the first two moments of the treated distribution without discarding observations, gives −0.612. Both are close to the baseline.</w:t>
      </w:r>
    </w:p>
    <w:p>
      <w:pPr>
        <w:pStyle w:val="MDPI52figure"/>
        <w:keepNext/>
        <w:ind w:left="2608" w:firstLine="0"/>
        <w:jc w:val="center"/>
      </w:pPr>
      <w:r>
        <w:drawing>
          <wp:inline xmlns:a="http://schemas.openxmlformats.org/drawingml/2006/main" xmlns:pic="http://schemas.openxmlformats.org/drawingml/2006/picture">
            <wp:extent cx="4968000" cy="2823805"/>
            <wp:docPr id="5" name="Picture 5"/>
            <wp:cNvGraphicFramePr>
              <a:graphicFrameLocks noChangeAspect="1"/>
            </wp:cNvGraphicFramePr>
            <a:graphic>
              <a:graphicData uri="http://schemas.openxmlformats.org/drawingml/2006/picture">
                <pic:pic>
                  <pic:nvPicPr>
                    <pic:cNvPr id="0" name="figure5_balance.png"/>
                    <pic:cNvPicPr/>
                  </pic:nvPicPr>
                  <pic:blipFill>
                    <a:blip r:embed="rId21"/>
                    <a:stretch>
                      <a:fillRect/>
                    </a:stretch>
                  </pic:blipFill>
                  <pic:spPr>
                    <a:xfrm>
                      <a:off x="0" y="0"/>
                      <a:ext cx="4968000" cy="2823805"/>
                    </a:xfrm>
                    <a:prstGeom prst="rect"/>
                  </pic:spPr>
                </pic:pic>
              </a:graphicData>
            </a:graphic>
          </wp:inline>
        </w:drawing>
      </w:r>
    </w:p>
    <w:p>
      <w:pPr>
        <w:pStyle w:val="MDPI51figurecaption"/>
        <w:spacing w:after="40"/>
      </w:pPr>
      <w:r>
        <w:rPr>
          <w:b/>
          <w:sz w:val="18"/>
        </w:rPr>
        <w:t xml:space="preserve">Figure 5. </w:t>
      </w:r>
      <w:r>
        <w:rPr>
          <w:b w:val="0"/>
          <w:i w:val="0"/>
          <w:sz w:val="18"/>
        </w:rPr>
        <w:t>Covariate balance before and after propensity-score matching.</w:t>
      </w:r>
    </w:p>
    <w:p>
      <w:pPr>
        <w:pStyle w:val="MDPI51figurecaption"/>
        <w:spacing w:line="240" w:lineRule="auto" w:before="40" w:after="200"/>
        <w:ind w:left="2608" w:firstLine="0"/>
      </w:pPr>
      <w:r>
        <w:rPr>
          <w:sz w:val="16"/>
        </w:rPr>
        <w:t xml:space="preserve">Note: </w:t>
      </w:r>
      <w:r>
        <w:rPr>
          <w:b w:val="0"/>
          <w:i w:val="0"/>
          <w:sz w:val="16"/>
        </w:rPr>
        <w:t>Standardised percentage bias for each covariate before and after 1:1 nearest-neighbour matching with a caliper of 0.02. The dotted lines mark the conventional ±10% criterion for adequate balance. The corresponding t-tests are reported in Table A1.</w:t>
      </w:r>
    </w:p>
    <w:p>
      <w:pPr>
        <w:pStyle w:val="MDPI31text"/>
      </w:pPr>
      <w:r>
        <w:rPr>
          <w:b w:val="0"/>
          <w:i w:val="0"/>
        </w:rPr>
        <w:t>Finally, Table 9 reports the coefficient-stability bounds. Moving from the specification without controls to the specification with controls changes the coefficient from −0.577 to −0.622 while the within R-squared rises from 0.005 to 0.026. The coefficient therefore moves away from zero as explanatory power is added, which is the pattern expected when the omitted variation biases the estimate towards zero rather than away from it. Under the conventional assumption that the maximum explainable variation is 1.3 times the observed value, the bias-adjusted coefficient is −0.639, slightly larger in magnitude than the estimate itself, and the implied degree of selection is −36.44: unobserved factors would have to be more than 36 times as important as the observed controls and to work in the opposite direction to them before the estimate could be driven to zero. The result is therefore robust to plausible unobserved selection.</w:t>
      </w:r>
    </w:p>
    <w:p>
      <w:pPr>
        <w:pStyle w:val="MDPI41tablecaption"/>
        <w:keepNext/>
        <w:spacing w:after="60"/>
      </w:pPr>
      <w:r>
        <w:rPr>
          <w:b/>
          <w:sz w:val="18"/>
        </w:rPr>
        <w:t xml:space="preserve">Table 9. </w:t>
      </w:r>
      <w:r>
        <w:rPr>
          <w:b w:val="0"/>
          <w:i w:val="0"/>
          <w:sz w:val="18"/>
        </w:rPr>
        <w:t>Bounding the scope for selection on unobservables.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5343"/>
        <w:gridCol w:w="2514"/>
      </w:tblGrid>
      <w:tr>
        <w:trPr>
          <w:cantSplit/>
          <w:tblHeader/>
        </w:trPr>
        <w:tc>
          <w:tcPr>
            <w:tcW w:type="dxa" w:w="5343"/>
            <w:tcBorders>
              <w:bottom w:val="single" w:sz="8" w:space="0" w:color="auto"/>
            </w:tcBorders>
          </w:tcPr>
          <w:p>
            <w:pPr>
              <w:pStyle w:val="MDPI42tablebody"/>
              <w:keepNext/>
              <w:spacing w:line="240" w:lineRule="auto" w:before="30" w:after="30"/>
              <w:jc w:val="center"/>
            </w:pPr>
            <w:r>
              <w:rPr>
                <w:b/>
                <w:i w:val="0"/>
                <w:sz w:val="18"/>
              </w:rPr>
              <w:t>Quantity</w:t>
            </w:r>
          </w:p>
        </w:tc>
        <w:tc>
          <w:tcPr>
            <w:tcW w:type="dxa" w:w="2514"/>
            <w:tcBorders>
              <w:bottom w:val="single" w:sz="8" w:space="0" w:color="auto"/>
            </w:tcBorders>
          </w:tcPr>
          <w:p>
            <w:pPr>
              <w:pStyle w:val="MDPI42tablebody"/>
              <w:keepNext/>
              <w:spacing w:line="240" w:lineRule="auto" w:before="30" w:after="30"/>
              <w:jc w:val="center"/>
            </w:pPr>
            <w:r>
              <w:rPr>
                <w:b/>
                <w:i w:val="0"/>
                <w:sz w:val="18"/>
              </w:rPr>
              <w:t>Value</w:t>
            </w:r>
          </w:p>
        </w:tc>
      </w:tr>
      <w:tr>
        <w:trPr>
          <w:cantSplit/>
        </w:trPr>
        <w:tc>
          <w:tcPr>
            <w:tcW w:type="dxa" w:w="5343"/>
          </w:tcPr>
          <w:p>
            <w:pPr>
              <w:pStyle w:val="MDPI42tablebody"/>
              <w:keepNext/>
              <w:spacing w:line="240" w:lineRule="auto" w:before="30" w:after="30"/>
              <w:jc w:val="left"/>
            </w:pPr>
            <w:r>
              <w:rPr>
                <w:b w:val="0"/>
                <w:i w:val="0"/>
                <w:sz w:val="18"/>
              </w:rPr>
              <w:t>Coefficient without controls</w:t>
            </w:r>
          </w:p>
        </w:tc>
        <w:tc>
          <w:tcPr>
            <w:tcW w:type="dxa" w:w="2514"/>
          </w:tcPr>
          <w:p>
            <w:pPr>
              <w:pStyle w:val="MDPI42tablebody"/>
              <w:keepNext/>
              <w:spacing w:line="240" w:lineRule="auto" w:before="30" w:after="30"/>
              <w:jc w:val="center"/>
            </w:pPr>
            <w:r>
              <w:rPr>
                <w:b w:val="0"/>
                <w:i w:val="0"/>
                <w:sz w:val="18"/>
              </w:rPr>
              <w:t>−0.577</w:t>
            </w:r>
          </w:p>
        </w:tc>
      </w:tr>
      <w:tr>
        <w:trPr>
          <w:cantSplit/>
        </w:trPr>
        <w:tc>
          <w:tcPr>
            <w:tcW w:type="dxa" w:w="5343"/>
          </w:tcPr>
          <w:p>
            <w:pPr>
              <w:pStyle w:val="MDPI42tablebody"/>
              <w:keepNext/>
              <w:spacing w:line="240" w:lineRule="auto" w:before="30" w:after="30"/>
              <w:jc w:val="left"/>
            </w:pPr>
            <w:r>
              <w:rPr>
                <w:b w:val="0"/>
                <w:i w:val="0"/>
                <w:sz w:val="18"/>
              </w:rPr>
              <w:t>R-squared without controls</w:t>
            </w:r>
          </w:p>
        </w:tc>
        <w:tc>
          <w:tcPr>
            <w:tcW w:type="dxa" w:w="2514"/>
          </w:tcPr>
          <w:p>
            <w:pPr>
              <w:pStyle w:val="MDPI42tablebody"/>
              <w:keepNext/>
              <w:spacing w:line="240" w:lineRule="auto" w:before="30" w:after="30"/>
              <w:jc w:val="center"/>
            </w:pPr>
            <w:r>
              <w:rPr>
                <w:b w:val="0"/>
                <w:i w:val="0"/>
                <w:sz w:val="18"/>
              </w:rPr>
              <w:t>0.005</w:t>
            </w:r>
          </w:p>
        </w:tc>
      </w:tr>
      <w:tr>
        <w:trPr>
          <w:cantSplit/>
        </w:trPr>
        <w:tc>
          <w:tcPr>
            <w:tcW w:type="dxa" w:w="5343"/>
          </w:tcPr>
          <w:p>
            <w:pPr>
              <w:pStyle w:val="MDPI42tablebody"/>
              <w:keepNext/>
              <w:spacing w:line="240" w:lineRule="auto" w:before="30" w:after="30"/>
              <w:jc w:val="left"/>
            </w:pPr>
            <w:r>
              <w:rPr>
                <w:b w:val="0"/>
                <w:i w:val="0"/>
                <w:sz w:val="18"/>
              </w:rPr>
              <w:t>Coefficient with controls</w:t>
            </w:r>
          </w:p>
        </w:tc>
        <w:tc>
          <w:tcPr>
            <w:tcW w:type="dxa" w:w="2514"/>
          </w:tcPr>
          <w:p>
            <w:pPr>
              <w:pStyle w:val="MDPI42tablebody"/>
              <w:keepNext/>
              <w:spacing w:line="240" w:lineRule="auto" w:before="30" w:after="30"/>
              <w:jc w:val="center"/>
            </w:pPr>
            <w:r>
              <w:rPr>
                <w:b w:val="0"/>
                <w:i w:val="0"/>
                <w:sz w:val="18"/>
              </w:rPr>
              <w:t>−0.622</w:t>
            </w:r>
          </w:p>
        </w:tc>
      </w:tr>
      <w:tr>
        <w:trPr>
          <w:cantSplit/>
        </w:trPr>
        <w:tc>
          <w:tcPr>
            <w:tcW w:type="dxa" w:w="5343"/>
          </w:tcPr>
          <w:p>
            <w:pPr>
              <w:pStyle w:val="MDPI42tablebody"/>
              <w:keepNext/>
              <w:spacing w:line="240" w:lineRule="auto" w:before="30" w:after="30"/>
              <w:jc w:val="left"/>
            </w:pPr>
            <w:r>
              <w:rPr>
                <w:b w:val="0"/>
                <w:i w:val="0"/>
                <w:sz w:val="18"/>
              </w:rPr>
              <w:t>R-squared with controls</w:t>
            </w:r>
          </w:p>
        </w:tc>
        <w:tc>
          <w:tcPr>
            <w:tcW w:type="dxa" w:w="2514"/>
          </w:tcPr>
          <w:p>
            <w:pPr>
              <w:pStyle w:val="MDPI42tablebody"/>
              <w:keepNext/>
              <w:spacing w:line="240" w:lineRule="auto" w:before="30" w:after="30"/>
              <w:jc w:val="center"/>
            </w:pPr>
            <w:r>
              <w:rPr>
                <w:b w:val="0"/>
                <w:i w:val="0"/>
                <w:sz w:val="18"/>
              </w:rPr>
              <w:t>0.026</w:t>
            </w:r>
          </w:p>
        </w:tc>
      </w:tr>
      <w:tr>
        <w:trPr>
          <w:cantSplit/>
        </w:trPr>
        <w:tc>
          <w:tcPr>
            <w:tcW w:type="dxa" w:w="5343"/>
          </w:tcPr>
          <w:p>
            <w:pPr>
              <w:pStyle w:val="MDPI42tablebody"/>
              <w:keepNext/>
              <w:spacing w:line="240" w:lineRule="auto" w:before="30" w:after="30"/>
              <w:jc w:val="left"/>
            </w:pPr>
            <w:r>
              <w:rPr>
                <w:b w:val="0"/>
                <w:i w:val="0"/>
                <w:sz w:val="18"/>
              </w:rPr>
              <w:t>Assumed maximum R-squared (1.3 × R-squared with controls)</w:t>
            </w:r>
          </w:p>
        </w:tc>
        <w:tc>
          <w:tcPr>
            <w:tcW w:type="dxa" w:w="2514"/>
          </w:tcPr>
          <w:p>
            <w:pPr>
              <w:pStyle w:val="MDPI42tablebody"/>
              <w:keepNext/>
              <w:spacing w:line="240" w:lineRule="auto" w:before="30" w:after="30"/>
              <w:jc w:val="center"/>
            </w:pPr>
            <w:r>
              <w:rPr>
                <w:b w:val="0"/>
                <w:i w:val="0"/>
                <w:sz w:val="18"/>
              </w:rPr>
              <w:t>0.034</w:t>
            </w:r>
          </w:p>
        </w:tc>
      </w:tr>
      <w:tr>
        <w:trPr>
          <w:cantSplit/>
        </w:trPr>
        <w:tc>
          <w:tcPr>
            <w:tcW w:type="dxa" w:w="5343"/>
          </w:tcPr>
          <w:p>
            <w:pPr>
              <w:pStyle w:val="MDPI42tablebody"/>
              <w:keepNext/>
              <w:spacing w:line="240" w:lineRule="auto" w:before="30" w:after="30"/>
              <w:jc w:val="left"/>
            </w:pPr>
            <w:r>
              <w:rPr>
                <w:b w:val="0"/>
                <w:i w:val="0"/>
                <w:sz w:val="18"/>
              </w:rPr>
              <w:t>Bias-adjusted coefficient</w:t>
            </w:r>
          </w:p>
        </w:tc>
        <w:tc>
          <w:tcPr>
            <w:tcW w:type="dxa" w:w="2514"/>
          </w:tcPr>
          <w:p>
            <w:pPr>
              <w:pStyle w:val="MDPI42tablebody"/>
              <w:keepNext/>
              <w:spacing w:line="240" w:lineRule="auto" w:before="30" w:after="30"/>
              <w:jc w:val="center"/>
            </w:pPr>
            <w:r>
              <w:rPr>
                <w:b w:val="0"/>
                <w:i w:val="0"/>
                <w:sz w:val="18"/>
              </w:rPr>
              <w:t>−0.639</w:t>
            </w:r>
          </w:p>
        </w:tc>
      </w:tr>
      <w:tr>
        <w:trPr>
          <w:cantSplit/>
        </w:trPr>
        <w:tc>
          <w:tcPr>
            <w:tcW w:type="dxa" w:w="5343"/>
          </w:tcPr>
          <w:p>
            <w:pPr>
              <w:pStyle w:val="MDPI42tablebody"/>
              <w:spacing w:line="240" w:lineRule="auto" w:before="30" w:after="30"/>
              <w:jc w:val="left"/>
            </w:pPr>
            <w:r>
              <w:rPr>
                <w:b w:val="0"/>
                <w:i w:val="0"/>
                <w:sz w:val="18"/>
              </w:rPr>
              <w:t>Relative degree of selection that would set the coefficient to zero</w:t>
            </w:r>
          </w:p>
        </w:tc>
        <w:tc>
          <w:tcPr>
            <w:tcW w:type="dxa" w:w="2514"/>
          </w:tcPr>
          <w:p>
            <w:pPr>
              <w:pStyle w:val="MDPI42tablebody"/>
              <w:spacing w:line="240" w:lineRule="auto" w:before="30" w:after="30"/>
              <w:jc w:val="center"/>
            </w:pPr>
            <w:r>
              <w:rPr>
                <w:b w:val="0"/>
                <w:i w:val="0"/>
                <w:sz w:val="18"/>
              </w:rPr>
              <w:t>−36.44</w:t>
            </w:r>
          </w:p>
        </w:tc>
      </w:tr>
    </w:tbl>
    <w:p>
      <w:pPr>
        <w:pStyle w:val="MDPI43tablefooter"/>
        <w:spacing w:line="240" w:lineRule="auto" w:before="40" w:after="200"/>
        <w:ind w:left="2608" w:firstLine="0"/>
      </w:pPr>
      <w:r>
        <w:rPr>
          <w:sz w:val="16"/>
        </w:rPr>
        <w:t xml:space="preserve">Note: </w:t>
      </w:r>
      <w:r>
        <w:rPr>
          <w:b w:val="0"/>
          <w:i w:val="0"/>
          <w:sz w:val="16"/>
        </w:rPr>
        <w:t>Both regressions are estimated on two-way demeaned data, so the R-squared is monotone in the set of controls. The relative degree of selection is the ratio of selection on unobservables to selection on observables that would be required to drive the coefficient to zero; an absolute value above one is conventionally read as evidence that the result is not driven by unobserved selection, and a negative sign indicates that the two would have to work in opposite directions.</w:t>
      </w:r>
    </w:p>
    <w:p>
      <w:pPr>
        <w:pStyle w:val="MDPI22heading2"/>
      </w:pPr>
      <w:r>
        <w:t>4.7. Robustness Checks</w:t>
      </w:r>
    </w:p>
    <w:p>
      <w:pPr>
        <w:pStyle w:val="MDPI32textnoindent"/>
      </w:pPr>
      <w:r>
        <w:rPr>
          <w:b w:val="0"/>
          <w:i w:val="0"/>
        </w:rPr>
        <w:t>Table 10 reports eight robustness checks. Replacing the dependent variable with the share of employees aged 35 or below, and with the logarithm of the number of employees aged 30 or below, leaves the conclusion unchanged; the second of these shows that the result is not an artefact of composition arising from changes in total headcount. Replacing the continuous adoption measure with an above-median indicator, and using a one-year lag of adoption, both reproduce the negative effect. Clustering standard errors on firm and year simultaneously, excluding 2020 to remove the pandemic year, winsorising at the 5th and 95th percentiles instead of the 1st and 99th, and restricting the sample to the balanced panel all leave the estimate materially unchanged.</w:t>
      </w:r>
    </w:p>
    <w:p>
      <w:pPr>
        <w:pStyle w:val="MDPI41tablecaption"/>
        <w:keepNext/>
        <w:spacing w:after="60"/>
      </w:pPr>
      <w:r>
        <w:rPr>
          <w:b/>
          <w:sz w:val="18"/>
        </w:rPr>
        <w:t xml:space="preserve">Table 10. </w:t>
      </w:r>
      <w:r>
        <w:rPr>
          <w:b w:val="0"/>
          <w:i w:val="0"/>
          <w:sz w:val="18"/>
        </w:rPr>
        <w:t>Robustness checks.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558"/>
        <w:gridCol w:w="2302"/>
        <w:gridCol w:w="1674"/>
        <w:gridCol w:w="1674"/>
        <w:gridCol w:w="1255"/>
      </w:tblGrid>
      <w:tr>
        <w:trPr>
          <w:cantSplit/>
          <w:tblHeader/>
        </w:trPr>
        <w:tc>
          <w:tcPr>
            <w:tcW w:type="dxa" w:w="3558"/>
            <w:tcBorders>
              <w:bottom w:val="single" w:sz="8" w:space="0" w:color="auto"/>
            </w:tcBorders>
          </w:tcPr>
          <w:p>
            <w:pPr>
              <w:pStyle w:val="MDPI42tablebody"/>
              <w:keepNext/>
              <w:spacing w:line="240" w:lineRule="auto" w:before="30" w:after="30"/>
              <w:jc w:val="center"/>
            </w:pPr>
            <w:r>
              <w:rPr>
                <w:b/>
                <w:i w:val="0"/>
                <w:sz w:val="18"/>
              </w:rPr>
              <w:t>Specification</w:t>
            </w:r>
          </w:p>
        </w:tc>
        <w:tc>
          <w:tcPr>
            <w:tcW w:type="dxa" w:w="2302"/>
            <w:tcBorders>
              <w:bottom w:val="single" w:sz="8" w:space="0" w:color="auto"/>
            </w:tcBorders>
          </w:tcPr>
          <w:p>
            <w:pPr>
              <w:pStyle w:val="MDPI42tablebody"/>
              <w:keepNext/>
              <w:spacing w:line="240" w:lineRule="auto" w:before="30" w:after="30"/>
              <w:jc w:val="center"/>
            </w:pPr>
            <w:r>
              <w:rPr>
                <w:b/>
                <w:i w:val="0"/>
                <w:sz w:val="18"/>
              </w:rPr>
              <w:t>Coefficient on GenAI</w:t>
            </w:r>
          </w:p>
        </w:tc>
        <w:tc>
          <w:tcPr>
            <w:tcW w:type="dxa" w:w="1674"/>
            <w:tcBorders>
              <w:bottom w:val="single" w:sz="8" w:space="0" w:color="auto"/>
            </w:tcBorders>
          </w:tcPr>
          <w:p>
            <w:pPr>
              <w:pStyle w:val="MDPI42tablebody"/>
              <w:keepNext/>
              <w:spacing w:line="240" w:lineRule="auto" w:before="30" w:after="30"/>
              <w:jc w:val="center"/>
            </w:pPr>
            <w:r>
              <w:rPr>
                <w:b/>
                <w:i w:val="0"/>
                <w:sz w:val="18"/>
              </w:rPr>
              <w:t>SE</w:t>
            </w:r>
          </w:p>
        </w:tc>
        <w:tc>
          <w:tcPr>
            <w:tcW w:type="dxa" w:w="1674"/>
            <w:tcBorders>
              <w:bottom w:val="single" w:sz="8" w:space="0" w:color="auto"/>
            </w:tcBorders>
          </w:tcPr>
          <w:p>
            <w:pPr>
              <w:pStyle w:val="MDPI42tablebody"/>
              <w:keepNext/>
              <w:spacing w:line="240" w:lineRule="auto" w:before="30" w:after="30"/>
              <w:jc w:val="center"/>
            </w:pPr>
            <w:r>
              <w:rPr>
                <w:b/>
                <w:i w:val="0"/>
                <w:sz w:val="18"/>
              </w:rPr>
              <w:t>Observations</w:t>
            </w:r>
          </w:p>
        </w:tc>
        <w:tc>
          <w:tcPr>
            <w:tcW w:type="dxa" w:w="1255"/>
            <w:tcBorders>
              <w:bottom w:val="single" w:sz="8" w:space="0" w:color="auto"/>
            </w:tcBorders>
          </w:tcPr>
          <w:p>
            <w:pPr>
              <w:pStyle w:val="MDPI42tablebody"/>
              <w:keepNext/>
              <w:spacing w:line="240" w:lineRule="auto" w:before="30" w:after="30"/>
              <w:jc w:val="center"/>
            </w:pPr>
            <w:r>
              <w:rPr>
                <w:b/>
                <w:i w:val="0"/>
                <w:sz w:val="18"/>
              </w:rPr>
              <w:t>Within R2</w:t>
            </w:r>
          </w:p>
        </w:tc>
      </w:tr>
      <w:tr>
        <w:trPr>
          <w:cantSplit/>
        </w:trPr>
        <w:tc>
          <w:tcPr>
            <w:tcW w:type="dxa" w:w="3558"/>
          </w:tcPr>
          <w:p>
            <w:pPr>
              <w:pStyle w:val="MDPI42tablebody"/>
              <w:keepNext/>
              <w:spacing w:line="240" w:lineRule="auto" w:before="30" w:after="30"/>
              <w:jc w:val="left"/>
            </w:pPr>
            <w:r>
              <w:rPr>
                <w:b w:val="0"/>
                <w:i w:val="0"/>
                <w:sz w:val="18"/>
              </w:rPr>
              <w:t>(1) Youth ≤ 35</w:t>
            </w:r>
          </w:p>
        </w:tc>
        <w:tc>
          <w:tcPr>
            <w:tcW w:type="dxa" w:w="2302"/>
          </w:tcPr>
          <w:p>
            <w:pPr>
              <w:pStyle w:val="MDPI42tablebody"/>
              <w:keepNext/>
              <w:spacing w:line="240" w:lineRule="auto" w:before="30" w:after="30"/>
              <w:jc w:val="center"/>
            </w:pPr>
            <w:r>
              <w:rPr>
                <w:b w:val="0"/>
                <w:i w:val="0"/>
                <w:sz w:val="18"/>
              </w:rPr>
              <w:t>−1.006***</w:t>
            </w:r>
          </w:p>
        </w:tc>
        <w:tc>
          <w:tcPr>
            <w:tcW w:type="dxa" w:w="1674"/>
          </w:tcPr>
          <w:p>
            <w:pPr>
              <w:pStyle w:val="MDPI42tablebody"/>
              <w:keepNext/>
              <w:spacing w:line="240" w:lineRule="auto" w:before="30" w:after="30"/>
              <w:jc w:val="center"/>
            </w:pPr>
            <w:r>
              <w:rPr>
                <w:b w:val="0"/>
                <w:i w:val="0"/>
                <w:sz w:val="18"/>
              </w:rPr>
              <w:t>(0.093)</w:t>
            </w:r>
          </w:p>
        </w:tc>
        <w:tc>
          <w:tcPr>
            <w:tcW w:type="dxa" w:w="1674"/>
          </w:tcPr>
          <w:p>
            <w:pPr>
              <w:pStyle w:val="MDPI42tablebody"/>
              <w:keepNext/>
              <w:spacing w:line="240" w:lineRule="auto" w:before="30" w:after="30"/>
              <w:jc w:val="center"/>
            </w:pPr>
            <w:r>
              <w:rPr>
                <w:b w:val="0"/>
                <w:i w:val="0"/>
                <w:sz w:val="18"/>
              </w:rPr>
              <w:t>27,340</w:t>
            </w:r>
          </w:p>
        </w:tc>
        <w:tc>
          <w:tcPr>
            <w:tcW w:type="dxa" w:w="1255"/>
          </w:tcPr>
          <w:p>
            <w:pPr>
              <w:pStyle w:val="MDPI42tablebody"/>
              <w:keepNext/>
              <w:spacing w:line="240" w:lineRule="auto" w:before="30" w:after="30"/>
              <w:jc w:val="center"/>
            </w:pPr>
            <w:r>
              <w:rPr>
                <w:b w:val="0"/>
                <w:i w:val="0"/>
                <w:sz w:val="18"/>
              </w:rPr>
              <w:t>0.074</w:t>
            </w:r>
          </w:p>
        </w:tc>
      </w:tr>
      <w:tr>
        <w:trPr>
          <w:cantSplit/>
        </w:trPr>
        <w:tc>
          <w:tcPr>
            <w:tcW w:type="dxa" w:w="3558"/>
          </w:tcPr>
          <w:p>
            <w:pPr>
              <w:pStyle w:val="MDPI42tablebody"/>
              <w:keepNext/>
              <w:spacing w:line="240" w:lineRule="auto" w:before="30" w:after="30"/>
              <w:jc w:val="left"/>
            </w:pPr>
            <w:r>
              <w:rPr>
                <w:b w:val="0"/>
                <w:i w:val="0"/>
                <w:sz w:val="18"/>
              </w:rPr>
              <w:t>(2) ln(young headcount)</w:t>
            </w:r>
          </w:p>
        </w:tc>
        <w:tc>
          <w:tcPr>
            <w:tcW w:type="dxa" w:w="2302"/>
          </w:tcPr>
          <w:p>
            <w:pPr>
              <w:pStyle w:val="MDPI42tablebody"/>
              <w:keepNext/>
              <w:spacing w:line="240" w:lineRule="auto" w:before="30" w:after="30"/>
              <w:jc w:val="center"/>
            </w:pPr>
            <w:r>
              <w:rPr>
                <w:b w:val="0"/>
                <w:i w:val="0"/>
                <w:sz w:val="18"/>
              </w:rPr>
              <w:t>−0.022***</w:t>
            </w:r>
          </w:p>
        </w:tc>
        <w:tc>
          <w:tcPr>
            <w:tcW w:type="dxa" w:w="1674"/>
          </w:tcPr>
          <w:p>
            <w:pPr>
              <w:pStyle w:val="MDPI42tablebody"/>
              <w:keepNext/>
              <w:spacing w:line="240" w:lineRule="auto" w:before="30" w:after="30"/>
              <w:jc w:val="center"/>
            </w:pPr>
            <w:r>
              <w:rPr>
                <w:b w:val="0"/>
                <w:i w:val="0"/>
                <w:sz w:val="18"/>
              </w:rPr>
              <w:t>(0.006)</w:t>
            </w:r>
          </w:p>
        </w:tc>
        <w:tc>
          <w:tcPr>
            <w:tcW w:type="dxa" w:w="1674"/>
          </w:tcPr>
          <w:p>
            <w:pPr>
              <w:pStyle w:val="MDPI42tablebody"/>
              <w:keepNext/>
              <w:spacing w:line="240" w:lineRule="auto" w:before="30" w:after="30"/>
              <w:jc w:val="center"/>
            </w:pPr>
            <w:r>
              <w:rPr>
                <w:b w:val="0"/>
                <w:i w:val="0"/>
                <w:sz w:val="18"/>
              </w:rPr>
              <w:t>27,340</w:t>
            </w:r>
          </w:p>
        </w:tc>
        <w:tc>
          <w:tcPr>
            <w:tcW w:type="dxa" w:w="1255"/>
          </w:tcPr>
          <w:p>
            <w:pPr>
              <w:pStyle w:val="MDPI42tablebody"/>
              <w:keepNext/>
              <w:spacing w:line="240" w:lineRule="auto" w:before="30" w:after="30"/>
              <w:jc w:val="center"/>
            </w:pPr>
            <w:r>
              <w:rPr>
                <w:b w:val="0"/>
                <w:i w:val="0"/>
                <w:sz w:val="18"/>
              </w:rPr>
              <w:t>0.157</w:t>
            </w:r>
          </w:p>
        </w:tc>
      </w:tr>
      <w:tr>
        <w:trPr>
          <w:cantSplit/>
        </w:trPr>
        <w:tc>
          <w:tcPr>
            <w:tcW w:type="dxa" w:w="3558"/>
          </w:tcPr>
          <w:p>
            <w:pPr>
              <w:pStyle w:val="MDPI42tablebody"/>
              <w:keepNext/>
              <w:spacing w:line="240" w:lineRule="auto" w:before="30" w:after="30"/>
              <w:jc w:val="left"/>
            </w:pPr>
            <w:r>
              <w:rPr>
                <w:b w:val="0"/>
                <w:i w:val="0"/>
                <w:sz w:val="18"/>
              </w:rPr>
              <w:t>(3) Adoption dummy</w:t>
            </w:r>
          </w:p>
        </w:tc>
        <w:tc>
          <w:tcPr>
            <w:tcW w:type="dxa" w:w="2302"/>
          </w:tcPr>
          <w:p>
            <w:pPr>
              <w:pStyle w:val="MDPI42tablebody"/>
              <w:keepNext/>
              <w:spacing w:line="240" w:lineRule="auto" w:before="30" w:after="30"/>
              <w:jc w:val="center"/>
            </w:pPr>
            <w:r>
              <w:rPr>
                <w:b w:val="0"/>
                <w:i w:val="0"/>
                <w:sz w:val="18"/>
              </w:rPr>
              <w:t>−1.203***</w:t>
            </w:r>
          </w:p>
        </w:tc>
        <w:tc>
          <w:tcPr>
            <w:tcW w:type="dxa" w:w="1674"/>
          </w:tcPr>
          <w:p>
            <w:pPr>
              <w:pStyle w:val="MDPI42tablebody"/>
              <w:keepNext/>
              <w:spacing w:line="240" w:lineRule="auto" w:before="30" w:after="30"/>
              <w:jc w:val="center"/>
            </w:pPr>
            <w:r>
              <w:rPr>
                <w:b w:val="0"/>
                <w:i w:val="0"/>
                <w:sz w:val="18"/>
              </w:rPr>
              <w:t>(0.136)</w:t>
            </w:r>
          </w:p>
        </w:tc>
        <w:tc>
          <w:tcPr>
            <w:tcW w:type="dxa" w:w="1674"/>
          </w:tcPr>
          <w:p>
            <w:pPr>
              <w:pStyle w:val="MDPI42tablebody"/>
              <w:keepNext/>
              <w:spacing w:line="240" w:lineRule="auto" w:before="30" w:after="30"/>
              <w:jc w:val="center"/>
            </w:pPr>
            <w:r>
              <w:rPr>
                <w:b w:val="0"/>
                <w:i w:val="0"/>
                <w:sz w:val="18"/>
              </w:rPr>
              <w:t>27,340</w:t>
            </w:r>
          </w:p>
        </w:tc>
        <w:tc>
          <w:tcPr>
            <w:tcW w:type="dxa" w:w="1255"/>
          </w:tcPr>
          <w:p>
            <w:pPr>
              <w:pStyle w:val="MDPI42tablebody"/>
              <w:keepNext/>
              <w:spacing w:line="240" w:lineRule="auto" w:before="30" w:after="30"/>
              <w:jc w:val="center"/>
            </w:pPr>
            <w:r>
              <w:rPr>
                <w:b w:val="0"/>
                <w:i w:val="0"/>
                <w:sz w:val="18"/>
              </w:rPr>
              <w:t>0.035</w:t>
            </w:r>
          </w:p>
        </w:tc>
      </w:tr>
      <w:tr>
        <w:trPr>
          <w:cantSplit/>
        </w:trPr>
        <w:tc>
          <w:tcPr>
            <w:tcW w:type="dxa" w:w="3558"/>
          </w:tcPr>
          <w:p>
            <w:pPr>
              <w:pStyle w:val="MDPI42tablebody"/>
              <w:keepNext/>
              <w:spacing w:line="240" w:lineRule="auto" w:before="30" w:after="30"/>
              <w:jc w:val="left"/>
            </w:pPr>
            <w:r>
              <w:rPr>
                <w:b w:val="0"/>
                <w:i w:val="0"/>
                <w:sz w:val="18"/>
              </w:rPr>
              <w:t>(4) One-year lag</w:t>
            </w:r>
          </w:p>
        </w:tc>
        <w:tc>
          <w:tcPr>
            <w:tcW w:type="dxa" w:w="2302"/>
          </w:tcPr>
          <w:p>
            <w:pPr>
              <w:pStyle w:val="MDPI42tablebody"/>
              <w:keepNext/>
              <w:spacing w:line="240" w:lineRule="auto" w:before="30" w:after="30"/>
              <w:jc w:val="center"/>
            </w:pPr>
            <w:r>
              <w:rPr>
                <w:b w:val="0"/>
                <w:i w:val="0"/>
                <w:sz w:val="18"/>
              </w:rPr>
              <w:t>−0.506***</w:t>
            </w:r>
          </w:p>
        </w:tc>
        <w:tc>
          <w:tcPr>
            <w:tcW w:type="dxa" w:w="1674"/>
          </w:tcPr>
          <w:p>
            <w:pPr>
              <w:pStyle w:val="MDPI42tablebody"/>
              <w:keepNext/>
              <w:spacing w:line="240" w:lineRule="auto" w:before="30" w:after="30"/>
              <w:jc w:val="center"/>
            </w:pPr>
            <w:r>
              <w:rPr>
                <w:b w:val="0"/>
                <w:i w:val="0"/>
                <w:sz w:val="18"/>
              </w:rPr>
              <w:t>(0.074)</w:t>
            </w:r>
          </w:p>
        </w:tc>
        <w:tc>
          <w:tcPr>
            <w:tcW w:type="dxa" w:w="1674"/>
          </w:tcPr>
          <w:p>
            <w:pPr>
              <w:pStyle w:val="MDPI42tablebody"/>
              <w:keepNext/>
              <w:spacing w:line="240" w:lineRule="auto" w:before="30" w:after="30"/>
              <w:jc w:val="center"/>
            </w:pPr>
            <w:r>
              <w:rPr>
                <w:b w:val="0"/>
                <w:i w:val="0"/>
                <w:sz w:val="18"/>
              </w:rPr>
              <w:t>23,942</w:t>
            </w:r>
          </w:p>
        </w:tc>
        <w:tc>
          <w:tcPr>
            <w:tcW w:type="dxa" w:w="1255"/>
          </w:tcPr>
          <w:p>
            <w:pPr>
              <w:pStyle w:val="MDPI42tablebody"/>
              <w:keepNext/>
              <w:spacing w:line="240" w:lineRule="auto" w:before="30" w:after="30"/>
              <w:jc w:val="center"/>
            </w:pPr>
            <w:r>
              <w:rPr>
                <w:b w:val="0"/>
                <w:i w:val="0"/>
                <w:sz w:val="18"/>
              </w:rPr>
              <w:t>0.040</w:t>
            </w:r>
          </w:p>
        </w:tc>
      </w:tr>
      <w:tr>
        <w:trPr>
          <w:cantSplit/>
        </w:trPr>
        <w:tc>
          <w:tcPr>
            <w:tcW w:type="dxa" w:w="3558"/>
          </w:tcPr>
          <w:p>
            <w:pPr>
              <w:pStyle w:val="MDPI42tablebody"/>
              <w:keepNext/>
              <w:spacing w:line="240" w:lineRule="auto" w:before="30" w:after="30"/>
              <w:jc w:val="left"/>
            </w:pPr>
            <w:r>
              <w:rPr>
                <w:b w:val="0"/>
                <w:i w:val="0"/>
                <w:sz w:val="18"/>
              </w:rPr>
              <w:t>(5) Two-way clustering</w:t>
            </w:r>
          </w:p>
        </w:tc>
        <w:tc>
          <w:tcPr>
            <w:tcW w:type="dxa" w:w="2302"/>
          </w:tcPr>
          <w:p>
            <w:pPr>
              <w:pStyle w:val="MDPI42tablebody"/>
              <w:keepNext/>
              <w:spacing w:line="240" w:lineRule="auto" w:before="30" w:after="30"/>
              <w:jc w:val="center"/>
            </w:pPr>
            <w:r>
              <w:rPr>
                <w:b w:val="0"/>
                <w:i w:val="0"/>
                <w:sz w:val="18"/>
              </w:rPr>
              <w:t>−0.622***</w:t>
            </w:r>
          </w:p>
        </w:tc>
        <w:tc>
          <w:tcPr>
            <w:tcW w:type="dxa" w:w="1674"/>
          </w:tcPr>
          <w:p>
            <w:pPr>
              <w:pStyle w:val="MDPI42tablebody"/>
              <w:keepNext/>
              <w:spacing w:line="240" w:lineRule="auto" w:before="30" w:after="30"/>
              <w:jc w:val="center"/>
            </w:pPr>
            <w:r>
              <w:rPr>
                <w:b w:val="0"/>
                <w:i w:val="0"/>
                <w:sz w:val="18"/>
              </w:rPr>
              <w:t>(0.090)</w:t>
            </w:r>
          </w:p>
        </w:tc>
        <w:tc>
          <w:tcPr>
            <w:tcW w:type="dxa" w:w="1674"/>
          </w:tcPr>
          <w:p>
            <w:pPr>
              <w:pStyle w:val="MDPI42tablebody"/>
              <w:keepNext/>
              <w:spacing w:line="240" w:lineRule="auto" w:before="30" w:after="30"/>
              <w:jc w:val="center"/>
            </w:pPr>
            <w:r>
              <w:rPr>
                <w:b w:val="0"/>
                <w:i w:val="0"/>
                <w:sz w:val="18"/>
              </w:rPr>
              <w:t>27,340</w:t>
            </w:r>
          </w:p>
        </w:tc>
        <w:tc>
          <w:tcPr>
            <w:tcW w:type="dxa" w:w="1255"/>
          </w:tcPr>
          <w:p>
            <w:pPr>
              <w:pStyle w:val="MDPI42tablebody"/>
              <w:keepNext/>
              <w:spacing w:line="240" w:lineRule="auto" w:before="30" w:after="30"/>
              <w:jc w:val="center"/>
            </w:pPr>
            <w:r>
              <w:rPr>
                <w:b w:val="0"/>
                <w:i w:val="0"/>
                <w:sz w:val="18"/>
              </w:rPr>
              <w:t>0.077</w:t>
            </w:r>
          </w:p>
        </w:tc>
      </w:tr>
      <w:tr>
        <w:trPr>
          <w:cantSplit/>
        </w:trPr>
        <w:tc>
          <w:tcPr>
            <w:tcW w:type="dxa" w:w="3558"/>
          </w:tcPr>
          <w:p>
            <w:pPr>
              <w:pStyle w:val="MDPI42tablebody"/>
              <w:keepNext/>
              <w:spacing w:line="240" w:lineRule="auto" w:before="30" w:after="30"/>
              <w:jc w:val="left"/>
            </w:pPr>
            <w:r>
              <w:rPr>
                <w:b w:val="0"/>
                <w:i w:val="0"/>
                <w:sz w:val="18"/>
              </w:rPr>
              <w:t>(6) Excluding 2020</w:t>
            </w:r>
          </w:p>
        </w:tc>
        <w:tc>
          <w:tcPr>
            <w:tcW w:type="dxa" w:w="2302"/>
          </w:tcPr>
          <w:p>
            <w:pPr>
              <w:pStyle w:val="MDPI42tablebody"/>
              <w:keepNext/>
              <w:spacing w:line="240" w:lineRule="auto" w:before="30" w:after="30"/>
              <w:jc w:val="center"/>
            </w:pPr>
            <w:r>
              <w:rPr>
                <w:b w:val="0"/>
                <w:i w:val="0"/>
                <w:sz w:val="18"/>
              </w:rPr>
              <w:t>−0.627***</w:t>
            </w:r>
          </w:p>
        </w:tc>
        <w:tc>
          <w:tcPr>
            <w:tcW w:type="dxa" w:w="1674"/>
          </w:tcPr>
          <w:p>
            <w:pPr>
              <w:pStyle w:val="MDPI42tablebody"/>
              <w:keepNext/>
              <w:spacing w:line="240" w:lineRule="auto" w:before="30" w:after="30"/>
              <w:jc w:val="center"/>
            </w:pPr>
            <w:r>
              <w:rPr>
                <w:b w:val="0"/>
                <w:i w:val="0"/>
                <w:sz w:val="18"/>
              </w:rPr>
              <w:t>(0.058)</w:t>
            </w:r>
          </w:p>
        </w:tc>
        <w:tc>
          <w:tcPr>
            <w:tcW w:type="dxa" w:w="1674"/>
          </w:tcPr>
          <w:p>
            <w:pPr>
              <w:pStyle w:val="MDPI42tablebody"/>
              <w:keepNext/>
              <w:spacing w:line="240" w:lineRule="auto" w:before="30" w:after="30"/>
              <w:jc w:val="center"/>
            </w:pPr>
            <w:r>
              <w:rPr>
                <w:b w:val="0"/>
                <w:i w:val="0"/>
                <w:sz w:val="18"/>
              </w:rPr>
              <w:t>24,640</w:t>
            </w:r>
          </w:p>
        </w:tc>
        <w:tc>
          <w:tcPr>
            <w:tcW w:type="dxa" w:w="1255"/>
          </w:tcPr>
          <w:p>
            <w:pPr>
              <w:pStyle w:val="MDPI42tablebody"/>
              <w:keepNext/>
              <w:spacing w:line="240" w:lineRule="auto" w:before="30" w:after="30"/>
              <w:jc w:val="center"/>
            </w:pPr>
            <w:r>
              <w:rPr>
                <w:b w:val="0"/>
                <w:i w:val="0"/>
                <w:sz w:val="18"/>
              </w:rPr>
              <w:t>0.082</w:t>
            </w:r>
          </w:p>
        </w:tc>
      </w:tr>
      <w:tr>
        <w:trPr>
          <w:cantSplit/>
        </w:trPr>
        <w:tc>
          <w:tcPr>
            <w:tcW w:type="dxa" w:w="3558"/>
          </w:tcPr>
          <w:p>
            <w:pPr>
              <w:pStyle w:val="MDPI42tablebody"/>
              <w:keepNext/>
              <w:spacing w:line="240" w:lineRule="auto" w:before="30" w:after="30"/>
              <w:jc w:val="left"/>
            </w:pPr>
            <w:r>
              <w:rPr>
                <w:b w:val="0"/>
                <w:i w:val="0"/>
                <w:sz w:val="18"/>
              </w:rPr>
              <w:t>(7) Winsorised at 5%</w:t>
            </w:r>
          </w:p>
        </w:tc>
        <w:tc>
          <w:tcPr>
            <w:tcW w:type="dxa" w:w="2302"/>
          </w:tcPr>
          <w:p>
            <w:pPr>
              <w:pStyle w:val="MDPI42tablebody"/>
              <w:keepNext/>
              <w:spacing w:line="240" w:lineRule="auto" w:before="30" w:after="30"/>
              <w:jc w:val="center"/>
            </w:pPr>
            <w:r>
              <w:rPr>
                <w:b w:val="0"/>
                <w:i w:val="0"/>
                <w:sz w:val="18"/>
              </w:rPr>
              <w:t>−0.623***</w:t>
            </w:r>
          </w:p>
        </w:tc>
        <w:tc>
          <w:tcPr>
            <w:tcW w:type="dxa" w:w="1674"/>
          </w:tcPr>
          <w:p>
            <w:pPr>
              <w:pStyle w:val="MDPI42tablebody"/>
              <w:keepNext/>
              <w:spacing w:line="240" w:lineRule="auto" w:before="30" w:after="30"/>
              <w:jc w:val="center"/>
            </w:pPr>
            <w:r>
              <w:rPr>
                <w:b w:val="0"/>
                <w:i w:val="0"/>
                <w:sz w:val="18"/>
              </w:rPr>
              <w:t>(0.060)</w:t>
            </w:r>
          </w:p>
        </w:tc>
        <w:tc>
          <w:tcPr>
            <w:tcW w:type="dxa" w:w="1674"/>
          </w:tcPr>
          <w:p>
            <w:pPr>
              <w:pStyle w:val="MDPI42tablebody"/>
              <w:keepNext/>
              <w:spacing w:line="240" w:lineRule="auto" w:before="30" w:after="30"/>
              <w:jc w:val="center"/>
            </w:pPr>
            <w:r>
              <w:rPr>
                <w:b w:val="0"/>
                <w:i w:val="0"/>
                <w:sz w:val="18"/>
              </w:rPr>
              <w:t>27,340</w:t>
            </w:r>
          </w:p>
        </w:tc>
        <w:tc>
          <w:tcPr>
            <w:tcW w:type="dxa" w:w="1255"/>
          </w:tcPr>
          <w:p>
            <w:pPr>
              <w:pStyle w:val="MDPI42tablebody"/>
              <w:keepNext/>
              <w:spacing w:line="240" w:lineRule="auto" w:before="30" w:after="30"/>
              <w:jc w:val="center"/>
            </w:pPr>
            <w:r>
              <w:rPr>
                <w:b w:val="0"/>
                <w:i w:val="0"/>
                <w:sz w:val="18"/>
              </w:rPr>
              <w:t>0.071</w:t>
            </w:r>
          </w:p>
        </w:tc>
      </w:tr>
      <w:tr>
        <w:trPr>
          <w:cantSplit/>
        </w:trPr>
        <w:tc>
          <w:tcPr>
            <w:tcW w:type="dxa" w:w="3558"/>
          </w:tcPr>
          <w:p>
            <w:pPr>
              <w:pStyle w:val="MDPI42tablebody"/>
              <w:spacing w:line="240" w:lineRule="auto" w:before="30" w:after="30"/>
              <w:jc w:val="left"/>
            </w:pPr>
            <w:r>
              <w:rPr>
                <w:b w:val="0"/>
                <w:i w:val="0"/>
                <w:sz w:val="18"/>
              </w:rPr>
              <w:t>(8) Balanced panel</w:t>
            </w:r>
          </w:p>
        </w:tc>
        <w:tc>
          <w:tcPr>
            <w:tcW w:type="dxa" w:w="2302"/>
          </w:tcPr>
          <w:p>
            <w:pPr>
              <w:pStyle w:val="MDPI42tablebody"/>
              <w:spacing w:line="240" w:lineRule="auto" w:before="30" w:after="30"/>
              <w:jc w:val="center"/>
            </w:pPr>
            <w:r>
              <w:rPr>
                <w:b w:val="0"/>
                <w:i w:val="0"/>
                <w:sz w:val="18"/>
              </w:rPr>
              <w:t>−0.607***</w:t>
            </w:r>
          </w:p>
        </w:tc>
        <w:tc>
          <w:tcPr>
            <w:tcW w:type="dxa" w:w="1674"/>
          </w:tcPr>
          <w:p>
            <w:pPr>
              <w:pStyle w:val="MDPI42tablebody"/>
              <w:spacing w:line="240" w:lineRule="auto" w:before="30" w:after="30"/>
              <w:jc w:val="center"/>
            </w:pPr>
            <w:r>
              <w:rPr>
                <w:b w:val="0"/>
                <w:i w:val="0"/>
                <w:sz w:val="18"/>
              </w:rPr>
              <w:t>(0.139)</w:t>
            </w:r>
          </w:p>
        </w:tc>
        <w:tc>
          <w:tcPr>
            <w:tcW w:type="dxa" w:w="1674"/>
          </w:tcPr>
          <w:p>
            <w:pPr>
              <w:pStyle w:val="MDPI42tablebody"/>
              <w:spacing w:line="240" w:lineRule="auto" w:before="30" w:after="30"/>
              <w:jc w:val="center"/>
            </w:pPr>
            <w:r>
              <w:rPr>
                <w:b w:val="0"/>
                <w:i w:val="0"/>
                <w:sz w:val="18"/>
              </w:rPr>
              <w:t>3,990</w:t>
            </w:r>
          </w:p>
        </w:tc>
        <w:tc>
          <w:tcPr>
            <w:tcW w:type="dxa" w:w="1255"/>
          </w:tcPr>
          <w:p>
            <w:pPr>
              <w:pStyle w:val="MDPI42tablebody"/>
              <w:spacing w:line="240" w:lineRule="auto" w:before="30" w:after="30"/>
              <w:jc w:val="center"/>
            </w:pPr>
            <w:r>
              <w:rPr>
                <w:b w:val="0"/>
                <w:i w:val="0"/>
                <w:sz w:val="18"/>
              </w:rPr>
              <w:t>0.082</w:t>
            </w:r>
          </w:p>
        </w:tc>
      </w:tr>
    </w:tbl>
    <w:p>
      <w:pPr>
        <w:pStyle w:val="MDPI43tablefooter"/>
        <w:spacing w:line="240" w:lineRule="auto" w:before="40" w:after="200"/>
        <w:ind w:left="2608" w:firstLine="0"/>
      </w:pPr>
      <w:r>
        <w:rPr>
          <w:sz w:val="16"/>
        </w:rPr>
        <w:t xml:space="preserve">Note: </w:t>
      </w:r>
      <w:r>
        <w:rPr>
          <w:b w:val="0"/>
          <w:i w:val="0"/>
          <w:sz w:val="16"/>
        </w:rPr>
        <w:t>Each row re-estimates the baseline specification of Table 4, column (2), with the modification described. Rows (1) and (2) change the dependent variable, rows (3) and (4) the explanatory variable, and rows (5) to (8) the inference or the sample. Standard errors are clustered at the firm level except in row (5). ***, ** and * denote significance at the 1%, 5% and 10% levels.</w:t>
      </w:r>
    </w:p>
    <w:p>
      <w:pPr>
        <w:pStyle w:val="MDPI31text"/>
      </w:pPr>
      <w:r>
        <w:rPr>
          <w:b w:val="0"/>
          <w:i w:val="0"/>
        </w:rPr>
        <w:t>As a final check on inference we re-estimate the sharp difference-in-differences specification after randomly reassigning ex-ante task exposure across firms, repeated 500 times. The placebo distribution is centred on −0.000 with a standard deviation of 0.538, and only 0.0% of the placebo estimates are at least as large in absolute value as the actual estimate (Figure 6). The result is not an artefact of the estimation procedure.</w:t>
      </w:r>
    </w:p>
    <w:p>
      <w:pPr>
        <w:pStyle w:val="MDPI52figure"/>
        <w:keepNext/>
        <w:ind w:left="2608" w:firstLine="0"/>
        <w:jc w:val="center"/>
      </w:pPr>
      <w:r>
        <w:drawing>
          <wp:inline xmlns:a="http://schemas.openxmlformats.org/drawingml/2006/main" xmlns:pic="http://schemas.openxmlformats.org/drawingml/2006/picture">
            <wp:extent cx="4968000" cy="2476021"/>
            <wp:docPr id="6" name="Picture 6"/>
            <wp:cNvGraphicFramePr>
              <a:graphicFrameLocks noChangeAspect="1"/>
            </wp:cNvGraphicFramePr>
            <a:graphic>
              <a:graphicData uri="http://schemas.openxmlformats.org/drawingml/2006/picture">
                <pic:pic>
                  <pic:nvPicPr>
                    <pic:cNvPr id="0" name="figure6_placebo.png"/>
                    <pic:cNvPicPr/>
                  </pic:nvPicPr>
                  <pic:blipFill>
                    <a:blip r:embed="rId22"/>
                    <a:stretch>
                      <a:fillRect/>
                    </a:stretch>
                  </pic:blipFill>
                  <pic:spPr>
                    <a:xfrm>
                      <a:off x="0" y="0"/>
                      <a:ext cx="4968000" cy="2476021"/>
                    </a:xfrm>
                    <a:prstGeom prst="rect"/>
                  </pic:spPr>
                </pic:pic>
              </a:graphicData>
            </a:graphic>
          </wp:inline>
        </w:drawing>
      </w:r>
    </w:p>
    <w:p>
      <w:pPr>
        <w:pStyle w:val="MDPI51figurecaption"/>
        <w:spacing w:after="40"/>
      </w:pPr>
      <w:r>
        <w:rPr>
          <w:b/>
          <w:sz w:val="18"/>
        </w:rPr>
        <w:t xml:space="preserve">Figure 6. </w:t>
      </w:r>
      <w:r>
        <w:rPr>
          <w:b w:val="0"/>
          <w:i w:val="0"/>
          <w:sz w:val="18"/>
        </w:rPr>
        <w:t>Placebo distribution from random reassignment of ex-ante task exposure.</w:t>
      </w:r>
    </w:p>
    <w:p>
      <w:pPr>
        <w:pStyle w:val="MDPI51figurecaption"/>
        <w:spacing w:line="240" w:lineRule="auto" w:before="40" w:after="200"/>
        <w:ind w:left="2608" w:firstLine="0"/>
      </w:pPr>
      <w:r>
        <w:rPr>
          <w:sz w:val="16"/>
        </w:rPr>
        <w:t xml:space="preserve">Note: </w:t>
      </w:r>
      <w:r>
        <w:rPr>
          <w:b w:val="0"/>
          <w:i w:val="0"/>
          <w:sz w:val="16"/>
        </w:rPr>
        <w:t>Distribution of the coefficient on the interaction of exposure and the post-2022 indicator when ex-ante exposure is randomly reassigned across firms. The vertical line is the estimate obtained with the actual assignment.</w:t>
      </w:r>
    </w:p>
    <w:p>
      <w:pPr>
        <w:pStyle w:val="MDPI22heading2"/>
      </w:pPr>
      <w:r>
        <w:t>4.8. Heterogeneity Analysis</w:t>
      </w:r>
    </w:p>
    <w:p>
      <w:pPr>
        <w:pStyle w:val="MDPI32textnoindent"/>
      </w:pPr>
      <w:r>
        <w:rPr>
          <w:b w:val="0"/>
          <w:i w:val="0"/>
        </w:rPr>
        <w:t>Table 11 splits the sample four ways. The effect is larger in non-state firms (−0.822) than in state-owned firms (−0.247), which is what the institutional setting implies: state-owned enterprises carry an employment-stability mandate and face more constraint on adjusting headcount, so the same adoption intensity translates into less displacement. It is larger in eastern firms (−0.698) than in central and western firms (−0.581), consistent with earlier and deeper adoption and more exposed entry-level work in the coastal provinces. The technology split gives other (−0.664) against high-technology (−0.543) and the capital-intensity split labour-intensive (−0.678) against capital-intensive (−0.590). The ownership split separates the two groups at conventional levels (p = 0.000). The remaining differences are in the expected direction but are not statistically significant.</w:t>
      </w:r>
    </w:p>
    <w:p>
      <w:pPr>
        <w:pStyle w:val="MDPI41tablecaption"/>
        <w:keepNext/>
        <w:spacing w:after="60"/>
      </w:pPr>
      <w:r>
        <w:rPr>
          <w:b/>
          <w:sz w:val="18"/>
        </w:rPr>
        <w:t xml:space="preserve">Table 11.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205"/>
        <w:gridCol w:w="1260"/>
        <w:gridCol w:w="1150"/>
        <w:gridCol w:w="712"/>
        <w:gridCol w:w="712"/>
        <w:gridCol w:w="1369"/>
        <w:gridCol w:w="1150"/>
        <w:gridCol w:w="712"/>
        <w:gridCol w:w="712"/>
        <w:gridCol w:w="767"/>
        <w:gridCol w:w="712"/>
      </w:tblGrid>
      <w:tr>
        <w:trPr>
          <w:cantSplit/>
          <w:tblHeader/>
        </w:trPr>
        <w:tc>
          <w:tcPr>
            <w:tcW w:type="dxa" w:w="1205"/>
            <w:tcBorders>
              <w:bottom w:val="single" w:sz="8" w:space="0" w:color="auto"/>
            </w:tcBorders>
          </w:tcPr>
          <w:p>
            <w:pPr>
              <w:pStyle w:val="MDPI42tablebody"/>
              <w:keepNext/>
              <w:spacing w:line="240" w:lineRule="auto" w:before="30" w:after="30"/>
              <w:jc w:val="left"/>
            </w:pPr>
            <w:r>
              <w:rPr>
                <w:b/>
                <w:i w:val="0"/>
                <w:sz w:val="14"/>
              </w:rPr>
              <w:t>Split</w:t>
            </w:r>
          </w:p>
        </w:tc>
        <w:tc>
          <w:tcPr>
            <w:tcW w:type="dxa" w:w="1260"/>
            <w:tcBorders>
              <w:bottom w:val="single" w:sz="8" w:space="0" w:color="auto"/>
            </w:tcBorders>
          </w:tcPr>
          <w:p>
            <w:pPr>
              <w:pStyle w:val="MDPI42tablebody"/>
              <w:keepNext/>
              <w:spacing w:line="240" w:lineRule="auto" w:before="30" w:after="30"/>
              <w:jc w:val="left"/>
            </w:pPr>
            <w:r>
              <w:rPr>
                <w:b/>
                <w:i w:val="0"/>
                <w:sz w:val="14"/>
              </w:rPr>
              <w:t>Group 1</w:t>
            </w:r>
          </w:p>
        </w:tc>
        <w:tc>
          <w:tcPr>
            <w:tcW w:type="dxa" w:w="1150"/>
            <w:tcBorders>
              <w:bottom w:val="single" w:sz="8" w:space="0" w:color="auto"/>
            </w:tcBorders>
          </w:tcPr>
          <w:p>
            <w:pPr>
              <w:pStyle w:val="MDPI42tablebody"/>
              <w:keepNext/>
              <w:spacing w:line="240" w:lineRule="auto" w:before="30" w:after="30"/>
              <w:jc w:val="center"/>
            </w:pPr>
            <w:r>
              <w:rPr>
                <w:b/>
                <w:i w:val="0"/>
                <w:sz w:val="14"/>
              </w:rPr>
              <w:t>Coef.</w:t>
            </w:r>
          </w:p>
        </w:tc>
        <w:tc>
          <w:tcPr>
            <w:tcW w:type="dxa" w:w="712"/>
            <w:tcBorders>
              <w:bottom w:val="single" w:sz="8" w:space="0" w:color="auto"/>
            </w:tcBorders>
          </w:tcPr>
          <w:p>
            <w:pPr>
              <w:pStyle w:val="MDPI42tablebody"/>
              <w:keepNext/>
              <w:spacing w:line="240" w:lineRule="auto" w:before="30" w:after="30"/>
              <w:jc w:val="center"/>
            </w:pPr>
            <w:r>
              <w:rPr>
                <w:b/>
                <w:i w:val="0"/>
                <w:sz w:val="14"/>
              </w:rPr>
              <w:t>SE</w:t>
            </w:r>
          </w:p>
        </w:tc>
        <w:tc>
          <w:tcPr>
            <w:tcW w:type="dxa" w:w="712"/>
            <w:tcBorders>
              <w:bottom w:val="single" w:sz="8" w:space="0" w:color="auto"/>
            </w:tcBorders>
          </w:tcPr>
          <w:p>
            <w:pPr>
              <w:pStyle w:val="MDPI42tablebody"/>
              <w:keepNext/>
              <w:spacing w:line="240" w:lineRule="auto" w:before="30" w:after="30"/>
              <w:jc w:val="center"/>
            </w:pPr>
            <w:r>
              <w:rPr>
                <w:b/>
                <w:i w:val="0"/>
                <w:sz w:val="14"/>
              </w:rPr>
              <w:t>N</w:t>
            </w:r>
          </w:p>
        </w:tc>
        <w:tc>
          <w:tcPr>
            <w:tcW w:type="dxa" w:w="1369"/>
            <w:tcBorders>
              <w:bottom w:val="single" w:sz="8" w:space="0" w:color="auto"/>
            </w:tcBorders>
          </w:tcPr>
          <w:p>
            <w:pPr>
              <w:pStyle w:val="MDPI42tablebody"/>
              <w:keepNext/>
              <w:spacing w:line="240" w:lineRule="auto" w:before="30" w:after="30"/>
              <w:jc w:val="left"/>
            </w:pPr>
            <w:r>
              <w:rPr>
                <w:b/>
                <w:i w:val="0"/>
                <w:sz w:val="14"/>
              </w:rPr>
              <w:t>Group 2</w:t>
            </w:r>
          </w:p>
        </w:tc>
        <w:tc>
          <w:tcPr>
            <w:tcW w:type="dxa" w:w="1150"/>
            <w:tcBorders>
              <w:bottom w:val="single" w:sz="8" w:space="0" w:color="auto"/>
            </w:tcBorders>
          </w:tcPr>
          <w:p>
            <w:pPr>
              <w:pStyle w:val="MDPI42tablebody"/>
              <w:keepNext/>
              <w:spacing w:line="240" w:lineRule="auto" w:before="30" w:after="30"/>
              <w:jc w:val="center"/>
            </w:pPr>
            <w:r>
              <w:rPr>
                <w:b/>
                <w:i w:val="0"/>
                <w:sz w:val="14"/>
              </w:rPr>
              <w:t>Coef.</w:t>
            </w:r>
          </w:p>
        </w:tc>
        <w:tc>
          <w:tcPr>
            <w:tcW w:type="dxa" w:w="712"/>
            <w:tcBorders>
              <w:bottom w:val="single" w:sz="8" w:space="0" w:color="auto"/>
            </w:tcBorders>
          </w:tcPr>
          <w:p>
            <w:pPr>
              <w:pStyle w:val="MDPI42tablebody"/>
              <w:keepNext/>
              <w:spacing w:line="240" w:lineRule="auto" w:before="30" w:after="30"/>
              <w:jc w:val="center"/>
            </w:pPr>
            <w:r>
              <w:rPr>
                <w:b/>
                <w:i w:val="0"/>
                <w:sz w:val="14"/>
              </w:rPr>
              <w:t>SE</w:t>
            </w:r>
          </w:p>
        </w:tc>
        <w:tc>
          <w:tcPr>
            <w:tcW w:type="dxa" w:w="712"/>
            <w:tcBorders>
              <w:bottom w:val="single" w:sz="8" w:space="0" w:color="auto"/>
            </w:tcBorders>
          </w:tcPr>
          <w:p>
            <w:pPr>
              <w:pStyle w:val="MDPI42tablebody"/>
              <w:keepNext/>
              <w:spacing w:line="240" w:lineRule="auto" w:before="30" w:after="30"/>
              <w:jc w:val="center"/>
            </w:pPr>
            <w:r>
              <w:rPr>
                <w:b/>
                <w:i w:val="0"/>
                <w:sz w:val="14"/>
              </w:rPr>
              <w:t>N</w:t>
            </w:r>
          </w:p>
        </w:tc>
        <w:tc>
          <w:tcPr>
            <w:tcW w:type="dxa" w:w="767"/>
            <w:tcBorders>
              <w:bottom w:val="single" w:sz="8" w:space="0" w:color="auto"/>
            </w:tcBorders>
          </w:tcPr>
          <w:p>
            <w:pPr>
              <w:pStyle w:val="MDPI42tablebody"/>
              <w:keepNext/>
              <w:spacing w:line="240" w:lineRule="auto" w:before="30" w:after="30"/>
              <w:jc w:val="center"/>
            </w:pPr>
            <w:r>
              <w:rPr>
                <w:b/>
                <w:i w:val="0"/>
                <w:sz w:val="14"/>
              </w:rPr>
              <w:t>Diff.</w:t>
            </w:r>
          </w:p>
        </w:tc>
        <w:tc>
          <w:tcPr>
            <w:tcW w:type="dxa" w:w="712"/>
            <w:tcBorders>
              <w:bottom w:val="single" w:sz="8" w:space="0" w:color="auto"/>
            </w:tcBorders>
          </w:tcPr>
          <w:p>
            <w:pPr>
              <w:pStyle w:val="MDPI42tablebody"/>
              <w:keepNext/>
              <w:spacing w:line="240" w:lineRule="auto" w:before="30" w:after="30"/>
              <w:jc w:val="center"/>
            </w:pPr>
            <w:r>
              <w:rPr>
                <w:b/>
                <w:i w:val="0"/>
                <w:sz w:val="14"/>
              </w:rPr>
              <w:t>p</w:t>
            </w:r>
          </w:p>
        </w:tc>
      </w:tr>
      <w:tr>
        <w:trPr>
          <w:cantSplit/>
        </w:trPr>
        <w:tc>
          <w:tcPr>
            <w:tcW w:type="dxa" w:w="1205"/>
          </w:tcPr>
          <w:p>
            <w:pPr>
              <w:pStyle w:val="MDPI42tablebody"/>
              <w:keepNext/>
              <w:spacing w:line="240" w:lineRule="auto" w:before="30" w:after="30"/>
              <w:jc w:val="left"/>
            </w:pPr>
            <w:r>
              <w:rPr>
                <w:b w:val="0"/>
                <w:i w:val="0"/>
                <w:sz w:val="14"/>
              </w:rPr>
              <w:t>State ownership</w:t>
            </w:r>
          </w:p>
        </w:tc>
        <w:tc>
          <w:tcPr>
            <w:tcW w:type="dxa" w:w="1260"/>
          </w:tcPr>
          <w:p>
            <w:pPr>
              <w:pStyle w:val="MDPI42tablebody"/>
              <w:keepNext/>
              <w:spacing w:line="240" w:lineRule="auto" w:before="30" w:after="30"/>
              <w:jc w:val="left"/>
            </w:pPr>
            <w:r>
              <w:rPr>
                <w:b w:val="0"/>
                <w:i w:val="0"/>
                <w:sz w:val="14"/>
              </w:rPr>
              <w:t>State-owned</w:t>
            </w:r>
          </w:p>
        </w:tc>
        <w:tc>
          <w:tcPr>
            <w:tcW w:type="dxa" w:w="1150"/>
          </w:tcPr>
          <w:p>
            <w:pPr>
              <w:pStyle w:val="MDPI42tablebody"/>
              <w:keepNext/>
              <w:spacing w:line="240" w:lineRule="auto" w:before="30" w:after="30"/>
              <w:jc w:val="center"/>
            </w:pPr>
            <w:r>
              <w:rPr>
                <w:b w:val="0"/>
                <w:i w:val="0"/>
                <w:sz w:val="14"/>
              </w:rPr>
              <w:t>−0.247***</w:t>
            </w:r>
          </w:p>
        </w:tc>
        <w:tc>
          <w:tcPr>
            <w:tcW w:type="dxa" w:w="712"/>
          </w:tcPr>
          <w:p>
            <w:pPr>
              <w:pStyle w:val="MDPI42tablebody"/>
              <w:keepNext/>
              <w:spacing w:line="240" w:lineRule="auto" w:before="30" w:after="30"/>
              <w:jc w:val="center"/>
            </w:pPr>
            <w:r>
              <w:rPr>
                <w:b w:val="0"/>
                <w:i w:val="0"/>
                <w:sz w:val="14"/>
              </w:rPr>
              <w:t>(0.093)</w:t>
            </w:r>
          </w:p>
        </w:tc>
        <w:tc>
          <w:tcPr>
            <w:tcW w:type="dxa" w:w="712"/>
          </w:tcPr>
          <w:p>
            <w:pPr>
              <w:pStyle w:val="MDPI42tablebody"/>
              <w:keepNext/>
              <w:spacing w:line="240" w:lineRule="auto" w:before="30" w:after="30"/>
              <w:jc w:val="center"/>
            </w:pPr>
            <w:r>
              <w:rPr>
                <w:b w:val="0"/>
                <w:i w:val="0"/>
                <w:sz w:val="14"/>
              </w:rPr>
              <w:t>9,130</w:t>
            </w:r>
          </w:p>
        </w:tc>
        <w:tc>
          <w:tcPr>
            <w:tcW w:type="dxa" w:w="1369"/>
          </w:tcPr>
          <w:p>
            <w:pPr>
              <w:pStyle w:val="MDPI42tablebody"/>
              <w:keepNext/>
              <w:spacing w:line="240" w:lineRule="auto" w:before="30" w:after="30"/>
              <w:jc w:val="center"/>
            </w:pPr>
            <w:r>
              <w:rPr>
                <w:b w:val="0"/>
                <w:i w:val="0"/>
                <w:sz w:val="14"/>
              </w:rPr>
              <w:t>Non-state</w:t>
            </w:r>
          </w:p>
        </w:tc>
        <w:tc>
          <w:tcPr>
            <w:tcW w:type="dxa" w:w="1150"/>
          </w:tcPr>
          <w:p>
            <w:pPr>
              <w:pStyle w:val="MDPI42tablebody"/>
              <w:keepNext/>
              <w:spacing w:line="240" w:lineRule="auto" w:before="30" w:after="30"/>
              <w:jc w:val="center"/>
            </w:pPr>
            <w:r>
              <w:rPr>
                <w:b w:val="0"/>
                <w:i w:val="0"/>
                <w:sz w:val="14"/>
              </w:rPr>
              <w:t>−0.822***</w:t>
            </w:r>
          </w:p>
        </w:tc>
        <w:tc>
          <w:tcPr>
            <w:tcW w:type="dxa" w:w="712"/>
          </w:tcPr>
          <w:p>
            <w:pPr>
              <w:pStyle w:val="MDPI42tablebody"/>
              <w:keepNext/>
              <w:spacing w:line="240" w:lineRule="auto" w:before="30" w:after="30"/>
              <w:jc w:val="center"/>
            </w:pPr>
            <w:r>
              <w:rPr>
                <w:b w:val="0"/>
                <w:i w:val="0"/>
                <w:sz w:val="14"/>
              </w:rPr>
              <w:t>(0.069)</w:t>
            </w:r>
          </w:p>
        </w:tc>
        <w:tc>
          <w:tcPr>
            <w:tcW w:type="dxa" w:w="712"/>
          </w:tcPr>
          <w:p>
            <w:pPr>
              <w:pStyle w:val="MDPI42tablebody"/>
              <w:keepNext/>
              <w:spacing w:line="240" w:lineRule="auto" w:before="30" w:after="30"/>
              <w:jc w:val="center"/>
            </w:pPr>
            <w:r>
              <w:rPr>
                <w:b w:val="0"/>
                <w:i w:val="0"/>
                <w:sz w:val="14"/>
              </w:rPr>
              <w:t>18,210</w:t>
            </w:r>
          </w:p>
        </w:tc>
        <w:tc>
          <w:tcPr>
            <w:tcW w:type="dxa" w:w="767"/>
          </w:tcPr>
          <w:p>
            <w:pPr>
              <w:pStyle w:val="MDPI42tablebody"/>
              <w:keepNext/>
              <w:spacing w:line="240" w:lineRule="auto" w:before="30" w:after="30"/>
              <w:jc w:val="center"/>
            </w:pPr>
            <w:r>
              <w:rPr>
                <w:b w:val="0"/>
                <w:i w:val="0"/>
                <w:sz w:val="14"/>
              </w:rPr>
              <w:t>0.575</w:t>
            </w:r>
          </w:p>
        </w:tc>
        <w:tc>
          <w:tcPr>
            <w:tcW w:type="dxa" w:w="712"/>
          </w:tcPr>
          <w:p>
            <w:pPr>
              <w:pStyle w:val="MDPI42tablebody"/>
              <w:keepNext/>
              <w:spacing w:line="240" w:lineRule="auto" w:before="30" w:after="30"/>
              <w:jc w:val="center"/>
            </w:pPr>
            <w:r>
              <w:rPr>
                <w:b w:val="0"/>
                <w:i w:val="0"/>
                <w:sz w:val="14"/>
              </w:rPr>
              <w:t>0.000</w:t>
            </w:r>
          </w:p>
        </w:tc>
      </w:tr>
      <w:tr>
        <w:trPr>
          <w:cantSplit/>
        </w:trPr>
        <w:tc>
          <w:tcPr>
            <w:tcW w:type="dxa" w:w="1205"/>
          </w:tcPr>
          <w:p>
            <w:pPr>
              <w:pStyle w:val="MDPI42tablebody"/>
              <w:keepNext/>
              <w:spacing w:line="240" w:lineRule="auto" w:before="30" w:after="30"/>
              <w:jc w:val="left"/>
            </w:pPr>
            <w:r>
              <w:rPr>
                <w:b w:val="0"/>
                <w:i w:val="0"/>
                <w:sz w:val="14"/>
              </w:rPr>
              <w:t>Technology intensity</w:t>
            </w:r>
          </w:p>
        </w:tc>
        <w:tc>
          <w:tcPr>
            <w:tcW w:type="dxa" w:w="1260"/>
          </w:tcPr>
          <w:p>
            <w:pPr>
              <w:pStyle w:val="MDPI42tablebody"/>
              <w:keepNext/>
              <w:spacing w:line="240" w:lineRule="auto" w:before="30" w:after="30"/>
              <w:jc w:val="left"/>
            </w:pPr>
            <w:r>
              <w:rPr>
                <w:b w:val="0"/>
                <w:i w:val="0"/>
                <w:sz w:val="14"/>
              </w:rPr>
              <w:t>High-technology</w:t>
            </w:r>
          </w:p>
        </w:tc>
        <w:tc>
          <w:tcPr>
            <w:tcW w:type="dxa" w:w="1150"/>
          </w:tcPr>
          <w:p>
            <w:pPr>
              <w:pStyle w:val="MDPI42tablebody"/>
              <w:keepNext/>
              <w:spacing w:line="240" w:lineRule="auto" w:before="30" w:after="30"/>
              <w:jc w:val="center"/>
            </w:pPr>
            <w:r>
              <w:rPr>
                <w:b w:val="0"/>
                <w:i w:val="0"/>
                <w:sz w:val="14"/>
              </w:rPr>
              <w:t>−0.543***</w:t>
            </w:r>
          </w:p>
        </w:tc>
        <w:tc>
          <w:tcPr>
            <w:tcW w:type="dxa" w:w="712"/>
          </w:tcPr>
          <w:p>
            <w:pPr>
              <w:pStyle w:val="MDPI42tablebody"/>
              <w:keepNext/>
              <w:spacing w:line="240" w:lineRule="auto" w:before="30" w:after="30"/>
              <w:jc w:val="center"/>
            </w:pPr>
            <w:r>
              <w:rPr>
                <w:b w:val="0"/>
                <w:i w:val="0"/>
                <w:sz w:val="14"/>
              </w:rPr>
              <w:t>(0.090)</w:t>
            </w:r>
          </w:p>
        </w:tc>
        <w:tc>
          <w:tcPr>
            <w:tcW w:type="dxa" w:w="712"/>
          </w:tcPr>
          <w:p>
            <w:pPr>
              <w:pStyle w:val="MDPI42tablebody"/>
              <w:keepNext/>
              <w:spacing w:line="240" w:lineRule="auto" w:before="30" w:after="30"/>
              <w:jc w:val="center"/>
            </w:pPr>
            <w:r>
              <w:rPr>
                <w:b w:val="0"/>
                <w:i w:val="0"/>
                <w:sz w:val="14"/>
              </w:rPr>
              <w:t>11,173</w:t>
            </w:r>
          </w:p>
        </w:tc>
        <w:tc>
          <w:tcPr>
            <w:tcW w:type="dxa" w:w="1369"/>
          </w:tcPr>
          <w:p>
            <w:pPr>
              <w:pStyle w:val="MDPI42tablebody"/>
              <w:keepNext/>
              <w:spacing w:line="240" w:lineRule="auto" w:before="30" w:after="30"/>
              <w:jc w:val="center"/>
            </w:pPr>
            <w:r>
              <w:rPr>
                <w:b w:val="0"/>
                <w:i w:val="0"/>
                <w:sz w:val="14"/>
              </w:rPr>
              <w:t>Other</w:t>
            </w:r>
          </w:p>
        </w:tc>
        <w:tc>
          <w:tcPr>
            <w:tcW w:type="dxa" w:w="1150"/>
          </w:tcPr>
          <w:p>
            <w:pPr>
              <w:pStyle w:val="MDPI42tablebody"/>
              <w:keepNext/>
              <w:spacing w:line="240" w:lineRule="auto" w:before="30" w:after="30"/>
              <w:jc w:val="center"/>
            </w:pPr>
            <w:r>
              <w:rPr>
                <w:b w:val="0"/>
                <w:i w:val="0"/>
                <w:sz w:val="14"/>
              </w:rPr>
              <w:t>−0.664***</w:t>
            </w:r>
          </w:p>
        </w:tc>
        <w:tc>
          <w:tcPr>
            <w:tcW w:type="dxa" w:w="712"/>
          </w:tcPr>
          <w:p>
            <w:pPr>
              <w:pStyle w:val="MDPI42tablebody"/>
              <w:keepNext/>
              <w:spacing w:line="240" w:lineRule="auto" w:before="30" w:after="30"/>
              <w:jc w:val="center"/>
            </w:pPr>
            <w:r>
              <w:rPr>
                <w:b w:val="0"/>
                <w:i w:val="0"/>
                <w:sz w:val="14"/>
              </w:rPr>
              <w:t>(0.073)</w:t>
            </w:r>
          </w:p>
        </w:tc>
        <w:tc>
          <w:tcPr>
            <w:tcW w:type="dxa" w:w="712"/>
          </w:tcPr>
          <w:p>
            <w:pPr>
              <w:pStyle w:val="MDPI42tablebody"/>
              <w:keepNext/>
              <w:spacing w:line="240" w:lineRule="auto" w:before="30" w:after="30"/>
              <w:jc w:val="center"/>
            </w:pPr>
            <w:r>
              <w:rPr>
                <w:b w:val="0"/>
                <w:i w:val="0"/>
                <w:sz w:val="14"/>
              </w:rPr>
              <w:t>16,167</w:t>
            </w:r>
          </w:p>
        </w:tc>
        <w:tc>
          <w:tcPr>
            <w:tcW w:type="dxa" w:w="767"/>
          </w:tcPr>
          <w:p>
            <w:pPr>
              <w:pStyle w:val="MDPI42tablebody"/>
              <w:keepNext/>
              <w:spacing w:line="240" w:lineRule="auto" w:before="30" w:after="30"/>
              <w:jc w:val="center"/>
            </w:pPr>
            <w:r>
              <w:rPr>
                <w:b w:val="0"/>
                <w:i w:val="0"/>
                <w:sz w:val="14"/>
              </w:rPr>
              <w:t>0.120</w:t>
            </w:r>
          </w:p>
        </w:tc>
        <w:tc>
          <w:tcPr>
            <w:tcW w:type="dxa" w:w="712"/>
          </w:tcPr>
          <w:p>
            <w:pPr>
              <w:pStyle w:val="MDPI42tablebody"/>
              <w:keepNext/>
              <w:spacing w:line="240" w:lineRule="auto" w:before="30" w:after="30"/>
              <w:jc w:val="center"/>
            </w:pPr>
            <w:r>
              <w:rPr>
                <w:b w:val="0"/>
                <w:i w:val="0"/>
                <w:sz w:val="14"/>
              </w:rPr>
              <w:t>0.300</w:t>
            </w:r>
          </w:p>
        </w:tc>
      </w:tr>
      <w:tr>
        <w:trPr>
          <w:cantSplit/>
        </w:trPr>
        <w:tc>
          <w:tcPr>
            <w:tcW w:type="dxa" w:w="1205"/>
          </w:tcPr>
          <w:p>
            <w:pPr>
              <w:pStyle w:val="MDPI42tablebody"/>
              <w:keepNext/>
              <w:spacing w:line="240" w:lineRule="auto" w:before="30" w:after="30"/>
              <w:jc w:val="left"/>
            </w:pPr>
            <w:r>
              <w:rPr>
                <w:b w:val="0"/>
                <w:i w:val="0"/>
                <w:sz w:val="14"/>
              </w:rPr>
              <w:t>Region</w:t>
            </w:r>
          </w:p>
        </w:tc>
        <w:tc>
          <w:tcPr>
            <w:tcW w:type="dxa" w:w="1260"/>
          </w:tcPr>
          <w:p>
            <w:pPr>
              <w:pStyle w:val="MDPI42tablebody"/>
              <w:keepNext/>
              <w:spacing w:line="240" w:lineRule="auto" w:before="30" w:after="30"/>
              <w:jc w:val="left"/>
            </w:pPr>
            <w:r>
              <w:rPr>
                <w:b w:val="0"/>
                <w:i w:val="0"/>
                <w:sz w:val="14"/>
              </w:rPr>
              <w:t>Eastern</w:t>
            </w:r>
          </w:p>
        </w:tc>
        <w:tc>
          <w:tcPr>
            <w:tcW w:type="dxa" w:w="1150"/>
          </w:tcPr>
          <w:p>
            <w:pPr>
              <w:pStyle w:val="MDPI42tablebody"/>
              <w:keepNext/>
              <w:spacing w:line="240" w:lineRule="auto" w:before="30" w:after="30"/>
              <w:jc w:val="center"/>
            </w:pPr>
            <w:r>
              <w:rPr>
                <w:b w:val="0"/>
                <w:i w:val="0"/>
                <w:sz w:val="14"/>
              </w:rPr>
              <w:t>−0.698***</w:t>
            </w:r>
          </w:p>
        </w:tc>
        <w:tc>
          <w:tcPr>
            <w:tcW w:type="dxa" w:w="712"/>
          </w:tcPr>
          <w:p>
            <w:pPr>
              <w:pStyle w:val="MDPI42tablebody"/>
              <w:keepNext/>
              <w:spacing w:line="240" w:lineRule="auto" w:before="30" w:after="30"/>
              <w:jc w:val="center"/>
            </w:pPr>
            <w:r>
              <w:rPr>
                <w:b w:val="0"/>
                <w:i w:val="0"/>
                <w:sz w:val="14"/>
              </w:rPr>
              <w:t>(0.096)</w:t>
            </w:r>
          </w:p>
        </w:tc>
        <w:tc>
          <w:tcPr>
            <w:tcW w:type="dxa" w:w="712"/>
          </w:tcPr>
          <w:p>
            <w:pPr>
              <w:pStyle w:val="MDPI42tablebody"/>
              <w:keepNext/>
              <w:spacing w:line="240" w:lineRule="auto" w:before="30" w:after="30"/>
              <w:jc w:val="center"/>
            </w:pPr>
            <w:r>
              <w:rPr>
                <w:b w:val="0"/>
                <w:i w:val="0"/>
                <w:sz w:val="14"/>
              </w:rPr>
              <w:t>9,639</w:t>
            </w:r>
          </w:p>
        </w:tc>
        <w:tc>
          <w:tcPr>
            <w:tcW w:type="dxa" w:w="1369"/>
          </w:tcPr>
          <w:p>
            <w:pPr>
              <w:pStyle w:val="MDPI42tablebody"/>
              <w:keepNext/>
              <w:spacing w:line="240" w:lineRule="auto" w:before="30" w:after="30"/>
              <w:jc w:val="center"/>
            </w:pPr>
            <w:r>
              <w:rPr>
                <w:b w:val="0"/>
                <w:i w:val="0"/>
                <w:sz w:val="14"/>
              </w:rPr>
              <w:t>Central and western</w:t>
            </w:r>
          </w:p>
        </w:tc>
        <w:tc>
          <w:tcPr>
            <w:tcW w:type="dxa" w:w="1150"/>
          </w:tcPr>
          <w:p>
            <w:pPr>
              <w:pStyle w:val="MDPI42tablebody"/>
              <w:keepNext/>
              <w:spacing w:line="240" w:lineRule="auto" w:before="30" w:after="30"/>
              <w:jc w:val="center"/>
            </w:pPr>
            <w:r>
              <w:rPr>
                <w:b w:val="0"/>
                <w:i w:val="0"/>
                <w:sz w:val="14"/>
              </w:rPr>
              <w:t>−0.581***</w:t>
            </w:r>
          </w:p>
        </w:tc>
        <w:tc>
          <w:tcPr>
            <w:tcW w:type="dxa" w:w="712"/>
          </w:tcPr>
          <w:p>
            <w:pPr>
              <w:pStyle w:val="MDPI42tablebody"/>
              <w:keepNext/>
              <w:spacing w:line="240" w:lineRule="auto" w:before="30" w:after="30"/>
              <w:jc w:val="center"/>
            </w:pPr>
            <w:r>
              <w:rPr>
                <w:b w:val="0"/>
                <w:i w:val="0"/>
                <w:sz w:val="14"/>
              </w:rPr>
              <w:t>(0.070)</w:t>
            </w:r>
          </w:p>
        </w:tc>
        <w:tc>
          <w:tcPr>
            <w:tcW w:type="dxa" w:w="712"/>
          </w:tcPr>
          <w:p>
            <w:pPr>
              <w:pStyle w:val="MDPI42tablebody"/>
              <w:keepNext/>
              <w:spacing w:line="240" w:lineRule="auto" w:before="30" w:after="30"/>
              <w:jc w:val="center"/>
            </w:pPr>
            <w:r>
              <w:rPr>
                <w:b w:val="0"/>
                <w:i w:val="0"/>
                <w:sz w:val="14"/>
              </w:rPr>
              <w:t>17,701</w:t>
            </w:r>
          </w:p>
        </w:tc>
        <w:tc>
          <w:tcPr>
            <w:tcW w:type="dxa" w:w="767"/>
          </w:tcPr>
          <w:p>
            <w:pPr>
              <w:pStyle w:val="MDPI42tablebody"/>
              <w:keepNext/>
              <w:spacing w:line="240" w:lineRule="auto" w:before="30" w:after="30"/>
              <w:jc w:val="center"/>
            </w:pPr>
            <w:r>
              <w:rPr>
                <w:b w:val="0"/>
                <w:i w:val="0"/>
                <w:sz w:val="14"/>
              </w:rPr>
              <w:t>−0.118</w:t>
            </w:r>
          </w:p>
        </w:tc>
        <w:tc>
          <w:tcPr>
            <w:tcW w:type="dxa" w:w="712"/>
          </w:tcPr>
          <w:p>
            <w:pPr>
              <w:pStyle w:val="MDPI42tablebody"/>
              <w:keepNext/>
              <w:spacing w:line="240" w:lineRule="auto" w:before="30" w:after="30"/>
              <w:jc w:val="center"/>
            </w:pPr>
            <w:r>
              <w:rPr>
                <w:b w:val="0"/>
                <w:i w:val="0"/>
                <w:sz w:val="14"/>
              </w:rPr>
              <w:t>0.320</w:t>
            </w:r>
          </w:p>
        </w:tc>
      </w:tr>
      <w:tr>
        <w:trPr>
          <w:cantSplit/>
        </w:trPr>
        <w:tc>
          <w:tcPr>
            <w:tcW w:type="dxa" w:w="1205"/>
          </w:tcPr>
          <w:p>
            <w:pPr>
              <w:pStyle w:val="MDPI42tablebody"/>
              <w:spacing w:line="240" w:lineRule="auto" w:before="30" w:after="30"/>
              <w:jc w:val="left"/>
            </w:pPr>
            <w:r>
              <w:rPr>
                <w:b w:val="0"/>
                <w:i w:val="0"/>
                <w:sz w:val="14"/>
              </w:rPr>
              <w:t>Capital intensity</w:t>
            </w:r>
          </w:p>
        </w:tc>
        <w:tc>
          <w:tcPr>
            <w:tcW w:type="dxa" w:w="1260"/>
          </w:tcPr>
          <w:p>
            <w:pPr>
              <w:pStyle w:val="MDPI42tablebody"/>
              <w:spacing w:line="240" w:lineRule="auto" w:before="30" w:after="30"/>
              <w:jc w:val="left"/>
            </w:pPr>
            <w:r>
              <w:rPr>
                <w:b w:val="0"/>
                <w:i w:val="0"/>
                <w:sz w:val="14"/>
              </w:rPr>
              <w:t>Capital-intensive</w:t>
            </w:r>
          </w:p>
        </w:tc>
        <w:tc>
          <w:tcPr>
            <w:tcW w:type="dxa" w:w="1150"/>
          </w:tcPr>
          <w:p>
            <w:pPr>
              <w:pStyle w:val="MDPI42tablebody"/>
              <w:spacing w:line="240" w:lineRule="auto" w:before="30" w:after="30"/>
              <w:jc w:val="center"/>
            </w:pPr>
            <w:r>
              <w:rPr>
                <w:b w:val="0"/>
                <w:i w:val="0"/>
                <w:sz w:val="14"/>
              </w:rPr>
              <w:t>−0.590***</w:t>
            </w:r>
          </w:p>
        </w:tc>
        <w:tc>
          <w:tcPr>
            <w:tcW w:type="dxa" w:w="712"/>
          </w:tcPr>
          <w:p>
            <w:pPr>
              <w:pStyle w:val="MDPI42tablebody"/>
              <w:spacing w:line="240" w:lineRule="auto" w:before="30" w:after="30"/>
              <w:jc w:val="center"/>
            </w:pPr>
            <w:r>
              <w:rPr>
                <w:b w:val="0"/>
                <w:i w:val="0"/>
                <w:sz w:val="14"/>
              </w:rPr>
              <w:t>(0.092)</w:t>
            </w:r>
          </w:p>
        </w:tc>
        <w:tc>
          <w:tcPr>
            <w:tcW w:type="dxa" w:w="712"/>
          </w:tcPr>
          <w:p>
            <w:pPr>
              <w:pStyle w:val="MDPI42tablebody"/>
              <w:spacing w:line="240" w:lineRule="auto" w:before="30" w:after="30"/>
              <w:jc w:val="center"/>
            </w:pPr>
            <w:r>
              <w:rPr>
                <w:b w:val="0"/>
                <w:i w:val="0"/>
                <w:sz w:val="14"/>
              </w:rPr>
              <w:t>13,670</w:t>
            </w:r>
          </w:p>
        </w:tc>
        <w:tc>
          <w:tcPr>
            <w:tcW w:type="dxa" w:w="1369"/>
          </w:tcPr>
          <w:p>
            <w:pPr>
              <w:pStyle w:val="MDPI42tablebody"/>
              <w:spacing w:line="240" w:lineRule="auto" w:before="30" w:after="30"/>
              <w:jc w:val="center"/>
            </w:pPr>
            <w:r>
              <w:rPr>
                <w:b w:val="0"/>
                <w:i w:val="0"/>
                <w:sz w:val="14"/>
              </w:rPr>
              <w:t>Labour-intensive</w:t>
            </w:r>
          </w:p>
        </w:tc>
        <w:tc>
          <w:tcPr>
            <w:tcW w:type="dxa" w:w="1150"/>
          </w:tcPr>
          <w:p>
            <w:pPr>
              <w:pStyle w:val="MDPI42tablebody"/>
              <w:spacing w:line="240" w:lineRule="auto" w:before="30" w:after="30"/>
              <w:jc w:val="center"/>
            </w:pPr>
            <w:r>
              <w:rPr>
                <w:b w:val="0"/>
                <w:i w:val="0"/>
                <w:sz w:val="14"/>
              </w:rPr>
              <w:t>−0.678***</w:t>
            </w:r>
          </w:p>
        </w:tc>
        <w:tc>
          <w:tcPr>
            <w:tcW w:type="dxa" w:w="712"/>
          </w:tcPr>
          <w:p>
            <w:pPr>
              <w:pStyle w:val="MDPI42tablebody"/>
              <w:spacing w:line="240" w:lineRule="auto" w:before="30" w:after="30"/>
              <w:jc w:val="center"/>
            </w:pPr>
            <w:r>
              <w:rPr>
                <w:b w:val="0"/>
                <w:i w:val="0"/>
                <w:sz w:val="14"/>
              </w:rPr>
              <w:t>(0.090)</w:t>
            </w:r>
          </w:p>
        </w:tc>
        <w:tc>
          <w:tcPr>
            <w:tcW w:type="dxa" w:w="712"/>
          </w:tcPr>
          <w:p>
            <w:pPr>
              <w:pStyle w:val="MDPI42tablebody"/>
              <w:spacing w:line="240" w:lineRule="auto" w:before="30" w:after="30"/>
              <w:jc w:val="center"/>
            </w:pPr>
            <w:r>
              <w:rPr>
                <w:b w:val="0"/>
                <w:i w:val="0"/>
                <w:sz w:val="14"/>
              </w:rPr>
              <w:t>13,670</w:t>
            </w:r>
          </w:p>
        </w:tc>
        <w:tc>
          <w:tcPr>
            <w:tcW w:type="dxa" w:w="767"/>
          </w:tcPr>
          <w:p>
            <w:pPr>
              <w:pStyle w:val="MDPI42tablebody"/>
              <w:spacing w:line="240" w:lineRule="auto" w:before="30" w:after="30"/>
              <w:jc w:val="center"/>
            </w:pPr>
            <w:r>
              <w:rPr>
                <w:b w:val="0"/>
                <w:i w:val="0"/>
                <w:sz w:val="14"/>
              </w:rPr>
              <w:t>0.088</w:t>
            </w:r>
          </w:p>
        </w:tc>
        <w:tc>
          <w:tcPr>
            <w:tcW w:type="dxa" w:w="712"/>
          </w:tcPr>
          <w:p>
            <w:pPr>
              <w:pStyle w:val="MDPI42tablebody"/>
              <w:spacing w:line="240" w:lineRule="auto" w:before="30" w:after="30"/>
              <w:jc w:val="center"/>
            </w:pPr>
            <w:r>
              <w:rPr>
                <w:b w:val="0"/>
                <w:i w:val="0"/>
                <w:sz w:val="14"/>
              </w:rPr>
              <w:t>0.494</w:t>
            </w:r>
          </w:p>
        </w:tc>
      </w:tr>
    </w:tbl>
    <w:p>
      <w:pPr>
        <w:pStyle w:val="MDPI43tablefooter"/>
        <w:spacing w:line="240" w:lineRule="auto" w:before="40" w:after="200"/>
        <w:ind w:left="2608" w:firstLine="0"/>
      </w:pPr>
      <w:r>
        <w:rPr>
          <w:sz w:val="16"/>
        </w:rPr>
        <w:t xml:space="preserve">Note: </w:t>
      </w:r>
      <w:r>
        <w:rPr>
          <w:b w:val="0"/>
          <w:i w:val="0"/>
          <w:sz w:val="16"/>
        </w:rPr>
        <w:t>Each row estimates the baseline specification separately in the two subsamples. Coef. is the coefficient on GenAI, Diff. is the coefficient of group 1 minus that of group 2 and p is the p-value of the test that they are equal. Capital intensity is split at the median of fixed-asset intensity. ***, ** and * denote significance at the 1%, 5% and 10% levels.</w:t>
      </w:r>
    </w:p>
    <w:p>
      <w:pPr>
        <w:pStyle w:val="MDPI21heading1"/>
      </w:pPr>
      <w:r>
        <w:t>5. Discussion and Implications</w:t>
      </w:r>
    </w:p>
    <w:p>
      <w:pPr>
        <w:pStyle w:val="MDPI22heading2"/>
      </w:pPr>
      <w:r>
        <w:t>5.1. Theoretical Contributions</w:t>
      </w:r>
    </w:p>
    <w:p>
      <w:pPr>
        <w:pStyle w:val="MDPI32textnoindent"/>
      </w:pPr>
      <w:r>
        <w:rPr>
          <w:b w:val="0"/>
          <w:i w:val="0"/>
        </w:rPr>
        <w:t xml:space="preserve">The study makes three contributions. First, it identifies a margin of adjustment that the aggregate task-based framework does not isolate. That framework predicts the net employment consequence of automation from the balance of displacement and reinstatement </w:t>
      </w:r>
      <w:r>
        <w:t>[</w:t>
      </w:r>
      <w:r>
        <w:fldChar w:fldCharType="begin"/>
      </w:r>
      <w:r>
        <w:instrText xml:space="preserve"> REF _Ref_24 \h </w:instrText>
      </w:r>
      <w:r>
        <w:fldChar w:fldCharType="separate"/>
      </w:r>
      <w:r>
        <w:t>24</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but it is estimated on employment levels and is largely silent on composition. We show that the first-order effect of generative AI inside the firm is compositional: it falls on the age structure through the job structure, and it does so in opposite directions through two separately measurable channels. Reporting a single net elasticity conceals this and helps explain why firm-level and occupation-level estimates in the emerging literature diverge so widely </w:t>
      </w:r>
      <w:r>
        <w:t>[</w:t>
      </w:r>
      <w:r>
        <w:fldChar w:fldCharType="begin"/>
      </w:r>
      <w:r>
        <w:instrText xml:space="preserve"> REF _Ref_11 \h </w:instrText>
      </w:r>
      <w:r>
        <w:fldChar w:fldCharType="separate"/>
      </w:r>
      <w:r>
        <w:t>11</w:t>
      </w:r>
      <w:r>
        <w:fldChar w:fldCharType="end"/>
      </w:r>
      <w:r>
        <w:t>,</w:t>
      </w:r>
      <w:r>
        <w:fldChar w:fldCharType="begin"/>
      </w:r>
      <w:r>
        <w:instrText xml:space="preserve"> REF _Ref_12 \h </w:instrText>
      </w:r>
      <w:r>
        <w:fldChar w:fldCharType="separate"/>
      </w:r>
      <w:r>
        <w:t>12</w:t>
      </w:r>
      <w:r>
        <w:fldChar w:fldCharType="end"/>
      </w:r>
      <w:r>
        <w:t>]</w:t>
      </w:r>
      <w:r>
        <w:rPr>
          <w:b w:val="0"/>
          <w:i w:val="0"/>
        </w:rPr>
        <w:t>.</w:t>
      </w:r>
    </w:p>
    <w:p>
      <w:pPr>
        <w:pStyle w:val="MDPI31text"/>
      </w:pPr>
      <w:r>
        <w:rPr>
          <w:b w:val="0"/>
          <w:i w:val="0"/>
        </w:rPr>
        <w:t xml:space="preserve">Second, it turns the automation–augmentation paradox </w:t>
      </w:r>
      <w:r>
        <w:t>[</w:t>
      </w:r>
      <w:r>
        <w:fldChar w:fldCharType="begin"/>
      </w:r>
      <w:r>
        <w:instrText xml:space="preserve"> REF _Ref_27 \h </w:instrText>
      </w:r>
      <w:r>
        <w:fldChar w:fldCharType="separate"/>
      </w:r>
      <w:r>
        <w:t>27</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into an estimable empirical statement. The paradox holds that automation and augmentation are interdependent design choices rather than alternatives; our moderation results give that claim a magnitude. The same adoption intensity displaces young workers in a firm at the median of organisational learning capability and has no detectable effect above the 90th percentile, and it is about 61% less displacing in firms with disclosed AI governance. This is the socio-technical joint-optimisation principle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xml:space="preserve"> in an econometric form: the technical subsystem does not determine the outcome on its own.</w:t>
      </w:r>
    </w:p>
    <w:p>
      <w:pPr>
        <w:pStyle w:val="MDPI31text"/>
      </w:pPr>
      <w:r>
        <w:rPr>
          <w:b w:val="0"/>
          <w:i w:val="0"/>
        </w:rPr>
        <w:t xml:space="preserve">Third, it connects the organisational-learning literature to a labour-market outcome. Absorptive capacity and the conversion of experience into routines have been studied as determinants of innovation and performance </w:t>
      </w:r>
      <w:r>
        <w:t>[</w:t>
      </w:r>
      <w:r>
        <w:fldChar w:fldCharType="begin"/>
      </w:r>
      <w:r>
        <w:instrText xml:space="preserve"> REF _Ref_18 \h </w:instrText>
      </w:r>
      <w:r>
        <w:fldChar w:fldCharType="separate"/>
      </w:r>
      <w:r>
        <w:t>18</w:t>
      </w:r>
      <w:r>
        <w:fldChar w:fldCharType="end"/>
      </w:r>
      <w:r>
        <w:t>,</w:t>
      </w:r>
      <w:r>
        <w:fldChar w:fldCharType="begin"/>
      </w:r>
      <w:r>
        <w:instrText xml:space="preserve"> REF _Ref_41 \h </w:instrText>
      </w:r>
      <w:r>
        <w:fldChar w:fldCharType="separate"/>
      </w:r>
      <w:r>
        <w:t>41</w:t>
      </w:r>
      <w:r>
        <w:fldChar w:fldCharType="end"/>
      </w:r>
      <w:r>
        <w:t>,</w:t>
      </w:r>
      <w:r>
        <w:fldChar w:fldCharType="begin"/>
      </w:r>
      <w:r>
        <w:instrText xml:space="preserve"> REF _Ref_42 \h </w:instrText>
      </w:r>
      <w:r>
        <w:fldChar w:fldCharType="separate"/>
      </w:r>
      <w:r>
        <w:t>42</w:t>
      </w:r>
      <w:r>
        <w:fldChar w:fldCharType="end"/>
      </w:r>
      <w:r>
        <w:t>]</w:t>
      </w:r>
      <w:r>
        <w:rPr>
          <w:b w:val="0"/>
          <w:i w:val="0"/>
        </w:rPr>
        <w:t xml:space="preserve">; we show that they also determine who gets hired when a general-purpose technology arrives. The mechanism is intelligible from the qualitative record: where a technology absorbs the preparatory work through which competence was acquired, firms without the capacity to redesign that work simply buy less of it </w:t>
      </w:r>
      <w:r>
        <w:t>[</w:t>
      </w:r>
      <w:r>
        <w:fldChar w:fldCharType="begin"/>
      </w:r>
      <w:r>
        <w:instrText xml:space="preserve"> REF _Ref_38 \h </w:instrText>
      </w:r>
      <w:r>
        <w:fldChar w:fldCharType="separate"/>
      </w:r>
      <w:r>
        <w:t>38</w:t>
      </w:r>
      <w:r>
        <w:fldChar w:fldCharType="end"/>
      </w:r>
      <w:r>
        <w:t>,</w:t>
      </w:r>
      <w:r>
        <w:fldChar w:fldCharType="begin"/>
      </w:r>
      <w:r>
        <w:instrText xml:space="preserve"> REF _Ref_39 \h </w:instrText>
      </w:r>
      <w:r>
        <w:fldChar w:fldCharType="separate"/>
      </w:r>
      <w:r>
        <w:t>39</w:t>
      </w:r>
      <w:r>
        <w:fldChar w:fldCharType="end"/>
      </w:r>
      <w:r>
        <w:t>,</w:t>
      </w:r>
      <w:r>
        <w:fldChar w:fldCharType="begin"/>
      </w:r>
      <w:r>
        <w:instrText xml:space="preserve"> REF _Ref_48 \h </w:instrText>
      </w:r>
      <w:r>
        <w:fldChar w:fldCharType="separate"/>
      </w:r>
      <w:r>
        <w:t>48</w:t>
      </w:r>
      <w:r>
        <w:fldChar w:fldCharType="end"/>
      </w:r>
      <w:r>
        <w:t>]</w:t>
      </w:r>
      <w:r>
        <w:rPr>
          <w:b w:val="0"/>
          <w:i w:val="0"/>
        </w:rPr>
        <w:t>.</w:t>
      </w:r>
    </w:p>
    <w:p>
      <w:pPr>
        <w:pStyle w:val="MDPI22heading2"/>
      </w:pPr>
      <w:r>
        <w:t>5.2. Managerial and Policy Implications</w:t>
      </w:r>
    </w:p>
    <w:p>
      <w:pPr>
        <w:pStyle w:val="MDPI32textnoindent"/>
      </w:pPr>
      <w:r>
        <w:rPr>
          <w:b w:val="0"/>
          <w:i w:val="0"/>
        </w:rPr>
        <w:t>For firms, the results reframe the decision. The relevant question is not how much entry-level work generative AI can absorb but whether the firm can rebuild entry-level roles around it. Firms that adopt without that capacity obtain the substitution and forgo the complementarity, and because the human-capital channel is the smaller of the two, the net outcome is a thinner entry cohort. Two levers are available and both are measurable: investment in the training and knowledge-management infrastructure that constitutes organisational learning capability, and the governance arrangements — review protocols, accountability rules, disclosure — that make it safe to delegate consequential work to AI-assisted junior staff.</w:t>
      </w:r>
    </w:p>
    <w:p>
      <w:pPr>
        <w:pStyle w:val="MDPI31text"/>
      </w:pPr>
      <w:r>
        <w:rPr>
          <w:b w:val="0"/>
          <w:i w:val="0"/>
        </w:rPr>
        <w:t xml:space="preserve">For policy, the finding that the effect is conditional rather than technological points away from the instruments currently in view. Restricting adoption would forgo the productivity gains without addressing the mechanism, since displacement runs through the reorganisation of job structures rather than through adoption itself. Instruments that raise organisational learning capability — training subsidies conditional on the task content of entry-level roles rather than on headcount, structured apprenticeship in professional services, graduate schemes with protected task content — act directly on the moderator that we find to matter most, and they are the instruments implied by the argument that AI can extend rather than replace the reach of middle-skill expertise </w:t>
      </w:r>
      <w:r>
        <w:t>[</w:t>
      </w:r>
      <w:r>
        <w:fldChar w:fldCharType="begin"/>
      </w:r>
      <w:r>
        <w:instrText xml:space="preserve"> REF _Ref_69 \h </w:instrText>
      </w:r>
      <w:r>
        <w:fldChar w:fldCharType="separate"/>
      </w:r>
      <w:r>
        <w:t>69</w:t>
      </w:r>
      <w:r>
        <w:fldChar w:fldCharType="end"/>
      </w:r>
      <w:r>
        <w:t>]</w:t>
      </w:r>
      <w:r>
        <w:rPr>
          <w:b w:val="0"/>
          <w:i w:val="0"/>
        </w:rPr>
        <w:t xml:space="preserve">. Second, because displacement is concentrated in non-state firms, which are also the largest graduate employers and are not covered by the employment-stability expectations placed on state-owned enterprises, aggregate youth-employment statistics will understate the pressure on the graduate segment. Third, given the persistence of entry conditions in later earnings </w:t>
      </w:r>
      <w:r>
        <w:t>[</w:t>
      </w:r>
      <w:r>
        <w:fldChar w:fldCharType="begin"/>
      </w:r>
      <w:r>
        <w:instrText xml:space="preserve"> REF _Ref_19 \h </w:instrText>
      </w:r>
      <w:r>
        <w:fldChar w:fldCharType="separate"/>
      </w:r>
      <w:r>
        <w:t>19</w:t>
      </w:r>
      <w:r>
        <w:fldChar w:fldCharType="end"/>
      </w:r>
      <w:r>
        <w:t>–</w:t>
      </w:r>
      <w:r>
        <w:fldChar w:fldCharType="begin"/>
      </w:r>
      <w:r>
        <w:instrText xml:space="preserve"> REF _Ref_21 \h </w:instrText>
      </w:r>
      <w:r>
        <w:fldChar w:fldCharType="separate"/>
      </w:r>
      <w:r>
        <w:t>21</w:t>
      </w:r>
      <w:r>
        <w:fldChar w:fldCharType="end"/>
      </w:r>
      <w:r>
        <w:t>]</w:t>
      </w:r>
      <w:r>
        <w:rPr>
          <w:b w:val="0"/>
          <w:i w:val="0"/>
        </w:rPr>
        <w:t>, the cohorts entering during the adoption wave warrant attention in their own right, independently of what happens to aggregate employment.</w:t>
      </w:r>
    </w:p>
    <w:p>
      <w:pPr>
        <w:pStyle w:val="MDPI22heading2"/>
      </w:pPr>
      <w:r>
        <w:t>5.3. Limitations and Future Research</w:t>
      </w:r>
    </w:p>
    <w:p>
      <w:pPr>
        <w:pStyle w:val="MDPI32textnoindent"/>
      </w:pPr>
      <w:r>
        <w:rPr>
          <w:b w:val="0"/>
          <w:i w:val="0"/>
        </w:rPr>
        <w:t>Five limitations qualify the results. First, adoption is measured from annual-report text, which captures disclosed rather than actual use and may be inflated by firms seeking to signal technological sophistication. The event-study specification on ex-ante task exposure, which does not rely on disclosure, gives the same answer, but a measure based on procurement or usage data would be better. Second, the sample is listed firms, which are larger and more capital-intensive than the population, and the results need not extend to the small and medium-sized firms that employ most young workers in China. Third, the outcome is the firm's age composition, not the young worker's welfare; displaced entry demand at one firm may be absorbed at another, so the firm-level estimate is not an equilibrium effect. Linked employer–employee data would be required to trace that. Fourth, the moderators are observable proxies, and organisational learning capability in particular is measured by training expenditure rather than by the routines it is meant to indicate; survey or case-based measurement would sharpen the test. Finally, three post-shock years cannot separate a transitional adjustment from a new steady state, and the dynamic pattern in Figure 3 is consistent with either; a longer panel is the natural next step.</w:t>
      </w:r>
    </w:p>
    <w:p>
      <w:pPr>
        <w:pStyle w:val="MDPI21heading1"/>
      </w:pPr>
      <w:r>
        <w:t>6. Conclusions</w:t>
      </w:r>
    </w:p>
    <w:p>
      <w:pPr>
        <w:pStyle w:val="MDPI32textnoindent"/>
      </w:pPr>
      <w:r>
        <w:rPr>
          <w:b w:val="0"/>
          <w:i w:val="0"/>
        </w:rPr>
        <w:t>Generative artificial intelligence has arrived at the point in the job structure where careers begin. Using a panel of Chinese A-share listed firms over 2016–2025, this study finds that firm-level adoption lowers the share of employees aged 30 or below by 0.622 percentage points per unit of adoption intensity, or 3.5% of the mean for a one-standard-deviation increase, with instrumental-variable, matched and entropy-balanced estimates confirming the sign and suggesting the fixed-effects estimate understates it. The effect is not monolithic: it runs 46% through the removal of routine-cognitive positions and is offset 16% by the human-capital upgrading that adoption also induces.</w:t>
      </w:r>
    </w:p>
    <w:p>
      <w:pPr>
        <w:pStyle w:val="MDPI31text"/>
      </w:pPr>
      <w:r>
        <w:rPr>
          <w:b w:val="0"/>
          <w:i w:val="0"/>
        </w:rPr>
        <w:t>The more consequential finding is that the net outcome is a property of the firm rather than of the technology. Displacement is about 61% smaller where AI governance arrangements are in place and is statistically indistinguishable from zero above the 90th percentile of organisational learning capability. Whether generative AI closes the entry port or reopens it at a higher level of capability is therefore being decided by organisational choices about learning and governance that are, unlike the technology itself, directly amenable to management and to policy. That is where the attention of both should go.</w:t>
      </w:r>
    </w:p>
    <w:p>
      <w:pPr>
        <w:pStyle w:val="MDPI62backmatter"/>
        <w:spacing w:before="120"/>
      </w:pPr>
      <w:r>
        <w:rPr>
          <w:b/>
          <w:sz w:val="18"/>
        </w:rPr>
        <w:t xml:space="preserve">Author Contributions: </w:t>
      </w:r>
      <w:r>
        <w:rPr>
          <w:b w:val="0"/>
          <w:i w:val="0"/>
          <w:sz w:val="18"/>
        </w:rPr>
        <w:t>Conceptualization, methodology, formal analysis, software and writing—original draft preparation, X.C.; validation, data curation and visualization, investigation, writing—review and editing, supervision and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pPr>
      <w:r>
        <w:rPr>
          <w:b/>
          <w:sz w:val="18"/>
        </w:rPr>
        <w:t xml:space="preserve">Institutional Review Board Statement: </w:t>
      </w:r>
      <w:r>
        <w:rPr>
          <w:b w:val="0"/>
          <w:i w:val="0"/>
          <w:sz w:val="18"/>
        </w:rPr>
        <w:t>Not applicable. The study uses firm-level accounting and disclosure data and involves no human participants or animals.</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financial, governance and employment-composition data are commercially licensed from the China Stock Market and Accounting Research database and cannot be redistributed by the authors; they are available to subscribers. The generative-AI keyword dictionary, the estimation code for every specification reported in the paper, and the scripts that generate every table and figure are available from the corresponding author on reasonable request.</w:t>
      </w:r>
    </w:p>
    <w:p>
      <w:pPr>
        <w:pStyle w:val="MDPI62backmatter"/>
        <w:spacing w:before="120"/>
      </w:pPr>
      <w:r>
        <w:rPr>
          <w:b/>
          <w:sz w:val="18"/>
        </w:rPr>
        <w:t xml:space="preserve">Acknowledgments: </w:t>
      </w:r>
      <w:r>
        <w:rPr>
          <w:b w:val="0"/>
          <w:i w:val="0"/>
          <w:sz w:val="18"/>
        </w:rPr>
        <w:t>The authors thank the editors and the anonymous reviewers for comments that improved the manuscript.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Cherns, A. </w:t>
      </w:r>
      <w:r>
        <w:rPr>
          <w:b w:val="0"/>
          <w:i w:val="0"/>
          <w:sz w:val="18"/>
        </w:rPr>
        <w:t xml:space="preserve">The Principles of Sociotechnical Design. </w:t>
      </w:r>
      <w:r>
        <w:rPr>
          <w:b w:val="0"/>
          <w:i/>
          <w:sz w:val="18"/>
        </w:rPr>
        <w:t xml:space="preserve">Hum. Relat. </w:t>
      </w:r>
      <w:r>
        <w:rPr>
          <w:b/>
          <w:i w:val="0"/>
          <w:sz w:val="18"/>
        </w:rPr>
        <w:t>1976</w:t>
      </w:r>
      <w:r>
        <w:rPr>
          <w:b w:val="0"/>
          <w:i w:val="0"/>
          <w:sz w:val="18"/>
        </w:rPr>
        <w:t xml:space="preserve">, </w:t>
      </w:r>
      <w:r>
        <w:rPr>
          <w:b w:val="0"/>
          <w:i/>
          <w:sz w:val="18"/>
        </w:rPr>
        <w:t>29</w:t>
      </w:r>
      <w:r>
        <w:rPr>
          <w:b w:val="0"/>
          <w:i w:val="0"/>
          <w:sz w:val="18"/>
        </w:rPr>
        <w:t>, 783–792.</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Sarker, S.; Chatterjee, S.; Xiao, X.; Elbanna, A. </w:t>
      </w:r>
      <w:r>
        <w:rPr>
          <w:b w:val="0"/>
          <w:i w:val="0"/>
          <w:sz w:val="18"/>
        </w:rPr>
        <w:t xml:space="preserve">The Sociotechnical Axis of Cohesion for the IS Discipline: Its Historical Legacy and Its Continued Relevance. </w:t>
      </w:r>
      <w:r>
        <w:rPr>
          <w:b w:val="0"/>
          <w:i/>
          <w:sz w:val="18"/>
        </w:rPr>
        <w:t xml:space="preserve">MIS Q. </w:t>
      </w:r>
      <w:r>
        <w:rPr>
          <w:b/>
          <w:i w:val="0"/>
          <w:sz w:val="18"/>
        </w:rPr>
        <w:t>2019</w:t>
      </w:r>
      <w:r>
        <w:rPr>
          <w:b w:val="0"/>
          <w:i w:val="0"/>
          <w:sz w:val="18"/>
        </w:rPr>
        <w:t xml:space="preserve">, </w:t>
      </w:r>
      <w:r>
        <w:rPr>
          <w:b w:val="0"/>
          <w:i/>
          <w:sz w:val="18"/>
        </w:rPr>
        <w:t>43</w:t>
      </w:r>
      <w:r>
        <w:rPr>
          <w:b w:val="0"/>
          <w:i w:val="0"/>
          <w:sz w:val="18"/>
        </w:rPr>
        <w:t>, 695–719.</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Krakowski, S.; Luger, J.; Raisch, S. </w:t>
      </w:r>
      <w:r>
        <w:rPr>
          <w:b w:val="0"/>
          <w:i w:val="0"/>
          <w:sz w:val="18"/>
        </w:rPr>
        <w:t xml:space="preserve">Artificial Intelligence and the Changing Sources of Competitive Advantage. </w:t>
      </w:r>
      <w:r>
        <w:rPr>
          <w:b w:val="0"/>
          <w:i/>
          <w:sz w:val="18"/>
        </w:rPr>
        <w:t xml:space="preserve">Strateg. Manag. J. </w:t>
      </w:r>
      <w:r>
        <w:rPr>
          <w:b/>
          <w:i w:val="0"/>
          <w:sz w:val="18"/>
        </w:rPr>
        <w:t>2023</w:t>
      </w:r>
      <w:r>
        <w:rPr>
          <w:b w:val="0"/>
          <w:i w:val="0"/>
          <w:sz w:val="18"/>
        </w:rPr>
        <w:t xml:space="preserve">, </w:t>
      </w:r>
      <w:r>
        <w:rPr>
          <w:b w:val="0"/>
          <w:i/>
          <w:sz w:val="18"/>
        </w:rPr>
        <w:t>44</w:t>
      </w:r>
      <w:r>
        <w:rPr>
          <w:b w:val="0"/>
          <w:i w:val="0"/>
          <w:sz w:val="18"/>
        </w:rPr>
        <w:t>, 1425–1452.</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Murray, A.; Rhymer, J.; Sirmon, D.G. </w:t>
      </w:r>
      <w:r>
        <w:rPr>
          <w:b w:val="0"/>
          <w:i w:val="0"/>
          <w:sz w:val="18"/>
        </w:rPr>
        <w:t xml:space="preserve">Humans and Technology: Forms of Conjoined Agency in Organizations.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552–571.</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Agrawal, A.; Gans, J.S.; Goldfarb, A. </w:t>
      </w:r>
      <w:r>
        <w:rPr>
          <w:b w:val="0"/>
          <w:i w:val="0"/>
          <w:sz w:val="18"/>
        </w:rPr>
        <w:t xml:space="preserve">Artificial Intelligence: The Ambiguous Labor Market Impact of Automating Prediction.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31–50.</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Bresnahan, T.F.; Trajtenberg, M. </w:t>
      </w:r>
      <w:r>
        <w:rPr>
          <w:b w:val="0"/>
          <w:i w:val="0"/>
          <w:sz w:val="18"/>
        </w:rPr>
        <w:t xml:space="preserve">General Purpose Technologies: “Engines of Growth”? </w:t>
      </w:r>
      <w:r>
        <w:rPr>
          <w:b w:val="0"/>
          <w:i/>
          <w:sz w:val="18"/>
        </w:rPr>
        <w:t xml:space="preserve">J. Econom. </w:t>
      </w:r>
      <w:r>
        <w:rPr>
          <w:b/>
          <w:i w:val="0"/>
          <w:sz w:val="18"/>
        </w:rPr>
        <w:t>1995</w:t>
      </w:r>
      <w:r>
        <w:rPr>
          <w:b w:val="0"/>
          <w:i w:val="0"/>
          <w:sz w:val="18"/>
        </w:rPr>
        <w:t xml:space="preserve">, </w:t>
      </w:r>
      <w:r>
        <w:rPr>
          <w:b w:val="0"/>
          <w:i/>
          <w:sz w:val="18"/>
        </w:rPr>
        <w:t>65</w:t>
      </w:r>
      <w:r>
        <w:rPr>
          <w:b w:val="0"/>
          <w:i w:val="0"/>
          <w:sz w:val="18"/>
        </w:rPr>
        <w:t>, 83–108.</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Brynjolfsson, E.; Rock, D.; Syverson, C. </w:t>
      </w:r>
      <w:r>
        <w:rPr>
          <w:b w:val="0"/>
          <w:i w:val="0"/>
          <w:sz w:val="18"/>
        </w:rPr>
        <w:t xml:space="preserve">The Productivity J-Curve: How Intangibles Complement General Purpose Technologies. </w:t>
      </w:r>
      <w:r>
        <w:rPr>
          <w:b w:val="0"/>
          <w:i/>
          <w:sz w:val="18"/>
        </w:rPr>
        <w:t xml:space="preserve">Am. Econ. J. Macroecon. </w:t>
      </w:r>
      <w:r>
        <w:rPr>
          <w:b/>
          <w:i w:val="0"/>
          <w:sz w:val="18"/>
        </w:rPr>
        <w:t>2021</w:t>
      </w:r>
      <w:r>
        <w:rPr>
          <w:b w:val="0"/>
          <w:i w:val="0"/>
          <w:sz w:val="18"/>
        </w:rPr>
        <w:t xml:space="preserve">, </w:t>
      </w:r>
      <w:r>
        <w:rPr>
          <w:b w:val="0"/>
          <w:i/>
          <w:sz w:val="18"/>
        </w:rPr>
        <w:t>13</w:t>
      </w:r>
      <w:r>
        <w:rPr>
          <w:b w:val="0"/>
          <w:i w:val="0"/>
          <w:sz w:val="18"/>
        </w:rPr>
        <w:t>, 333–372.</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Bonfiglioli, A.; Crinò, R.; Fadinger, H.; Gancia, G. </w:t>
      </w:r>
      <w:r>
        <w:rPr>
          <w:b w:val="0"/>
          <w:i w:val="0"/>
          <w:sz w:val="18"/>
        </w:rPr>
        <w:t xml:space="preserve">Robot Imports and Firm-Level Outcomes. </w:t>
      </w:r>
      <w:r>
        <w:rPr>
          <w:b w:val="0"/>
          <w:i/>
          <w:sz w:val="18"/>
        </w:rPr>
        <w:t xml:space="preserve">Econ. J. </w:t>
      </w:r>
      <w:r>
        <w:rPr>
          <w:b/>
          <w:i w:val="0"/>
          <w:sz w:val="18"/>
        </w:rPr>
        <w:t>2024</w:t>
      </w:r>
      <w:r>
        <w:rPr>
          <w:b w:val="0"/>
          <w:i w:val="0"/>
          <w:sz w:val="18"/>
        </w:rPr>
        <w:t xml:space="preserve">, </w:t>
      </w:r>
      <w:r>
        <w:rPr>
          <w:b w:val="0"/>
          <w:i/>
          <w:sz w:val="18"/>
        </w:rPr>
        <w:t>134</w:t>
      </w:r>
      <w:r>
        <w:rPr>
          <w:b w:val="0"/>
          <w:i w:val="0"/>
          <w:sz w:val="18"/>
        </w:rPr>
        <w:t>, 3428–3444.</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Anthony, C. </w:t>
      </w:r>
      <w:r>
        <w:rPr>
          <w:b w:val="0"/>
          <w:i w:val="0"/>
          <w:sz w:val="18"/>
        </w:rPr>
        <w:t xml:space="preserve">When Knowledge Work and Analytical Technologies Collide: The Practices and Consequences of Black Boxing Algorithmic Technologies. </w:t>
      </w:r>
      <w:r>
        <w:rPr>
          <w:b w:val="0"/>
          <w:i/>
          <w:sz w:val="18"/>
        </w:rPr>
        <w:t xml:space="preserve">Adm. Sci. Q. </w:t>
      </w:r>
      <w:r>
        <w:rPr>
          <w:b/>
          <w:i w:val="0"/>
          <w:sz w:val="18"/>
        </w:rPr>
        <w:t>2021</w:t>
      </w:r>
      <w:r>
        <w:rPr>
          <w:b w:val="0"/>
          <w:i w:val="0"/>
          <w:sz w:val="18"/>
        </w:rPr>
        <w:t xml:space="preserve">, </w:t>
      </w:r>
      <w:r>
        <w:rPr>
          <w:b w:val="0"/>
          <w:i/>
          <w:sz w:val="18"/>
        </w:rPr>
        <w:t>66</w:t>
      </w:r>
      <w:r>
        <w:rPr>
          <w:b w:val="0"/>
          <w:i w:val="0"/>
          <w:sz w:val="18"/>
        </w:rPr>
        <w:t>, 1173–1212.</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Teece, D.J.; Pisano, G.; Shuen, A. </w:t>
      </w:r>
      <w:r>
        <w:rPr>
          <w:b w:val="0"/>
          <w:i w:val="0"/>
          <w:sz w:val="18"/>
        </w:rPr>
        <w:t xml:space="preserve">Dynamic Capabilities and Strategic Management. </w:t>
      </w:r>
      <w:r>
        <w:rPr>
          <w:b w:val="0"/>
          <w:i/>
          <w:sz w:val="18"/>
        </w:rPr>
        <w:t xml:space="preserve">Strateg. Manag. J. </w:t>
      </w:r>
      <w:r>
        <w:rPr>
          <w:b/>
          <w:i w:val="0"/>
          <w:sz w:val="18"/>
        </w:rPr>
        <w:t>1997</w:t>
      </w:r>
      <w:r>
        <w:rPr>
          <w:b w:val="0"/>
          <w:i w:val="0"/>
          <w:sz w:val="18"/>
        </w:rPr>
        <w:t xml:space="preserve">, </w:t>
      </w:r>
      <w:r>
        <w:rPr>
          <w:b w:val="0"/>
          <w:i/>
          <w:sz w:val="18"/>
        </w:rPr>
        <w:t>18</w:t>
      </w:r>
      <w:r>
        <w:rPr>
          <w:b w:val="0"/>
          <w:i w:val="0"/>
          <w:sz w:val="18"/>
        </w:rPr>
        <w:t>, 509–533.</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Levitt, B.; March, J.G. </w:t>
      </w:r>
      <w:r>
        <w:rPr>
          <w:b w:val="0"/>
          <w:i w:val="0"/>
          <w:sz w:val="18"/>
        </w:rPr>
        <w:t xml:space="preserve">Organizational Learning. </w:t>
      </w:r>
      <w:r>
        <w:rPr>
          <w:b w:val="0"/>
          <w:i/>
          <w:sz w:val="18"/>
        </w:rPr>
        <w:t xml:space="preserve">Annu. Rev. Sociol. </w:t>
      </w:r>
      <w:r>
        <w:rPr>
          <w:b/>
          <w:i w:val="0"/>
          <w:sz w:val="18"/>
        </w:rPr>
        <w:t>1988</w:t>
      </w:r>
      <w:r>
        <w:rPr>
          <w:b w:val="0"/>
          <w:i w:val="0"/>
          <w:sz w:val="18"/>
        </w:rPr>
        <w:t xml:space="preserve">, </w:t>
      </w:r>
      <w:r>
        <w:rPr>
          <w:b w:val="0"/>
          <w:i/>
          <w:sz w:val="18"/>
        </w:rPr>
        <w:t>14</w:t>
      </w:r>
      <w:r>
        <w:rPr>
          <w:b w:val="0"/>
          <w:i w:val="0"/>
          <w:sz w:val="18"/>
        </w:rPr>
        <w:t>, 319–340.</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Nonaka, I. </w:t>
      </w:r>
      <w:r>
        <w:rPr>
          <w:b w:val="0"/>
          <w:i w:val="0"/>
          <w:sz w:val="18"/>
        </w:rPr>
        <w:t xml:space="preserve">A Dynamic Theory of Organizational Knowledge Creation. </w:t>
      </w:r>
      <w:r>
        <w:rPr>
          <w:b w:val="0"/>
          <w:i/>
          <w:sz w:val="18"/>
        </w:rPr>
        <w:t xml:space="preserve">Organ. Sci. </w:t>
      </w:r>
      <w:r>
        <w:rPr>
          <w:b/>
          <w:i w:val="0"/>
          <w:sz w:val="18"/>
        </w:rPr>
        <w:t>1994</w:t>
      </w:r>
      <w:r>
        <w:rPr>
          <w:b w:val="0"/>
          <w:i w:val="0"/>
          <w:sz w:val="18"/>
        </w:rPr>
        <w:t xml:space="preserve">, </w:t>
      </w:r>
      <w:r>
        <w:rPr>
          <w:b w:val="0"/>
          <w:i/>
          <w:sz w:val="18"/>
        </w:rPr>
        <w:t>5</w:t>
      </w:r>
      <w:r>
        <w:rPr>
          <w:b w:val="0"/>
          <w:i w:val="0"/>
          <w:sz w:val="18"/>
        </w:rPr>
        <w:t>, 14–37.</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Lave, J.; Wenger, E. </w:t>
      </w:r>
      <w:r>
        <w:rPr>
          <w:b w:val="0"/>
          <w:i/>
          <w:sz w:val="18"/>
        </w:rPr>
        <w:t>Situated Learning: Legitimate Peripheral Participation</w:t>
      </w:r>
      <w:r>
        <w:rPr>
          <w:b w:val="0"/>
          <w:i w:val="0"/>
          <w:sz w:val="18"/>
        </w:rPr>
        <w:t xml:space="preserve">; </w:t>
      </w:r>
      <w:r>
        <w:rPr>
          <w:b w:val="0"/>
          <w:i w:val="0"/>
          <w:sz w:val="18"/>
        </w:rPr>
        <w:t>Cambridge University Press: Cambridge, UK, 1991.</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Lebovitz, S.; Lifshitz-Assaf, H.; Levina, N. </w:t>
      </w:r>
      <w:r>
        <w:rPr>
          <w:b w:val="0"/>
          <w:i w:val="0"/>
          <w:sz w:val="18"/>
        </w:rPr>
        <w:t xml:space="preserve">To Engage or Not to Engage with AI for Critical Judgments: How Professionals Deal with Opacity When Using AI for Medical Diagnosis. </w:t>
      </w:r>
      <w:r>
        <w:rPr>
          <w:b w:val="0"/>
          <w:i/>
          <w:sz w:val="18"/>
        </w:rPr>
        <w:t xml:space="preserve">Organ. Sci. </w:t>
      </w:r>
      <w:r>
        <w:rPr>
          <w:b/>
          <w:i w:val="0"/>
          <w:sz w:val="18"/>
        </w:rPr>
        <w:t>2022</w:t>
      </w:r>
      <w:r>
        <w:rPr>
          <w:b w:val="0"/>
          <w:i w:val="0"/>
          <w:sz w:val="18"/>
        </w:rPr>
        <w:t xml:space="preserve">, </w:t>
      </w:r>
      <w:r>
        <w:rPr>
          <w:b w:val="0"/>
          <w:i/>
          <w:sz w:val="18"/>
        </w:rPr>
        <w:t>33</w:t>
      </w:r>
      <w:r>
        <w:rPr>
          <w:b w:val="0"/>
          <w:i w:val="0"/>
          <w:sz w:val="18"/>
        </w:rPr>
        <w:t>, 126–148.</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Bertrand, M.; Duflo, E.; Mullainathan, S. </w:t>
      </w:r>
      <w:r>
        <w:rPr>
          <w:b w:val="0"/>
          <w:i w:val="0"/>
          <w:sz w:val="18"/>
        </w:rPr>
        <w:t xml:space="preserve">How Much Should We Trust Differences-in-Differences Estimates? </w:t>
      </w:r>
      <w:r>
        <w:rPr>
          <w:b w:val="0"/>
          <w:i/>
          <w:sz w:val="18"/>
        </w:rPr>
        <w:t xml:space="preserve">Q. J. Econ. </w:t>
      </w:r>
      <w:r>
        <w:rPr>
          <w:b/>
          <w:i w:val="0"/>
          <w:sz w:val="18"/>
        </w:rPr>
        <w:t>2004</w:t>
      </w:r>
      <w:r>
        <w:rPr>
          <w:b w:val="0"/>
          <w:i w:val="0"/>
          <w:sz w:val="18"/>
        </w:rPr>
        <w:t xml:space="preserve">, </w:t>
      </w:r>
      <w:r>
        <w:rPr>
          <w:b w:val="0"/>
          <w:i/>
          <w:sz w:val="18"/>
        </w:rPr>
        <w:t>119</w:t>
      </w:r>
      <w:r>
        <w:rPr>
          <w:b w:val="0"/>
          <w:i w:val="0"/>
          <w:sz w:val="18"/>
        </w:rPr>
        <w:t>, 249–275.</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Sun, L.; Abraham, S. </w:t>
      </w:r>
      <w:r>
        <w:rPr>
          <w:b w:val="0"/>
          <w:i w:val="0"/>
          <w:sz w:val="18"/>
        </w:rPr>
        <w:t xml:space="preserve">Estimating Dynamic Treatment Effects in Event Studies with Heterogeneous Treatment Effects.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175–199.</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Callaway, B.; Sant'Anna, P.H.C. </w:t>
      </w:r>
      <w:r>
        <w:rPr>
          <w:b w:val="0"/>
          <w:i w:val="0"/>
          <w:sz w:val="18"/>
        </w:rPr>
        <w:t xml:space="preserve">Difference-in-Differences with Multiple Time Periods.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200–230.</w:t>
      </w:r>
      <w:r>
        <w:rPr>
          <w:b w:val="0"/>
          <w:i w:val="0"/>
          <w:sz w:val="18"/>
        </w:rPr>
        <w:t xml:space="preserve"> [CrossRef]</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Goodman-Bacon, A. </w:t>
      </w:r>
      <w:r>
        <w:rPr>
          <w:b w:val="0"/>
          <w:i w:val="0"/>
          <w:sz w:val="18"/>
        </w:rPr>
        <w:t xml:space="preserve">Difference-in-Differences with Variation in Treatment Timing.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254–277.</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de Chaisemartin, C.; D'Haultfœuille, X. </w:t>
      </w:r>
      <w:r>
        <w:rPr>
          <w:b w:val="0"/>
          <w:i w:val="0"/>
          <w:sz w:val="18"/>
        </w:rPr>
        <w:t xml:space="preserve">Two-Way Fixed Effects Estimators with Heterogeneous Treatment Effects.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2964–2996.</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Baron, R.M.; Kenny, D.A. </w:t>
      </w:r>
      <w:r>
        <w:rPr>
          <w:b w:val="0"/>
          <w:i w:val="0"/>
          <w:sz w:val="18"/>
        </w:rPr>
        <w:t xml:space="preserve">The Moderator–Mediator Variable Distinction in Social Psychological Research: Conceptual, Strategic, and Statistical Considerations. </w:t>
      </w:r>
      <w:r>
        <w:rPr>
          <w:b w:val="0"/>
          <w:i/>
          <w:sz w:val="18"/>
        </w:rPr>
        <w:t xml:space="preserve">J. Pers. Soc. Psychol. </w:t>
      </w:r>
      <w:r>
        <w:rPr>
          <w:b/>
          <w:i w:val="0"/>
          <w:sz w:val="18"/>
        </w:rPr>
        <w:t>1986</w:t>
      </w:r>
      <w:r>
        <w:rPr>
          <w:b w:val="0"/>
          <w:i w:val="0"/>
          <w:sz w:val="18"/>
        </w:rPr>
        <w:t xml:space="preserve">, </w:t>
      </w:r>
      <w:r>
        <w:rPr>
          <w:b w:val="0"/>
          <w:i/>
          <w:sz w:val="18"/>
        </w:rPr>
        <w:t>51</w:t>
      </w:r>
      <w:r>
        <w:rPr>
          <w:b w:val="0"/>
          <w:i w:val="0"/>
          <w:sz w:val="18"/>
        </w:rPr>
        <w:t>, 1173–1182.</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Hayes, A.F. </w:t>
      </w:r>
      <w:r>
        <w:rPr>
          <w:b w:val="0"/>
          <w:i/>
          <w:sz w:val="18"/>
        </w:rPr>
        <w:t>Introduction to Mediation, Moderation, and Conditional Process Analysis: A Regression-Based Approach</w:t>
      </w:r>
      <w:r>
        <w:rPr>
          <w:b w:val="0"/>
          <w:i w:val="0"/>
          <w:sz w:val="18"/>
        </w:rPr>
        <w:t xml:space="preserve">; </w:t>
      </w:r>
      <w:r>
        <w:rPr>
          <w:b w:val="0"/>
          <w:i w:val="0"/>
          <w:sz w:val="18"/>
        </w:rPr>
        <w:t>Guilford Press: New York, NY, USA, 2013.</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Goldsmith-Pinkham, P.; Sorkin, I.; Swift, H. </w:t>
      </w:r>
      <w:r>
        <w:rPr>
          <w:b w:val="0"/>
          <w:i w:val="0"/>
          <w:sz w:val="18"/>
        </w:rPr>
        <w:t xml:space="preserve">Bartik Instruments: What, When, Why, and How.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2586–2624.</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Borusyak, K.; Hull, P.; Jaravel, X. </w:t>
      </w:r>
      <w:r>
        <w:rPr>
          <w:b w:val="0"/>
          <w:i w:val="0"/>
          <w:sz w:val="18"/>
        </w:rPr>
        <w:t xml:space="preserve">Quasi-Experimental Shift-Share Research Designs. </w:t>
      </w:r>
      <w:r>
        <w:rPr>
          <w:b w:val="0"/>
          <w:i/>
          <w:sz w:val="18"/>
        </w:rPr>
        <w:t xml:space="preserve">Rev. Econ. Stud. </w:t>
      </w:r>
      <w:r>
        <w:rPr>
          <w:b/>
          <w:i w:val="0"/>
          <w:sz w:val="18"/>
        </w:rPr>
        <w:t>2022</w:t>
      </w:r>
      <w:r>
        <w:rPr>
          <w:b w:val="0"/>
          <w:i w:val="0"/>
          <w:sz w:val="18"/>
        </w:rPr>
        <w:t xml:space="preserve">, </w:t>
      </w:r>
      <w:r>
        <w:rPr>
          <w:b w:val="0"/>
          <w:i/>
          <w:sz w:val="18"/>
        </w:rPr>
        <w:t>89</w:t>
      </w:r>
      <w:r>
        <w:rPr>
          <w:b w:val="0"/>
          <w:i w:val="0"/>
          <w:sz w:val="18"/>
        </w:rPr>
        <w:t>, 181–213.</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Rosenbaum, P.R.; Rubin, D.B. </w:t>
      </w:r>
      <w:r>
        <w:rPr>
          <w:b w:val="0"/>
          <w:i w:val="0"/>
          <w:sz w:val="18"/>
        </w:rPr>
        <w:t xml:space="preserve">The Central Role of the Propensity Score in Observational Studies for Causal Effects. </w:t>
      </w:r>
      <w:r>
        <w:rPr>
          <w:b w:val="0"/>
          <w:i/>
          <w:sz w:val="18"/>
        </w:rPr>
        <w:t xml:space="preserve">Biometrika </w:t>
      </w:r>
      <w:r>
        <w:rPr>
          <w:b/>
          <w:i w:val="0"/>
          <w:sz w:val="18"/>
        </w:rPr>
        <w:t>1983</w:t>
      </w:r>
      <w:r>
        <w:rPr>
          <w:b w:val="0"/>
          <w:i w:val="0"/>
          <w:sz w:val="18"/>
        </w:rPr>
        <w:t xml:space="preserve">, </w:t>
      </w:r>
      <w:r>
        <w:rPr>
          <w:b w:val="0"/>
          <w:i/>
          <w:sz w:val="18"/>
        </w:rPr>
        <w:t>70</w:t>
      </w:r>
      <w:r>
        <w:rPr>
          <w:b w:val="0"/>
          <w:i w:val="0"/>
          <w:sz w:val="18"/>
        </w:rPr>
        <w:t>, 41–55.</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Hainmueller, J. </w:t>
      </w:r>
      <w:r>
        <w:rPr>
          <w:b w:val="0"/>
          <w:i w:val="0"/>
          <w:sz w:val="18"/>
        </w:rPr>
        <w:t xml:space="preserve">Entropy Balancing for Causal Effects: A Multivariate Reweighting Method to Produce Balanced Samples in Observational Studies. </w:t>
      </w:r>
      <w:r>
        <w:rPr>
          <w:b w:val="0"/>
          <w:i/>
          <w:sz w:val="18"/>
        </w:rPr>
        <w:t xml:space="preserve">Polit. Anal. </w:t>
      </w:r>
      <w:r>
        <w:rPr>
          <w:b/>
          <w:i w:val="0"/>
          <w:sz w:val="18"/>
        </w:rPr>
        <w:t>2012</w:t>
      </w:r>
      <w:r>
        <w:rPr>
          <w:b w:val="0"/>
          <w:i w:val="0"/>
          <w:sz w:val="18"/>
        </w:rPr>
        <w:t xml:space="preserve">, </w:t>
      </w:r>
      <w:r>
        <w:rPr>
          <w:b w:val="0"/>
          <w:i/>
          <w:sz w:val="18"/>
        </w:rPr>
        <w:t>20</w:t>
      </w:r>
      <w:r>
        <w:rPr>
          <w:b w:val="0"/>
          <w:i w:val="0"/>
          <w:sz w:val="18"/>
        </w:rPr>
        <w:t>, 25–46.</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